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D0B723">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000000" w:themeColor="text1"/>
          <w:spacing w:val="0"/>
          <w:position w:val="0"/>
          <w:u w:val="none" w:color="auto"/>
          <w14:textFill>
            <w14:solidFill>
              <w14:schemeClr w14:val="tx1"/>
            </w14:solidFill>
          </w14:textFill>
        </w:rPr>
      </w:pPr>
      <w:r>
        <w:rPr>
          <w:rFonts w:hint="eastAsia" w:ascii="Times New Roman" w:hAnsi="Times New Roman" w:eastAsia="宋体" w:cs="Times New Roman"/>
          <w:color w:val="000000" w:themeColor="text1"/>
          <w:spacing w:val="0"/>
          <w:position w:val="0"/>
          <w:u w:val="none" w:color="auto"/>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-735330</wp:posOffset>
            </wp:positionH>
            <wp:positionV relativeFrom="paragraph">
              <wp:posOffset>-822960</wp:posOffset>
            </wp:positionV>
            <wp:extent cx="7343775" cy="10390505"/>
            <wp:effectExtent l="0" t="0" r="1905" b="3175"/>
            <wp:wrapNone/>
            <wp:docPr id="5" name="图片 5" descr="40649f82a0d8638ccddb4c667560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649f82a0d8638ccddb4c667560e11"/>
                    <pic:cNvPicPr>
                      <a:picLocks noChangeAspect="1"/>
                    </pic:cNvPicPr>
                  </pic:nvPicPr>
                  <pic:blipFill>
                    <a:blip r:embed="rId8"/>
                    <a:stretch>
                      <a:fillRect/>
                    </a:stretch>
                  </pic:blipFill>
                  <pic:spPr>
                    <a:xfrm>
                      <a:off x="0" y="0"/>
                      <a:ext cx="7343775" cy="10390505"/>
                    </a:xfrm>
                    <a:prstGeom prst="rect">
                      <a:avLst/>
                    </a:prstGeom>
                  </pic:spPr>
                </pic:pic>
              </a:graphicData>
            </a:graphic>
          </wp:anchor>
        </w:drawing>
      </w:r>
    </w:p>
    <w:p w14:paraId="05F745E3">
      <w:pPr>
        <w:pStyle w:val="43"/>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p w14:paraId="5D884B74">
      <w:pPr>
        <w:pStyle w:val="12"/>
        <w:keepNext w:val="0"/>
        <w:keepLines w:val="0"/>
        <w:pageBreakBefore w:val="0"/>
        <w:widowControl w:val="0"/>
        <w:kinsoku/>
        <w:wordWrap/>
        <w:overflowPunct/>
        <w:topLinePunct w:val="0"/>
        <w:bidi w:val="0"/>
        <w:adjustRightInd/>
        <w:snapToGrid/>
        <w:spacing w:line="240" w:lineRule="auto"/>
        <w:ind w:firstLine="0" w:firstLineChars="0"/>
        <w:jc w:val="center"/>
        <w:rPr>
          <w:rFonts w:hint="eastAsia" w:ascii="Times New Roman" w:hAnsi="Times New Roman" w:eastAsia="宋体" w:cs="Times New Roman"/>
          <w:color w:val="000000" w:themeColor="text1"/>
          <w:spacing w:val="0"/>
          <w:position w:val="0"/>
          <w:u w:val="none" w:color="auto"/>
          <w:lang w:eastAsia="zh-CN"/>
          <w14:textFill>
            <w14:solidFill>
              <w14:schemeClr w14:val="tx1"/>
            </w14:solidFill>
          </w14:textFill>
        </w:rPr>
      </w:pPr>
    </w:p>
    <w:p w14:paraId="2DC16FFD">
      <w:pPr>
        <w:pStyle w:val="12"/>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p w14:paraId="55F40389">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outlineLvl w:val="0"/>
        <w:rPr>
          <w:rFonts w:hint="eastAsia"/>
          <w:b/>
          <w:bCs/>
          <w:color w:val="000000" w:themeColor="text1"/>
          <w:sz w:val="72"/>
          <w:szCs w:val="72"/>
          <w:u w:val="none" w:color="auto"/>
          <w14:textFill>
            <w14:solidFill>
              <w14:schemeClr w14:val="tx1"/>
            </w14:solidFill>
          </w14:textFill>
        </w:rPr>
      </w:pPr>
      <w:bookmarkStart w:id="0" w:name="_Toc3153"/>
      <w:bookmarkStart w:id="1" w:name="_Toc17235"/>
      <w:r>
        <w:rPr>
          <w:rFonts w:hint="eastAsia" w:ascii="方正小标宋_GBK" w:hAnsi="Times New Roman" w:eastAsia="方正小标宋_GBK" w:cs="Times New Roman"/>
          <w:bCs/>
          <w:color w:val="000000" w:themeColor="text1"/>
          <w:sz w:val="72"/>
          <w:szCs w:val="72"/>
          <w:u w:val="none" w:color="auto"/>
          <w14:textFill>
            <w14:solidFill>
              <w14:schemeClr w14:val="tx1"/>
            </w14:solidFill>
          </w14:textFill>
        </w:rPr>
        <w:t>建设项目环境影响报告表</w:t>
      </w:r>
      <w:bookmarkEnd w:id="0"/>
      <w:bookmarkEnd w:id="1"/>
    </w:p>
    <w:p w14:paraId="35E812BB">
      <w:pPr>
        <w:adjustRightInd w:val="0"/>
        <w:snapToGrid w:val="0"/>
        <w:spacing w:before="192" w:beforeLines="80"/>
        <w:jc w:val="center"/>
        <w:rPr>
          <w:rFonts w:hint="eastAsia" w:ascii="楷体_GB2312" w:hAnsi="Times New Roman" w:eastAsia="楷体_GB2312" w:cs="Times New Roman"/>
          <w:bCs/>
          <w:color w:val="000000" w:themeColor="text1"/>
          <w:sz w:val="48"/>
          <w:szCs w:val="48"/>
          <w:u w:val="none" w:color="auto"/>
          <w14:textFill>
            <w14:solidFill>
              <w14:schemeClr w14:val="tx1"/>
            </w14:solidFill>
          </w14:textFill>
        </w:rPr>
      </w:pPr>
      <w:r>
        <w:rPr>
          <w:rFonts w:hint="eastAsia" w:ascii="楷体_GB2312" w:hAnsi="Times New Roman" w:eastAsia="楷体_GB2312" w:cs="Times New Roman"/>
          <w:bCs/>
          <w:color w:val="000000" w:themeColor="text1"/>
          <w:sz w:val="48"/>
          <w:szCs w:val="48"/>
          <w:u w:val="none" w:color="auto"/>
          <w14:textFill>
            <w14:solidFill>
              <w14:schemeClr w14:val="tx1"/>
            </w14:solidFill>
          </w14:textFill>
        </w:rPr>
        <w:t>（污染影响类）</w:t>
      </w:r>
    </w:p>
    <w:p w14:paraId="58F04626">
      <w:pPr>
        <w:adjustRightInd w:val="0"/>
        <w:snapToGrid w:val="0"/>
        <w:spacing w:before="192" w:beforeLines="80"/>
        <w:jc w:val="center"/>
        <w:rPr>
          <w:rFonts w:hint="eastAsia" w:ascii="楷体_GB2312" w:hAnsi="Times New Roman" w:eastAsia="楷体_GB2312" w:cs="Times New Roman"/>
          <w:bCs/>
          <w:color w:val="000000" w:themeColor="text1"/>
          <w:sz w:val="32"/>
          <w:szCs w:val="32"/>
          <w:u w:val="none" w:color="auto"/>
          <w:lang w:eastAsia="zh-CN"/>
          <w14:textFill>
            <w14:solidFill>
              <w14:schemeClr w14:val="tx1"/>
            </w14:solidFill>
          </w14:textFill>
        </w:rPr>
      </w:pPr>
      <w:r>
        <w:rPr>
          <w:rFonts w:hint="eastAsia" w:ascii="楷体_GB2312" w:hAnsi="Times New Roman" w:eastAsia="楷体_GB2312" w:cs="Times New Roman"/>
          <w:bCs/>
          <w:color w:val="000000" w:themeColor="text1"/>
          <w:sz w:val="32"/>
          <w:szCs w:val="32"/>
          <w:u w:val="none" w:color="auto"/>
          <w:lang w:eastAsia="zh-CN"/>
          <w14:textFill>
            <w14:solidFill>
              <w14:schemeClr w14:val="tx1"/>
            </w14:solidFill>
          </w14:textFill>
        </w:rPr>
        <w:t>（</w:t>
      </w:r>
      <w:r>
        <w:rPr>
          <w:rFonts w:hint="eastAsia" w:ascii="楷体_GB2312" w:eastAsia="楷体_GB2312" w:cs="Times New Roman"/>
          <w:bCs/>
          <w:color w:val="000000" w:themeColor="text1"/>
          <w:sz w:val="32"/>
          <w:szCs w:val="32"/>
          <w:u w:val="none" w:color="auto"/>
          <w:lang w:eastAsia="zh-CN"/>
          <w14:textFill>
            <w14:solidFill>
              <w14:schemeClr w14:val="tx1"/>
            </w14:solidFill>
          </w14:textFill>
        </w:rPr>
        <w:t>送审</w:t>
      </w:r>
      <w:r>
        <w:rPr>
          <w:rFonts w:hint="eastAsia" w:ascii="楷体_GB2312" w:hAnsi="Times New Roman" w:eastAsia="楷体_GB2312" w:cs="Times New Roman"/>
          <w:bCs/>
          <w:color w:val="000000" w:themeColor="text1"/>
          <w:sz w:val="32"/>
          <w:szCs w:val="32"/>
          <w:u w:val="none" w:color="auto"/>
          <w:lang w:eastAsia="zh-CN"/>
          <w14:textFill>
            <w14:solidFill>
              <w14:schemeClr w14:val="tx1"/>
            </w14:solidFill>
          </w14:textFill>
        </w:rPr>
        <w:t>稿）</w:t>
      </w:r>
    </w:p>
    <w:p w14:paraId="46A6D2E2">
      <w:pPr>
        <w:ind w:firstLine="1040"/>
        <w:rPr>
          <w:rFonts w:eastAsia="仿宋"/>
          <w:color w:val="000000" w:themeColor="text1"/>
          <w:sz w:val="44"/>
          <w:szCs w:val="44"/>
          <w:u w:val="none" w:color="auto"/>
          <w14:textFill>
            <w14:solidFill>
              <w14:schemeClr w14:val="tx1"/>
            </w14:solidFill>
          </w14:textFill>
        </w:rPr>
      </w:pPr>
    </w:p>
    <w:p w14:paraId="640BBFDA">
      <w:pPr>
        <w:ind w:firstLine="1040"/>
        <w:rPr>
          <w:rFonts w:eastAsia="仿宋"/>
          <w:color w:val="000000" w:themeColor="text1"/>
          <w:sz w:val="44"/>
          <w:szCs w:val="44"/>
          <w:u w:val="none" w:color="auto"/>
          <w14:textFill>
            <w14:solidFill>
              <w14:schemeClr w14:val="tx1"/>
            </w14:solidFill>
          </w14:textFill>
        </w:rPr>
      </w:pPr>
    </w:p>
    <w:p w14:paraId="3AF0295A">
      <w:pPr>
        <w:pStyle w:val="43"/>
        <w:rPr>
          <w:rFonts w:eastAsia="仿宋"/>
          <w:color w:val="000000" w:themeColor="text1"/>
          <w:sz w:val="44"/>
          <w:szCs w:val="44"/>
          <w:u w:val="none" w:color="auto"/>
          <w14:textFill>
            <w14:solidFill>
              <w14:schemeClr w14:val="tx1"/>
            </w14:solidFill>
          </w14:textFill>
        </w:rPr>
      </w:pPr>
    </w:p>
    <w:p w14:paraId="4A8006F1">
      <w:pPr>
        <w:pStyle w:val="48"/>
        <w:rPr>
          <w:color w:val="000000" w:themeColor="text1"/>
          <w:u w:val="none" w:color="auto"/>
          <w14:textFill>
            <w14:solidFill>
              <w14:schemeClr w14:val="tx1"/>
            </w14:solidFill>
          </w14:textFill>
        </w:rPr>
      </w:pPr>
    </w:p>
    <w:p w14:paraId="5B587104">
      <w:pPr>
        <w:pStyle w:val="29"/>
        <w:rPr>
          <w:color w:val="000000" w:themeColor="text1"/>
          <w:u w:val="none" w:color="auto"/>
          <w14:textFill>
            <w14:solidFill>
              <w14:schemeClr w14:val="tx1"/>
            </w14:solidFill>
          </w14:textFill>
        </w:rPr>
      </w:pPr>
    </w:p>
    <w:p w14:paraId="2797610F">
      <w:pPr>
        <w:rPr>
          <w:color w:val="000000" w:themeColor="text1"/>
          <w:u w:val="none" w:color="auto"/>
          <w14:textFill>
            <w14:solidFill>
              <w14:schemeClr w14:val="tx1"/>
            </w14:solidFill>
          </w14:textFill>
        </w:rPr>
      </w:pPr>
    </w:p>
    <w:p w14:paraId="1FC04500">
      <w:pPr>
        <w:pStyle w:val="12"/>
        <w:rPr>
          <w:color w:val="000000" w:themeColor="text1"/>
          <w:u w:val="none" w:color="auto"/>
          <w14:textFill>
            <w14:solidFill>
              <w14:schemeClr w14:val="tx1"/>
            </w14:solidFill>
          </w14:textFill>
        </w:rPr>
      </w:pPr>
    </w:p>
    <w:p w14:paraId="4B8FB339">
      <w:pPr>
        <w:pStyle w:val="12"/>
        <w:rPr>
          <w:color w:val="000000" w:themeColor="text1"/>
          <w:u w:val="none" w:color="auto"/>
          <w14:textFill>
            <w14:solidFill>
              <w14:schemeClr w14:val="tx1"/>
            </w14:solidFill>
          </w14:textFill>
        </w:rPr>
      </w:pPr>
    </w:p>
    <w:p w14:paraId="76CA3354">
      <w:pPr>
        <w:pStyle w:val="12"/>
        <w:rPr>
          <w:color w:val="000000" w:themeColor="text1"/>
          <w:u w:val="none" w:color="auto"/>
          <w14:textFill>
            <w14:solidFill>
              <w14:schemeClr w14:val="tx1"/>
            </w14:solidFill>
          </w14:textFill>
        </w:rPr>
      </w:pPr>
    </w:p>
    <w:p w14:paraId="795B337D">
      <w:pPr>
        <w:ind w:firstLine="1040"/>
        <w:rPr>
          <w:rFonts w:hint="eastAsia" w:eastAsia="仿宋"/>
          <w:color w:val="000000" w:themeColor="text1"/>
          <w:sz w:val="44"/>
          <w:szCs w:val="44"/>
          <w:u w:val="none" w:color="auto"/>
          <w:lang w:val="en-US" w:eastAsia="zh-CN"/>
          <w14:textFill>
            <w14:solidFill>
              <w14:schemeClr w14:val="tx1"/>
            </w14:solidFill>
          </w14:textFill>
        </w:rPr>
      </w:pPr>
      <w:r>
        <w:rPr>
          <w:rFonts w:hint="eastAsia" w:eastAsia="仿宋"/>
          <w:color w:val="000000" w:themeColor="text1"/>
          <w:sz w:val="44"/>
          <w:szCs w:val="44"/>
          <w:u w:val="none" w:color="auto"/>
          <w:lang w:val="en-US" w:eastAsia="zh-CN"/>
          <w14:textFill>
            <w14:solidFill>
              <w14:schemeClr w14:val="tx1"/>
            </w14:solidFill>
          </w14:textFill>
        </w:rPr>
        <w:t xml:space="preserve"> </w:t>
      </w:r>
    </w:p>
    <w:p w14:paraId="2E1240DE">
      <w:pPr>
        <w:ind w:firstLine="1040"/>
        <w:rPr>
          <w:rFonts w:eastAsia="仿宋"/>
          <w:color w:val="000000" w:themeColor="text1"/>
          <w:sz w:val="44"/>
          <w:szCs w:val="44"/>
          <w:u w:val="none" w:color="auto"/>
          <w14:textFill>
            <w14:solidFill>
              <w14:schemeClr w14:val="tx1"/>
            </w14:solidFill>
          </w14:textFill>
        </w:rPr>
      </w:pPr>
    </w:p>
    <w:p w14:paraId="3E75CA84">
      <w:pPr>
        <w:adjustRightInd w:val="0"/>
        <w:snapToGrid w:val="0"/>
        <w:spacing w:line="288" w:lineRule="auto"/>
        <w:ind w:firstLine="1040"/>
        <w:rPr>
          <w:rFonts w:hint="default" w:ascii="Times New Roman" w:hAnsi="Times New Roman" w:eastAsia="宋体" w:cs="Times New Roman"/>
          <w:color w:val="000000" w:themeColor="text1"/>
          <w:sz w:val="36"/>
          <w:szCs w:val="36"/>
          <w:u w:val="none" w:color="auto"/>
          <w14:textFill>
            <w14:solidFill>
              <w14:schemeClr w14:val="tx1"/>
            </w14:solidFill>
          </w14:textFill>
        </w:rPr>
      </w:pPr>
    </w:p>
    <w:p w14:paraId="09625C54">
      <w:pPr>
        <w:adjustRightInd w:val="0"/>
        <w:snapToGrid w:val="0"/>
        <w:spacing w:line="360" w:lineRule="auto"/>
        <w:ind w:firstLine="960" w:firstLineChars="300"/>
        <w:jc w:val="both"/>
        <w:rPr>
          <w:rFonts w:hint="eastAsia" w:ascii="仿宋_GB2312" w:eastAsia="仿宋_GB2312" w:cs="Times New Roman"/>
          <w:color w:val="000000" w:themeColor="text1"/>
          <w:sz w:val="32"/>
          <w:szCs w:val="32"/>
          <w:u w:val="single" w:color="auto"/>
          <w:lang w:eastAsia="zh-CN"/>
          <w14:textFill>
            <w14:solidFill>
              <w14:schemeClr w14:val="tx1"/>
            </w14:solidFill>
          </w14:textFill>
        </w:rPr>
      </w:pPr>
      <w:r>
        <w:rPr>
          <w:rFonts w:hint="eastAsia" w:ascii="仿宋_GB2312" w:hAnsi="Times New Roman" w:eastAsia="仿宋_GB2312" w:cs="Times New Roman"/>
          <w:color w:val="000000" w:themeColor="text1"/>
          <w:sz w:val="32"/>
          <w:szCs w:val="32"/>
          <w:u w:val="none" w:color="auto"/>
          <w14:textFill>
            <w14:solidFill>
              <w14:schemeClr w14:val="tx1"/>
            </w14:solidFill>
          </w14:textFill>
        </w:rPr>
        <w:t>项目名称</w:t>
      </w:r>
      <w:r>
        <w:rPr>
          <w:rFonts w:hint="eastAsia" w:ascii="仿宋_GB2312" w:hAnsi="Times New Roman" w:eastAsia="仿宋_GB2312" w:cs="Times New Roman"/>
          <w:color w:val="000000" w:themeColor="text1"/>
          <w:sz w:val="32"/>
          <w:szCs w:val="32"/>
          <w:u w:val="none" w:color="auto"/>
          <w:lang w:eastAsia="zh-CN"/>
          <w14:textFill>
            <w14:solidFill>
              <w14:schemeClr w14:val="tx1"/>
            </w14:solidFill>
          </w14:textFill>
        </w:rPr>
        <w:t>：</w:t>
      </w:r>
      <w:r>
        <w:rPr>
          <w:rFonts w:hint="eastAsia" w:ascii="仿宋_GB2312" w:eastAsia="仿宋_GB2312" w:cs="Times New Roman"/>
          <w:color w:val="000000" w:themeColor="text1"/>
          <w:sz w:val="32"/>
          <w:szCs w:val="32"/>
          <w:u w:val="single" w:color="auto"/>
          <w:lang w:eastAsia="zh-CN"/>
          <w14:textFill>
            <w14:solidFill>
              <w14:schemeClr w14:val="tx1"/>
            </w14:solidFill>
          </w14:textFill>
        </w:rPr>
        <w:t>湖南众联设备智能制造产业园扩建项目</w:t>
      </w:r>
    </w:p>
    <w:p w14:paraId="02743DAE">
      <w:pPr>
        <w:adjustRightInd w:val="0"/>
        <w:snapToGrid w:val="0"/>
        <w:spacing w:line="360" w:lineRule="auto"/>
        <w:ind w:firstLine="960" w:firstLineChars="300"/>
        <w:jc w:val="both"/>
        <w:rPr>
          <w:rFonts w:hint="default" w:ascii="仿宋_GB2312" w:hAnsi="Times New Roman" w:eastAsia="仿宋_GB2312" w:cs="Times New Roman"/>
          <w:color w:val="000000" w:themeColor="text1"/>
          <w:sz w:val="32"/>
          <w:szCs w:val="32"/>
          <w:u w:val="none" w:color="auto"/>
          <w:lang w:val="en-US" w:eastAsia="zh-CN"/>
          <w14:textFill>
            <w14:solidFill>
              <w14:schemeClr w14:val="tx1"/>
            </w14:solidFill>
          </w14:textFill>
        </w:rPr>
      </w:pPr>
      <w:r>
        <w:rPr>
          <w:rFonts w:hint="eastAsia" w:ascii="仿宋_GB2312" w:hAnsi="Times New Roman" w:eastAsia="仿宋_GB2312" w:cs="Times New Roman"/>
          <w:color w:val="000000" w:themeColor="text1"/>
          <w:sz w:val="32"/>
          <w:szCs w:val="32"/>
          <w:u w:val="none" w:color="auto"/>
          <w14:textFill>
            <w14:solidFill>
              <w14:schemeClr w14:val="tx1"/>
            </w14:solidFill>
          </w14:textFill>
        </w:rPr>
        <w:t>建设单位（盖章）：</w:t>
      </w:r>
      <w:r>
        <w:rPr>
          <w:rFonts w:hint="eastAsia" w:ascii="仿宋_GB2312" w:eastAsia="仿宋_GB2312" w:cs="Times New Roman"/>
          <w:color w:val="000000" w:themeColor="text1"/>
          <w:sz w:val="32"/>
          <w:szCs w:val="32"/>
          <w:u w:val="single" w:color="auto"/>
          <w:lang w:val="en-US" w:eastAsia="zh-CN"/>
          <w14:textFill>
            <w14:solidFill>
              <w14:schemeClr w14:val="tx1"/>
            </w14:solidFill>
          </w14:textFill>
        </w:rPr>
        <w:t xml:space="preserve">湖南众联智能机械设备制造有限公司   </w:t>
      </w:r>
      <w:r>
        <w:rPr>
          <w:rFonts w:hint="eastAsia" w:ascii="仿宋_GB2312" w:hAnsi="Times New Roman" w:eastAsia="仿宋_GB2312" w:cs="Times New Roman"/>
          <w:color w:val="000000" w:themeColor="text1"/>
          <w:sz w:val="32"/>
          <w:szCs w:val="32"/>
          <w:u w:val="none" w:color="auto"/>
          <w:lang w:val="en-US" w:eastAsia="zh-CN"/>
          <w14:textFill>
            <w14:solidFill>
              <w14:schemeClr w14:val="tx1"/>
            </w14:solidFill>
          </w14:textFill>
        </w:rPr>
        <w:t xml:space="preserve">    </w:t>
      </w:r>
    </w:p>
    <w:p w14:paraId="23E9D6A8">
      <w:pPr>
        <w:adjustRightInd w:val="0"/>
        <w:snapToGrid w:val="0"/>
        <w:spacing w:line="360" w:lineRule="auto"/>
        <w:ind w:firstLine="960" w:firstLineChars="300"/>
        <w:jc w:val="both"/>
        <w:rPr>
          <w:rFonts w:hint="default" w:ascii="仿宋_GB2312" w:hAnsi="Times New Roman" w:eastAsia="仿宋_GB2312" w:cs="Times New Roman"/>
          <w:color w:val="000000" w:themeColor="text1"/>
          <w:sz w:val="32"/>
          <w:szCs w:val="32"/>
          <w:u w:val="none" w:color="auto"/>
          <w:lang w:val="en-US" w:eastAsia="zh-CN"/>
          <w14:textFill>
            <w14:solidFill>
              <w14:schemeClr w14:val="tx1"/>
            </w14:solidFill>
          </w14:textFill>
        </w:rPr>
      </w:pPr>
      <w:r>
        <w:rPr>
          <w:rFonts w:hint="default" w:ascii="仿宋_GB2312" w:hAnsi="Times New Roman" w:eastAsia="仿宋_GB2312" w:cs="Times New Roman"/>
          <w:color w:val="000000" w:themeColor="text1"/>
          <w:sz w:val="32"/>
          <w:szCs w:val="32"/>
          <w:u w:val="none" w:color="auto"/>
          <w14:textFill>
            <w14:solidFill>
              <w14:schemeClr w14:val="tx1"/>
            </w14:solidFill>
          </w14:textFill>
        </w:rPr>
        <w:t>编制日期：</w:t>
      </w:r>
      <w:r>
        <w:rPr>
          <w:rFonts w:hint="eastAsia" w:ascii="仿宋_GB2312" w:eastAsia="仿宋_GB2312" w:cs="Times New Roman"/>
          <w:color w:val="000000" w:themeColor="text1"/>
          <w:sz w:val="32"/>
          <w:szCs w:val="32"/>
          <w:u w:val="single" w:color="auto"/>
          <w:lang w:val="en-US" w:eastAsia="zh-CN"/>
          <w14:textFill>
            <w14:solidFill>
              <w14:schemeClr w14:val="tx1"/>
            </w14:solidFill>
          </w14:textFill>
        </w:rPr>
        <w:t xml:space="preserve">        </w:t>
      </w:r>
      <w:r>
        <w:rPr>
          <w:rFonts w:hint="default" w:ascii="仿宋_GB2312" w:hAnsi="Times New Roman" w:eastAsia="仿宋_GB2312" w:cs="Times New Roman"/>
          <w:color w:val="000000" w:themeColor="text1"/>
          <w:sz w:val="32"/>
          <w:szCs w:val="32"/>
          <w:u w:val="single" w:color="auto"/>
          <w:lang w:val="en-US" w:eastAsia="zh-CN"/>
          <w14:textFill>
            <w14:solidFill>
              <w14:schemeClr w14:val="tx1"/>
            </w14:solidFill>
          </w14:textFill>
        </w:rPr>
        <w:t>202</w:t>
      </w:r>
      <w:r>
        <w:rPr>
          <w:rFonts w:hint="eastAsia" w:ascii="仿宋_GB2312" w:eastAsia="仿宋_GB2312" w:cs="Times New Roman"/>
          <w:color w:val="000000" w:themeColor="text1"/>
          <w:sz w:val="32"/>
          <w:szCs w:val="32"/>
          <w:u w:val="single" w:color="auto"/>
          <w:lang w:val="en-US" w:eastAsia="zh-CN"/>
          <w14:textFill>
            <w14:solidFill>
              <w14:schemeClr w14:val="tx1"/>
            </w14:solidFill>
          </w14:textFill>
        </w:rPr>
        <w:t>5</w:t>
      </w:r>
      <w:r>
        <w:rPr>
          <w:rFonts w:hint="default" w:ascii="仿宋_GB2312" w:hAnsi="Times New Roman" w:eastAsia="仿宋_GB2312" w:cs="Times New Roman"/>
          <w:color w:val="000000" w:themeColor="text1"/>
          <w:sz w:val="32"/>
          <w:szCs w:val="32"/>
          <w:u w:val="single" w:color="auto"/>
          <w:lang w:val="en-US" w:eastAsia="zh-CN"/>
          <w14:textFill>
            <w14:solidFill>
              <w14:schemeClr w14:val="tx1"/>
            </w14:solidFill>
          </w14:textFill>
        </w:rPr>
        <w:t>年</w:t>
      </w:r>
      <w:r>
        <w:rPr>
          <w:rFonts w:hint="eastAsia" w:ascii="仿宋_GB2312" w:eastAsia="仿宋_GB2312" w:cs="Times New Roman"/>
          <w:color w:val="000000" w:themeColor="text1"/>
          <w:sz w:val="32"/>
          <w:szCs w:val="32"/>
          <w:u w:val="single" w:color="auto"/>
          <w:lang w:val="en-US" w:eastAsia="zh-CN"/>
          <w14:textFill>
            <w14:solidFill>
              <w14:schemeClr w14:val="tx1"/>
            </w14:solidFill>
          </w14:textFill>
        </w:rPr>
        <w:t>1</w:t>
      </w:r>
      <w:r>
        <w:rPr>
          <w:rFonts w:hint="default" w:ascii="仿宋_GB2312" w:hAnsi="Times New Roman" w:eastAsia="仿宋_GB2312" w:cs="Times New Roman"/>
          <w:color w:val="000000" w:themeColor="text1"/>
          <w:sz w:val="32"/>
          <w:szCs w:val="32"/>
          <w:u w:val="single" w:color="auto"/>
          <w:lang w:val="en-US" w:eastAsia="zh-CN"/>
          <w14:textFill>
            <w14:solidFill>
              <w14:schemeClr w14:val="tx1"/>
            </w14:solidFill>
          </w14:textFill>
        </w:rPr>
        <w:t>月</w:t>
      </w:r>
      <w:r>
        <w:rPr>
          <w:rFonts w:hint="eastAsia" w:ascii="仿宋_GB2312" w:eastAsia="仿宋_GB2312" w:cs="Times New Roman"/>
          <w:color w:val="000000" w:themeColor="text1"/>
          <w:sz w:val="32"/>
          <w:szCs w:val="32"/>
          <w:u w:val="single" w:color="auto"/>
          <w:lang w:val="en-US" w:eastAsia="zh-CN"/>
          <w14:textFill>
            <w14:solidFill>
              <w14:schemeClr w14:val="tx1"/>
            </w14:solidFill>
          </w14:textFill>
        </w:rPr>
        <w:t xml:space="preserve">                </w:t>
      </w:r>
      <w:r>
        <w:rPr>
          <w:rFonts w:hint="eastAsia" w:ascii="仿宋_GB2312" w:hAnsi="Times New Roman" w:eastAsia="仿宋_GB2312" w:cs="Times New Roman"/>
          <w:color w:val="000000" w:themeColor="text1"/>
          <w:sz w:val="32"/>
          <w:szCs w:val="32"/>
          <w:u w:val="none" w:color="auto"/>
          <w:lang w:val="en-US" w:eastAsia="zh-CN"/>
          <w14:textFill>
            <w14:solidFill>
              <w14:schemeClr w14:val="tx1"/>
            </w14:solidFill>
          </w14:textFill>
        </w:rPr>
        <w:t xml:space="preserve">                         </w:t>
      </w:r>
      <w:r>
        <w:rPr>
          <w:rFonts w:hint="eastAsia" w:ascii="仿宋_GB2312" w:eastAsia="仿宋_GB2312" w:cs="Times New Roman"/>
          <w:color w:val="000000" w:themeColor="text1"/>
          <w:sz w:val="32"/>
          <w:szCs w:val="32"/>
          <w:u w:val="none" w:color="auto"/>
          <w:lang w:val="en-US" w:eastAsia="zh-CN"/>
          <w14:textFill>
            <w14:solidFill>
              <w14:schemeClr w14:val="tx1"/>
            </w14:solidFill>
          </w14:textFill>
        </w:rPr>
        <w:t xml:space="preserve">           </w:t>
      </w:r>
    </w:p>
    <w:p w14:paraId="4660F71D">
      <w:pPr>
        <w:adjustRightInd w:val="0"/>
        <w:snapToGrid w:val="0"/>
        <w:spacing w:line="360" w:lineRule="auto"/>
        <w:jc w:val="center"/>
        <w:rPr>
          <w:rFonts w:hint="eastAsia" w:ascii="楷体_GB2312" w:hAnsi="Times New Roman" w:eastAsia="楷体_GB2312" w:cs="Times New Roman"/>
          <w:color w:val="000000" w:themeColor="text1"/>
          <w:sz w:val="32"/>
          <w:szCs w:val="32"/>
          <w:u w:val="none" w:color="auto"/>
          <w:lang w:val="en-US" w:eastAsia="zh-CN"/>
          <w14:textFill>
            <w14:solidFill>
              <w14:schemeClr w14:val="tx1"/>
            </w14:solidFill>
          </w14:textFill>
        </w:rPr>
      </w:pPr>
    </w:p>
    <w:p w14:paraId="7749D426">
      <w:pPr>
        <w:pStyle w:val="43"/>
        <w:rPr>
          <w:rFonts w:hint="eastAsia"/>
          <w:color w:val="000000" w:themeColor="text1"/>
          <w:u w:val="none" w:color="auto"/>
          <w:lang w:val="en-US" w:eastAsia="zh-CN"/>
          <w14:textFill>
            <w14:solidFill>
              <w14:schemeClr w14:val="tx1"/>
            </w14:solidFill>
          </w14:textFill>
        </w:rPr>
      </w:pPr>
    </w:p>
    <w:p w14:paraId="2955B8E7">
      <w:pPr>
        <w:adjustRightInd w:val="0"/>
        <w:snapToGrid w:val="0"/>
        <w:spacing w:line="360" w:lineRule="auto"/>
        <w:jc w:val="center"/>
        <w:rPr>
          <w:rFonts w:hint="default" w:ascii="仿宋_GB2312" w:hAnsi="Times New Roman" w:eastAsia="仿宋_GB2312" w:cs="Times New Roman"/>
          <w:color w:val="000000" w:themeColor="text1"/>
          <w:sz w:val="32"/>
          <w:szCs w:val="32"/>
          <w:u w:val="none" w:color="auto"/>
          <w14:textFill>
            <w14:solidFill>
              <w14:schemeClr w14:val="tx1"/>
            </w14:solidFill>
          </w14:textFill>
        </w:rPr>
      </w:pPr>
      <w:bookmarkStart w:id="2" w:name="_Toc15801"/>
      <w:r>
        <w:rPr>
          <w:rFonts w:hint="eastAsia" w:ascii="仿宋_GB2312" w:hAnsi="Times New Roman" w:eastAsia="仿宋_GB2312" w:cs="Times New Roman"/>
          <w:color w:val="000000" w:themeColor="text1"/>
          <w:sz w:val="32"/>
          <w:szCs w:val="32"/>
          <w:u w:val="none" w:color="auto"/>
          <w:lang w:val="en-US" w:eastAsia="zh-CN"/>
          <w14:textFill>
            <w14:solidFill>
              <w14:schemeClr w14:val="tx1"/>
            </w14:solidFill>
          </w14:textFill>
        </w:rPr>
        <w:t>中华人民共和国生态环境部制</w:t>
      </w:r>
      <w:bookmarkEnd w:id="2"/>
    </w:p>
    <w:p w14:paraId="7F06AD2B">
      <w:pPr>
        <w:bidi w:val="0"/>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p w14:paraId="61E103A3">
      <w:pPr>
        <w:adjustRightInd w:val="0"/>
        <w:spacing w:line="240" w:lineRule="auto"/>
        <w:ind w:firstLine="0"/>
        <w:jc w:val="center"/>
        <w:rPr>
          <w:rFonts w:hint="default" w:ascii="Times New Roman" w:hAnsi="Times New Roman" w:eastAsia="方正小标宋_GBK" w:cs="Times New Roman"/>
          <w:color w:val="000000" w:themeColor="text1"/>
          <w:spacing w:val="0"/>
          <w:position w:val="0"/>
          <w:sz w:val="38"/>
          <w:szCs w:val="38"/>
          <w:u w:val="none" w:color="auto"/>
          <w14:textFill>
            <w14:solidFill>
              <w14:schemeClr w14:val="tx1"/>
            </w14:solidFill>
          </w14:textFill>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bookmarkStart w:id="3" w:name="_Toc20422"/>
    </w:p>
    <w:bookmarkEnd w:id="3"/>
    <w:p w14:paraId="6DCD2A68">
      <w:pPr>
        <w:bidi w:val="0"/>
        <w:jc w:val="center"/>
        <w:rPr>
          <w:rFonts w:hint="default"/>
          <w:sz w:val="30"/>
          <w:szCs w:val="30"/>
        </w:rPr>
      </w:pPr>
      <w:bookmarkStart w:id="4" w:name="_Toc115"/>
      <w:r>
        <w:rPr>
          <w:rFonts w:hint="default"/>
          <w:sz w:val="30"/>
          <w:szCs w:val="30"/>
        </w:rPr>
        <w:drawing>
          <wp:anchor distT="0" distB="0" distL="114300" distR="114300" simplePos="0" relativeHeight="251669504" behindDoc="0" locked="0" layoutInCell="1" allowOverlap="1">
            <wp:simplePos x="0" y="0"/>
            <wp:positionH relativeFrom="column">
              <wp:posOffset>-1075055</wp:posOffset>
            </wp:positionH>
            <wp:positionV relativeFrom="paragraph">
              <wp:posOffset>-760095</wp:posOffset>
            </wp:positionV>
            <wp:extent cx="7421880" cy="9870440"/>
            <wp:effectExtent l="0" t="0" r="0" b="5080"/>
            <wp:wrapNone/>
            <wp:docPr id="11" name="图片 11" descr="23aa64ba3c8ddaf7849960b29c3d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3aa64ba3c8ddaf7849960b29c3d2d3"/>
                    <pic:cNvPicPr>
                      <a:picLocks noChangeAspect="1"/>
                    </pic:cNvPicPr>
                  </pic:nvPicPr>
                  <pic:blipFill>
                    <a:blip r:embed="rId9"/>
                    <a:stretch>
                      <a:fillRect/>
                    </a:stretch>
                  </pic:blipFill>
                  <pic:spPr>
                    <a:xfrm>
                      <a:off x="0" y="0"/>
                      <a:ext cx="7421880" cy="9870440"/>
                    </a:xfrm>
                    <a:prstGeom prst="rect">
                      <a:avLst/>
                    </a:prstGeom>
                  </pic:spPr>
                </pic:pic>
              </a:graphicData>
            </a:graphic>
          </wp:anchor>
        </w:drawing>
      </w:r>
      <w:r>
        <w:rPr>
          <w:rFonts w:hint="default"/>
          <w:sz w:val="30"/>
          <w:szCs w:val="30"/>
        </w:rPr>
        <w:t>编制单位和编制人员情况表</w:t>
      </w:r>
      <w:bookmarkEnd w:id="4"/>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197"/>
        <w:gridCol w:w="2267"/>
        <w:gridCol w:w="1482"/>
        <w:gridCol w:w="1982"/>
      </w:tblGrid>
      <w:tr w14:paraId="25F8A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638942C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项目编号</w:t>
            </w:r>
          </w:p>
        </w:tc>
        <w:tc>
          <w:tcPr>
            <w:tcW w:w="3365" w:type="pct"/>
            <w:gridSpan w:val="3"/>
            <w:noWrap w:val="0"/>
            <w:vAlign w:val="center"/>
          </w:tcPr>
          <w:p w14:paraId="07E3921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w:t>
            </w:r>
          </w:p>
        </w:tc>
      </w:tr>
      <w:tr w14:paraId="2D9B2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23C7C43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建设项目名称</w:t>
            </w:r>
          </w:p>
        </w:tc>
        <w:tc>
          <w:tcPr>
            <w:tcW w:w="3365" w:type="pct"/>
            <w:gridSpan w:val="3"/>
            <w:noWrap w:val="0"/>
            <w:vAlign w:val="center"/>
          </w:tcPr>
          <w:p w14:paraId="5C62D4A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湖南众联设备智能制造产业园扩建项目</w:t>
            </w:r>
          </w:p>
        </w:tc>
      </w:tr>
      <w:tr w14:paraId="3E40B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3F10B01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建设项目类别</w:t>
            </w:r>
          </w:p>
        </w:tc>
        <w:tc>
          <w:tcPr>
            <w:tcW w:w="3365" w:type="pct"/>
            <w:gridSpan w:val="3"/>
            <w:noWrap w:val="0"/>
            <w:vAlign w:val="center"/>
          </w:tcPr>
          <w:p w14:paraId="7AF85E0D">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31</w:t>
            </w:r>
            <w:r>
              <w:rPr>
                <w:rFonts w:hint="eastAsia"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0</w:t>
            </w:r>
            <w:r>
              <w:rPr>
                <w:rFonts w:hint="eastAsia" w:ascii="Times New Roman" w:hAnsi="Times New Roman"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69</w:t>
            </w:r>
            <w:r>
              <w:rPr>
                <w:rFonts w:hint="eastAsia" w:ascii="宋体" w:hAnsi="宋体" w:eastAsia="宋体"/>
                <w:sz w:val="21"/>
                <w:szCs w:val="24"/>
              </w:rPr>
              <w:t>烘炉、风机、包装等设备制造34</w:t>
            </w:r>
          </w:p>
        </w:tc>
      </w:tr>
      <w:tr w14:paraId="26936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2551D0B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环境影响评价文件类型</w:t>
            </w:r>
          </w:p>
        </w:tc>
        <w:tc>
          <w:tcPr>
            <w:tcW w:w="3365" w:type="pct"/>
            <w:gridSpan w:val="3"/>
            <w:noWrap w:val="0"/>
            <w:vAlign w:val="center"/>
          </w:tcPr>
          <w:p w14:paraId="0AEE452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报告表</w:t>
            </w:r>
          </w:p>
        </w:tc>
      </w:tr>
      <w:tr w14:paraId="2AEB30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noWrap w:val="0"/>
            <w:vAlign w:val="center"/>
          </w:tcPr>
          <w:p w14:paraId="64856C2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一、建设单位情况</w:t>
            </w:r>
          </w:p>
        </w:tc>
      </w:tr>
      <w:tr w14:paraId="2CA45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4A398C6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单位名称（盖章）</w:t>
            </w:r>
          </w:p>
        </w:tc>
        <w:tc>
          <w:tcPr>
            <w:tcW w:w="3365" w:type="pct"/>
            <w:gridSpan w:val="3"/>
            <w:noWrap w:val="0"/>
            <w:vAlign w:val="center"/>
          </w:tcPr>
          <w:p w14:paraId="06F752B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湖南众联智能机械设备制造有限公司</w:t>
            </w:r>
          </w:p>
        </w:tc>
      </w:tr>
      <w:tr w14:paraId="4E6E2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525A7B8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统一社会信用代码</w:t>
            </w:r>
          </w:p>
        </w:tc>
        <w:tc>
          <w:tcPr>
            <w:tcW w:w="5731" w:type="dxa"/>
            <w:gridSpan w:val="3"/>
            <w:noWrap w:val="0"/>
            <w:vAlign w:val="center"/>
          </w:tcPr>
          <w:p w14:paraId="3C8FC5E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pacing w:val="0"/>
                <w:kern w:val="21"/>
                <w:sz w:val="21"/>
                <w:szCs w:val="21"/>
                <w:lang w:val="en-US" w:eastAsia="zh-CN"/>
              </w:rPr>
              <w:t>91430600MABYWFER36</w:t>
            </w:r>
          </w:p>
        </w:tc>
      </w:tr>
      <w:tr w14:paraId="1CA84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0B94733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法定代表人（签章）</w:t>
            </w:r>
          </w:p>
        </w:tc>
        <w:tc>
          <w:tcPr>
            <w:tcW w:w="5731" w:type="dxa"/>
            <w:gridSpan w:val="3"/>
            <w:noWrap w:val="0"/>
            <w:vAlign w:val="center"/>
          </w:tcPr>
          <w:p w14:paraId="1DAE2079">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spacing w:val="0"/>
                <w:kern w:val="21"/>
                <w:sz w:val="21"/>
                <w:szCs w:val="21"/>
                <w:lang w:val="en-US" w:eastAsia="zh-CN"/>
              </w:rPr>
              <w:t>舒思军</w:t>
            </w:r>
          </w:p>
        </w:tc>
      </w:tr>
      <w:tr w14:paraId="52482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02786CC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主要负责人（签字）</w:t>
            </w:r>
          </w:p>
        </w:tc>
        <w:tc>
          <w:tcPr>
            <w:tcW w:w="5731" w:type="dxa"/>
            <w:gridSpan w:val="3"/>
            <w:noWrap w:val="0"/>
            <w:vAlign w:val="center"/>
          </w:tcPr>
          <w:p w14:paraId="75A3C6A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spacing w:val="0"/>
                <w:kern w:val="21"/>
                <w:sz w:val="21"/>
                <w:szCs w:val="21"/>
                <w:lang w:val="en-US" w:eastAsia="zh-CN"/>
              </w:rPr>
              <w:t>舒思军</w:t>
            </w:r>
          </w:p>
        </w:tc>
      </w:tr>
      <w:tr w14:paraId="1CACB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58689ED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直接负责的主管人员（签字）</w:t>
            </w:r>
          </w:p>
        </w:tc>
        <w:tc>
          <w:tcPr>
            <w:tcW w:w="5731" w:type="dxa"/>
            <w:gridSpan w:val="3"/>
            <w:noWrap w:val="0"/>
            <w:vAlign w:val="center"/>
          </w:tcPr>
          <w:p w14:paraId="0CC4E6D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spacing w:val="0"/>
                <w:kern w:val="21"/>
                <w:sz w:val="21"/>
                <w:szCs w:val="21"/>
                <w:lang w:val="en-US" w:eastAsia="zh-CN"/>
              </w:rPr>
              <w:t>舒思军</w:t>
            </w:r>
          </w:p>
        </w:tc>
      </w:tr>
      <w:tr w14:paraId="6C813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noWrap w:val="0"/>
            <w:vAlign w:val="center"/>
          </w:tcPr>
          <w:p w14:paraId="6559A290">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二、编制单位情况</w:t>
            </w:r>
          </w:p>
        </w:tc>
      </w:tr>
      <w:tr w14:paraId="4B41B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71CB23C3">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单位名称（盖章）</w:t>
            </w:r>
          </w:p>
        </w:tc>
        <w:tc>
          <w:tcPr>
            <w:tcW w:w="3365" w:type="pct"/>
            <w:gridSpan w:val="3"/>
            <w:noWrap w:val="0"/>
            <w:vAlign w:val="center"/>
          </w:tcPr>
          <w:p w14:paraId="09833D3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岳阳凯丰环保有限公司</w:t>
            </w:r>
          </w:p>
        </w:tc>
      </w:tr>
      <w:tr w14:paraId="0D6CA6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34" w:type="pct"/>
            <w:gridSpan w:val="2"/>
            <w:noWrap w:val="0"/>
            <w:vAlign w:val="center"/>
          </w:tcPr>
          <w:p w14:paraId="2BD56D5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统一社会信用代码</w:t>
            </w:r>
          </w:p>
        </w:tc>
        <w:tc>
          <w:tcPr>
            <w:tcW w:w="3365" w:type="pct"/>
            <w:gridSpan w:val="3"/>
            <w:noWrap w:val="0"/>
            <w:vAlign w:val="center"/>
          </w:tcPr>
          <w:p w14:paraId="3796EBC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91430602060138255N</w:t>
            </w:r>
          </w:p>
        </w:tc>
      </w:tr>
      <w:tr w14:paraId="087B4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noWrap w:val="0"/>
            <w:vAlign w:val="center"/>
          </w:tcPr>
          <w:p w14:paraId="6C4BD74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三、编制人员情况</w:t>
            </w:r>
          </w:p>
        </w:tc>
      </w:tr>
      <w:tr w14:paraId="1ABB3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noWrap w:val="0"/>
            <w:vAlign w:val="center"/>
          </w:tcPr>
          <w:p w14:paraId="41B9F4E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1.编制主持人</w:t>
            </w:r>
          </w:p>
        </w:tc>
      </w:tr>
      <w:tr w14:paraId="3EE94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noWrap w:val="0"/>
            <w:vAlign w:val="center"/>
          </w:tcPr>
          <w:p w14:paraId="5DAB539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p>
        </w:tc>
      </w:tr>
      <w:tr w14:paraId="558B5F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pct"/>
            <w:noWrap w:val="0"/>
            <w:vAlign w:val="center"/>
          </w:tcPr>
          <w:p w14:paraId="5FFAC855">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姓名</w:t>
            </w:r>
          </w:p>
        </w:tc>
        <w:tc>
          <w:tcPr>
            <w:tcW w:w="2034" w:type="pct"/>
            <w:gridSpan w:val="2"/>
            <w:noWrap w:val="0"/>
            <w:vAlign w:val="center"/>
          </w:tcPr>
          <w:p w14:paraId="171123A4">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职业资格证书管理号</w:t>
            </w:r>
          </w:p>
        </w:tc>
        <w:tc>
          <w:tcPr>
            <w:tcW w:w="869" w:type="pct"/>
            <w:noWrap w:val="0"/>
            <w:vAlign w:val="center"/>
          </w:tcPr>
          <w:p w14:paraId="7F1C5C8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信用编号</w:t>
            </w:r>
          </w:p>
        </w:tc>
        <w:tc>
          <w:tcPr>
            <w:tcW w:w="1163" w:type="pct"/>
            <w:noWrap w:val="0"/>
            <w:vAlign w:val="center"/>
          </w:tcPr>
          <w:p w14:paraId="0A440AC7">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签字</w:t>
            </w:r>
          </w:p>
        </w:tc>
      </w:tr>
      <w:tr w14:paraId="307CF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3" w:type="dxa"/>
            <w:noWrap w:val="0"/>
            <w:vAlign w:val="center"/>
          </w:tcPr>
          <w:p w14:paraId="2ED8B81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闵志华</w:t>
            </w:r>
          </w:p>
        </w:tc>
        <w:tc>
          <w:tcPr>
            <w:tcW w:w="3760" w:type="dxa"/>
            <w:gridSpan w:val="2"/>
            <w:noWrap w:val="0"/>
            <w:vAlign w:val="center"/>
          </w:tcPr>
          <w:p w14:paraId="38D7565B">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20230503543000000049</w:t>
            </w:r>
          </w:p>
        </w:tc>
        <w:tc>
          <w:tcPr>
            <w:tcW w:w="1608" w:type="dxa"/>
            <w:noWrap w:val="0"/>
            <w:vAlign w:val="center"/>
          </w:tcPr>
          <w:p w14:paraId="7B3CE23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BH</w:t>
            </w:r>
            <w:r>
              <w:rPr>
                <w:rFonts w:hint="eastAsia" w:ascii="Times New Roman" w:hAnsi="Times New Roman"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027656</w:t>
            </w:r>
          </w:p>
        </w:tc>
        <w:tc>
          <w:tcPr>
            <w:tcW w:w="1163" w:type="pct"/>
            <w:noWrap w:val="0"/>
            <w:vAlign w:val="center"/>
          </w:tcPr>
          <w:p w14:paraId="0797D99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p>
        </w:tc>
      </w:tr>
      <w:tr w14:paraId="03604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noWrap w:val="0"/>
            <w:vAlign w:val="center"/>
          </w:tcPr>
          <w:p w14:paraId="5D7895F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2.主要编制人员</w:t>
            </w:r>
          </w:p>
        </w:tc>
      </w:tr>
      <w:tr w14:paraId="7C17B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pct"/>
            <w:noWrap w:val="0"/>
            <w:vAlign w:val="center"/>
          </w:tcPr>
          <w:p w14:paraId="3604AF06">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姓名</w:t>
            </w:r>
          </w:p>
        </w:tc>
        <w:tc>
          <w:tcPr>
            <w:tcW w:w="2034" w:type="pct"/>
            <w:gridSpan w:val="2"/>
            <w:noWrap w:val="0"/>
            <w:vAlign w:val="center"/>
          </w:tcPr>
          <w:p w14:paraId="6673D9E2">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主要编写内容</w:t>
            </w:r>
          </w:p>
        </w:tc>
        <w:tc>
          <w:tcPr>
            <w:tcW w:w="869" w:type="pct"/>
            <w:noWrap w:val="0"/>
            <w:vAlign w:val="center"/>
          </w:tcPr>
          <w:p w14:paraId="336CC298">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信用编号</w:t>
            </w:r>
          </w:p>
        </w:tc>
        <w:tc>
          <w:tcPr>
            <w:tcW w:w="1163" w:type="pct"/>
            <w:noWrap w:val="0"/>
            <w:vAlign w:val="center"/>
          </w:tcPr>
          <w:p w14:paraId="11A558AE">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签字</w:t>
            </w:r>
          </w:p>
        </w:tc>
      </w:tr>
      <w:tr w14:paraId="07AEB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pct"/>
            <w:noWrap w:val="0"/>
            <w:vAlign w:val="center"/>
          </w:tcPr>
          <w:p w14:paraId="40C70EFA">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eastAsia" w:ascii="Times New Roman" w:hAnsi="Times New Roman"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闵志华</w:t>
            </w:r>
          </w:p>
        </w:tc>
        <w:tc>
          <w:tcPr>
            <w:tcW w:w="2034" w:type="pct"/>
            <w:gridSpan w:val="2"/>
            <w:noWrap w:val="0"/>
            <w:vAlign w:val="center"/>
          </w:tcPr>
          <w:p w14:paraId="6CB58771">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建设项目基本情况，建设项目工程分析，区域环境质量现状、保护目标及评价标准，主要环境影响和保护措施，环境保护措施监督检查清单，结论</w:t>
            </w:r>
          </w:p>
        </w:tc>
        <w:tc>
          <w:tcPr>
            <w:tcW w:w="869" w:type="pct"/>
            <w:noWrap w:val="0"/>
            <w:vAlign w:val="center"/>
          </w:tcPr>
          <w:p w14:paraId="50780DDC">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BH</w:t>
            </w:r>
            <w:r>
              <w:rPr>
                <w:rFonts w:hint="eastAsia" w:ascii="Times New Roman" w:hAnsi="Times New Roman"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t>027656</w:t>
            </w:r>
          </w:p>
        </w:tc>
        <w:tc>
          <w:tcPr>
            <w:tcW w:w="1163" w:type="pct"/>
            <w:noWrap w:val="0"/>
            <w:vAlign w:val="center"/>
          </w:tcPr>
          <w:p w14:paraId="35769ADF">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kern w:val="21"/>
                <w:position w:val="0"/>
                <w:sz w:val="21"/>
                <w:szCs w:val="21"/>
                <w:highlight w:val="none"/>
                <w:u w:val="none" w:color="auto"/>
                <w:lang w:val="en-US" w:eastAsia="zh-CN"/>
                <w14:textFill>
                  <w14:solidFill>
                    <w14:schemeClr w14:val="tx1"/>
                  </w14:solidFill>
                </w14:textFill>
              </w:rPr>
            </w:pPr>
          </w:p>
        </w:tc>
      </w:tr>
    </w:tbl>
    <w:p w14:paraId="59B3DC5A">
      <w:pPr>
        <w:bidi w:val="0"/>
        <w:rPr>
          <w:rFonts w:hint="default" w:ascii="Times New Roman" w:hAnsi="Times New Roman" w:eastAsia="宋体" w:cs="Times New Roman"/>
          <w:color w:val="000000" w:themeColor="text1"/>
          <w:spacing w:val="0"/>
          <w:position w:val="0"/>
          <w:u w:val="none" w:color="auto"/>
          <w14:textFill>
            <w14:solidFill>
              <w14:schemeClr w14:val="tx1"/>
            </w14:solidFill>
          </w14:textFill>
        </w:rPr>
      </w:pPr>
      <w:r>
        <w:rPr>
          <w:rFonts w:hint="default" w:ascii="Times New Roman" w:hAnsi="Times New Roman" w:eastAsia="宋体" w:cs="Times New Roman"/>
          <w:color w:val="000000" w:themeColor="text1"/>
          <w:spacing w:val="0"/>
          <w:w w:val="100"/>
          <w:kern w:val="21"/>
          <w:position w:val="0"/>
          <w:szCs w:val="21"/>
          <w:highlight w:val="none"/>
          <w:u w:val="none" w:color="auto"/>
          <w14:textFill>
            <w14:solidFill>
              <w14:schemeClr w14:val="tx1"/>
            </w14:solidFill>
          </w14:textFill>
        </w:rPr>
        <w:t>注：</w:t>
      </w:r>
      <w:r>
        <w:rPr>
          <w:rFonts w:hint="default" w:ascii="Times New Roman" w:hAnsi="Times New Roman" w:eastAsia="宋体" w:cs="Times New Roman"/>
          <w:color w:val="000000" w:themeColor="text1"/>
          <w:spacing w:val="0"/>
          <w:w w:val="100"/>
          <w:kern w:val="21"/>
          <w:position w:val="0"/>
          <w:szCs w:val="21"/>
          <w:highlight w:val="none"/>
          <w:u w:val="none" w:color="auto"/>
          <w:lang w:eastAsia="zh-CN"/>
          <w14:textFill>
            <w14:solidFill>
              <w14:schemeClr w14:val="tx1"/>
            </w14:solidFill>
          </w14:textFill>
        </w:rPr>
        <w:t>报批时</w:t>
      </w:r>
      <w:r>
        <w:rPr>
          <w:rFonts w:hint="default" w:ascii="Times New Roman" w:hAnsi="Times New Roman" w:eastAsia="宋体" w:cs="Times New Roman"/>
          <w:color w:val="000000" w:themeColor="text1"/>
          <w:spacing w:val="0"/>
          <w:w w:val="100"/>
          <w:kern w:val="21"/>
          <w:position w:val="0"/>
          <w:szCs w:val="21"/>
          <w:highlight w:val="none"/>
          <w:u w:val="none" w:color="auto"/>
          <w14:textFill>
            <w14:solidFill>
              <w14:schemeClr w14:val="tx1"/>
            </w14:solidFill>
          </w14:textFill>
        </w:rPr>
        <w:t>该表由环境影响评价信用平台自动生成</w:t>
      </w:r>
    </w:p>
    <w:p w14:paraId="5D10D246">
      <w:pPr>
        <w:pStyle w:val="48"/>
        <w:rPr>
          <w:rFonts w:hint="default" w:ascii="Times New Roman" w:hAnsi="Times New Roman" w:eastAsia="宋体" w:cs="Times New Roman"/>
          <w:color w:val="000000" w:themeColor="text1"/>
          <w:spacing w:val="0"/>
          <w:position w:val="0"/>
          <w:u w:val="none" w:color="auto"/>
          <w:lang w:eastAsia="zh-CN"/>
          <w14:textFill>
            <w14:solidFill>
              <w14:schemeClr w14:val="tx1"/>
            </w14:solidFill>
          </w14:textFill>
        </w:rPr>
      </w:pPr>
    </w:p>
    <w:p w14:paraId="6048D2AC">
      <w:pPr>
        <w:pStyle w:val="29"/>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p w14:paraId="62DC029B">
      <w:pPr>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p w14:paraId="02F7B8B1">
      <w:pPr>
        <w:adjustRightInd w:val="0"/>
        <w:spacing w:line="240" w:lineRule="auto"/>
        <w:ind w:firstLine="0"/>
        <w:jc w:val="center"/>
        <w:rPr>
          <w:rFonts w:hint="default" w:ascii="Times New Roman" w:hAnsi="Times New Roman" w:eastAsia="方正小标宋_GBK" w:cs="Times New Roman"/>
          <w:color w:val="000000" w:themeColor="text1"/>
          <w:spacing w:val="0"/>
          <w:position w:val="0"/>
          <w:sz w:val="38"/>
          <w:szCs w:val="38"/>
          <w:u w:val="none" w:color="auto"/>
          <w14:textFill>
            <w14:solidFill>
              <w14:schemeClr w14:val="tx1"/>
            </w14:solidFill>
          </w14:textFill>
        </w:rPr>
      </w:pPr>
      <w:r>
        <w:rPr>
          <w:rFonts w:hint="default" w:ascii="Times New Roman" w:hAnsi="Times New Roman" w:eastAsia="方正小标宋_GBK" w:cs="Times New Roman"/>
          <w:color w:val="000000" w:themeColor="text1"/>
          <w:spacing w:val="0"/>
          <w:position w:val="0"/>
          <w:sz w:val="38"/>
          <w:szCs w:val="38"/>
          <w:u w:val="none" w:color="auto"/>
          <w14:textFill>
            <w14:solidFill>
              <w14:schemeClr w14:val="tx1"/>
            </w14:solidFill>
          </w14:textFill>
        </w:rPr>
        <w:drawing>
          <wp:anchor distT="0" distB="0" distL="114300" distR="114300" simplePos="0" relativeHeight="251667456" behindDoc="0" locked="0" layoutInCell="1" allowOverlap="1">
            <wp:simplePos x="0" y="0"/>
            <wp:positionH relativeFrom="column">
              <wp:posOffset>-666750</wp:posOffset>
            </wp:positionH>
            <wp:positionV relativeFrom="paragraph">
              <wp:posOffset>-220980</wp:posOffset>
            </wp:positionV>
            <wp:extent cx="6808470" cy="9711055"/>
            <wp:effectExtent l="0" t="0" r="3810" b="12065"/>
            <wp:wrapNone/>
            <wp:docPr id="36" name="图片 36" descr="众联承诺书_0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众联承诺书_000071"/>
                    <pic:cNvPicPr>
                      <a:picLocks noChangeAspect="1"/>
                    </pic:cNvPicPr>
                  </pic:nvPicPr>
                  <pic:blipFill>
                    <a:blip r:embed="rId10">
                      <a:lum bright="-12000" contrast="30000"/>
                    </a:blip>
                    <a:stretch>
                      <a:fillRect/>
                    </a:stretch>
                  </pic:blipFill>
                  <pic:spPr>
                    <a:xfrm>
                      <a:off x="0" y="0"/>
                      <a:ext cx="6808470" cy="9711055"/>
                    </a:xfrm>
                    <a:prstGeom prst="rect">
                      <a:avLst/>
                    </a:prstGeom>
                  </pic:spPr>
                </pic:pic>
              </a:graphicData>
            </a:graphic>
          </wp:anchor>
        </w:drawing>
      </w:r>
      <w:r>
        <w:rPr>
          <w:rFonts w:hint="default" w:ascii="Times New Roman" w:hAnsi="Times New Roman" w:eastAsia="方正小标宋_GBK" w:cs="Times New Roman"/>
          <w:color w:val="000000" w:themeColor="text1"/>
          <w:spacing w:val="0"/>
          <w:position w:val="0"/>
          <w:sz w:val="38"/>
          <w:szCs w:val="38"/>
          <w:u w:val="none" w:color="auto"/>
          <w14:textFill>
            <w14:solidFill>
              <w14:schemeClr w14:val="tx1"/>
            </w14:solidFill>
          </w14:textFill>
        </w:rPr>
        <w:t>建设项目环境影响报告书（表）</w:t>
      </w:r>
    </w:p>
    <w:p w14:paraId="4A54B712">
      <w:pPr>
        <w:adjustRightInd w:val="0"/>
        <w:spacing w:line="240" w:lineRule="auto"/>
        <w:ind w:firstLine="0"/>
        <w:jc w:val="center"/>
        <w:rPr>
          <w:rFonts w:hint="default" w:ascii="Times New Roman" w:hAnsi="Times New Roman" w:eastAsia="方正小标宋_GBK" w:cs="Times New Roman"/>
          <w:color w:val="000000" w:themeColor="text1"/>
          <w:spacing w:val="0"/>
          <w:position w:val="0"/>
          <w:sz w:val="38"/>
          <w:szCs w:val="38"/>
          <w:u w:val="none" w:color="auto"/>
          <w14:textFill>
            <w14:solidFill>
              <w14:schemeClr w14:val="tx1"/>
            </w14:solidFill>
          </w14:textFill>
        </w:rPr>
      </w:pPr>
      <w:bookmarkStart w:id="5" w:name="_Toc5734"/>
      <w:r>
        <w:rPr>
          <w:rFonts w:hint="default" w:ascii="Times New Roman" w:hAnsi="Times New Roman" w:eastAsia="方正小标宋_GBK" w:cs="Times New Roman"/>
          <w:color w:val="000000" w:themeColor="text1"/>
          <w:spacing w:val="0"/>
          <w:position w:val="0"/>
          <w:sz w:val="38"/>
          <w:szCs w:val="38"/>
          <w:u w:val="none" w:color="auto"/>
          <w14:textFill>
            <w14:solidFill>
              <w14:schemeClr w14:val="tx1"/>
            </w14:solidFill>
          </w14:textFill>
        </w:rPr>
        <w:t>编制情况承诺书</w:t>
      </w:r>
      <w:bookmarkEnd w:id="5"/>
    </w:p>
    <w:p w14:paraId="70313352">
      <w:pPr>
        <w:adjustRightInd w:val="0"/>
        <w:spacing w:line="408" w:lineRule="auto"/>
        <w:ind w:firstLine="0"/>
        <w:jc w:val="left"/>
        <w:rPr>
          <w:rFonts w:hint="default" w:ascii="Times New Roman" w:hAnsi="Times New Roman" w:eastAsia="黑体" w:cs="Times New Roman"/>
          <w:color w:val="000000" w:themeColor="text1"/>
          <w:spacing w:val="0"/>
          <w:position w:val="0"/>
          <w:u w:val="none" w:color="auto"/>
          <w14:textFill>
            <w14:solidFill>
              <w14:schemeClr w14:val="tx1"/>
            </w14:solidFill>
          </w14:textFill>
        </w:rPr>
      </w:pPr>
    </w:p>
    <w:p w14:paraId="45089D43">
      <w:pPr>
        <w:keepNext w:val="0"/>
        <w:keepLines w:val="0"/>
        <w:widowControl/>
        <w:suppressLineNumbers w:val="0"/>
        <w:ind w:firstLine="600" w:firstLineChars="200"/>
        <w:jc w:val="left"/>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pP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本单位 </w:t>
      </w:r>
      <w:r>
        <w:rPr>
          <w:rFonts w:hint="default" w:ascii="Times New Roman" w:hAnsi="Times New Roman" w:eastAsia="仿宋_GB2312" w:cs="Times New Roman"/>
          <w:color w:val="000000" w:themeColor="text1"/>
          <w:spacing w:val="0"/>
          <w:position w:val="0"/>
          <w:sz w:val="30"/>
          <w:szCs w:val="30"/>
          <w:u w:val="single" w:color="auto"/>
          <w14:textFill>
            <w14:solidFill>
              <w14:schemeClr w14:val="tx1"/>
            </w14:solidFill>
          </w14:textFill>
        </w:rPr>
        <w:t xml:space="preserve">岳阳凯丰环保有限公司 </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（统一社会信用代码 91430602060138255N ）郑重承诺：本单位符合《建设项目环境影响报告书（表）编制监督管理办法》第九条第一款规定，无该条第三款所列情形， </w:t>
      </w:r>
      <w:r>
        <w:rPr>
          <w:rFonts w:hint="default" w:ascii="Times New Roman" w:hAnsi="Times New Roman" w:eastAsia="仿宋_GB2312" w:cs="Times New Roman"/>
          <w:color w:val="000000" w:themeColor="text1"/>
          <w:spacing w:val="0"/>
          <w:position w:val="0"/>
          <w:sz w:val="30"/>
          <w:szCs w:val="30"/>
          <w:u w:val="single" w:color="auto"/>
          <w14:textFill>
            <w14:solidFill>
              <w14:schemeClr w14:val="tx1"/>
            </w14:solidFill>
          </w14:textFill>
        </w:rPr>
        <w:t xml:space="preserve"> 不属于  </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（属于/不属于）该条第二款所列单位；本次在环境影响评价信用平台提交的由本单位主持编制的  </w:t>
      </w:r>
      <w:r>
        <w:rPr>
          <w:rFonts w:hint="eastAsia" w:eastAsia="仿宋_GB2312" w:cs="Times New Roman"/>
          <w:color w:val="000000" w:themeColor="text1"/>
          <w:spacing w:val="0"/>
          <w:position w:val="0"/>
          <w:sz w:val="30"/>
          <w:szCs w:val="30"/>
          <w:u w:val="none" w:color="auto"/>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0"/>
          <w:position w:val="0"/>
          <w:sz w:val="30"/>
          <w:szCs w:val="30"/>
          <w:u w:val="single" w:color="auto"/>
          <w14:textFill>
            <w14:solidFill>
              <w14:schemeClr w14:val="tx1"/>
            </w14:solidFill>
          </w14:textFill>
        </w:rPr>
        <w:t xml:space="preserve"> </w:t>
      </w:r>
      <w:r>
        <w:rPr>
          <w:rFonts w:hint="eastAsia" w:eastAsia="仿宋_GB2312" w:cs="Times New Roman"/>
          <w:color w:val="000000" w:themeColor="text1"/>
          <w:spacing w:val="0"/>
          <w:position w:val="0"/>
          <w:sz w:val="30"/>
          <w:szCs w:val="30"/>
          <w:u w:val="single" w:color="auto"/>
          <w:lang w:eastAsia="zh-CN"/>
          <w14:textFill>
            <w14:solidFill>
              <w14:schemeClr w14:val="tx1"/>
            </w14:solidFill>
          </w14:textFill>
        </w:rPr>
        <w:t>湖南众联设备智能制造产业园扩建项目</w:t>
      </w:r>
      <w:r>
        <w:rPr>
          <w:rFonts w:hint="eastAsia" w:eastAsia="仿宋_GB2312" w:cs="Times New Roman"/>
          <w:color w:val="000000" w:themeColor="text1"/>
          <w:spacing w:val="0"/>
          <w:position w:val="0"/>
          <w:sz w:val="30"/>
          <w:szCs w:val="30"/>
          <w:u w:val="single" w:color="auto"/>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0"/>
          <w:position w:val="0"/>
          <w:sz w:val="30"/>
          <w:szCs w:val="30"/>
          <w:u w:val="single" w:color="auto"/>
          <w14:textFill>
            <w14:solidFill>
              <w14:schemeClr w14:val="tx1"/>
            </w14:solidFill>
          </w14:textFill>
        </w:rPr>
        <w:t xml:space="preserve"> </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 项目环境影响报告书（表）基本情况信息真实准确、完整有效，不涉及国家秘密；该项目环境影响报告书（表）的编制主持人为</w:t>
      </w:r>
      <w:r>
        <w:rPr>
          <w:rFonts w:hint="default" w:ascii="Times New Roman" w:hAnsi="Times New Roman" w:eastAsia="仿宋_GB2312" w:cs="Times New Roman"/>
          <w:color w:val="000000" w:themeColor="text1"/>
          <w:spacing w:val="0"/>
          <w:position w:val="0"/>
          <w:sz w:val="30"/>
          <w:szCs w:val="30"/>
          <w:u w:val="single" w:color="auto"/>
          <w14:textFill>
            <w14:solidFill>
              <w14:schemeClr w14:val="tx1"/>
            </w14:solidFill>
          </w14:textFill>
        </w:rPr>
        <w:t xml:space="preserve"> </w:t>
      </w:r>
      <w:r>
        <w:rPr>
          <w:rFonts w:hint="eastAsia" w:eastAsia="仿宋_GB2312" w:cs="Times New Roman"/>
          <w:color w:val="000000" w:themeColor="text1"/>
          <w:spacing w:val="0"/>
          <w:position w:val="0"/>
          <w:sz w:val="30"/>
          <w:szCs w:val="30"/>
          <w:u w:val="single" w:color="auto"/>
          <w:lang w:eastAsia="zh-CN"/>
          <w14:textFill>
            <w14:solidFill>
              <w14:schemeClr w14:val="tx1"/>
            </w14:solidFill>
          </w14:textFill>
        </w:rPr>
        <w:t>闵志华</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 （环境影响评价工程师职业资格证书管理号</w:t>
      </w:r>
      <w:r>
        <w:rPr>
          <w:rFonts w:hint="eastAsia" w:eastAsia="仿宋_GB2312" w:cs="Times New Roman"/>
          <w:color w:val="000000" w:themeColor="text1"/>
          <w:spacing w:val="0"/>
          <w:position w:val="0"/>
          <w:sz w:val="30"/>
          <w:szCs w:val="30"/>
          <w:u w:val="single" w:color="auto"/>
          <w:lang w:val="en-US" w:eastAsia="zh-CN"/>
          <w14:textFill>
            <w14:solidFill>
              <w14:schemeClr w14:val="tx1"/>
            </w14:solidFill>
          </w14:textFill>
        </w:rPr>
        <w:t>2</w:t>
      </w:r>
      <w:r>
        <w:rPr>
          <w:rFonts w:hint="default" w:ascii="Times New Roman" w:hAnsi="Times New Roman" w:eastAsia="仿宋_GB2312" w:cs="Times New Roman"/>
          <w:color w:val="000000" w:themeColor="text1"/>
          <w:spacing w:val="0"/>
          <w:position w:val="0"/>
          <w:sz w:val="30"/>
          <w:szCs w:val="30"/>
          <w:u w:val="single" w:color="auto"/>
          <w:lang w:val="en-US" w:eastAsia="zh-CN"/>
          <w14:textFill>
            <w14:solidFill>
              <w14:schemeClr w14:val="tx1"/>
            </w14:solidFill>
          </w14:textFill>
        </w:rPr>
        <w:t>0230503543000000049</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，信用编号  </w:t>
      </w:r>
      <w:r>
        <w:rPr>
          <w:rFonts w:hint="eastAsia" w:ascii="Times New Roman" w:hAnsi="Times New Roman" w:eastAsia="仿宋_GB2312" w:cs="Times New Roman"/>
          <w:color w:val="000000" w:themeColor="text1"/>
          <w:spacing w:val="0"/>
          <w:position w:val="0"/>
          <w:sz w:val="30"/>
          <w:szCs w:val="30"/>
          <w:u w:val="single" w:color="auto"/>
          <w:lang w:val="en-US" w:eastAsia="zh-CN"/>
          <w14:textFill>
            <w14:solidFill>
              <w14:schemeClr w14:val="tx1"/>
            </w14:solidFill>
          </w14:textFill>
        </w:rPr>
        <w:t>BH027656</w:t>
      </w:r>
      <w:r>
        <w:rPr>
          <w:rFonts w:hint="default" w:ascii="Times New Roman" w:hAnsi="Times New Roman" w:eastAsia="仿宋_GB2312" w:cs="Times New Roman"/>
          <w:color w:val="000000" w:themeColor="text1"/>
          <w:spacing w:val="0"/>
          <w:position w:val="0"/>
          <w:sz w:val="30"/>
          <w:szCs w:val="30"/>
          <w:u w:val="none" w:color="auto"/>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 ），主要编制人员包括 </w:t>
      </w:r>
      <w:r>
        <w:rPr>
          <w:rFonts w:hint="eastAsia" w:eastAsia="仿宋_GB2312" w:cs="Times New Roman"/>
          <w:color w:val="000000" w:themeColor="text1"/>
          <w:spacing w:val="0"/>
          <w:position w:val="0"/>
          <w:sz w:val="30"/>
          <w:szCs w:val="30"/>
          <w:u w:val="single" w:color="auto"/>
          <w:lang w:eastAsia="zh-CN"/>
          <w14:textFill>
            <w14:solidFill>
              <w14:schemeClr w14:val="tx1"/>
            </w14:solidFill>
          </w14:textFill>
        </w:rPr>
        <w:t>闵志华</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 （信用编号 </w:t>
      </w:r>
      <w:r>
        <w:rPr>
          <w:rFonts w:hint="eastAsia" w:ascii="Times New Roman" w:hAnsi="Times New Roman" w:eastAsia="仿宋_GB2312" w:cs="Times New Roman"/>
          <w:color w:val="000000" w:themeColor="text1"/>
          <w:spacing w:val="0"/>
          <w:position w:val="0"/>
          <w:sz w:val="30"/>
          <w:szCs w:val="30"/>
          <w:u w:val="single" w:color="auto"/>
          <w:lang w:val="en-US" w:eastAsia="zh-CN"/>
          <w14:textFill>
            <w14:solidFill>
              <w14:schemeClr w14:val="tx1"/>
            </w14:solidFill>
          </w14:textFill>
        </w:rPr>
        <w:t>BH027656</w:t>
      </w:r>
      <w:r>
        <w:rPr>
          <w:rFonts w:hint="default" w:ascii="Times New Roman" w:hAnsi="Times New Roman" w:eastAsia="仿宋_GB2312" w:cs="Times New Roman"/>
          <w:color w:val="000000" w:themeColor="text1"/>
          <w:spacing w:val="0"/>
          <w:position w:val="0"/>
          <w:sz w:val="30"/>
          <w:szCs w:val="30"/>
          <w:u w:val="none" w:color="auto"/>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 </w:t>
      </w:r>
      <w:r>
        <w:rPr>
          <w:rFonts w:hint="default" w:ascii="Times New Roman" w:hAnsi="Times New Roman" w:eastAsia="仿宋_GB2312" w:cs="Times New Roman"/>
          <w:color w:val="000000" w:themeColor="text1"/>
          <w:spacing w:val="0"/>
          <w:position w:val="0"/>
          <w:sz w:val="30"/>
          <w:szCs w:val="30"/>
          <w:u w:val="none" w:color="auto"/>
          <w:lang w:val="en-US" w:eastAsia="zh-CN"/>
          <w14:textFill>
            <w14:solidFill>
              <w14:schemeClr w14:val="tx1"/>
            </w14:solidFill>
          </w14:textFill>
        </w:rPr>
        <w:t>1</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 人，上述人员均为本单位全职人员；本单位和上述编制人员未被列入《建设项目环境影响报告书（表）编制监督管理办法》规定的限期整改名单、环境影响评价失信</w:t>
      </w:r>
      <w:r>
        <w:rPr>
          <w:rFonts w:hint="default" w:ascii="Times New Roman" w:hAnsi="Times New Roman" w:eastAsia="仿宋_GB2312" w:cs="Times New Roman"/>
          <w:color w:val="000000" w:themeColor="text1"/>
          <w:spacing w:val="0"/>
          <w:position w:val="0"/>
          <w:sz w:val="30"/>
          <w:szCs w:val="30"/>
          <w:u w:val="none" w:color="auto"/>
          <w:lang w:eastAsia="zh-CN"/>
          <w14:textFill>
            <w14:solidFill>
              <w14:schemeClr w14:val="tx1"/>
            </w14:solidFill>
          </w14:textFill>
        </w:rPr>
        <w:t>“</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黑名单</w:t>
      </w:r>
      <w:r>
        <w:rPr>
          <w:rFonts w:hint="default" w:ascii="Times New Roman" w:hAnsi="Times New Roman" w:eastAsia="仿宋_GB2312" w:cs="Times New Roman"/>
          <w:color w:val="000000" w:themeColor="text1"/>
          <w:spacing w:val="0"/>
          <w:position w:val="0"/>
          <w:sz w:val="30"/>
          <w:szCs w:val="30"/>
          <w:u w:val="none" w:color="auto"/>
          <w:lang w:eastAsia="zh-CN"/>
          <w14:textFill>
            <w14:solidFill>
              <w14:schemeClr w14:val="tx1"/>
            </w14:solidFill>
          </w14:textFill>
        </w:rPr>
        <w:t>”</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w:t>
      </w:r>
    </w:p>
    <w:p w14:paraId="1ED20B22">
      <w:pPr>
        <w:adjustRightInd w:val="0"/>
        <w:spacing w:line="240" w:lineRule="auto"/>
        <w:ind w:firstLine="600" w:firstLineChars="200"/>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pPr>
    </w:p>
    <w:p w14:paraId="1207BF59">
      <w:pPr>
        <w:adjustRightInd w:val="0"/>
        <w:spacing w:line="360" w:lineRule="auto"/>
        <w:ind w:firstLine="200"/>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pP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                                 承诺单位</w:t>
      </w:r>
      <w:r>
        <w:rPr>
          <w:rFonts w:hint="default" w:ascii="Times New Roman" w:hAnsi="Times New Roman" w:eastAsia="仿宋_GB2312" w:cs="Times New Roman"/>
          <w:color w:val="000000" w:themeColor="text1"/>
          <w:spacing w:val="0"/>
          <w:position w:val="0"/>
          <w:sz w:val="30"/>
          <w:szCs w:val="30"/>
          <w:u w:val="none" w:color="auto"/>
          <w:lang w:eastAsia="zh-CN"/>
          <w14:textFill>
            <w14:solidFill>
              <w14:schemeClr w14:val="tx1"/>
            </w14:solidFill>
          </w14:textFill>
        </w:rPr>
        <w:t>（</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公章</w:t>
      </w:r>
      <w:r>
        <w:rPr>
          <w:rFonts w:hint="default" w:ascii="Times New Roman" w:hAnsi="Times New Roman" w:eastAsia="仿宋_GB2312" w:cs="Times New Roman"/>
          <w:color w:val="000000" w:themeColor="text1"/>
          <w:spacing w:val="0"/>
          <w:position w:val="0"/>
          <w:sz w:val="30"/>
          <w:szCs w:val="30"/>
          <w:u w:val="none" w:color="auto"/>
          <w:lang w:eastAsia="zh-CN"/>
          <w14:textFill>
            <w14:solidFill>
              <w14:schemeClr w14:val="tx1"/>
            </w14:solidFill>
          </w14:textFill>
        </w:rPr>
        <w:t>）</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w:t>
      </w:r>
    </w:p>
    <w:p w14:paraId="2D9EF15A">
      <w:pPr>
        <w:adjustRightInd w:val="0"/>
        <w:spacing w:line="360" w:lineRule="auto"/>
        <w:ind w:firstLine="200"/>
        <w:jc w:val="left"/>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pP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 xml:space="preserve">                                    </w:t>
      </w:r>
      <w:r>
        <w:rPr>
          <w:rFonts w:hint="eastAsia" w:eastAsia="仿宋_GB2312" w:cs="Times New Roman"/>
          <w:color w:val="000000" w:themeColor="text1"/>
          <w:spacing w:val="0"/>
          <w:position w:val="0"/>
          <w:sz w:val="30"/>
          <w:szCs w:val="30"/>
          <w:u w:val="none" w:color="auto"/>
          <w:lang w:val="en-US" w:eastAsia="zh-CN"/>
          <w14:textFill>
            <w14:solidFill>
              <w14:schemeClr w14:val="tx1"/>
            </w14:solidFill>
          </w14:textFill>
        </w:rPr>
        <w:t>2024</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年</w:t>
      </w:r>
      <w:r>
        <w:rPr>
          <w:rFonts w:hint="eastAsia" w:eastAsia="仿宋_GB2312" w:cs="Times New Roman"/>
          <w:color w:val="000000" w:themeColor="text1"/>
          <w:spacing w:val="0"/>
          <w:position w:val="0"/>
          <w:sz w:val="30"/>
          <w:szCs w:val="30"/>
          <w:u w:val="none" w:color="auto"/>
          <w:lang w:val="en-US" w:eastAsia="zh-CN"/>
          <w14:textFill>
            <w14:solidFill>
              <w14:schemeClr w14:val="tx1"/>
            </w14:solidFill>
          </w14:textFill>
        </w:rPr>
        <w:t>12</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月</w:t>
      </w:r>
      <w:r>
        <w:rPr>
          <w:rFonts w:hint="eastAsia" w:eastAsia="仿宋_GB2312" w:cs="Times New Roman"/>
          <w:color w:val="000000" w:themeColor="text1"/>
          <w:spacing w:val="0"/>
          <w:position w:val="0"/>
          <w:sz w:val="30"/>
          <w:szCs w:val="30"/>
          <w:u w:val="none" w:color="auto"/>
          <w:lang w:val="en-US" w:eastAsia="zh-CN"/>
          <w14:textFill>
            <w14:solidFill>
              <w14:schemeClr w14:val="tx1"/>
            </w14:solidFill>
          </w14:textFill>
        </w:rPr>
        <w:t>16</w:t>
      </w:r>
      <w:r>
        <w:rPr>
          <w:rFonts w:hint="default" w:ascii="Times New Roman" w:hAnsi="Times New Roman" w:eastAsia="仿宋_GB2312" w:cs="Times New Roman"/>
          <w:color w:val="000000" w:themeColor="text1"/>
          <w:spacing w:val="0"/>
          <w:position w:val="0"/>
          <w:sz w:val="30"/>
          <w:szCs w:val="30"/>
          <w:u w:val="none" w:color="auto"/>
          <w14:textFill>
            <w14:solidFill>
              <w14:schemeClr w14:val="tx1"/>
            </w14:solidFill>
          </w14:textFill>
        </w:rPr>
        <w:t>日</w:t>
      </w:r>
    </w:p>
    <w:p w14:paraId="20F12BF1">
      <w:pPr>
        <w:pStyle w:val="48"/>
        <w:rPr>
          <w:rFonts w:hint="default" w:ascii="Times New Roman" w:hAnsi="Times New Roman" w:eastAsia="宋体" w:cs="Times New Roman"/>
          <w:color w:val="000000" w:themeColor="text1"/>
          <w:spacing w:val="0"/>
          <w:position w:val="0"/>
          <w:u w:val="none" w:color="auto"/>
          <w14:textFill>
            <w14:solidFill>
              <w14:schemeClr w14:val="tx1"/>
            </w14:solidFill>
          </w14:textFill>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cols w:space="425" w:num="1"/>
          <w:docGrid w:type="lines" w:linePitch="312" w:charSpace="0"/>
        </w:sectPr>
      </w:pPr>
    </w:p>
    <w:p w14:paraId="156441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pacing w:val="0"/>
          <w:position w:val="0"/>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u w:val="none" w:color="auto"/>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2759710</wp:posOffset>
                </wp:positionH>
                <wp:positionV relativeFrom="paragraph">
                  <wp:posOffset>-3134360</wp:posOffset>
                </wp:positionV>
                <wp:extent cx="4163695" cy="340995"/>
                <wp:effectExtent l="0" t="0" r="0" b="0"/>
                <wp:wrapNone/>
                <wp:docPr id="21" name="文本框 21"/>
                <wp:cNvGraphicFramePr/>
                <a:graphic xmlns:a="http://schemas.openxmlformats.org/drawingml/2006/main">
                  <a:graphicData uri="http://schemas.microsoft.com/office/word/2010/wordprocessingShape">
                    <wps:wsp>
                      <wps:cNvSpPr txBox="1"/>
                      <wps:spPr>
                        <a:xfrm rot="20220000">
                          <a:off x="0" y="0"/>
                          <a:ext cx="4163695" cy="340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39CBC">
                            <w:pPr>
                              <w:rPr>
                                <w:b/>
                                <w:bCs/>
                                <w:color w:val="FF0000"/>
                                <w:sz w:val="24"/>
                                <w:szCs w:val="24"/>
                                <w:u w:val="none"/>
                              </w:rPr>
                            </w:pPr>
                            <w:r>
                              <w:rPr>
                                <w:rFonts w:hint="eastAsia" w:ascii="仿宋_GB2312" w:eastAsia="仿宋_GB2312"/>
                                <w:b/>
                                <w:bCs/>
                                <w:color w:val="FF0000"/>
                                <w:sz w:val="24"/>
                                <w:szCs w:val="24"/>
                                <w:u w:val="none"/>
                                <w:lang w:val="en-US" w:eastAsia="zh-CN"/>
                              </w:rPr>
                              <w:t>仅限湖南众联设备智能制造产业园扩建项目使用，复印无效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3pt;margin-top:-246.8pt;height:26.85pt;width:327.85pt;rotation:-1507328f;z-index:251663360;mso-width-relative:page;mso-height-relative:page;" filled="f" stroked="f" coordsize="21600,21600" o:gfxdata="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Xlp02gAAAA4BAAAPAAAAAAAAAAEA&#10;IAAAACIAAABkcnMvZG93bnJldi54bWxQSwECFAAUAAAACACHTuJAq0MCIUYCAAB3BAAADgAAAAAA&#10;AAABACAAAAApAQAAZHJzL2Uyb0RvYy54bWxQSwUGAAAAAAYABgBZAQAA4QUAAAAA&#10;">
                <v:fill on="f" focussize="0,0"/>
                <v:stroke on="f" weight="0.5pt"/>
                <v:imagedata o:title=""/>
                <o:lock v:ext="edit" aspectratio="f"/>
                <v:textbox>
                  <w:txbxContent>
                    <w:p w14:paraId="21F39CBC">
                      <w:pPr>
                        <w:rPr>
                          <w:b/>
                          <w:bCs/>
                          <w:color w:val="FF0000"/>
                          <w:sz w:val="24"/>
                          <w:szCs w:val="24"/>
                          <w:u w:val="none"/>
                        </w:rPr>
                      </w:pPr>
                      <w:r>
                        <w:rPr>
                          <w:rFonts w:hint="eastAsia" w:ascii="仿宋_GB2312" w:eastAsia="仿宋_GB2312"/>
                          <w:b/>
                          <w:bCs/>
                          <w:color w:val="FF0000"/>
                          <w:sz w:val="24"/>
                          <w:szCs w:val="24"/>
                          <w:u w:val="none"/>
                          <w:lang w:val="en-US" w:eastAsia="zh-CN"/>
                        </w:rPr>
                        <w:t>仅限湖南众联设备智能制造产业园扩建项目使用，复印无效</w:t>
                      </w:r>
                    </w:p>
                  </w:txbxContent>
                </v:textbox>
              </v:shape>
            </w:pict>
          </mc:Fallback>
        </mc:AlternateContent>
      </w:r>
      <w:r>
        <w:rPr>
          <w:rFonts w:hint="eastAsia"/>
          <w:color w:val="000000" w:themeColor="text1"/>
          <w:u w:val="none" w:color="auto"/>
          <w14:textFill>
            <w14:solidFill>
              <w14:schemeClr w14:val="tx1"/>
            </w14:solidFill>
          </w14:textFill>
        </w:rPr>
        <w:drawing>
          <wp:anchor distT="0" distB="0" distL="114300" distR="114300" simplePos="0" relativeHeight="251662336" behindDoc="0" locked="0" layoutInCell="1" allowOverlap="1">
            <wp:simplePos x="0" y="0"/>
            <wp:positionH relativeFrom="column">
              <wp:posOffset>-90170</wp:posOffset>
            </wp:positionH>
            <wp:positionV relativeFrom="paragraph">
              <wp:posOffset>-495300</wp:posOffset>
            </wp:positionV>
            <wp:extent cx="9069070" cy="6169025"/>
            <wp:effectExtent l="0" t="0" r="13970" b="3175"/>
            <wp:wrapTopAndBottom/>
            <wp:docPr id="31" name="图片 31" descr="bb8871b98fa4f97df9705a9ad6a2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bb8871b98fa4f97df9705a9ad6a24af"/>
                    <pic:cNvPicPr>
                      <a:picLocks noChangeAspect="1"/>
                    </pic:cNvPicPr>
                  </pic:nvPicPr>
                  <pic:blipFill>
                    <a:blip r:embed="rId11">
                      <a:lum bright="-6000" contrast="12000"/>
                    </a:blip>
                    <a:stretch>
                      <a:fillRect/>
                    </a:stretch>
                  </pic:blipFill>
                  <pic:spPr>
                    <a:xfrm>
                      <a:off x="0" y="0"/>
                      <a:ext cx="9069070" cy="6169025"/>
                    </a:xfrm>
                    <a:prstGeom prst="rect">
                      <a:avLst/>
                    </a:prstGeom>
                  </pic:spPr>
                </pic:pic>
              </a:graphicData>
            </a:graphic>
          </wp:anchor>
        </w:drawing>
      </w:r>
      <w:r>
        <w:rPr>
          <w:rFonts w:hint="default" w:ascii="Times New Roman" w:hAnsi="Times New Roman" w:eastAsia="宋体" w:cs="Times New Roman"/>
          <w:color w:val="000000" w:themeColor="text1"/>
          <w:spacing w:val="0"/>
          <w:position w:val="0"/>
          <w:sz w:val="21"/>
          <w:u w:val="none" w:color="auto"/>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2590165</wp:posOffset>
                </wp:positionH>
                <wp:positionV relativeFrom="paragraph">
                  <wp:posOffset>3172460</wp:posOffset>
                </wp:positionV>
                <wp:extent cx="4207510" cy="340995"/>
                <wp:effectExtent l="0" t="0" r="0" b="0"/>
                <wp:wrapNone/>
                <wp:docPr id="16" name="文本框 16"/>
                <wp:cNvGraphicFramePr/>
                <a:graphic xmlns:a="http://schemas.openxmlformats.org/drawingml/2006/main">
                  <a:graphicData uri="http://schemas.microsoft.com/office/word/2010/wordprocessingShape">
                    <wps:wsp>
                      <wps:cNvSpPr txBox="1"/>
                      <wps:spPr>
                        <a:xfrm rot="20220000">
                          <a:off x="2934335" y="3886200"/>
                          <a:ext cx="4207510" cy="340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11304">
                            <w:pPr>
                              <w:rPr>
                                <w:b/>
                                <w:bCs/>
                                <w:color w:val="FF0000"/>
                                <w:sz w:val="24"/>
                                <w:szCs w:val="24"/>
                                <w:u w:val="none"/>
                              </w:rPr>
                            </w:pPr>
                            <w:r>
                              <w:rPr>
                                <w:rFonts w:hint="eastAsia" w:ascii="仿宋_GB2312" w:eastAsia="仿宋_GB2312"/>
                                <w:b/>
                                <w:bCs/>
                                <w:color w:val="FF0000"/>
                                <w:sz w:val="24"/>
                                <w:szCs w:val="24"/>
                                <w:u w:val="none"/>
                                <w:lang w:val="en-US" w:eastAsia="zh-CN"/>
                              </w:rPr>
                              <w:t>仅限管业生产基地项目一期使用复印无效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95pt;margin-top:249.8pt;height:26.85pt;width:331.3pt;rotation:-1507328f;z-index:251660288;mso-width-relative:page;mso-height-relative:page;" filled="f" stroked="f" coordsize="21600,21600" o:gfxdata="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l9EtoAAAAMAQAA&#10;DwAAAAAAAAABACAAAAAiAAAAZHJzL2Rvd25yZXYueG1sUEsBAhQAFAAAAAgAh07iQJL+ZwpQAgAA&#10;gwQAAA4AAAAAAAAAAQAgAAAAKQEAAGRycy9lMm9Eb2MueG1sUEsFBgAAAAAGAAYAWQEAAOsFAAAA&#10;AA==&#10;">
                <v:fill on="f" focussize="0,0"/>
                <v:stroke on="f" weight="0.5pt"/>
                <v:imagedata o:title=""/>
                <o:lock v:ext="edit" aspectratio="f"/>
                <v:textbox>
                  <w:txbxContent>
                    <w:p w14:paraId="03211304">
                      <w:pPr>
                        <w:rPr>
                          <w:b/>
                          <w:bCs/>
                          <w:color w:val="FF0000"/>
                          <w:sz w:val="24"/>
                          <w:szCs w:val="24"/>
                          <w:u w:val="none"/>
                        </w:rPr>
                      </w:pPr>
                      <w:r>
                        <w:rPr>
                          <w:rFonts w:hint="eastAsia" w:ascii="仿宋_GB2312" w:eastAsia="仿宋_GB2312"/>
                          <w:b/>
                          <w:bCs/>
                          <w:color w:val="FF0000"/>
                          <w:sz w:val="24"/>
                          <w:szCs w:val="24"/>
                          <w:u w:val="none"/>
                          <w:lang w:val="en-US" w:eastAsia="zh-CN"/>
                        </w:rPr>
                        <w:t>仅限管业生产基地项目一期使用复印无效</w:t>
                      </w:r>
                    </w:p>
                  </w:txbxContent>
                </v:textbox>
              </v:shape>
            </w:pict>
          </mc:Fallback>
        </mc:AlternateContent>
      </w:r>
    </w:p>
    <w:p w14:paraId="55637443">
      <w:pPr>
        <w:bidi w:val="0"/>
        <w:jc w:val="center"/>
        <w:rPr>
          <w:rFonts w:hint="eastAsia" w:ascii="Times New Roman" w:hAnsi="Times New Roman" w:eastAsia="宋体" w:cs="Times New Roman"/>
          <w:color w:val="000000" w:themeColor="text1"/>
          <w:spacing w:val="0"/>
          <w:position w:val="0"/>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u w:val="none" w:color="auto"/>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2475230</wp:posOffset>
                </wp:positionH>
                <wp:positionV relativeFrom="paragraph">
                  <wp:posOffset>2448560</wp:posOffset>
                </wp:positionV>
                <wp:extent cx="4193540" cy="340995"/>
                <wp:effectExtent l="0" t="0" r="0" b="0"/>
                <wp:wrapNone/>
                <wp:docPr id="17" name="文本框 17"/>
                <wp:cNvGraphicFramePr/>
                <a:graphic xmlns:a="http://schemas.openxmlformats.org/drawingml/2006/main">
                  <a:graphicData uri="http://schemas.microsoft.com/office/word/2010/wordprocessingShape">
                    <wps:wsp>
                      <wps:cNvSpPr txBox="1"/>
                      <wps:spPr>
                        <a:xfrm rot="20220000">
                          <a:off x="0" y="0"/>
                          <a:ext cx="4193540" cy="340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5B2BC">
                            <w:pPr>
                              <w:rPr>
                                <w:b/>
                                <w:bCs/>
                                <w:color w:val="FF0000"/>
                                <w:sz w:val="24"/>
                                <w:szCs w:val="24"/>
                                <w:u w:val="none"/>
                              </w:rPr>
                            </w:pPr>
                            <w:r>
                              <w:rPr>
                                <w:rFonts w:hint="eastAsia" w:ascii="仿宋_GB2312" w:eastAsia="仿宋_GB2312"/>
                                <w:b/>
                                <w:bCs/>
                                <w:color w:val="FF0000"/>
                                <w:sz w:val="24"/>
                                <w:szCs w:val="24"/>
                                <w:u w:val="none"/>
                                <w:lang w:val="en-US" w:eastAsia="zh-CN"/>
                              </w:rPr>
                              <w:t>仅限湖南众联设备智能制造产业园扩建项目使用，复印无效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9pt;margin-top:192.8pt;height:26.85pt;width:330.2pt;rotation:-1507328f;z-index:251661312;mso-width-relative:page;mso-height-relative:page;" filled="f" stroked="f" coordsize="21600,21600" o:gfxdata="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Dsj2gAAAAwBAAAPAAAAAAAAAAEAIAAA&#10;ACIAAABkcnMvZG93bnJldi54bWxQSwECFAAUAAAACACHTuJA23gL30MCAAB3BAAADgAAAAAAAAAB&#10;ACAAAAApAQAAZHJzL2Uyb0RvYy54bWxQSwUGAAAAAAYABgBZAQAA3gUAAAAA&#10;">
                <v:fill on="f" focussize="0,0"/>
                <v:stroke on="f" weight="0.5pt"/>
                <v:imagedata o:title=""/>
                <o:lock v:ext="edit" aspectratio="f"/>
                <v:textbox>
                  <w:txbxContent>
                    <w:p w14:paraId="3FD5B2BC">
                      <w:pPr>
                        <w:rPr>
                          <w:b/>
                          <w:bCs/>
                          <w:color w:val="FF0000"/>
                          <w:sz w:val="24"/>
                          <w:szCs w:val="24"/>
                          <w:u w:val="none"/>
                        </w:rPr>
                      </w:pPr>
                      <w:r>
                        <w:rPr>
                          <w:rFonts w:hint="eastAsia" w:ascii="仿宋_GB2312" w:eastAsia="仿宋_GB2312"/>
                          <w:b/>
                          <w:bCs/>
                          <w:color w:val="FF0000"/>
                          <w:sz w:val="24"/>
                          <w:szCs w:val="24"/>
                          <w:u w:val="none"/>
                          <w:lang w:val="en-US" w:eastAsia="zh-CN"/>
                        </w:rPr>
                        <w:t>仅限湖南众联设备智能制造产业园扩建项目使用，复印无效</w:t>
                      </w:r>
                    </w:p>
                  </w:txbxContent>
                </v:textbox>
              </v:shape>
            </w:pict>
          </mc:Fallback>
        </mc:AlternateContent>
      </w:r>
      <w:r>
        <w:rPr>
          <w:rFonts w:hint="eastAsia" w:ascii="Times New Roman" w:hAnsi="Times New Roman" w:eastAsia="宋体" w:cs="Times New Roman"/>
          <w:color w:val="000000" w:themeColor="text1"/>
          <w:spacing w:val="0"/>
          <w:position w:val="0"/>
          <w:u w:val="none" w:color="auto"/>
          <w:lang w:eastAsia="zh-CN"/>
          <w14:textFill>
            <w14:solidFill>
              <w14:schemeClr w14:val="tx1"/>
            </w14:solidFill>
          </w14:textFill>
        </w:rPr>
        <w:drawing>
          <wp:inline distT="0" distB="0" distL="114300" distR="114300">
            <wp:extent cx="8272780" cy="5711825"/>
            <wp:effectExtent l="0" t="0" r="2540" b="3175"/>
            <wp:docPr id="32" name="图片 32" descr="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证书"/>
                    <pic:cNvPicPr>
                      <a:picLocks noChangeAspect="1"/>
                    </pic:cNvPicPr>
                  </pic:nvPicPr>
                  <pic:blipFill>
                    <a:blip r:embed="rId12"/>
                    <a:stretch>
                      <a:fillRect/>
                    </a:stretch>
                  </pic:blipFill>
                  <pic:spPr>
                    <a:xfrm>
                      <a:off x="0" y="0"/>
                      <a:ext cx="8272780" cy="5711825"/>
                    </a:xfrm>
                    <a:prstGeom prst="rect">
                      <a:avLst/>
                    </a:prstGeom>
                  </pic:spPr>
                </pic:pic>
              </a:graphicData>
            </a:graphic>
          </wp:inline>
        </w:drawing>
      </w:r>
    </w:p>
    <w:p w14:paraId="11409216">
      <w:pPr>
        <w:bidi w:val="0"/>
        <w:ind w:left="0" w:leftChars="-495" w:hanging="1039" w:hangingChars="495"/>
        <w:jc w:val="center"/>
        <w:rPr>
          <w:rFonts w:hint="eastAsia" w:ascii="Times New Roman" w:hAnsi="Times New Roman" w:eastAsia="宋体" w:cs="Times New Roman"/>
          <w:color w:val="000000" w:themeColor="text1"/>
          <w:spacing w:val="0"/>
          <w:position w:val="0"/>
          <w:u w:val="none" w:color="auto"/>
          <w:lang w:eastAsia="zh-CN"/>
          <w14:textFill>
            <w14:solidFill>
              <w14:schemeClr w14:val="tx1"/>
            </w14:solidFill>
          </w14:textFill>
        </w:rPr>
      </w:pPr>
      <w:r>
        <w:rPr>
          <w:rFonts w:hint="eastAsia" w:cs="Times New Roman"/>
          <w:color w:val="000000" w:themeColor="text1"/>
          <w:spacing w:val="0"/>
          <w:position w:val="0"/>
          <w:sz w:val="21"/>
          <w:u w:val="none" w:color="auto"/>
          <w:lang w:val="en-US" w:eastAsia="zh-CN"/>
          <w14:textFill>
            <w14:solidFill>
              <w14:schemeClr w14:val="tx1"/>
            </w14:solidFill>
          </w14:textFill>
        </w:rPr>
        <w:t xml:space="preserve">          </w:t>
      </w:r>
      <w:r>
        <w:drawing>
          <wp:inline distT="0" distB="0" distL="114300" distR="114300">
            <wp:extent cx="8853805" cy="4305300"/>
            <wp:effectExtent l="9525" t="9525" r="21590" b="1333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a:stretch>
                      <a:fillRect/>
                    </a:stretch>
                  </pic:blipFill>
                  <pic:spPr>
                    <a:xfrm>
                      <a:off x="0" y="0"/>
                      <a:ext cx="8853805" cy="4305300"/>
                    </a:xfrm>
                    <a:prstGeom prst="rect">
                      <a:avLst/>
                    </a:prstGeom>
                    <a:noFill/>
                    <a:ln>
                      <a:solidFill>
                        <a:schemeClr val="tx1"/>
                      </a:solidFill>
                    </a:ln>
                  </pic:spPr>
                </pic:pic>
              </a:graphicData>
            </a:graphic>
          </wp:inline>
        </w:drawing>
      </w:r>
    </w:p>
    <w:p w14:paraId="5BAFE22B">
      <w:pPr>
        <w:bidi w:val="0"/>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p w14:paraId="4C0B5B63">
      <w:pPr>
        <w:bidi w:val="0"/>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p w14:paraId="10F1A881">
      <w:pPr>
        <w:bidi w:val="0"/>
        <w:ind w:left="0" w:leftChars="-495" w:hanging="1039" w:hangingChars="495"/>
        <w:jc w:val="right"/>
        <w:rPr>
          <w:rFonts w:hint="eastAsia" w:ascii="Times New Roman" w:hAnsi="Times New Roman" w:eastAsia="宋体" w:cs="Times New Roman"/>
          <w:color w:val="000000" w:themeColor="text1"/>
          <w:spacing w:val="0"/>
          <w:position w:val="0"/>
          <w:u w:val="none" w:color="auto"/>
          <w:lang w:eastAsia="zh-CN"/>
          <w14:textFill>
            <w14:solidFill>
              <w14:schemeClr w14:val="tx1"/>
            </w14:solidFill>
          </w14:textFill>
        </w:rPr>
      </w:pPr>
      <w:r>
        <w:drawing>
          <wp:inline distT="0" distB="0" distL="114300" distR="114300">
            <wp:extent cx="8859520" cy="4151630"/>
            <wp:effectExtent l="9525" t="9525" r="15875" b="1460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4"/>
                    <a:stretch>
                      <a:fillRect/>
                    </a:stretch>
                  </pic:blipFill>
                  <pic:spPr>
                    <a:xfrm>
                      <a:off x="0" y="0"/>
                      <a:ext cx="8859520" cy="4151630"/>
                    </a:xfrm>
                    <a:prstGeom prst="rect">
                      <a:avLst/>
                    </a:prstGeom>
                    <a:noFill/>
                    <a:ln>
                      <a:solidFill>
                        <a:schemeClr val="tx1"/>
                      </a:solidFill>
                    </a:ln>
                  </pic:spPr>
                </pic:pic>
              </a:graphicData>
            </a:graphic>
          </wp:inline>
        </w:drawing>
      </w:r>
    </w:p>
    <w:p w14:paraId="2D0F919B">
      <w:pPr>
        <w:bidi w:val="0"/>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p w14:paraId="3E843DFA">
      <w:pPr>
        <w:bidi w:val="0"/>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p w14:paraId="1C1782F5">
      <w:pPr>
        <w:bidi w:val="0"/>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p w14:paraId="3874C1B3">
      <w:pPr>
        <w:pStyle w:val="43"/>
        <w:rPr>
          <w:rFonts w:hint="default" w:ascii="Times New Roman" w:hAnsi="Times New Roman" w:eastAsia="宋体" w:cs="Times New Roman"/>
          <w:color w:val="000000" w:themeColor="text1"/>
          <w:spacing w:val="0"/>
          <w:position w:val="0"/>
          <w:u w:val="none" w:color="auto"/>
          <w:lang w:eastAsia="zh-CN"/>
          <w14:textFill>
            <w14:solidFill>
              <w14:schemeClr w14:val="tx1"/>
            </w14:solidFill>
          </w14:textFill>
        </w:rPr>
        <w:sectPr>
          <w:footerReference r:id="rId4" w:type="default"/>
          <w:pgSz w:w="16838" w:h="11906" w:orient="landscape"/>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sdt>
      <w:sdtPr>
        <w:rPr>
          <w:rFonts w:hint="default" w:ascii="Times New Roman" w:hAnsi="Times New Roman" w:eastAsia="宋体" w:cs="Times New Roman"/>
          <w:b/>
          <w:bCs/>
          <w:color w:val="000000" w:themeColor="text1"/>
          <w:spacing w:val="0"/>
          <w:position w:val="0"/>
          <w:sz w:val="44"/>
          <w:szCs w:val="44"/>
          <w:u w:val="none" w:color="auto"/>
          <w:lang w:val="en-US" w:eastAsia="zh-CN"/>
          <w14:textFill>
            <w14:solidFill>
              <w14:schemeClr w14:val="tx1"/>
            </w14:solidFill>
          </w14:textFill>
        </w:rPr>
        <w:id w:val="147478451"/>
        <w15:color w:val="DBDBDB"/>
        <w:docPartObj>
          <w:docPartGallery w:val="Table of Contents"/>
          <w:docPartUnique/>
        </w:docPartObj>
      </w:sdtPr>
      <w:sdtEndPr>
        <w:rPr>
          <w:rFonts w:hint="default" w:ascii="Times New Roman" w:hAnsi="Times New Roman" w:eastAsia="宋体" w:cs="Times New Roman"/>
          <w:b/>
          <w:bCs/>
          <w:color w:val="000000" w:themeColor="text1"/>
          <w:spacing w:val="0"/>
          <w:kern w:val="2"/>
          <w:position w:val="0"/>
          <w:sz w:val="21"/>
          <w:szCs w:val="28"/>
          <w:u w:val="none" w:color="auto"/>
          <w:lang w:val="en-US" w:eastAsia="zh-CN" w:bidi="ar-SA"/>
          <w14:textFill>
            <w14:solidFill>
              <w14:schemeClr w14:val="tx1"/>
            </w14:solidFill>
          </w14:textFill>
        </w:rPr>
      </w:sdtEndPr>
      <w:sdtContent>
        <w:p w14:paraId="4A0CF577">
          <w:pPr>
            <w:spacing w:before="0" w:beforeLines="0" w:after="0" w:afterLines="0" w:line="240" w:lineRule="auto"/>
            <w:ind w:left="0" w:leftChars="0" w:right="0" w:rightChars="0" w:firstLine="0" w:firstLineChars="0"/>
            <w:jc w:val="center"/>
          </w:pPr>
          <w:r>
            <w:rPr>
              <w:rFonts w:hint="default" w:ascii="Times New Roman" w:hAnsi="Times New Roman" w:eastAsia="宋体" w:cs="Times New Roman"/>
              <w:b/>
              <w:bCs/>
              <w:color w:val="000000" w:themeColor="text1"/>
              <w:spacing w:val="0"/>
              <w:position w:val="0"/>
              <w:sz w:val="44"/>
              <w:szCs w:val="44"/>
              <w:u w:val="none" w:color="auto"/>
              <w14:textFill>
                <w14:solidFill>
                  <w14:schemeClr w14:val="tx1"/>
                </w14:solidFill>
              </w14:textFill>
            </w:rPr>
            <w:t>目</w:t>
          </w:r>
          <w:r>
            <w:rPr>
              <w:rFonts w:hint="eastAsia" w:ascii="Times New Roman" w:hAnsi="Times New Roman" w:eastAsia="宋体" w:cs="Times New Roman"/>
              <w:b/>
              <w:bCs/>
              <w:color w:val="000000" w:themeColor="text1"/>
              <w:spacing w:val="0"/>
              <w:position w:val="0"/>
              <w:sz w:val="44"/>
              <w:szCs w:val="44"/>
              <w:u w:val="none" w:color="auto"/>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position w:val="0"/>
              <w:sz w:val="44"/>
              <w:szCs w:val="44"/>
              <w:u w:val="none" w:color="auto"/>
              <w14:textFill>
                <w14:solidFill>
                  <w14:schemeClr w14:val="tx1"/>
                </w14:solidFill>
              </w14:textFill>
            </w:rPr>
            <w:t>录</w:t>
          </w:r>
          <w:r>
            <w:rPr>
              <w:rFonts w:hint="default" w:ascii="Times New Roman" w:hAnsi="Times New Roman" w:eastAsia="宋体" w:cs="Times New Roman"/>
              <w:color w:val="000000" w:themeColor="text1"/>
              <w:spacing w:val="0"/>
              <w:position w:val="0"/>
              <w:sz w:val="28"/>
              <w:szCs w:val="28"/>
              <w:u w:val="none" w:color="auto"/>
              <w14:textFill>
                <w14:solidFill>
                  <w14:schemeClr w14:val="tx1"/>
                </w14:solidFill>
              </w14:textFill>
            </w:rPr>
            <w:fldChar w:fldCharType="begin"/>
          </w:r>
          <w:r>
            <w:rPr>
              <w:rFonts w:hint="default" w:ascii="Times New Roman" w:hAnsi="Times New Roman" w:eastAsia="宋体" w:cs="Times New Roman"/>
              <w:color w:val="000000" w:themeColor="text1"/>
              <w:spacing w:val="0"/>
              <w:position w:val="0"/>
              <w:sz w:val="28"/>
              <w:szCs w:val="28"/>
              <w:u w:val="none" w:color="auto"/>
              <w14:textFill>
                <w14:solidFill>
                  <w14:schemeClr w14:val="tx1"/>
                </w14:solidFill>
              </w14:textFill>
            </w:rPr>
            <w:instrText xml:space="preserve">TOC \o "1-1" \h \u </w:instrText>
          </w:r>
          <w:r>
            <w:rPr>
              <w:rFonts w:hint="default" w:ascii="Times New Roman" w:hAnsi="Times New Roman" w:eastAsia="宋体" w:cs="Times New Roman"/>
              <w:color w:val="000000" w:themeColor="text1"/>
              <w:spacing w:val="0"/>
              <w:position w:val="0"/>
              <w:sz w:val="28"/>
              <w:szCs w:val="28"/>
              <w:u w:val="none" w:color="auto"/>
              <w14:textFill>
                <w14:solidFill>
                  <w14:schemeClr w14:val="tx1"/>
                </w14:solidFill>
              </w14:textFill>
            </w:rPr>
            <w:fldChar w:fldCharType="separate"/>
          </w:r>
        </w:p>
        <w:p w14:paraId="48F83C62">
          <w:pPr>
            <w:pStyle w:val="29"/>
            <w:tabs>
              <w:tab w:val="right" w:leader="dot" w:pos="8300"/>
            </w:tabs>
            <w:spacing w:line="360" w:lineRule="auto"/>
            <w:rPr>
              <w:sz w:val="24"/>
              <w:szCs w:val="24"/>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begin"/>
          </w:r>
          <w:r>
            <w:rPr>
              <w:rFonts w:hint="default" w:ascii="Times New Roman" w:hAnsi="Times New Roman" w:eastAsia="宋体" w:cs="Times New Roman"/>
              <w:spacing w:val="0"/>
              <w:position w:val="0"/>
              <w:sz w:val="24"/>
              <w:szCs w:val="24"/>
            </w:rPr>
            <w:instrText xml:space="preserve"> HYPERLINK \l _Toc7057 </w:instrText>
          </w:r>
          <w:r>
            <w:rPr>
              <w:rFonts w:hint="default" w:ascii="Times New Roman" w:hAnsi="Times New Roman" w:eastAsia="宋体" w:cs="Times New Roman"/>
              <w:spacing w:val="0"/>
              <w:position w:val="0"/>
              <w:sz w:val="24"/>
              <w:szCs w:val="24"/>
            </w:rPr>
            <w:fldChar w:fldCharType="separate"/>
          </w:r>
          <w:r>
            <w:rPr>
              <w:rFonts w:hint="default"/>
              <w:sz w:val="24"/>
              <w:szCs w:val="24"/>
            </w:rPr>
            <w:t>一、建设项目基本情况</w:t>
          </w:r>
          <w:r>
            <w:rPr>
              <w:sz w:val="24"/>
              <w:szCs w:val="24"/>
            </w:rPr>
            <w:tab/>
          </w:r>
          <w:r>
            <w:rPr>
              <w:sz w:val="24"/>
              <w:szCs w:val="24"/>
            </w:rPr>
            <w:fldChar w:fldCharType="begin"/>
          </w:r>
          <w:r>
            <w:rPr>
              <w:sz w:val="24"/>
              <w:szCs w:val="24"/>
            </w:rPr>
            <w:instrText xml:space="preserve"> PAGEREF _Toc7057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end"/>
          </w:r>
        </w:p>
        <w:p w14:paraId="780FF4D0">
          <w:pPr>
            <w:pStyle w:val="29"/>
            <w:tabs>
              <w:tab w:val="right" w:leader="dot" w:pos="8300"/>
            </w:tabs>
            <w:spacing w:line="360" w:lineRule="auto"/>
            <w:rPr>
              <w:sz w:val="24"/>
              <w:szCs w:val="24"/>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begin"/>
          </w:r>
          <w:r>
            <w:rPr>
              <w:rFonts w:hint="default" w:ascii="Times New Roman" w:hAnsi="Times New Roman" w:eastAsia="宋体" w:cs="Times New Roman"/>
              <w:spacing w:val="0"/>
              <w:position w:val="0"/>
              <w:sz w:val="24"/>
              <w:szCs w:val="24"/>
            </w:rPr>
            <w:instrText xml:space="preserve"> HYPERLINK \l _Toc17130 </w:instrText>
          </w:r>
          <w:r>
            <w:rPr>
              <w:rFonts w:hint="default" w:ascii="Times New Roman" w:hAnsi="Times New Roman" w:eastAsia="宋体" w:cs="Times New Roman"/>
              <w:spacing w:val="0"/>
              <w:position w:val="0"/>
              <w:sz w:val="24"/>
              <w:szCs w:val="24"/>
            </w:rPr>
            <w:fldChar w:fldCharType="separate"/>
          </w:r>
          <w:r>
            <w:rPr>
              <w:rFonts w:hint="default"/>
              <w:sz w:val="24"/>
              <w:szCs w:val="24"/>
            </w:rPr>
            <w:t>二、建设项目工程分析</w:t>
          </w:r>
          <w:r>
            <w:rPr>
              <w:sz w:val="24"/>
              <w:szCs w:val="24"/>
            </w:rPr>
            <w:tab/>
          </w:r>
          <w:r>
            <w:rPr>
              <w:sz w:val="24"/>
              <w:szCs w:val="24"/>
            </w:rPr>
            <w:fldChar w:fldCharType="begin"/>
          </w:r>
          <w:r>
            <w:rPr>
              <w:sz w:val="24"/>
              <w:szCs w:val="24"/>
            </w:rPr>
            <w:instrText xml:space="preserve"> PAGEREF _Toc17130 \h </w:instrText>
          </w:r>
          <w:r>
            <w:rPr>
              <w:sz w:val="24"/>
              <w:szCs w:val="24"/>
            </w:rPr>
            <w:fldChar w:fldCharType="separate"/>
          </w:r>
          <w:r>
            <w:rPr>
              <w:sz w:val="24"/>
              <w:szCs w:val="24"/>
            </w:rPr>
            <w:t>26</w:t>
          </w:r>
          <w:r>
            <w:rPr>
              <w:sz w:val="24"/>
              <w:szCs w:val="24"/>
            </w:rPr>
            <w:fldChar w:fldCharType="end"/>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end"/>
          </w:r>
        </w:p>
        <w:p w14:paraId="25FA496E">
          <w:pPr>
            <w:pStyle w:val="29"/>
            <w:tabs>
              <w:tab w:val="right" w:leader="dot" w:pos="8300"/>
            </w:tabs>
            <w:spacing w:line="360" w:lineRule="auto"/>
            <w:rPr>
              <w:sz w:val="24"/>
              <w:szCs w:val="24"/>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begin"/>
          </w:r>
          <w:r>
            <w:rPr>
              <w:rFonts w:hint="default" w:ascii="Times New Roman" w:hAnsi="Times New Roman" w:eastAsia="宋体" w:cs="Times New Roman"/>
              <w:spacing w:val="0"/>
              <w:position w:val="0"/>
              <w:sz w:val="24"/>
              <w:szCs w:val="24"/>
            </w:rPr>
            <w:instrText xml:space="preserve"> HYPERLINK \l _Toc1288 </w:instrText>
          </w:r>
          <w:r>
            <w:rPr>
              <w:rFonts w:hint="default" w:ascii="Times New Roman" w:hAnsi="Times New Roman" w:eastAsia="宋体" w:cs="Times New Roman"/>
              <w:spacing w:val="0"/>
              <w:position w:val="0"/>
              <w:sz w:val="24"/>
              <w:szCs w:val="24"/>
            </w:rPr>
            <w:fldChar w:fldCharType="separate"/>
          </w:r>
          <w:r>
            <w:rPr>
              <w:rFonts w:hint="default"/>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_Toc1288 \h </w:instrText>
          </w:r>
          <w:r>
            <w:rPr>
              <w:sz w:val="24"/>
              <w:szCs w:val="24"/>
            </w:rPr>
            <w:fldChar w:fldCharType="separate"/>
          </w:r>
          <w:r>
            <w:rPr>
              <w:sz w:val="24"/>
              <w:szCs w:val="24"/>
            </w:rPr>
            <w:t>49</w:t>
          </w:r>
          <w:r>
            <w:rPr>
              <w:sz w:val="24"/>
              <w:szCs w:val="24"/>
            </w:rPr>
            <w:fldChar w:fldCharType="end"/>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end"/>
          </w:r>
        </w:p>
        <w:p w14:paraId="574A2FF2">
          <w:pPr>
            <w:pStyle w:val="29"/>
            <w:tabs>
              <w:tab w:val="right" w:leader="dot" w:pos="8300"/>
            </w:tabs>
            <w:spacing w:line="360" w:lineRule="auto"/>
            <w:rPr>
              <w:sz w:val="24"/>
              <w:szCs w:val="24"/>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begin"/>
          </w:r>
          <w:r>
            <w:rPr>
              <w:rFonts w:hint="default" w:ascii="Times New Roman" w:hAnsi="Times New Roman" w:eastAsia="宋体" w:cs="Times New Roman"/>
              <w:spacing w:val="0"/>
              <w:position w:val="0"/>
              <w:sz w:val="24"/>
              <w:szCs w:val="24"/>
            </w:rPr>
            <w:instrText xml:space="preserve"> HYPERLINK \l _Toc542 </w:instrText>
          </w:r>
          <w:r>
            <w:rPr>
              <w:rFonts w:hint="default" w:ascii="Times New Roman" w:hAnsi="Times New Roman" w:eastAsia="宋体" w:cs="Times New Roman"/>
              <w:spacing w:val="0"/>
              <w:position w:val="0"/>
              <w:sz w:val="24"/>
              <w:szCs w:val="24"/>
            </w:rPr>
            <w:fldChar w:fldCharType="separate"/>
          </w:r>
          <w:r>
            <w:rPr>
              <w:rFonts w:hint="default"/>
              <w:sz w:val="24"/>
              <w:szCs w:val="24"/>
            </w:rPr>
            <w:t>四、主要环境影响和保护措施</w:t>
          </w:r>
          <w:r>
            <w:rPr>
              <w:sz w:val="24"/>
              <w:szCs w:val="24"/>
            </w:rPr>
            <w:tab/>
          </w:r>
          <w:r>
            <w:rPr>
              <w:sz w:val="24"/>
              <w:szCs w:val="24"/>
            </w:rPr>
            <w:fldChar w:fldCharType="begin"/>
          </w:r>
          <w:r>
            <w:rPr>
              <w:sz w:val="24"/>
              <w:szCs w:val="24"/>
            </w:rPr>
            <w:instrText xml:space="preserve"> PAGEREF _Toc542 \h </w:instrText>
          </w:r>
          <w:r>
            <w:rPr>
              <w:sz w:val="24"/>
              <w:szCs w:val="24"/>
            </w:rPr>
            <w:fldChar w:fldCharType="separate"/>
          </w:r>
          <w:r>
            <w:rPr>
              <w:sz w:val="24"/>
              <w:szCs w:val="24"/>
            </w:rPr>
            <w:t>55</w:t>
          </w:r>
          <w:r>
            <w:rPr>
              <w:sz w:val="24"/>
              <w:szCs w:val="24"/>
            </w:rPr>
            <w:fldChar w:fldCharType="end"/>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end"/>
          </w:r>
        </w:p>
        <w:p w14:paraId="0F68BBF9">
          <w:pPr>
            <w:pStyle w:val="29"/>
            <w:tabs>
              <w:tab w:val="right" w:leader="dot" w:pos="8300"/>
            </w:tabs>
            <w:spacing w:line="360" w:lineRule="auto"/>
            <w:rPr>
              <w:sz w:val="24"/>
              <w:szCs w:val="24"/>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begin"/>
          </w:r>
          <w:r>
            <w:rPr>
              <w:rFonts w:hint="default" w:ascii="Times New Roman" w:hAnsi="Times New Roman" w:eastAsia="宋体" w:cs="Times New Roman"/>
              <w:spacing w:val="0"/>
              <w:position w:val="0"/>
              <w:sz w:val="24"/>
              <w:szCs w:val="24"/>
            </w:rPr>
            <w:instrText xml:space="preserve"> HYPERLINK \l _Toc15546 </w:instrText>
          </w:r>
          <w:r>
            <w:rPr>
              <w:rFonts w:hint="default" w:ascii="Times New Roman" w:hAnsi="Times New Roman" w:eastAsia="宋体" w:cs="Times New Roman"/>
              <w:spacing w:val="0"/>
              <w:position w:val="0"/>
              <w:sz w:val="24"/>
              <w:szCs w:val="24"/>
            </w:rPr>
            <w:fldChar w:fldCharType="separate"/>
          </w:r>
          <w:r>
            <w:rPr>
              <w:rFonts w:hint="default"/>
              <w:sz w:val="24"/>
              <w:szCs w:val="24"/>
            </w:rPr>
            <w:t>五、环境保护措施监督检查清单</w:t>
          </w:r>
          <w:r>
            <w:rPr>
              <w:sz w:val="24"/>
              <w:szCs w:val="24"/>
            </w:rPr>
            <w:tab/>
          </w:r>
          <w:r>
            <w:rPr>
              <w:sz w:val="24"/>
              <w:szCs w:val="24"/>
            </w:rPr>
            <w:fldChar w:fldCharType="begin"/>
          </w:r>
          <w:r>
            <w:rPr>
              <w:sz w:val="24"/>
              <w:szCs w:val="24"/>
            </w:rPr>
            <w:instrText xml:space="preserve"> PAGEREF _Toc15546 \h </w:instrText>
          </w:r>
          <w:r>
            <w:rPr>
              <w:sz w:val="24"/>
              <w:szCs w:val="24"/>
            </w:rPr>
            <w:fldChar w:fldCharType="separate"/>
          </w:r>
          <w:r>
            <w:rPr>
              <w:sz w:val="24"/>
              <w:szCs w:val="24"/>
            </w:rPr>
            <w:t>87</w:t>
          </w:r>
          <w:r>
            <w:rPr>
              <w:sz w:val="24"/>
              <w:szCs w:val="24"/>
            </w:rPr>
            <w:fldChar w:fldCharType="end"/>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end"/>
          </w:r>
        </w:p>
        <w:p w14:paraId="28E6E58C">
          <w:pPr>
            <w:pStyle w:val="29"/>
            <w:tabs>
              <w:tab w:val="right" w:leader="dot" w:pos="8300"/>
            </w:tabs>
            <w:spacing w:line="360" w:lineRule="auto"/>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begin"/>
          </w:r>
          <w:r>
            <w:rPr>
              <w:rFonts w:hint="default" w:ascii="Times New Roman" w:hAnsi="Times New Roman" w:eastAsia="宋体" w:cs="Times New Roman"/>
              <w:spacing w:val="0"/>
              <w:position w:val="0"/>
              <w:sz w:val="24"/>
              <w:szCs w:val="24"/>
            </w:rPr>
            <w:instrText xml:space="preserve"> HYPERLINK \l _Toc17088 </w:instrText>
          </w:r>
          <w:r>
            <w:rPr>
              <w:rFonts w:hint="default" w:ascii="Times New Roman" w:hAnsi="Times New Roman" w:eastAsia="宋体" w:cs="Times New Roman"/>
              <w:spacing w:val="0"/>
              <w:position w:val="0"/>
              <w:sz w:val="24"/>
              <w:szCs w:val="24"/>
            </w:rPr>
            <w:fldChar w:fldCharType="separate"/>
          </w:r>
          <w:r>
            <w:rPr>
              <w:rFonts w:hint="default"/>
              <w:sz w:val="24"/>
              <w:szCs w:val="24"/>
            </w:rPr>
            <w:t>六、结论</w:t>
          </w:r>
          <w:r>
            <w:rPr>
              <w:sz w:val="24"/>
              <w:szCs w:val="24"/>
            </w:rPr>
            <w:tab/>
          </w:r>
          <w:r>
            <w:rPr>
              <w:sz w:val="24"/>
              <w:szCs w:val="24"/>
            </w:rPr>
            <w:fldChar w:fldCharType="begin"/>
          </w:r>
          <w:r>
            <w:rPr>
              <w:sz w:val="24"/>
              <w:szCs w:val="24"/>
            </w:rPr>
            <w:instrText xml:space="preserve"> PAGEREF _Toc17088 \h </w:instrText>
          </w:r>
          <w:r>
            <w:rPr>
              <w:sz w:val="24"/>
              <w:szCs w:val="24"/>
            </w:rPr>
            <w:fldChar w:fldCharType="separate"/>
          </w:r>
          <w:r>
            <w:rPr>
              <w:sz w:val="24"/>
              <w:szCs w:val="24"/>
            </w:rPr>
            <w:t>90</w:t>
          </w:r>
          <w:r>
            <w:rPr>
              <w:sz w:val="24"/>
              <w:szCs w:val="24"/>
            </w:rPr>
            <w:fldChar w:fldCharType="end"/>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fldChar w:fldCharType="end"/>
          </w:r>
        </w:p>
        <w:p w14:paraId="2D65393D">
          <w:pPr>
            <w:bidi w:val="0"/>
            <w:rPr>
              <w:rFonts w:hint="default" w:ascii="Times New Roman" w:hAnsi="Times New Roman" w:eastAsia="宋体" w:cs="Times New Roman"/>
              <w:color w:val="000000" w:themeColor="text1"/>
              <w:spacing w:val="0"/>
              <w:position w:val="0"/>
              <w:sz w:val="28"/>
              <w:szCs w:val="28"/>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Cs w:val="28"/>
              <w:u w:val="none" w:color="auto"/>
              <w14:textFill>
                <w14:solidFill>
                  <w14:schemeClr w14:val="tx1"/>
                </w14:solidFill>
              </w14:textFill>
            </w:rPr>
            <w:fldChar w:fldCharType="end"/>
          </w:r>
        </w:p>
      </w:sdtContent>
    </w:sdt>
    <w:p w14:paraId="4CD55A2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color w:val="000000" w:themeColor="text1"/>
          <w:spacing w:val="0"/>
          <w:w w:val="100"/>
          <w:kern w:val="0"/>
          <w:positio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color w:val="000000" w:themeColor="text1"/>
          <w:spacing w:val="0"/>
          <w:w w:val="100"/>
          <w:kern w:val="0"/>
          <w:position w:val="0"/>
          <w:sz w:val="24"/>
          <w:szCs w:val="24"/>
          <w:highlight w:val="none"/>
          <w:u w:val="none" w:color="auto"/>
          <w:lang w:val="en-US" w:eastAsia="zh-CN" w:bidi="ar"/>
          <w14:textFill>
            <w14:solidFill>
              <w14:schemeClr w14:val="tx1"/>
            </w14:solidFill>
          </w14:textFill>
        </w:rPr>
        <w:t xml:space="preserve">附表： </w:t>
      </w:r>
    </w:p>
    <w:p w14:paraId="2E2F22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outlineLvl w:val="0"/>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bookmarkStart w:id="6" w:name="_Toc6360"/>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建设项目污染物排放量汇总表</w:t>
      </w:r>
      <w:bookmarkEnd w:id="6"/>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 xml:space="preserve"> </w:t>
      </w:r>
    </w:p>
    <w:p w14:paraId="4F30D71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b/>
          <w:color w:val="000000" w:themeColor="text1"/>
          <w:spacing w:val="0"/>
          <w:w w:val="100"/>
          <w:kern w:val="0"/>
          <w:position w:val="0"/>
          <w:sz w:val="24"/>
          <w:szCs w:val="24"/>
          <w:highlight w:val="none"/>
          <w:u w:val="none" w:color="auto"/>
          <w:lang w:val="en-US" w:eastAsia="zh-CN" w:bidi="ar"/>
          <w14:textFill>
            <w14:solidFill>
              <w14:schemeClr w14:val="tx1"/>
            </w14:solidFill>
          </w14:textFill>
        </w:rPr>
        <w:t xml:space="preserve">附件： </w:t>
      </w:r>
    </w:p>
    <w:p w14:paraId="2D52A2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val="0"/>
          <w:bCs w:val="0"/>
          <w:color w:val="auto"/>
          <w:spacing w:val="0"/>
          <w:w w:val="100"/>
          <w:position w:val="0"/>
          <w:sz w:val="24"/>
          <w:szCs w:val="24"/>
          <w:highlight w:val="none"/>
          <w:u w:val="none" w:color="auto"/>
        </w:rPr>
      </w:pP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附件</w:t>
      </w:r>
      <w:r>
        <w:rPr>
          <w:rFonts w:hint="default" w:ascii="Times New Roman" w:hAnsi="Times New Roman" w:cs="Times New Roman" w:eastAsiaTheme="minorEastAsia"/>
          <w:b w:val="0"/>
          <w:bCs w:val="0"/>
          <w:color w:val="auto"/>
          <w:spacing w:val="0"/>
          <w:w w:val="100"/>
          <w:kern w:val="0"/>
          <w:position w:val="0"/>
          <w:sz w:val="24"/>
          <w:szCs w:val="24"/>
          <w:highlight w:val="none"/>
          <w:u w:val="none" w:color="auto"/>
          <w:lang w:val="en-US" w:eastAsia="zh-CN" w:bidi="ar"/>
        </w:rPr>
        <w:t>1</w:t>
      </w: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 xml:space="preserve">  </w:t>
      </w:r>
      <w:r>
        <w:rPr>
          <w:rFonts w:hint="default" w:ascii="Times New Roman" w:hAnsi="Times New Roman" w:cs="Times New Roman" w:eastAsiaTheme="minorEastAsia"/>
          <w:b w:val="0"/>
          <w:bCs w:val="0"/>
          <w:color w:val="auto"/>
          <w:spacing w:val="0"/>
          <w:w w:val="100"/>
          <w:kern w:val="0"/>
          <w:position w:val="0"/>
          <w:sz w:val="24"/>
          <w:szCs w:val="24"/>
          <w:highlight w:val="none"/>
          <w:u w:val="none" w:color="auto"/>
          <w:lang w:val="en-US" w:eastAsia="zh-CN" w:bidi="ar"/>
        </w:rPr>
        <w:t>环评委托</w:t>
      </w: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书</w:t>
      </w:r>
      <w:r>
        <w:rPr>
          <w:rFonts w:hint="default" w:ascii="Times New Roman" w:hAnsi="Times New Roman" w:cs="Times New Roman" w:eastAsiaTheme="minorEastAsia"/>
          <w:b w:val="0"/>
          <w:bCs w:val="0"/>
          <w:color w:val="auto"/>
          <w:spacing w:val="0"/>
          <w:w w:val="100"/>
          <w:kern w:val="0"/>
          <w:position w:val="0"/>
          <w:sz w:val="24"/>
          <w:szCs w:val="24"/>
          <w:highlight w:val="none"/>
          <w:u w:val="none" w:color="auto"/>
          <w:lang w:val="en-US" w:eastAsia="zh-CN" w:bidi="ar"/>
        </w:rPr>
        <w:t xml:space="preserve"> </w:t>
      </w:r>
    </w:p>
    <w:p w14:paraId="68AF18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val="0"/>
          <w:bCs w:val="0"/>
          <w:color w:val="auto"/>
          <w:spacing w:val="0"/>
          <w:w w:val="100"/>
          <w:position w:val="0"/>
          <w:sz w:val="24"/>
          <w:szCs w:val="24"/>
          <w:highlight w:val="none"/>
          <w:u w:val="none" w:color="auto"/>
        </w:rPr>
      </w:pP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附件</w:t>
      </w:r>
      <w:r>
        <w:rPr>
          <w:rFonts w:hint="default" w:ascii="Times New Roman" w:hAnsi="Times New Roman" w:cs="Times New Roman" w:eastAsiaTheme="minorEastAsia"/>
          <w:b w:val="0"/>
          <w:bCs w:val="0"/>
          <w:color w:val="auto"/>
          <w:spacing w:val="0"/>
          <w:w w:val="100"/>
          <w:kern w:val="0"/>
          <w:position w:val="0"/>
          <w:sz w:val="24"/>
          <w:szCs w:val="24"/>
          <w:highlight w:val="none"/>
          <w:u w:val="none" w:color="auto"/>
          <w:lang w:val="en-US" w:eastAsia="zh-CN" w:bidi="ar"/>
        </w:rPr>
        <w:t>2</w:t>
      </w: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 xml:space="preserve">  </w:t>
      </w:r>
      <w:r>
        <w:rPr>
          <w:rFonts w:hint="default" w:ascii="Times New Roman" w:hAnsi="Times New Roman" w:cs="Times New Roman" w:eastAsiaTheme="minorEastAsia"/>
          <w:b w:val="0"/>
          <w:bCs w:val="0"/>
          <w:color w:val="auto"/>
          <w:spacing w:val="0"/>
          <w:w w:val="100"/>
          <w:kern w:val="0"/>
          <w:position w:val="0"/>
          <w:sz w:val="24"/>
          <w:szCs w:val="24"/>
          <w:highlight w:val="none"/>
          <w:u w:val="none" w:color="auto"/>
          <w:lang w:val="en-US" w:eastAsia="zh-CN" w:bidi="ar"/>
        </w:rPr>
        <w:t xml:space="preserve">企业营业执照 </w:t>
      </w:r>
    </w:p>
    <w:p w14:paraId="0A5692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pacing w:val="0"/>
          <w:w w:val="100"/>
          <w:kern w:val="0"/>
          <w:position w:val="0"/>
          <w:sz w:val="24"/>
          <w:szCs w:val="24"/>
          <w:highlight w:val="none"/>
          <w:u w:val="none" w:color="auto"/>
          <w:lang w:val="en-US" w:eastAsia="zh-CN" w:bidi="ar"/>
        </w:rPr>
      </w:pP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附件</w:t>
      </w:r>
      <w:r>
        <w:rPr>
          <w:rFonts w:hint="eastAsia" w:cs="Times New Roman"/>
          <w:b w:val="0"/>
          <w:bCs w:val="0"/>
          <w:color w:val="auto"/>
          <w:spacing w:val="0"/>
          <w:w w:val="100"/>
          <w:kern w:val="0"/>
          <w:position w:val="0"/>
          <w:sz w:val="24"/>
          <w:szCs w:val="24"/>
          <w:highlight w:val="none"/>
          <w:u w:val="none" w:color="auto"/>
          <w:lang w:val="en-US" w:eastAsia="zh-CN" w:bidi="ar"/>
        </w:rPr>
        <w:t>3  现有工程环评批复</w:t>
      </w:r>
    </w:p>
    <w:p w14:paraId="1A6D61A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pacing w:val="0"/>
          <w:w w:val="100"/>
          <w:kern w:val="0"/>
          <w:position w:val="0"/>
          <w:sz w:val="24"/>
          <w:szCs w:val="24"/>
          <w:highlight w:val="none"/>
          <w:u w:val="none" w:color="auto"/>
          <w:lang w:val="en-US" w:eastAsia="zh-CN" w:bidi="ar"/>
        </w:rPr>
      </w:pP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附件</w:t>
      </w:r>
      <w:r>
        <w:rPr>
          <w:rFonts w:hint="eastAsia" w:cs="Times New Roman"/>
          <w:b w:val="0"/>
          <w:bCs w:val="0"/>
          <w:color w:val="auto"/>
          <w:spacing w:val="0"/>
          <w:w w:val="100"/>
          <w:kern w:val="0"/>
          <w:position w:val="0"/>
          <w:sz w:val="24"/>
          <w:szCs w:val="24"/>
          <w:highlight w:val="none"/>
          <w:u w:val="none" w:color="auto"/>
          <w:lang w:val="en-US" w:eastAsia="zh-CN" w:bidi="ar"/>
        </w:rPr>
        <w:t xml:space="preserve">4  </w:t>
      </w:r>
      <w:r>
        <w:rPr>
          <w:rFonts w:hint="default" w:ascii="Times New Roman" w:hAnsi="Times New Roman" w:cs="Times New Roman"/>
          <w:b w:val="0"/>
          <w:bCs w:val="0"/>
          <w:color w:val="auto"/>
          <w:spacing w:val="0"/>
          <w:w w:val="100"/>
          <w:kern w:val="0"/>
          <w:position w:val="0"/>
          <w:sz w:val="24"/>
          <w:szCs w:val="24"/>
          <w:highlight w:val="none"/>
          <w:u w:val="none" w:color="auto"/>
          <w:lang w:val="en-US" w:eastAsia="zh-CN" w:bidi="ar"/>
        </w:rPr>
        <w:t>现有工程排污许可证</w:t>
      </w:r>
    </w:p>
    <w:p w14:paraId="4150DFF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pacing w:val="0"/>
          <w:w w:val="100"/>
          <w:kern w:val="0"/>
          <w:position w:val="0"/>
          <w:sz w:val="24"/>
          <w:szCs w:val="24"/>
          <w:highlight w:val="none"/>
          <w:u w:val="none" w:color="auto"/>
          <w:lang w:val="en-US" w:eastAsia="zh-CN" w:bidi="ar"/>
        </w:rPr>
      </w:pP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附件</w:t>
      </w:r>
      <w:r>
        <w:rPr>
          <w:rFonts w:hint="eastAsia" w:cs="Times New Roman"/>
          <w:b w:val="0"/>
          <w:bCs w:val="0"/>
          <w:color w:val="auto"/>
          <w:spacing w:val="0"/>
          <w:w w:val="100"/>
          <w:kern w:val="0"/>
          <w:position w:val="0"/>
          <w:sz w:val="24"/>
          <w:szCs w:val="24"/>
          <w:highlight w:val="none"/>
          <w:u w:val="none" w:color="auto"/>
          <w:lang w:val="en-US" w:eastAsia="zh-CN" w:bidi="ar"/>
        </w:rPr>
        <w:t>5  现有工程应急预案备案表</w:t>
      </w:r>
    </w:p>
    <w:p w14:paraId="4B89B80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pacing w:val="0"/>
          <w:w w:val="100"/>
          <w:kern w:val="0"/>
          <w:position w:val="0"/>
          <w:sz w:val="24"/>
          <w:szCs w:val="24"/>
          <w:highlight w:val="none"/>
          <w:u w:val="none" w:color="auto"/>
          <w:lang w:val="en-US" w:eastAsia="zh-CN" w:bidi="ar"/>
        </w:rPr>
      </w:pP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附件</w:t>
      </w:r>
      <w:r>
        <w:rPr>
          <w:rFonts w:hint="eastAsia" w:cs="Times New Roman"/>
          <w:b w:val="0"/>
          <w:bCs w:val="0"/>
          <w:color w:val="auto"/>
          <w:spacing w:val="0"/>
          <w:w w:val="100"/>
          <w:kern w:val="0"/>
          <w:position w:val="0"/>
          <w:sz w:val="24"/>
          <w:szCs w:val="24"/>
          <w:highlight w:val="none"/>
          <w:u w:val="none" w:color="auto"/>
          <w:lang w:val="en-US" w:eastAsia="zh-CN" w:bidi="ar"/>
        </w:rPr>
        <w:t>6  现有工程竣工环保验收备案表</w:t>
      </w:r>
    </w:p>
    <w:p w14:paraId="03CD94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eastAsiaTheme="minorEastAsia"/>
          <w:b w:val="0"/>
          <w:bCs w:val="0"/>
          <w:color w:val="auto"/>
          <w:spacing w:val="0"/>
          <w:w w:val="100"/>
          <w:kern w:val="0"/>
          <w:position w:val="0"/>
          <w:sz w:val="24"/>
          <w:szCs w:val="24"/>
          <w:highlight w:val="none"/>
          <w:u w:val="none" w:color="auto"/>
          <w:lang w:val="en-US" w:eastAsia="zh-CN" w:bidi="ar"/>
        </w:rPr>
      </w:pP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附件</w:t>
      </w:r>
      <w:r>
        <w:rPr>
          <w:rFonts w:hint="eastAsia" w:cs="Times New Roman"/>
          <w:b w:val="0"/>
          <w:bCs w:val="0"/>
          <w:color w:val="auto"/>
          <w:spacing w:val="0"/>
          <w:w w:val="100"/>
          <w:kern w:val="0"/>
          <w:position w:val="0"/>
          <w:sz w:val="24"/>
          <w:szCs w:val="24"/>
          <w:highlight w:val="none"/>
          <w:u w:val="none" w:color="auto"/>
          <w:lang w:val="en-US" w:eastAsia="zh-CN" w:bidi="ar"/>
        </w:rPr>
        <w:t xml:space="preserve">7  </w:t>
      </w:r>
      <w:r>
        <w:rPr>
          <w:rFonts w:hint="eastAsia" w:cs="Times New Roman" w:eastAsiaTheme="minorEastAsia"/>
          <w:b w:val="0"/>
          <w:bCs w:val="0"/>
          <w:color w:val="auto"/>
          <w:spacing w:val="0"/>
          <w:w w:val="100"/>
          <w:kern w:val="0"/>
          <w:position w:val="0"/>
          <w:sz w:val="24"/>
          <w:szCs w:val="24"/>
          <w:highlight w:val="none"/>
          <w:u w:val="none" w:color="auto"/>
          <w:lang w:val="en-US" w:eastAsia="zh-CN" w:bidi="ar"/>
        </w:rPr>
        <w:t>临港高新技术产业开发区环境跟踪评价工作意见的函</w:t>
      </w:r>
    </w:p>
    <w:p w14:paraId="1DBDFC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b w:val="0"/>
          <w:bCs w:val="0"/>
          <w:color w:val="auto"/>
          <w:spacing w:val="0"/>
          <w:w w:val="100"/>
          <w:kern w:val="0"/>
          <w:position w:val="0"/>
          <w:sz w:val="24"/>
          <w:szCs w:val="24"/>
          <w:highlight w:val="none"/>
          <w:u w:val="none" w:color="auto"/>
          <w:lang w:val="en-US" w:eastAsia="zh-CN" w:bidi="ar"/>
        </w:rPr>
      </w:pPr>
      <w:r>
        <w:rPr>
          <w:rFonts w:hint="eastAsia" w:ascii="Times New Roman" w:hAnsi="Times New Roman" w:cs="Times New Roman" w:eastAsiaTheme="minorEastAsia"/>
          <w:b w:val="0"/>
          <w:bCs w:val="0"/>
          <w:color w:val="auto"/>
          <w:spacing w:val="0"/>
          <w:w w:val="100"/>
          <w:kern w:val="0"/>
          <w:position w:val="0"/>
          <w:sz w:val="24"/>
          <w:szCs w:val="24"/>
          <w:highlight w:val="none"/>
          <w:u w:val="none" w:color="auto"/>
          <w:lang w:val="en-US" w:eastAsia="zh-CN" w:bidi="ar"/>
        </w:rPr>
        <w:t>附件8  油漆、稀释剂、固化剂检测报告</w:t>
      </w:r>
    </w:p>
    <w:p w14:paraId="62F998B5">
      <w:pPr>
        <w:pStyle w:val="43"/>
        <w:rPr>
          <w:rFonts w:hint="default"/>
          <w:lang w:val="en-US" w:eastAsia="zh-CN"/>
        </w:rPr>
      </w:pPr>
    </w:p>
    <w:p w14:paraId="571CC50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auto"/>
          <w:spacing w:val="0"/>
          <w:w w:val="100"/>
          <w:kern w:val="0"/>
          <w:position w:val="0"/>
          <w:sz w:val="24"/>
          <w:szCs w:val="24"/>
          <w:highlight w:val="none"/>
          <w:u w:val="none" w:color="auto"/>
          <w:lang w:val="en-US" w:eastAsia="zh-CN" w:bidi="ar"/>
        </w:rPr>
      </w:pPr>
    </w:p>
    <w:p w14:paraId="71F63FE3">
      <w:pPr>
        <w:keepNext w:val="0"/>
        <w:keepLines w:val="0"/>
        <w:pageBreakBefore w:val="0"/>
        <w:widowControl/>
        <w:suppressLineNumbers w:val="0"/>
        <w:tabs>
          <w:tab w:val="left" w:pos="6704"/>
        </w:tabs>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color w:val="000000" w:themeColor="text1"/>
          <w:spacing w:val="0"/>
          <w:w w:val="100"/>
          <w:kern w:val="0"/>
          <w:positio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b/>
          <w:color w:val="000000" w:themeColor="text1"/>
          <w:spacing w:val="0"/>
          <w:w w:val="100"/>
          <w:kern w:val="0"/>
          <w:position w:val="0"/>
          <w:sz w:val="24"/>
          <w:szCs w:val="24"/>
          <w:highlight w:val="none"/>
          <w:u w:val="none" w:color="auto"/>
          <w:lang w:val="en-US" w:eastAsia="zh-CN" w:bidi="ar"/>
          <w14:textFill>
            <w14:solidFill>
              <w14:schemeClr w14:val="tx1"/>
            </w14:solidFill>
          </w14:textFill>
        </w:rPr>
        <w:t xml:space="preserve">附图： </w:t>
      </w:r>
      <w:r>
        <w:rPr>
          <w:rFonts w:hint="default" w:ascii="Times New Roman" w:hAnsi="Times New Roman" w:cs="Times New Roman"/>
          <w:b/>
          <w:color w:val="000000" w:themeColor="text1"/>
          <w:spacing w:val="0"/>
          <w:w w:val="100"/>
          <w:kern w:val="0"/>
          <w:position w:val="0"/>
          <w:sz w:val="24"/>
          <w:szCs w:val="24"/>
          <w:highlight w:val="none"/>
          <w:u w:val="none" w:color="auto"/>
          <w:lang w:val="en-US" w:eastAsia="zh-CN" w:bidi="ar"/>
          <w14:textFill>
            <w14:solidFill>
              <w14:schemeClr w14:val="tx1"/>
            </w14:solidFill>
          </w14:textFill>
        </w:rPr>
        <w:tab/>
      </w:r>
    </w:p>
    <w:p w14:paraId="423B78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附图1-</w:t>
      </w: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1</w:t>
      </w: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 xml:space="preserve">项目地理位置示意图 </w:t>
      </w:r>
    </w:p>
    <w:p w14:paraId="469F8F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附图1-</w:t>
      </w: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2</w:t>
      </w: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项目地理</w:t>
      </w: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位置</w:t>
      </w: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卫星示意图</w:t>
      </w:r>
    </w:p>
    <w:p w14:paraId="41C98C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附图2  项目环境保护目标</w:t>
      </w: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 xml:space="preserve">分布示意图 </w:t>
      </w:r>
    </w:p>
    <w:p w14:paraId="46C969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pP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附图3  项目所在地土地利用图</w:t>
      </w:r>
    </w:p>
    <w:p w14:paraId="5585D1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附图4  厂区</w:t>
      </w: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总平面</w:t>
      </w: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布置</w:t>
      </w: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 xml:space="preserve">图 </w:t>
      </w:r>
    </w:p>
    <w:p w14:paraId="3FFBC1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FF0000"/>
          <w:spacing w:val="0"/>
          <w:w w:val="100"/>
          <w:position w:val="0"/>
          <w:sz w:val="24"/>
          <w:szCs w:val="24"/>
          <w:highlight w:val="none"/>
          <w:u w:val="none" w:color="auto"/>
        </w:rPr>
      </w:pPr>
      <w:r>
        <w:rPr>
          <w:rFonts w:hint="eastAsia" w:cs="Times New Roman"/>
          <w:color w:val="auto"/>
          <w:spacing w:val="0"/>
          <w:w w:val="100"/>
          <w:kern w:val="0"/>
          <w:position w:val="0"/>
          <w:sz w:val="24"/>
          <w:szCs w:val="24"/>
          <w:highlight w:val="none"/>
          <w:u w:val="none" w:color="auto"/>
          <w:lang w:val="en-US" w:eastAsia="zh-CN" w:bidi="ar"/>
        </w:rPr>
        <w:t xml:space="preserve">附图5  </w:t>
      </w:r>
      <w:r>
        <w:rPr>
          <w:rFonts w:hint="default" w:ascii="Times New Roman" w:hAnsi="Times New Roman" w:eastAsia="宋体" w:cs="Times New Roman"/>
          <w:color w:val="auto"/>
          <w:spacing w:val="0"/>
          <w:w w:val="100"/>
          <w:kern w:val="0"/>
          <w:position w:val="0"/>
          <w:sz w:val="24"/>
          <w:szCs w:val="24"/>
          <w:highlight w:val="none"/>
          <w:u w:val="none" w:color="auto"/>
          <w:lang w:val="en-US" w:eastAsia="zh-CN" w:bidi="ar"/>
        </w:rPr>
        <w:t>项目</w:t>
      </w:r>
      <w:r>
        <w:rPr>
          <w:rFonts w:hint="eastAsia" w:cs="Times New Roman"/>
          <w:color w:val="auto"/>
          <w:spacing w:val="0"/>
          <w:w w:val="100"/>
          <w:kern w:val="0"/>
          <w:position w:val="0"/>
          <w:sz w:val="24"/>
          <w:szCs w:val="24"/>
          <w:highlight w:val="none"/>
          <w:u w:val="none" w:color="auto"/>
          <w:lang w:val="en-US" w:eastAsia="zh-CN" w:bidi="ar"/>
        </w:rPr>
        <w:t>现场及工程师踏勘照片</w:t>
      </w:r>
    </w:p>
    <w:p w14:paraId="457F4F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24"/>
          <w:szCs w:val="24"/>
          <w:lang w:eastAsia="zh-CN"/>
        </w:rPr>
      </w:pPr>
    </w:p>
    <w:p w14:paraId="011A0E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24"/>
          <w:szCs w:val="24"/>
          <w:lang w:eastAsia="zh-CN"/>
        </w:rPr>
      </w:pPr>
    </w:p>
    <w:p w14:paraId="227BC2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24"/>
          <w:szCs w:val="24"/>
          <w:lang w:eastAsia="zh-CN"/>
        </w:rPr>
      </w:pPr>
    </w:p>
    <w:p w14:paraId="23B8E4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24"/>
          <w:szCs w:val="24"/>
          <w:lang w:eastAsia="zh-CN"/>
        </w:rPr>
        <w:sectPr>
          <w:footerReference r:id="rId5" w:type="default"/>
          <w:pgSz w:w="11906" w:h="16838"/>
          <w:pgMar w:top="1440" w:right="1803" w:bottom="1440" w:left="1803" w:header="680" w:footer="1077" w:gutter="0"/>
          <w:pgBorders>
            <w:top w:val="none" w:sz="0" w:space="0"/>
            <w:left w:val="none" w:sz="0" w:space="0"/>
            <w:bottom w:val="none" w:sz="0" w:space="0"/>
            <w:right w:val="none" w:sz="0" w:space="0"/>
          </w:pgBorders>
          <w:pgNumType w:fmt="decimal" w:start="1"/>
          <w:cols w:space="720" w:num="1"/>
          <w:docGrid w:linePitch="312" w:charSpace="0"/>
        </w:sectPr>
      </w:pPr>
    </w:p>
    <w:p w14:paraId="7DCA8EBA">
      <w:pPr>
        <w:pStyle w:val="6"/>
        <w:bidi w:val="0"/>
        <w:rPr>
          <w:rFonts w:hint="default"/>
        </w:rPr>
      </w:pPr>
      <w:bookmarkStart w:id="27" w:name="_GoBack"/>
      <w:bookmarkEnd w:id="27"/>
      <w:bookmarkStart w:id="7" w:name="_Toc22881"/>
      <w:bookmarkStart w:id="8" w:name="_Toc7057"/>
      <w:r>
        <w:rPr>
          <w:rFonts w:hint="default"/>
        </w:rPr>
        <w:t>一、建设项目基本情况</w:t>
      </w:r>
      <w:bookmarkEnd w:id="7"/>
      <w:bookmarkEnd w:id="8"/>
    </w:p>
    <w:tbl>
      <w:tblPr>
        <w:tblStyle w:val="37"/>
        <w:tblW w:w="49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74"/>
        <w:gridCol w:w="2977"/>
        <w:gridCol w:w="1796"/>
        <w:gridCol w:w="3082"/>
      </w:tblGrid>
      <w:tr w14:paraId="5E961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0" w:type="pct"/>
            <w:noWrap w:val="0"/>
            <w:tcMar>
              <w:top w:w="16" w:type="dxa"/>
              <w:left w:w="16" w:type="dxa"/>
              <w:right w:w="16" w:type="dxa"/>
            </w:tcMar>
            <w:vAlign w:val="center"/>
          </w:tcPr>
          <w:p w14:paraId="6C2636D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建设项目名称</w:t>
            </w:r>
          </w:p>
        </w:tc>
        <w:tc>
          <w:tcPr>
            <w:tcW w:w="4349" w:type="pct"/>
            <w:gridSpan w:val="3"/>
            <w:noWrap w:val="0"/>
            <w:vAlign w:val="center"/>
          </w:tcPr>
          <w:p w14:paraId="797E138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lang w:val="en-US" w:eastAsia="zh-CN"/>
                <w14:textFill>
                  <w14:solidFill>
                    <w14:schemeClr w14:val="tx1"/>
                  </w14:solidFill>
                </w14:textFill>
              </w:rPr>
            </w:pPr>
            <w:r>
              <w:rPr>
                <w:rFonts w:hint="eastAsia" w:cs="Times New Roman"/>
                <w:color w:val="000000" w:themeColor="text1"/>
                <w:spacing w:val="0"/>
                <w:position w:val="0"/>
                <w:sz w:val="24"/>
                <w:szCs w:val="24"/>
                <w:u w:val="none" w:color="auto"/>
                <w:lang w:val="en-US" w:eastAsia="zh-CN"/>
                <w14:textFill>
                  <w14:solidFill>
                    <w14:schemeClr w14:val="tx1"/>
                  </w14:solidFill>
                </w14:textFill>
              </w:rPr>
              <w:t>湖南众联设备智能制造产业园扩建项目</w:t>
            </w:r>
          </w:p>
        </w:tc>
      </w:tr>
      <w:tr w14:paraId="6CB681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0" w:type="pct"/>
            <w:noWrap w:val="0"/>
            <w:tcMar>
              <w:top w:w="16" w:type="dxa"/>
              <w:left w:w="16" w:type="dxa"/>
              <w:right w:w="16" w:type="dxa"/>
            </w:tcMar>
            <w:vAlign w:val="center"/>
          </w:tcPr>
          <w:p w14:paraId="1BA458E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项目代码</w:t>
            </w:r>
          </w:p>
        </w:tc>
        <w:tc>
          <w:tcPr>
            <w:tcW w:w="4349" w:type="pct"/>
            <w:gridSpan w:val="3"/>
            <w:noWrap w:val="0"/>
            <w:vAlign w:val="center"/>
          </w:tcPr>
          <w:p w14:paraId="23D43EF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eastAsia" w:cs="Times New Roman"/>
                <w:color w:val="auto"/>
                <w:sz w:val="24"/>
                <w:szCs w:val="24"/>
                <w:lang w:val="en-US" w:eastAsia="zh-CN"/>
              </w:rPr>
              <w:t>2210-430600-04-01-250063</w:t>
            </w:r>
          </w:p>
        </w:tc>
      </w:tr>
      <w:tr w14:paraId="1B8D8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0" w:type="pct"/>
            <w:noWrap w:val="0"/>
            <w:tcMar>
              <w:top w:w="16" w:type="dxa"/>
              <w:left w:w="16" w:type="dxa"/>
              <w:right w:w="16" w:type="dxa"/>
            </w:tcMar>
            <w:vAlign w:val="center"/>
          </w:tcPr>
          <w:p w14:paraId="20C4D5E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建设单位联系人</w:t>
            </w:r>
          </w:p>
        </w:tc>
        <w:tc>
          <w:tcPr>
            <w:tcW w:w="1648" w:type="pct"/>
            <w:noWrap w:val="0"/>
            <w:vAlign w:val="center"/>
          </w:tcPr>
          <w:p w14:paraId="092E41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lang w:eastAsia="zh-CN"/>
              </w:rPr>
            </w:pPr>
            <w:r>
              <w:rPr>
                <w:rFonts w:hint="eastAsia" w:ascii="Times New Roman" w:hAnsi="Times New Roman" w:eastAsia="宋体" w:cs="Times New Roman"/>
                <w:color w:val="auto"/>
                <w:sz w:val="24"/>
                <w:szCs w:val="24"/>
                <w:lang w:val="en-US" w:eastAsia="zh-CN"/>
              </w:rPr>
              <w:t>舒思</w:t>
            </w:r>
            <w:r>
              <w:rPr>
                <w:rFonts w:hint="eastAsia" w:ascii="Times New Roman" w:hAnsi="Times New Roman" w:cs="Times New Roman"/>
                <w:spacing w:val="0"/>
                <w:kern w:val="21"/>
                <w:sz w:val="21"/>
                <w:szCs w:val="21"/>
                <w:lang w:val="en-US" w:eastAsia="zh-CN"/>
              </w:rPr>
              <w:t>军</w:t>
            </w:r>
          </w:p>
        </w:tc>
        <w:tc>
          <w:tcPr>
            <w:tcW w:w="994" w:type="pct"/>
            <w:noWrap w:val="0"/>
            <w:vAlign w:val="center"/>
          </w:tcPr>
          <w:p w14:paraId="4A550B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联系方式</w:t>
            </w:r>
          </w:p>
        </w:tc>
        <w:tc>
          <w:tcPr>
            <w:tcW w:w="1706" w:type="pct"/>
            <w:noWrap w:val="0"/>
            <w:vAlign w:val="center"/>
          </w:tcPr>
          <w:p w14:paraId="29295A8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eastAsia" w:ascii="Times New Roman" w:hAnsi="Times New Roman" w:eastAsia="宋体" w:cs="Times New Roman"/>
                <w:color w:val="auto"/>
                <w:sz w:val="24"/>
                <w:szCs w:val="24"/>
                <w:lang w:val="en-US" w:eastAsia="zh-CN"/>
              </w:rPr>
              <w:t>18273089543</w:t>
            </w:r>
          </w:p>
        </w:tc>
      </w:tr>
      <w:tr w14:paraId="0EEBC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0" w:type="pct"/>
            <w:noWrap w:val="0"/>
            <w:tcMar>
              <w:top w:w="16" w:type="dxa"/>
              <w:left w:w="16" w:type="dxa"/>
              <w:right w:w="16" w:type="dxa"/>
            </w:tcMar>
            <w:vAlign w:val="center"/>
          </w:tcPr>
          <w:p w14:paraId="6A9C929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建设地点</w:t>
            </w:r>
          </w:p>
        </w:tc>
        <w:tc>
          <w:tcPr>
            <w:tcW w:w="4349" w:type="pct"/>
            <w:gridSpan w:val="3"/>
            <w:noWrap w:val="0"/>
            <w:vAlign w:val="center"/>
          </w:tcPr>
          <w:p w14:paraId="1FDE85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eastAsia" w:cs="Times New Roman"/>
                <w:color w:val="auto"/>
                <w:sz w:val="24"/>
                <w:szCs w:val="24"/>
                <w:u w:val="none"/>
                <w:lang w:eastAsia="zh-CN"/>
              </w:rPr>
              <w:t>湖南省岳阳市城陵矶新港区东欣路与东风大道交汇处，敖家垄路北侧</w:t>
            </w:r>
          </w:p>
        </w:tc>
      </w:tr>
      <w:tr w14:paraId="1B147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0" w:type="pct"/>
            <w:noWrap w:val="0"/>
            <w:tcMar>
              <w:top w:w="16" w:type="dxa"/>
              <w:left w:w="16" w:type="dxa"/>
              <w:right w:w="16" w:type="dxa"/>
            </w:tcMar>
            <w:vAlign w:val="center"/>
          </w:tcPr>
          <w:p w14:paraId="021B32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地理坐标</w:t>
            </w:r>
          </w:p>
        </w:tc>
        <w:tc>
          <w:tcPr>
            <w:tcW w:w="4349" w:type="pct"/>
            <w:gridSpan w:val="3"/>
            <w:noWrap w:val="0"/>
            <w:vAlign w:val="center"/>
          </w:tcPr>
          <w:p w14:paraId="5DC1F52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lang w:eastAsia="zh-CN"/>
              </w:rPr>
              <w:t>（经度113</w:t>
            </w:r>
            <w:r>
              <w:rPr>
                <w:rFonts w:hint="default" w:ascii="Times New Roman" w:hAnsi="Times New Roman" w:eastAsia="宋体" w:cs="Times New Roman"/>
                <w:color w:val="auto"/>
                <w:spacing w:val="0"/>
                <w:position w:val="0"/>
                <w:sz w:val="24"/>
                <w:szCs w:val="24"/>
                <w:u w:val="none" w:color="auto"/>
                <w:lang w:val="en-US" w:eastAsia="zh-CN"/>
              </w:rPr>
              <w:t>度</w:t>
            </w:r>
            <w:r>
              <w:rPr>
                <w:rFonts w:hint="default" w:ascii="Times New Roman" w:hAnsi="Times New Roman" w:eastAsia="宋体" w:cs="Times New Roman"/>
                <w:color w:val="auto"/>
                <w:spacing w:val="0"/>
                <w:position w:val="0"/>
                <w:sz w:val="24"/>
                <w:szCs w:val="24"/>
                <w:u w:val="none" w:color="auto"/>
                <w:lang w:eastAsia="zh-CN"/>
              </w:rPr>
              <w:t>1</w:t>
            </w:r>
            <w:r>
              <w:rPr>
                <w:rFonts w:hint="eastAsia" w:cs="Times New Roman"/>
                <w:color w:val="auto"/>
                <w:spacing w:val="0"/>
                <w:position w:val="0"/>
                <w:sz w:val="24"/>
                <w:szCs w:val="24"/>
                <w:u w:val="none" w:color="auto"/>
                <w:lang w:val="en-US" w:eastAsia="zh-CN"/>
              </w:rPr>
              <w:t>4</w:t>
            </w:r>
            <w:r>
              <w:rPr>
                <w:rFonts w:hint="default" w:ascii="Times New Roman" w:hAnsi="Times New Roman" w:eastAsia="宋体" w:cs="Times New Roman"/>
                <w:color w:val="auto"/>
                <w:spacing w:val="0"/>
                <w:position w:val="0"/>
                <w:sz w:val="24"/>
                <w:szCs w:val="24"/>
                <w:u w:val="none" w:color="auto"/>
                <w:lang w:eastAsia="zh-CN"/>
              </w:rPr>
              <w:t>分</w:t>
            </w:r>
            <w:r>
              <w:rPr>
                <w:rFonts w:hint="eastAsia" w:cs="Times New Roman"/>
                <w:color w:val="auto"/>
                <w:spacing w:val="0"/>
                <w:position w:val="0"/>
                <w:sz w:val="24"/>
                <w:szCs w:val="24"/>
                <w:u w:val="none" w:color="auto"/>
                <w:lang w:val="en-US" w:eastAsia="zh-CN"/>
              </w:rPr>
              <w:t>14.279</w:t>
            </w:r>
            <w:r>
              <w:rPr>
                <w:rFonts w:hint="default" w:ascii="Times New Roman" w:hAnsi="Times New Roman" w:eastAsia="宋体" w:cs="Times New Roman"/>
                <w:color w:val="auto"/>
                <w:spacing w:val="0"/>
                <w:position w:val="0"/>
                <w:sz w:val="24"/>
                <w:szCs w:val="24"/>
                <w:u w:val="none" w:color="auto"/>
                <w:lang w:eastAsia="zh-CN"/>
              </w:rPr>
              <w:t>秒，纬度</w:t>
            </w:r>
            <w:r>
              <w:rPr>
                <w:rFonts w:hint="default" w:ascii="Times New Roman" w:hAnsi="Times New Roman" w:eastAsia="宋体" w:cs="Times New Roman"/>
                <w:color w:val="auto"/>
                <w:spacing w:val="0"/>
                <w:position w:val="0"/>
                <w:sz w:val="24"/>
                <w:szCs w:val="24"/>
                <w:u w:val="none" w:color="auto"/>
              </w:rPr>
              <w:t>2</w:t>
            </w:r>
            <w:r>
              <w:rPr>
                <w:rFonts w:hint="default" w:ascii="Times New Roman" w:hAnsi="Times New Roman" w:eastAsia="宋体" w:cs="Times New Roman"/>
                <w:color w:val="auto"/>
                <w:spacing w:val="0"/>
                <w:position w:val="0"/>
                <w:sz w:val="24"/>
                <w:szCs w:val="24"/>
                <w:u w:val="none" w:color="auto"/>
                <w:lang w:val="en-US" w:eastAsia="zh-CN"/>
              </w:rPr>
              <w:t>9</w:t>
            </w:r>
            <w:r>
              <w:rPr>
                <w:rFonts w:hint="default" w:ascii="Times New Roman" w:hAnsi="Times New Roman" w:eastAsia="宋体" w:cs="Times New Roman"/>
                <w:color w:val="auto"/>
                <w:spacing w:val="0"/>
                <w:position w:val="0"/>
                <w:sz w:val="24"/>
                <w:szCs w:val="24"/>
                <w:u w:val="none" w:color="auto"/>
                <w:lang w:eastAsia="zh-CN"/>
              </w:rPr>
              <w:t>度</w:t>
            </w:r>
            <w:r>
              <w:rPr>
                <w:rFonts w:hint="eastAsia" w:cs="Times New Roman"/>
                <w:color w:val="auto"/>
                <w:spacing w:val="0"/>
                <w:position w:val="0"/>
                <w:sz w:val="24"/>
                <w:szCs w:val="24"/>
                <w:u w:val="none" w:color="auto"/>
                <w:lang w:val="en-US" w:eastAsia="zh-CN"/>
              </w:rPr>
              <w:t>28</w:t>
            </w:r>
            <w:r>
              <w:rPr>
                <w:rFonts w:hint="default" w:ascii="Times New Roman" w:hAnsi="Times New Roman" w:eastAsia="宋体" w:cs="Times New Roman"/>
                <w:color w:val="auto"/>
                <w:spacing w:val="0"/>
                <w:position w:val="0"/>
                <w:sz w:val="24"/>
                <w:szCs w:val="24"/>
                <w:u w:val="none" w:color="auto"/>
                <w:lang w:eastAsia="zh-CN"/>
              </w:rPr>
              <w:t>分</w:t>
            </w:r>
            <w:r>
              <w:rPr>
                <w:rFonts w:hint="eastAsia" w:cs="Times New Roman"/>
                <w:color w:val="auto"/>
                <w:spacing w:val="0"/>
                <w:position w:val="0"/>
                <w:sz w:val="24"/>
                <w:szCs w:val="24"/>
                <w:u w:val="none" w:color="auto"/>
                <w:lang w:val="en-US" w:eastAsia="zh-CN"/>
              </w:rPr>
              <w:t>17.632</w:t>
            </w:r>
            <w:r>
              <w:rPr>
                <w:rFonts w:hint="default" w:ascii="Times New Roman" w:hAnsi="Times New Roman" w:eastAsia="宋体" w:cs="Times New Roman"/>
                <w:color w:val="auto"/>
                <w:spacing w:val="0"/>
                <w:position w:val="0"/>
                <w:sz w:val="24"/>
                <w:szCs w:val="24"/>
                <w:u w:val="none" w:color="auto"/>
                <w:lang w:eastAsia="zh-CN"/>
              </w:rPr>
              <w:t>秒</w:t>
            </w:r>
            <w:r>
              <w:rPr>
                <w:rFonts w:hint="default" w:ascii="Times New Roman" w:hAnsi="Times New Roman" w:eastAsia="宋体" w:cs="Times New Roman"/>
                <w:color w:val="auto"/>
                <w:spacing w:val="0"/>
                <w:position w:val="0"/>
                <w:sz w:val="24"/>
                <w:szCs w:val="24"/>
                <w:u w:val="none" w:color="auto"/>
              </w:rPr>
              <w:t>）</w:t>
            </w:r>
          </w:p>
        </w:tc>
      </w:tr>
      <w:tr w14:paraId="22B6E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50" w:type="pct"/>
            <w:noWrap w:val="0"/>
            <w:tcMar>
              <w:top w:w="16" w:type="dxa"/>
              <w:left w:w="16" w:type="dxa"/>
              <w:right w:w="16" w:type="dxa"/>
            </w:tcMar>
            <w:vAlign w:val="center"/>
          </w:tcPr>
          <w:p w14:paraId="5211294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国民经济</w:t>
            </w:r>
          </w:p>
          <w:p w14:paraId="1E9DDC1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行业类别</w:t>
            </w:r>
          </w:p>
        </w:tc>
        <w:tc>
          <w:tcPr>
            <w:tcW w:w="1648" w:type="pct"/>
            <w:noWrap w:val="0"/>
            <w:vAlign w:val="center"/>
          </w:tcPr>
          <w:p w14:paraId="2C10049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eastAsia" w:cs="Times New Roman"/>
                <w:color w:val="auto"/>
                <w:spacing w:val="0"/>
                <w:position w:val="0"/>
                <w:sz w:val="24"/>
                <w:szCs w:val="24"/>
                <w:u w:val="none" w:color="auto"/>
                <w:lang w:val="en-US" w:eastAsia="zh-CN"/>
              </w:rPr>
            </w:pPr>
            <w:r>
              <w:rPr>
                <w:rFonts w:hint="eastAsia" w:cs="Times New Roman"/>
                <w:color w:val="auto"/>
                <w:spacing w:val="0"/>
                <w:position w:val="0"/>
                <w:sz w:val="24"/>
                <w:szCs w:val="24"/>
                <w:u w:val="none" w:color="auto"/>
                <w:lang w:val="en-US" w:eastAsia="zh-CN"/>
              </w:rPr>
              <w:t>C3464制冷、空调设备制造</w:t>
            </w:r>
          </w:p>
          <w:p w14:paraId="1895F191">
            <w:pPr>
              <w:pStyle w:val="43"/>
              <w:rPr>
                <w:rFonts w:hint="default"/>
                <w:lang w:val="en-US" w:eastAsia="zh-CN"/>
              </w:rPr>
            </w:pPr>
            <w:r>
              <w:rPr>
                <w:rFonts w:hint="eastAsia" w:ascii="Times New Roman" w:hAnsi="Times New Roman" w:eastAsia="宋体" w:cs="Times New Roman"/>
                <w:color w:val="auto"/>
                <w:spacing w:val="0"/>
                <w:kern w:val="2"/>
                <w:position w:val="0"/>
                <w:sz w:val="24"/>
                <w:szCs w:val="24"/>
                <w:u w:val="none" w:color="auto"/>
                <w:lang w:val="en-US" w:eastAsia="zh-CN" w:bidi="ar-SA"/>
              </w:rPr>
              <w:t>C3311金属结构制造</w:t>
            </w:r>
          </w:p>
        </w:tc>
        <w:tc>
          <w:tcPr>
            <w:tcW w:w="994" w:type="pct"/>
            <w:noWrap w:val="0"/>
            <w:vAlign w:val="center"/>
          </w:tcPr>
          <w:p w14:paraId="2B8E32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rPr>
            </w:pPr>
            <w:bookmarkStart w:id="9" w:name="_Hlk49843745"/>
            <w:r>
              <w:rPr>
                <w:rFonts w:hint="default" w:ascii="Times New Roman" w:hAnsi="Times New Roman" w:eastAsia="宋体" w:cs="Times New Roman"/>
                <w:color w:val="auto"/>
                <w:spacing w:val="0"/>
                <w:position w:val="0"/>
                <w:sz w:val="24"/>
                <w:szCs w:val="24"/>
                <w:u w:val="none" w:color="auto"/>
              </w:rPr>
              <w:t>建设项目</w:t>
            </w:r>
          </w:p>
          <w:p w14:paraId="503B6F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行业类别</w:t>
            </w:r>
            <w:bookmarkEnd w:id="9"/>
          </w:p>
        </w:tc>
        <w:tc>
          <w:tcPr>
            <w:tcW w:w="1706" w:type="pct"/>
            <w:noWrap w:val="0"/>
            <w:vAlign w:val="center"/>
          </w:tcPr>
          <w:p w14:paraId="238C833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eastAsia" w:cs="Times New Roman"/>
                <w:color w:val="auto"/>
                <w:spacing w:val="0"/>
                <w:position w:val="0"/>
                <w:sz w:val="24"/>
                <w:szCs w:val="24"/>
                <w:u w:val="none" w:color="auto"/>
                <w:lang w:val="en-US" w:eastAsia="zh-CN"/>
              </w:rPr>
              <w:t>三十一</w:t>
            </w:r>
            <w:r>
              <w:rPr>
                <w:rFonts w:hint="default" w:ascii="Times New Roman" w:hAnsi="Times New Roman" w:eastAsia="宋体" w:cs="Times New Roman"/>
                <w:color w:val="auto"/>
                <w:spacing w:val="0"/>
                <w:position w:val="0"/>
                <w:sz w:val="24"/>
                <w:szCs w:val="24"/>
                <w:u w:val="none" w:color="auto"/>
                <w:lang w:val="en-US" w:eastAsia="zh-CN"/>
              </w:rPr>
              <w:t>、</w:t>
            </w:r>
            <w:r>
              <w:rPr>
                <w:rFonts w:hint="eastAsia" w:cs="Times New Roman"/>
                <w:color w:val="auto"/>
                <w:spacing w:val="0"/>
                <w:position w:val="0"/>
                <w:sz w:val="24"/>
                <w:szCs w:val="24"/>
                <w:u w:val="none" w:color="auto"/>
                <w:lang w:val="en-US" w:eastAsia="zh-CN"/>
              </w:rPr>
              <w:t>通用设备制造-69烘炉、风机、包装等设备制造346；</w:t>
            </w:r>
            <w:r>
              <w:rPr>
                <w:rFonts w:hint="eastAsia" w:ascii="Times New Roman" w:hAnsi="Times New Roman" w:cs="Times New Roman"/>
                <w:color w:val="auto"/>
                <w:spacing w:val="0"/>
                <w:kern w:val="21"/>
                <w:sz w:val="24"/>
                <w:szCs w:val="24"/>
                <w:lang w:val="en-US" w:eastAsia="zh-CN"/>
              </w:rPr>
              <w:t>三十、金属制品业</w:t>
            </w:r>
            <w:r>
              <w:rPr>
                <w:rFonts w:hint="eastAsia" w:cs="Times New Roman"/>
                <w:color w:val="auto"/>
                <w:spacing w:val="0"/>
                <w:kern w:val="21"/>
                <w:sz w:val="24"/>
                <w:szCs w:val="24"/>
                <w:lang w:val="en-US" w:eastAsia="zh-CN"/>
              </w:rPr>
              <w:t>-</w:t>
            </w:r>
            <w:r>
              <w:rPr>
                <w:rFonts w:hint="eastAsia" w:ascii="Times New Roman" w:hAnsi="Times New Roman" w:cs="Times New Roman"/>
                <w:color w:val="auto"/>
                <w:spacing w:val="0"/>
                <w:kern w:val="21"/>
                <w:sz w:val="24"/>
                <w:szCs w:val="24"/>
                <w:lang w:val="en-US" w:eastAsia="zh-CN"/>
              </w:rPr>
              <w:t>66</w:t>
            </w:r>
            <w:r>
              <w:rPr>
                <w:rFonts w:hint="eastAsia" w:cs="Times New Roman"/>
                <w:color w:val="auto"/>
                <w:spacing w:val="0"/>
                <w:kern w:val="21"/>
                <w:sz w:val="24"/>
                <w:szCs w:val="24"/>
                <w:lang w:val="en-US" w:eastAsia="zh-CN"/>
              </w:rPr>
              <w:t>结构性金属制品</w:t>
            </w:r>
            <w:r>
              <w:rPr>
                <w:rFonts w:hint="eastAsia" w:ascii="Times New Roman" w:hAnsi="Times New Roman" w:cs="Times New Roman"/>
                <w:color w:val="auto"/>
                <w:spacing w:val="0"/>
                <w:kern w:val="21"/>
                <w:sz w:val="24"/>
                <w:szCs w:val="24"/>
                <w:lang w:val="en-US" w:eastAsia="zh-CN"/>
              </w:rPr>
              <w:t>制造33</w:t>
            </w:r>
            <w:r>
              <w:rPr>
                <w:rFonts w:hint="eastAsia" w:cs="Times New Roman"/>
                <w:color w:val="auto"/>
                <w:spacing w:val="0"/>
                <w:kern w:val="21"/>
                <w:sz w:val="24"/>
                <w:szCs w:val="24"/>
                <w:lang w:val="en-US" w:eastAsia="zh-CN"/>
              </w:rPr>
              <w:t>1</w:t>
            </w:r>
          </w:p>
        </w:tc>
      </w:tr>
      <w:tr w14:paraId="3537B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50" w:type="pct"/>
            <w:noWrap w:val="0"/>
            <w:tcMar>
              <w:top w:w="16" w:type="dxa"/>
              <w:left w:w="16" w:type="dxa"/>
              <w:right w:w="16" w:type="dxa"/>
            </w:tcMar>
            <w:vAlign w:val="center"/>
          </w:tcPr>
          <w:p w14:paraId="7564024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建设性质</w:t>
            </w:r>
          </w:p>
        </w:tc>
        <w:tc>
          <w:tcPr>
            <w:tcW w:w="1648" w:type="pct"/>
            <w:noWrap w:val="0"/>
            <w:vAlign w:val="center"/>
          </w:tcPr>
          <w:p w14:paraId="7A30A24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□新建</w:t>
            </w: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迁建）</w:t>
            </w:r>
          </w:p>
          <w:p w14:paraId="7B17CC7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□改建</w:t>
            </w:r>
          </w:p>
          <w:p w14:paraId="6F9FB1B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sym w:font="Wingdings 2" w:char="0052"/>
            </w:r>
            <w:r>
              <w:rPr>
                <w:rFonts w:hint="default" w:ascii="Times New Roman" w:hAnsi="Times New Roman" w:eastAsia="宋体" w:cs="Times New Roman"/>
                <w:color w:val="auto"/>
                <w:spacing w:val="0"/>
                <w:position w:val="0"/>
                <w:sz w:val="24"/>
                <w:szCs w:val="24"/>
                <w:u w:val="none" w:color="auto"/>
              </w:rPr>
              <w:t>扩建</w:t>
            </w:r>
          </w:p>
          <w:p w14:paraId="2F237F8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□技术改造</w:t>
            </w:r>
          </w:p>
        </w:tc>
        <w:tc>
          <w:tcPr>
            <w:tcW w:w="994" w:type="pct"/>
            <w:noWrap w:val="0"/>
            <w:vAlign w:val="center"/>
          </w:tcPr>
          <w:p w14:paraId="0FA3BD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建设项目</w:t>
            </w:r>
          </w:p>
          <w:p w14:paraId="701F0E1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申报情形</w:t>
            </w:r>
          </w:p>
        </w:tc>
        <w:tc>
          <w:tcPr>
            <w:tcW w:w="1706" w:type="pct"/>
            <w:noWrap w:val="0"/>
            <w:vAlign w:val="center"/>
          </w:tcPr>
          <w:p w14:paraId="206DAE0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position w:val="0"/>
                <w:sz w:val="24"/>
                <w:szCs w:val="24"/>
                <w:u w:val="none" w:color="auto"/>
              </w:rPr>
            </w:pPr>
            <w:r>
              <w:rPr>
                <w:rFonts w:hint="eastAsia"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首次申报项目</w:t>
            </w:r>
          </w:p>
          <w:p w14:paraId="40E6615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□不予批准后再次申报项目</w:t>
            </w:r>
          </w:p>
          <w:p w14:paraId="06B8380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□超五年重新审核项目</w:t>
            </w:r>
          </w:p>
          <w:p w14:paraId="2CC05E2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left"/>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□重大变动重新报批项目</w:t>
            </w:r>
          </w:p>
        </w:tc>
      </w:tr>
      <w:tr w14:paraId="689B5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650" w:type="pct"/>
            <w:noWrap w:val="0"/>
            <w:tcMar>
              <w:top w:w="16" w:type="dxa"/>
              <w:left w:w="16" w:type="dxa"/>
              <w:right w:w="16" w:type="dxa"/>
            </w:tcMar>
            <w:vAlign w:val="center"/>
          </w:tcPr>
          <w:p w14:paraId="6130A6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项目审批</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核准/备案）部门</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选填）</w:t>
            </w:r>
          </w:p>
        </w:tc>
        <w:tc>
          <w:tcPr>
            <w:tcW w:w="1648" w:type="pct"/>
            <w:noWrap w:val="0"/>
            <w:vAlign w:val="center"/>
          </w:tcPr>
          <w:p w14:paraId="3C0F5AF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eastAsia" w:ascii="Times New Roman" w:hAnsi="Times New Roman" w:eastAsia="宋体" w:cs="Times New Roman"/>
                <w:color w:val="auto"/>
                <w:sz w:val="24"/>
                <w:szCs w:val="24"/>
                <w:u w:val="none"/>
                <w:lang w:val="en-US" w:eastAsia="zh-CN"/>
              </w:rPr>
              <w:t>岳阳市发展和改革委员会</w:t>
            </w:r>
          </w:p>
        </w:tc>
        <w:tc>
          <w:tcPr>
            <w:tcW w:w="994" w:type="pct"/>
            <w:noWrap w:val="0"/>
            <w:vAlign w:val="center"/>
          </w:tcPr>
          <w:p w14:paraId="4D6112F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项目审批</w:t>
            </w: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核准/备案）文号</w:t>
            </w: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选填）</w:t>
            </w:r>
          </w:p>
        </w:tc>
        <w:tc>
          <w:tcPr>
            <w:tcW w:w="1706" w:type="pct"/>
            <w:noWrap w:val="0"/>
            <w:vAlign w:val="center"/>
          </w:tcPr>
          <w:p w14:paraId="32D83C0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eastAsia" w:cs="Times New Roman"/>
                <w:color w:val="auto"/>
                <w:spacing w:val="0"/>
                <w:position w:val="0"/>
                <w:sz w:val="24"/>
                <w:szCs w:val="24"/>
                <w:u w:val="none" w:color="auto"/>
                <w:lang w:val="en-US" w:eastAsia="zh-CN"/>
              </w:rPr>
              <w:t>/</w:t>
            </w:r>
          </w:p>
        </w:tc>
      </w:tr>
      <w:tr w14:paraId="525CF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0" w:type="pct"/>
            <w:noWrap w:val="0"/>
            <w:tcMar>
              <w:top w:w="16" w:type="dxa"/>
              <w:left w:w="16" w:type="dxa"/>
              <w:right w:w="16" w:type="dxa"/>
            </w:tcMar>
            <w:vAlign w:val="center"/>
          </w:tcPr>
          <w:p w14:paraId="3A24286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总投资</w:t>
            </w:r>
          </w:p>
          <w:p w14:paraId="0EE6905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万元）</w:t>
            </w:r>
          </w:p>
        </w:tc>
        <w:tc>
          <w:tcPr>
            <w:tcW w:w="1648" w:type="pct"/>
            <w:noWrap w:val="0"/>
            <w:vAlign w:val="center"/>
          </w:tcPr>
          <w:p w14:paraId="6D2DA323">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eastAsia" w:cs="Times New Roman"/>
                <w:color w:val="auto"/>
                <w:spacing w:val="0"/>
                <w:position w:val="0"/>
                <w:sz w:val="24"/>
                <w:szCs w:val="24"/>
                <w:u w:val="none" w:color="auto"/>
                <w:lang w:val="en-US" w:eastAsia="zh-CN"/>
              </w:rPr>
              <w:t>60</w:t>
            </w:r>
            <w:r>
              <w:rPr>
                <w:rFonts w:hint="default" w:ascii="Times New Roman" w:hAnsi="Times New Roman" w:eastAsia="宋体" w:cs="Times New Roman"/>
                <w:color w:val="auto"/>
                <w:spacing w:val="0"/>
                <w:position w:val="0"/>
                <w:sz w:val="24"/>
                <w:szCs w:val="24"/>
                <w:u w:val="none" w:color="auto"/>
                <w:lang w:val="en-US" w:eastAsia="zh-CN"/>
              </w:rPr>
              <w:t>0</w:t>
            </w:r>
          </w:p>
        </w:tc>
        <w:tc>
          <w:tcPr>
            <w:tcW w:w="994" w:type="pct"/>
            <w:noWrap w:val="0"/>
            <w:tcMar>
              <w:top w:w="16" w:type="dxa"/>
              <w:left w:w="16" w:type="dxa"/>
              <w:right w:w="16" w:type="dxa"/>
            </w:tcMar>
            <w:vAlign w:val="center"/>
          </w:tcPr>
          <w:p w14:paraId="648192D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环保投资</w:t>
            </w:r>
          </w:p>
          <w:p w14:paraId="5BAD53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万元）</w:t>
            </w:r>
          </w:p>
        </w:tc>
        <w:tc>
          <w:tcPr>
            <w:tcW w:w="1706" w:type="pct"/>
            <w:noWrap w:val="0"/>
            <w:vAlign w:val="center"/>
          </w:tcPr>
          <w:p w14:paraId="3163304A">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eastAsia" w:cs="Times New Roman"/>
                <w:color w:val="auto"/>
                <w:spacing w:val="0"/>
                <w:position w:val="0"/>
                <w:sz w:val="24"/>
                <w:szCs w:val="24"/>
                <w:u w:val="none" w:color="auto"/>
                <w:lang w:val="en-US" w:eastAsia="zh-CN"/>
              </w:rPr>
              <w:t>8</w:t>
            </w:r>
          </w:p>
        </w:tc>
      </w:tr>
      <w:tr w14:paraId="44142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0" w:type="pct"/>
            <w:noWrap w:val="0"/>
            <w:tcMar>
              <w:top w:w="16" w:type="dxa"/>
              <w:left w:w="16" w:type="dxa"/>
              <w:right w:w="16" w:type="dxa"/>
            </w:tcMar>
            <w:vAlign w:val="center"/>
          </w:tcPr>
          <w:p w14:paraId="12E94F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环保投资占比</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w:t>
            </w:r>
          </w:p>
        </w:tc>
        <w:tc>
          <w:tcPr>
            <w:tcW w:w="1648" w:type="pct"/>
            <w:noWrap w:val="0"/>
            <w:vAlign w:val="center"/>
          </w:tcPr>
          <w:p w14:paraId="4AAA1232">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eastAsia" w:cs="Times New Roman"/>
                <w:color w:val="auto"/>
                <w:spacing w:val="0"/>
                <w:position w:val="0"/>
                <w:sz w:val="24"/>
                <w:szCs w:val="24"/>
                <w:u w:val="none" w:color="auto"/>
                <w:lang w:val="en-US" w:eastAsia="zh-CN"/>
              </w:rPr>
              <w:t>1.3</w:t>
            </w:r>
          </w:p>
        </w:tc>
        <w:tc>
          <w:tcPr>
            <w:tcW w:w="994" w:type="pct"/>
            <w:noWrap w:val="0"/>
            <w:tcMar>
              <w:top w:w="16" w:type="dxa"/>
              <w:left w:w="16" w:type="dxa"/>
              <w:right w:w="16" w:type="dxa"/>
            </w:tcMar>
            <w:vAlign w:val="center"/>
          </w:tcPr>
          <w:p w14:paraId="484F47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施工工期</w:t>
            </w:r>
          </w:p>
        </w:tc>
        <w:tc>
          <w:tcPr>
            <w:tcW w:w="1706" w:type="pct"/>
            <w:noWrap w:val="0"/>
            <w:vAlign w:val="center"/>
          </w:tcPr>
          <w:p w14:paraId="2341458D">
            <w:pPr>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eastAsia" w:cs="Times New Roman"/>
                <w:color w:val="auto"/>
                <w:spacing w:val="0"/>
                <w:position w:val="0"/>
                <w:sz w:val="24"/>
                <w:szCs w:val="24"/>
                <w:u w:val="none" w:color="auto"/>
                <w:lang w:val="en-US" w:eastAsia="zh-CN"/>
              </w:rPr>
              <w:t>3</w:t>
            </w:r>
            <w:r>
              <w:rPr>
                <w:rFonts w:hint="default" w:ascii="Times New Roman" w:hAnsi="Times New Roman" w:eastAsia="宋体" w:cs="Times New Roman"/>
                <w:color w:val="auto"/>
                <w:spacing w:val="0"/>
                <w:position w:val="0"/>
                <w:sz w:val="24"/>
                <w:szCs w:val="24"/>
                <w:u w:val="none" w:color="auto"/>
                <w:lang w:val="en-US" w:eastAsia="zh-CN"/>
              </w:rPr>
              <w:t>个月</w:t>
            </w:r>
          </w:p>
        </w:tc>
      </w:tr>
      <w:tr w14:paraId="72E9C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50" w:type="pct"/>
            <w:noWrap w:val="0"/>
            <w:tcMar>
              <w:top w:w="16" w:type="dxa"/>
              <w:left w:w="16" w:type="dxa"/>
              <w:right w:w="16" w:type="dxa"/>
            </w:tcMar>
            <w:vAlign w:val="center"/>
          </w:tcPr>
          <w:p w14:paraId="601349D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是否开工建设</w:t>
            </w:r>
          </w:p>
        </w:tc>
        <w:tc>
          <w:tcPr>
            <w:tcW w:w="1648" w:type="pct"/>
            <w:noWrap w:val="0"/>
            <w:vAlign w:val="center"/>
          </w:tcPr>
          <w:p w14:paraId="314394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sym w:font="Wingdings 2" w:char="0052"/>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否</w:t>
            </w:r>
          </w:p>
          <w:p w14:paraId="7B747F6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□是</w:t>
            </w:r>
          </w:p>
        </w:tc>
        <w:tc>
          <w:tcPr>
            <w:tcW w:w="994" w:type="pct"/>
            <w:noWrap w:val="0"/>
            <w:tcMar>
              <w:top w:w="16" w:type="dxa"/>
              <w:left w:w="16" w:type="dxa"/>
              <w:right w:w="16" w:type="dxa"/>
            </w:tcMar>
            <w:vAlign w:val="center"/>
          </w:tcPr>
          <w:p w14:paraId="3206CA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用地</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用海）</w:t>
            </w:r>
          </w:p>
          <w:p w14:paraId="45EC2F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面积</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m</w:t>
            </w:r>
            <w:r>
              <w:rPr>
                <w:rFonts w:hint="default" w:ascii="Times New Roman" w:hAnsi="Times New Roman" w:eastAsia="宋体" w:cs="Times New Roman"/>
                <w:color w:val="000000" w:themeColor="text1"/>
                <w:spacing w:val="0"/>
                <w:position w:val="0"/>
                <w:sz w:val="24"/>
                <w:szCs w:val="24"/>
                <w:u w:val="none" w:color="auto"/>
                <w:vertAlign w:val="superscript"/>
                <w14:textFill>
                  <w14:solidFill>
                    <w14:schemeClr w14:val="tx1"/>
                  </w14:solidFill>
                </w14:textFill>
              </w:rPr>
              <w:t>2</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w:t>
            </w:r>
          </w:p>
        </w:tc>
        <w:tc>
          <w:tcPr>
            <w:tcW w:w="1706" w:type="pct"/>
            <w:noWrap w:val="0"/>
            <w:vAlign w:val="center"/>
          </w:tcPr>
          <w:p w14:paraId="77E0FD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FF0000"/>
                <w:spacing w:val="0"/>
                <w:position w:val="0"/>
                <w:sz w:val="24"/>
                <w:szCs w:val="24"/>
                <w:u w:val="none" w:color="auto"/>
                <w:lang w:val="en-US" w:eastAsia="zh-CN"/>
              </w:rPr>
            </w:pPr>
            <w:r>
              <w:rPr>
                <w:rFonts w:hint="eastAsia" w:cs="Times New Roman"/>
                <w:color w:val="auto"/>
                <w:spacing w:val="0"/>
                <w:position w:val="0"/>
                <w:sz w:val="24"/>
                <w:szCs w:val="24"/>
                <w:u w:val="none" w:color="auto"/>
                <w:lang w:val="en-US" w:eastAsia="zh-CN"/>
              </w:rPr>
              <w:t>/</w:t>
            </w:r>
          </w:p>
        </w:tc>
      </w:tr>
      <w:tr w14:paraId="5DFA2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650" w:type="pct"/>
            <w:noWrap w:val="0"/>
            <w:vAlign w:val="center"/>
          </w:tcPr>
          <w:p w14:paraId="40201F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kern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u w:val="none" w:color="auto"/>
                <w14:textFill>
                  <w14:solidFill>
                    <w14:schemeClr w14:val="tx1"/>
                  </w14:solidFill>
                </w14:textFill>
              </w:rPr>
              <w:t>专项评价设置情况</w:t>
            </w:r>
          </w:p>
        </w:tc>
        <w:tc>
          <w:tcPr>
            <w:tcW w:w="4349" w:type="pct"/>
            <w:gridSpan w:val="3"/>
            <w:noWrap w:val="0"/>
            <w:vAlign w:val="center"/>
          </w:tcPr>
          <w:p w14:paraId="7A95C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无</w:t>
            </w:r>
          </w:p>
        </w:tc>
      </w:tr>
      <w:tr w14:paraId="26955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1" w:hRule="atLeast"/>
          <w:jc w:val="center"/>
        </w:trPr>
        <w:tc>
          <w:tcPr>
            <w:tcW w:w="650" w:type="pct"/>
            <w:noWrap w:val="0"/>
            <w:vAlign w:val="center"/>
          </w:tcPr>
          <w:p w14:paraId="0F820C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kern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规划情况</w:t>
            </w:r>
          </w:p>
        </w:tc>
        <w:tc>
          <w:tcPr>
            <w:tcW w:w="4349" w:type="pct"/>
            <w:gridSpan w:val="3"/>
            <w:noWrap w:val="0"/>
            <w:vAlign w:val="center"/>
          </w:tcPr>
          <w:p w14:paraId="1DB16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pacing w:val="0"/>
                <w:position w:val="0"/>
                <w:sz w:val="24"/>
                <w:szCs w:val="24"/>
                <w:u w:val="none" w:color="auto"/>
                <w:lang w:val="en-US" w:eastAsia="zh-CN"/>
                <w14:textFill>
                  <w14:solidFill>
                    <w14:schemeClr w14:val="tx1"/>
                  </w14:solidFill>
                </w14:textFill>
              </w:rPr>
            </w:pPr>
            <w:r>
              <w:rPr>
                <w:rFonts w:hint="default" w:eastAsia="宋体"/>
                <w:color w:val="auto"/>
                <w:sz w:val="24"/>
                <w:szCs w:val="24"/>
                <w:u w:val="none"/>
                <w:lang w:val="en-US" w:eastAsia="zh-CN"/>
              </w:rPr>
              <w:t>《湖南城陵矶临港产业新区产业核心区总体规划（2010~2030年）》，岳阳市规划勘测设计，2011年9月</w:t>
            </w:r>
            <w:r>
              <w:rPr>
                <w:rFonts w:hint="eastAsia" w:eastAsia="宋体"/>
                <w:color w:val="auto"/>
                <w:sz w:val="24"/>
                <w:szCs w:val="24"/>
                <w:u w:val="none"/>
                <w:lang w:val="en-US" w:eastAsia="zh-CN"/>
              </w:rPr>
              <w:t>。</w:t>
            </w:r>
          </w:p>
        </w:tc>
      </w:tr>
      <w:tr w14:paraId="5E02B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8" w:hRule="atLeast"/>
          <w:jc w:val="center"/>
        </w:trPr>
        <w:tc>
          <w:tcPr>
            <w:tcW w:w="650" w:type="pct"/>
            <w:noWrap w:val="0"/>
            <w:vAlign w:val="center"/>
          </w:tcPr>
          <w:p w14:paraId="622BD2A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kern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规划环境影响评价情况</w:t>
            </w:r>
          </w:p>
        </w:tc>
        <w:tc>
          <w:tcPr>
            <w:tcW w:w="4349" w:type="pct"/>
            <w:gridSpan w:val="3"/>
            <w:noWrap w:val="0"/>
            <w:vAlign w:val="center"/>
          </w:tcPr>
          <w:p w14:paraId="4D77B8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2011年委托湖南省环境保护科学研究院编制完成《湖南城陵矶临港产业新区产业核心区环境影响报告书》；</w:t>
            </w:r>
          </w:p>
          <w:p w14:paraId="025E83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rPr>
              <w:t>2012年9月湖南省环境保护厅对该项目进行了批复（湘环评</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2012</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293号）</w:t>
            </w:r>
            <w:r>
              <w:rPr>
                <w:rFonts w:hint="eastAsia" w:ascii="Times New Roman" w:hAnsi="Times New Roman" w:cs="Times New Roman"/>
                <w:color w:val="auto"/>
                <w:kern w:val="0"/>
                <w:sz w:val="24"/>
                <w:highlight w:val="none"/>
                <w:lang w:eastAsia="zh-CN"/>
              </w:rPr>
              <w:t>；</w:t>
            </w:r>
          </w:p>
          <w:p w14:paraId="75CE27A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2021年9月委托湖南景玺环保科技有限公司编制完成了《</w:t>
            </w:r>
            <w:r>
              <w:rPr>
                <w:rFonts w:hint="eastAsia" w:ascii="Times New Roman" w:hAnsi="Times New Roman" w:eastAsia="宋体" w:cs="Times New Roman"/>
                <w:sz w:val="24"/>
                <w:szCs w:val="20"/>
                <w:lang w:val="zh-CN" w:eastAsia="zh-CN" w:bidi="ar"/>
              </w:rPr>
              <w:t>岳阳临港高新技术产业开发区环境影响跟踪评价报告书》</w:t>
            </w:r>
            <w:r>
              <w:rPr>
                <w:rFonts w:hint="eastAsia" w:ascii="Times New Roman" w:hAnsi="Times New Roman" w:cs="Times New Roman"/>
                <w:color w:val="auto"/>
                <w:kern w:val="0"/>
                <w:sz w:val="24"/>
                <w:highlight w:val="none"/>
                <w:lang w:val="en-US" w:eastAsia="zh-CN"/>
              </w:rPr>
              <w:t>；</w:t>
            </w:r>
          </w:p>
          <w:p w14:paraId="626077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sz w:val="24"/>
                <w:szCs w:val="20"/>
                <w:lang w:val="zh-CN" w:eastAsia="zh-CN" w:bidi="ar"/>
              </w:rPr>
              <w:t>2021</w:t>
            </w:r>
            <w:r>
              <w:rPr>
                <w:rFonts w:hint="eastAsia" w:ascii="Times New Roman" w:hAnsi="Times New Roman" w:eastAsia="宋体" w:cs="Times New Roman"/>
                <w:sz w:val="24"/>
                <w:szCs w:val="20"/>
                <w:lang w:val="zh-CN" w:eastAsia="zh-CN" w:bidi="ar"/>
              </w:rPr>
              <w:t>年</w:t>
            </w:r>
            <w:r>
              <w:rPr>
                <w:rFonts w:hint="default" w:ascii="Times New Roman" w:hAnsi="Times New Roman" w:eastAsia="宋体" w:cs="Times New Roman"/>
                <w:sz w:val="24"/>
                <w:szCs w:val="20"/>
                <w:lang w:val="zh-CN" w:eastAsia="zh-CN" w:bidi="ar"/>
              </w:rPr>
              <w:t>10</w:t>
            </w:r>
            <w:r>
              <w:rPr>
                <w:rFonts w:hint="eastAsia" w:ascii="Times New Roman" w:hAnsi="Times New Roman" w:eastAsia="宋体" w:cs="Times New Roman"/>
                <w:sz w:val="24"/>
                <w:szCs w:val="20"/>
                <w:lang w:val="zh-CN" w:eastAsia="zh-CN" w:bidi="ar"/>
              </w:rPr>
              <w:t>月，湖南省生态环境厅</w:t>
            </w:r>
            <w:r>
              <w:rPr>
                <w:rFonts w:hint="default" w:ascii="Times New Roman" w:hAnsi="Times New Roman" w:cs="Times New Roman"/>
                <w:color w:val="auto"/>
                <w:kern w:val="0"/>
                <w:sz w:val="24"/>
                <w:highlight w:val="none"/>
              </w:rPr>
              <w:t>对该项目进行了批复</w:t>
            </w:r>
            <w:r>
              <w:rPr>
                <w:rFonts w:hint="eastAsia" w:ascii="Times New Roman" w:hAnsi="Times New Roman" w:eastAsia="宋体" w:cs="Times New Roman"/>
                <w:sz w:val="24"/>
                <w:szCs w:val="20"/>
                <w:lang w:val="zh-CN" w:eastAsia="zh-CN" w:bidi="ar"/>
              </w:rPr>
              <w:t>（湘环评函</w:t>
            </w:r>
            <w:r>
              <w:rPr>
                <w:rFonts w:hint="eastAsia" w:ascii="Times New Roman" w:hAnsi="Times New Roman" w:eastAsia="宋体" w:cs="Times New Roman"/>
                <w:sz w:val="24"/>
                <w:szCs w:val="20"/>
                <w:lang w:val="en-US" w:eastAsia="zh-CN" w:bidi="ar"/>
              </w:rPr>
              <w:t>【</w:t>
            </w:r>
            <w:r>
              <w:rPr>
                <w:rFonts w:hint="default" w:ascii="Times New Roman" w:hAnsi="Times New Roman" w:eastAsia="宋体" w:cs="Times New Roman"/>
                <w:sz w:val="24"/>
                <w:szCs w:val="20"/>
                <w:lang w:val="zh-CN" w:eastAsia="zh-CN" w:bidi="ar"/>
              </w:rPr>
              <w:t>2021</w:t>
            </w:r>
            <w:r>
              <w:rPr>
                <w:rFonts w:hint="eastAsia" w:ascii="Times New Roman" w:hAnsi="Times New Roman" w:eastAsia="宋体" w:cs="Times New Roman"/>
                <w:sz w:val="24"/>
                <w:szCs w:val="20"/>
                <w:lang w:val="en-US" w:eastAsia="zh-CN" w:bidi="ar"/>
              </w:rPr>
              <w:t>】</w:t>
            </w:r>
            <w:r>
              <w:rPr>
                <w:rFonts w:hint="default" w:ascii="Times New Roman" w:hAnsi="Times New Roman" w:eastAsia="宋体" w:cs="Times New Roman"/>
                <w:sz w:val="24"/>
                <w:szCs w:val="20"/>
                <w:lang w:val="zh-CN" w:eastAsia="zh-CN" w:bidi="ar"/>
              </w:rPr>
              <w:t>33</w:t>
            </w:r>
            <w:r>
              <w:rPr>
                <w:rFonts w:hint="eastAsia" w:ascii="Times New Roman" w:hAnsi="Times New Roman" w:eastAsia="宋体" w:cs="Times New Roman"/>
                <w:sz w:val="24"/>
                <w:szCs w:val="20"/>
                <w:lang w:val="zh-CN" w:eastAsia="zh-CN" w:bidi="ar"/>
              </w:rPr>
              <w:t>号）</w:t>
            </w:r>
            <w:r>
              <w:rPr>
                <w:rFonts w:hint="default" w:ascii="Times New Roman" w:hAnsi="Times New Roman" w:cs="Times New Roman"/>
                <w:color w:val="auto"/>
                <w:kern w:val="0"/>
                <w:sz w:val="24"/>
                <w:highlight w:val="none"/>
              </w:rPr>
              <w:t>。</w:t>
            </w:r>
          </w:p>
        </w:tc>
      </w:tr>
      <w:tr w14:paraId="695DC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650" w:type="pct"/>
            <w:noWrap w:val="0"/>
            <w:vAlign w:val="center"/>
          </w:tcPr>
          <w:p w14:paraId="77A93E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规划及规划环境影响评价符合性分析</w:t>
            </w:r>
          </w:p>
        </w:tc>
        <w:tc>
          <w:tcPr>
            <w:tcW w:w="4349" w:type="pct"/>
            <w:gridSpan w:val="3"/>
            <w:noWrap w:val="0"/>
            <w:vAlign w:val="center"/>
          </w:tcPr>
          <w:p w14:paraId="61C19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b/>
                <w:bCs/>
                <w:color w:val="auto"/>
                <w:sz w:val="24"/>
                <w:szCs w:val="24"/>
                <w:u w:val="none" w:color="auto"/>
                <w:lang w:val="en-US" w:eastAsia="zh-CN"/>
              </w:rPr>
            </w:pPr>
            <w:r>
              <w:rPr>
                <w:rFonts w:hint="eastAsia" w:eastAsia="宋体" w:cs="Times New Roman"/>
                <w:b/>
                <w:bCs/>
                <w:color w:val="auto"/>
                <w:sz w:val="24"/>
                <w:szCs w:val="24"/>
                <w:u w:val="none" w:color="auto"/>
                <w:lang w:val="en-US" w:eastAsia="zh-CN"/>
              </w:rPr>
              <w:t>1、</w:t>
            </w:r>
            <w:r>
              <w:rPr>
                <w:rFonts w:hint="eastAsia" w:ascii="Times New Roman" w:hAnsi="Times New Roman" w:eastAsia="宋体" w:cs="Times New Roman"/>
                <w:b/>
                <w:bCs/>
                <w:color w:val="auto"/>
                <w:sz w:val="24"/>
                <w:szCs w:val="24"/>
                <w:u w:val="none" w:color="auto"/>
                <w:lang w:val="en-US" w:eastAsia="zh-CN"/>
              </w:rPr>
              <w:t>与</w:t>
            </w:r>
            <w:r>
              <w:rPr>
                <w:rFonts w:hint="default" w:ascii="Times New Roman" w:hAnsi="Times New Roman" w:eastAsia="宋体" w:cs="Times New Roman"/>
                <w:b/>
                <w:bCs/>
                <w:color w:val="auto"/>
                <w:sz w:val="24"/>
                <w:szCs w:val="24"/>
                <w:u w:val="none" w:color="auto"/>
                <w:lang w:val="en-US" w:eastAsia="zh-CN"/>
              </w:rPr>
              <w:t>《湖南城陵矶临港产业新区产业核心区总体规划（2010~2030年）》</w:t>
            </w:r>
            <w:r>
              <w:rPr>
                <w:rFonts w:hint="eastAsia" w:ascii="Times New Roman" w:hAnsi="Times New Roman" w:eastAsia="宋体" w:cs="Times New Roman"/>
                <w:b/>
                <w:bCs/>
                <w:color w:val="auto"/>
                <w:sz w:val="24"/>
                <w:szCs w:val="24"/>
                <w:u w:val="none" w:color="auto"/>
                <w:lang w:val="en-US" w:eastAsia="zh-CN"/>
              </w:rPr>
              <w:t>符合性分析</w:t>
            </w:r>
          </w:p>
          <w:p w14:paraId="4FDBD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eastAsia="宋体" w:cs="Times New Roman"/>
                <w:color w:val="auto"/>
                <w:sz w:val="24"/>
                <w:szCs w:val="24"/>
                <w:u w:val="none" w:color="auto"/>
                <w:lang w:val="en-US" w:eastAsia="zh-CN"/>
              </w:rPr>
            </w:pPr>
            <w:r>
              <w:rPr>
                <w:rFonts w:hint="eastAsia" w:eastAsia="宋体" w:cs="Times New Roman"/>
                <w:color w:val="auto"/>
                <w:sz w:val="24"/>
                <w:szCs w:val="24"/>
                <w:u w:val="none" w:color="auto"/>
                <w:lang w:val="en-US" w:eastAsia="zh-CN"/>
              </w:rPr>
              <w:t>根据</w:t>
            </w:r>
            <w:r>
              <w:rPr>
                <w:rFonts w:hint="default" w:ascii="Times New Roman" w:hAnsi="Times New Roman" w:eastAsia="宋体" w:cs="Times New Roman"/>
                <w:b w:val="0"/>
                <w:bCs w:val="0"/>
                <w:color w:val="auto"/>
                <w:sz w:val="24"/>
                <w:szCs w:val="24"/>
                <w:u w:val="none" w:color="auto"/>
                <w:lang w:val="en-US" w:eastAsia="zh-CN"/>
              </w:rPr>
              <w:t>《湖南城陵矶临港产业新区产业核心区总体规划（2010~2030年）》</w:t>
            </w:r>
            <w:r>
              <w:rPr>
                <w:rFonts w:hint="eastAsia" w:eastAsia="宋体" w:cs="Times New Roman"/>
                <w:b w:val="0"/>
                <w:bCs w:val="0"/>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湖南城陵矶临港产业新区产业核心区</w:t>
            </w:r>
            <w:r>
              <w:rPr>
                <w:rFonts w:hint="eastAsia" w:ascii="Times New Roman" w:hAnsi="Times New Roman" w:eastAsia="宋体" w:cs="Times New Roman"/>
                <w:color w:val="auto"/>
                <w:sz w:val="24"/>
                <w:szCs w:val="24"/>
                <w:u w:val="none" w:color="auto"/>
                <w:lang w:val="en-US" w:eastAsia="zh-CN"/>
              </w:rPr>
              <w:t>规划范围：东起随岳高速公路西侧，西抵长江干堤道路西侧，南临规划擂鼓台路、煤灰湖路、兴港路及疏港大道，北至规划环湖路、松阳湖路及其局部所设防涝堤挡水一侧，总用地面积23.68km</w:t>
            </w:r>
            <w:r>
              <w:rPr>
                <w:rFonts w:hint="eastAsia" w:ascii="Times New Roman" w:hAnsi="Times New Roman" w:eastAsia="宋体"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。核心区产业定位为新材料、高技术服务、高端装备制造、电子信息。临港产业核心区工业用地总面积</w:t>
            </w:r>
            <w:r>
              <w:rPr>
                <w:rFonts w:hint="default" w:ascii="Times New Roman" w:hAnsi="Times New Roman" w:eastAsia="宋体" w:cs="Times New Roman"/>
                <w:color w:val="auto"/>
                <w:sz w:val="24"/>
                <w:szCs w:val="24"/>
                <w:u w:val="none" w:color="auto"/>
                <w:lang w:val="en-US" w:eastAsia="zh-CN"/>
              </w:rPr>
              <w:t>940.49</w:t>
            </w:r>
            <w:r>
              <w:rPr>
                <w:rFonts w:hint="eastAsia" w:ascii="Times New Roman" w:hAnsi="Times New Roman" w:eastAsia="宋体" w:cs="Times New Roman"/>
                <w:color w:val="auto"/>
                <w:sz w:val="24"/>
                <w:szCs w:val="24"/>
                <w:u w:val="none" w:color="auto"/>
                <w:lang w:val="en-US" w:eastAsia="zh-CN"/>
              </w:rPr>
              <w:t>公顷，占城市建设用地的</w:t>
            </w:r>
            <w:r>
              <w:rPr>
                <w:rFonts w:hint="default" w:ascii="Times New Roman" w:hAnsi="Times New Roman" w:eastAsia="宋体" w:cs="Times New Roman"/>
                <w:color w:val="auto"/>
                <w:sz w:val="24"/>
                <w:szCs w:val="24"/>
                <w:u w:val="none" w:color="auto"/>
                <w:lang w:val="en-US" w:eastAsia="zh-CN"/>
              </w:rPr>
              <w:t>39.71%</w:t>
            </w:r>
            <w:r>
              <w:rPr>
                <w:rFonts w:hint="eastAsia" w:ascii="Times New Roman" w:hAnsi="Times New Roman" w:eastAsia="宋体" w:cs="Times New Roman"/>
                <w:color w:val="auto"/>
                <w:sz w:val="24"/>
                <w:szCs w:val="24"/>
                <w:u w:val="none" w:color="auto"/>
                <w:lang w:val="en-US" w:eastAsia="zh-CN"/>
              </w:rPr>
              <w:t>，按一、二、三类工业用地控制，以一、二类为主</w:t>
            </w:r>
            <w:r>
              <w:rPr>
                <w:rFonts w:hint="eastAsia" w:eastAsia="宋体" w:cs="Times New Roman"/>
                <w:color w:val="auto"/>
                <w:sz w:val="24"/>
                <w:szCs w:val="24"/>
                <w:u w:val="none" w:color="auto"/>
                <w:lang w:val="en-US" w:eastAsia="zh-CN"/>
              </w:rPr>
              <w:t>......</w:t>
            </w:r>
            <w:r>
              <w:rPr>
                <w:rFonts w:hint="eastAsia" w:ascii="Times New Roman" w:hAnsi="Times New Roman" w:eastAsia="宋体" w:cs="Times New Roman"/>
                <w:color w:val="auto"/>
                <w:sz w:val="24"/>
                <w:szCs w:val="24"/>
                <w:u w:val="none" w:color="auto"/>
                <w:lang w:val="en-US" w:eastAsia="zh-CN"/>
              </w:rPr>
              <w:t>工业用地中一类工业必须严格控制有污染的产业准入，以发展高新技术产业及装备制造业为主。其它二类工业用地根据国土资源部提出的工业用地控制指标要求作为准入门槛，原则上以延伸主导产业下游产业为主，可以适度发展有潜力的其它产业，但必须在空间上进行统一布局。三类工业用地必须严格执行国家相关标准审核项目，严禁污染企业落户</w:t>
            </w:r>
            <w:r>
              <w:rPr>
                <w:rFonts w:hint="eastAsia" w:eastAsia="宋体" w:cs="Times New Roman"/>
                <w:color w:val="auto"/>
                <w:sz w:val="24"/>
                <w:szCs w:val="24"/>
                <w:u w:val="none" w:color="auto"/>
                <w:lang w:val="en-US" w:eastAsia="zh-CN"/>
              </w:rPr>
              <w:t>......</w:t>
            </w:r>
          </w:p>
          <w:p w14:paraId="12825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eastAsia="宋体" w:cs="Times New Roman"/>
                <w:color w:val="auto"/>
                <w:sz w:val="24"/>
                <w:szCs w:val="24"/>
                <w:u w:val="none" w:color="auto"/>
                <w:lang w:val="en-US" w:eastAsia="zh-CN"/>
              </w:rPr>
            </w:pPr>
            <w:r>
              <w:rPr>
                <w:rFonts w:hint="eastAsia" w:eastAsia="宋体" w:cs="Times New Roman"/>
                <w:b/>
                <w:bCs/>
                <w:color w:val="auto"/>
                <w:sz w:val="24"/>
                <w:szCs w:val="24"/>
                <w:u w:val="none" w:color="auto"/>
                <w:lang w:val="en-US" w:eastAsia="zh-CN"/>
              </w:rPr>
              <w:t>符合性：</w:t>
            </w:r>
            <w:r>
              <w:rPr>
                <w:rFonts w:hint="eastAsia" w:ascii="Times New Roman" w:hAnsi="Times New Roman" w:eastAsia="宋体" w:cs="Times New Roman"/>
                <w:color w:val="auto"/>
                <w:sz w:val="24"/>
                <w:szCs w:val="24"/>
                <w:u w:val="none" w:color="auto"/>
                <w:lang w:val="en-US" w:eastAsia="zh-CN"/>
              </w:rPr>
              <w:t>本项目在现有厂房内进行扩建生产，厂址位于岳阳临港高新技术产业开发区（原湖南城陵矶临港产业新区产业核心区），属于临港产业新区核心区范围。</w:t>
            </w:r>
            <w:r>
              <w:rPr>
                <w:rFonts w:hint="default" w:ascii="Times New Roman" w:hAnsi="Times New Roman" w:eastAsia="宋体" w:cs="Times New Roman"/>
                <w:color w:val="auto"/>
                <w:spacing w:val="0"/>
                <w:w w:val="100"/>
                <w:kern w:val="21"/>
                <w:sz w:val="24"/>
                <w:szCs w:val="24"/>
                <w:highlight w:val="none"/>
                <w:u w:val="none" w:color="auto"/>
              </w:rPr>
              <w:t>本项目</w:t>
            </w:r>
            <w:r>
              <w:rPr>
                <w:rFonts w:hint="eastAsia" w:eastAsia="宋体" w:cs="Times New Roman"/>
                <w:color w:val="auto"/>
                <w:spacing w:val="0"/>
                <w:w w:val="100"/>
                <w:kern w:val="21"/>
                <w:sz w:val="24"/>
                <w:szCs w:val="24"/>
                <w:highlight w:val="none"/>
                <w:u w:val="none" w:color="auto"/>
                <w:lang w:eastAsia="zh-CN"/>
              </w:rPr>
              <w:t>为石油化工、新能源等领域设备智能制造，属于</w:t>
            </w:r>
            <w:r>
              <w:rPr>
                <w:rFonts w:hint="default" w:ascii="Times New Roman" w:hAnsi="Times New Roman" w:eastAsia="宋体" w:cs="Times New Roman"/>
                <w:color w:val="auto"/>
                <w:sz w:val="24"/>
                <w:szCs w:val="24"/>
                <w:u w:val="none" w:color="auto"/>
                <w:lang w:val="en-US" w:eastAsia="zh-CN"/>
              </w:rPr>
              <w:t>高端</w:t>
            </w:r>
            <w:r>
              <w:rPr>
                <w:rFonts w:hint="eastAsia" w:ascii="Times New Roman" w:hAnsi="Times New Roman" w:eastAsia="宋体" w:cs="Times New Roman"/>
                <w:color w:val="auto"/>
                <w:sz w:val="24"/>
                <w:szCs w:val="24"/>
                <w:u w:val="none" w:color="auto"/>
                <w:lang w:val="en-US" w:eastAsia="zh-CN"/>
              </w:rPr>
              <w:t>装备</w:t>
            </w:r>
            <w:r>
              <w:rPr>
                <w:rFonts w:hint="default" w:ascii="Times New Roman" w:hAnsi="Times New Roman" w:eastAsia="宋体" w:cs="Times New Roman"/>
                <w:color w:val="auto"/>
                <w:sz w:val="24"/>
                <w:szCs w:val="24"/>
                <w:u w:val="none" w:color="auto"/>
                <w:lang w:val="en-US" w:eastAsia="zh-CN"/>
              </w:rPr>
              <w:t>制造产业</w:t>
            </w:r>
            <w:r>
              <w:rPr>
                <w:rFonts w:hint="eastAsia" w:eastAsia="宋体" w:cs="Times New Roman"/>
                <w:color w:val="auto"/>
                <w:sz w:val="24"/>
                <w:szCs w:val="24"/>
                <w:u w:val="none" w:color="auto"/>
                <w:lang w:val="en-US" w:eastAsia="zh-CN"/>
              </w:rPr>
              <w:t>，符合园区产业定位。本项目</w:t>
            </w:r>
            <w:r>
              <w:rPr>
                <w:rFonts w:hint="default" w:ascii="Times New Roman" w:hAnsi="Times New Roman" w:eastAsia="宋体" w:cs="Times New Roman"/>
                <w:color w:val="000000" w:themeColor="text1"/>
                <w:spacing w:val="0"/>
                <w:kern w:val="0"/>
                <w:position w:val="0"/>
                <w:sz w:val="24"/>
                <w:szCs w:val="24"/>
                <w:highlight w:val="none"/>
                <w:u w:val="none" w:color="auto"/>
                <w:lang w:val="en-US" w:eastAsia="zh-CN"/>
                <w14:textFill>
                  <w14:solidFill>
                    <w14:schemeClr w14:val="tx1"/>
                  </w14:solidFill>
                </w14:textFill>
              </w:rPr>
              <w:t>用地属于</w:t>
            </w:r>
            <w:r>
              <w:rPr>
                <w:rFonts w:hint="eastAsia" w:eastAsia="宋体" w:cs="Times New Roman"/>
                <w:color w:val="000000" w:themeColor="text1"/>
                <w:spacing w:val="0"/>
                <w:kern w:val="0"/>
                <w:position w:val="0"/>
                <w:sz w:val="24"/>
                <w:szCs w:val="24"/>
                <w:highlight w:val="none"/>
                <w:u w:val="none" w:color="auto"/>
                <w:lang w:val="en-US" w:eastAsia="zh-CN"/>
                <w14:textFill>
                  <w14:solidFill>
                    <w14:schemeClr w14:val="tx1"/>
                  </w14:solidFill>
                </w14:textFill>
              </w:rPr>
              <w:t>二类</w:t>
            </w:r>
            <w:r>
              <w:rPr>
                <w:rFonts w:hint="default" w:ascii="Times New Roman" w:hAnsi="Times New Roman" w:eastAsia="宋体" w:cs="Times New Roman"/>
                <w:color w:val="000000" w:themeColor="text1"/>
                <w:spacing w:val="0"/>
                <w:kern w:val="0"/>
                <w:position w:val="0"/>
                <w:sz w:val="24"/>
                <w:szCs w:val="24"/>
                <w:highlight w:val="none"/>
                <w:u w:val="none" w:color="auto"/>
                <w:lang w:val="en-US" w:eastAsia="zh-CN"/>
                <w14:textFill>
                  <w14:solidFill>
                    <w14:schemeClr w14:val="tx1"/>
                  </w14:solidFill>
                </w14:textFill>
              </w:rPr>
              <w:t>工业用地</w:t>
            </w:r>
            <w:r>
              <w:rPr>
                <w:rFonts w:hint="eastAsia" w:ascii="Times New Roman" w:hAnsi="Times New Roman" w:eastAsia="宋体" w:cs="Times New Roman"/>
                <w:color w:val="000000" w:themeColor="text1"/>
                <w:spacing w:val="0"/>
                <w:kern w:val="0"/>
                <w:position w:val="0"/>
                <w:sz w:val="24"/>
                <w:szCs w:val="24"/>
                <w:highlight w:val="none"/>
                <w:u w:val="none" w:color="auto"/>
                <w:lang w:val="en-US" w:eastAsia="zh-CN"/>
                <w14:textFill>
                  <w14:solidFill>
                    <w14:schemeClr w14:val="tx1"/>
                  </w14:solidFill>
                </w14:textFill>
              </w:rPr>
              <w:t>，符合土地利用规划。</w:t>
            </w:r>
          </w:p>
          <w:p w14:paraId="73D37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u w:val="none" w:color="auto"/>
                <w:lang w:val="en-US" w:eastAsia="zh-CN"/>
              </w:rPr>
            </w:pPr>
            <w:r>
              <w:rPr>
                <w:rFonts w:hint="eastAsia" w:eastAsia="宋体" w:cs="Times New Roman"/>
                <w:color w:val="auto"/>
                <w:sz w:val="24"/>
                <w:szCs w:val="24"/>
                <w:u w:val="none" w:color="auto"/>
                <w:lang w:val="en-US" w:eastAsia="zh-CN"/>
              </w:rPr>
              <w:t>但本项目位于园区规划的电子信息产业区，不符合园区的产业空间布局</w:t>
            </w:r>
            <w:r>
              <w:rPr>
                <w:rFonts w:hint="eastAsia" w:ascii="Times New Roman" w:hAnsi="Times New Roman" w:eastAsia="宋体" w:cs="Times New Roman"/>
                <w:color w:val="auto"/>
                <w:sz w:val="24"/>
                <w:szCs w:val="24"/>
                <w:u w:val="none" w:color="auto"/>
                <w:lang w:val="en-US" w:eastAsia="zh-CN"/>
              </w:rPr>
              <w:t>。根据</w:t>
            </w:r>
            <w:r>
              <w:rPr>
                <w:rFonts w:hint="eastAsia" w:eastAsia="宋体" w:cs="Times New Roman"/>
                <w:color w:val="auto"/>
                <w:sz w:val="24"/>
                <w:szCs w:val="24"/>
                <w:u w:val="none" w:color="auto"/>
                <w:lang w:val="en-US" w:eastAsia="zh-CN"/>
              </w:rPr>
              <w:t>开发区</w:t>
            </w:r>
            <w:r>
              <w:rPr>
                <w:rFonts w:hint="eastAsia" w:ascii="Times New Roman" w:hAnsi="Times New Roman" w:eastAsia="宋体" w:cs="Times New Roman"/>
                <w:color w:val="auto"/>
                <w:sz w:val="24"/>
                <w:szCs w:val="24"/>
                <w:u w:val="none" w:color="auto"/>
                <w:lang w:val="en-US" w:eastAsia="zh-CN"/>
              </w:rPr>
              <w:t>规划环评跟踪影响评价结论及批复，园区分区现状为：企业未按原规划的产业布局进行布置，未形成规划中的新材料区、高技术服务区、高端装备制造区、电子信息产业区“四区”的空间结构。后续园区应根据现有企业分布、居住区实际情况，完善功能分区及布局，园区在后续引进产业企业时，应合理引导企业布局，确保各行业企业在其相应的规划产业片区内发展。本项目已与园区签订入园协议，</w:t>
            </w:r>
            <w:r>
              <w:rPr>
                <w:rFonts w:hint="eastAsia" w:eastAsia="宋体" w:cs="Times New Roman"/>
                <w:color w:val="auto"/>
                <w:sz w:val="24"/>
                <w:szCs w:val="24"/>
                <w:u w:val="none" w:color="auto"/>
                <w:lang w:val="en-US" w:eastAsia="zh-CN"/>
              </w:rPr>
              <w:t>项目在现有厂区内进行扩建生产，</w:t>
            </w:r>
            <w:r>
              <w:rPr>
                <w:rFonts w:hint="eastAsia" w:ascii="Times New Roman" w:hAnsi="Times New Roman" w:eastAsia="宋体" w:cs="Times New Roman"/>
                <w:color w:val="auto"/>
                <w:sz w:val="24"/>
                <w:szCs w:val="24"/>
                <w:u w:val="none" w:color="auto"/>
                <w:lang w:val="en-US" w:eastAsia="zh-CN"/>
              </w:rPr>
              <w:t>待园区根据现有企业分布、居住区实际情况</w:t>
            </w:r>
            <w:r>
              <w:rPr>
                <w:rFonts w:hint="eastAsia" w:cs="Times New Roman"/>
                <w:color w:val="auto"/>
                <w:sz w:val="24"/>
                <w:szCs w:val="24"/>
                <w:u w:val="none" w:color="auto"/>
                <w:lang w:val="en-US" w:eastAsia="zh-CN"/>
              </w:rPr>
              <w:t>等</w:t>
            </w:r>
            <w:r>
              <w:rPr>
                <w:rFonts w:hint="eastAsia" w:ascii="Times New Roman" w:hAnsi="Times New Roman" w:eastAsia="宋体" w:cs="Times New Roman"/>
                <w:color w:val="auto"/>
                <w:sz w:val="24"/>
                <w:szCs w:val="24"/>
                <w:u w:val="none" w:color="auto"/>
                <w:lang w:val="en-US" w:eastAsia="zh-CN"/>
              </w:rPr>
              <w:t>完善功能分区及布局后，本项目应按</w:t>
            </w:r>
            <w:r>
              <w:rPr>
                <w:rFonts w:hint="eastAsia" w:ascii="宋体" w:hAnsi="宋体" w:eastAsia="宋体" w:cs="宋体"/>
                <w:color w:val="000000"/>
                <w:kern w:val="0"/>
                <w:sz w:val="24"/>
                <w:szCs w:val="24"/>
                <w:lang w:val="en-US" w:eastAsia="zh-CN" w:bidi="ar"/>
              </w:rPr>
              <w:t>园区规划功能布局相关要求执行</w:t>
            </w:r>
            <w:r>
              <w:rPr>
                <w:rFonts w:hint="eastAsia" w:ascii="Times New Roman" w:hAnsi="Times New Roman" w:eastAsia="宋体" w:cs="Times New Roman"/>
                <w:color w:val="auto"/>
                <w:sz w:val="24"/>
                <w:szCs w:val="24"/>
                <w:u w:val="none" w:color="auto"/>
                <w:lang w:val="en-US" w:eastAsia="zh-CN"/>
              </w:rPr>
              <w:t>。</w:t>
            </w:r>
          </w:p>
          <w:p w14:paraId="2D39A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cs="Times New Roman"/>
                <w:b/>
                <w:bCs/>
                <w:color w:val="auto"/>
                <w:sz w:val="24"/>
                <w:szCs w:val="24"/>
                <w:u w:val="none"/>
                <w:lang w:val="en-US" w:eastAsia="zh-CN"/>
              </w:rPr>
            </w:pP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w:t>
            </w:r>
            <w:r>
              <w:rPr>
                <w:rFonts w:hint="eastAsia" w:eastAsia="宋体" w:cs="Times New Roman"/>
                <w:b/>
                <w:bCs/>
                <w:color w:val="auto"/>
                <w:sz w:val="24"/>
                <w:szCs w:val="24"/>
                <w:u w:val="none"/>
                <w:lang w:val="en-US" w:eastAsia="zh-CN"/>
              </w:rPr>
              <w:t>与《湖南城陵矶临港产业新区产业核心区环境影响报告书》及其批复（湘环评【2012】293号）符合性分析</w:t>
            </w:r>
          </w:p>
          <w:p w14:paraId="533D2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cs="Times New Roman"/>
                <w:b/>
                <w:bCs/>
                <w:color w:val="auto"/>
                <w:sz w:val="24"/>
                <w:szCs w:val="24"/>
                <w:u w:val="none"/>
                <w:lang w:val="en-US" w:eastAsia="zh-CN"/>
              </w:rPr>
            </w:pPr>
            <w:r>
              <w:rPr>
                <w:rFonts w:hint="eastAsia" w:cs="Times New Roman"/>
                <w:b/>
                <w:bCs/>
                <w:color w:val="auto"/>
                <w:sz w:val="24"/>
                <w:szCs w:val="24"/>
                <w:u w:val="none"/>
                <w:lang w:val="en-US" w:eastAsia="zh-CN"/>
              </w:rPr>
              <w:fldChar w:fldCharType="begin"/>
            </w:r>
            <w:r>
              <w:rPr>
                <w:rFonts w:hint="eastAsia" w:cs="Times New Roman"/>
                <w:b/>
                <w:bCs/>
                <w:color w:val="auto"/>
                <w:sz w:val="24"/>
                <w:szCs w:val="24"/>
                <w:u w:val="none"/>
                <w:lang w:val="en-US" w:eastAsia="zh-CN"/>
              </w:rPr>
              <w:instrText xml:space="preserve"> = 1 \* GB3 \* MERGEFORMAT </w:instrText>
            </w:r>
            <w:r>
              <w:rPr>
                <w:rFonts w:hint="eastAsia" w:cs="Times New Roman"/>
                <w:b/>
                <w:bCs/>
                <w:color w:val="auto"/>
                <w:sz w:val="24"/>
                <w:szCs w:val="24"/>
                <w:u w:val="none"/>
                <w:lang w:val="en-US" w:eastAsia="zh-CN"/>
              </w:rPr>
              <w:fldChar w:fldCharType="separate"/>
            </w:r>
            <w:r>
              <w:rPr>
                <w:rFonts w:hint="default"/>
                <w:b/>
                <w:bCs/>
              </w:rPr>
              <w:t>①</w:t>
            </w:r>
            <w:r>
              <w:rPr>
                <w:rFonts w:hint="eastAsia" w:cs="Times New Roman"/>
                <w:b/>
                <w:bCs/>
                <w:color w:val="auto"/>
                <w:sz w:val="24"/>
                <w:szCs w:val="24"/>
                <w:u w:val="none"/>
                <w:lang w:val="en-US" w:eastAsia="zh-CN"/>
              </w:rPr>
              <w:fldChar w:fldCharType="end"/>
            </w:r>
            <w:r>
              <w:rPr>
                <w:rFonts w:hint="eastAsia" w:cs="Times New Roman"/>
                <w:b/>
                <w:bCs/>
                <w:color w:val="auto"/>
                <w:sz w:val="24"/>
                <w:szCs w:val="24"/>
                <w:u w:val="none"/>
                <w:lang w:val="en-US" w:eastAsia="zh-CN"/>
              </w:rPr>
              <w:t>产业定位符合性</w:t>
            </w:r>
          </w:p>
          <w:p w14:paraId="189C7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cs="Times New Roman"/>
                <w:color w:val="auto"/>
                <w:sz w:val="24"/>
                <w:szCs w:val="24"/>
                <w:u w:val="none"/>
                <w:lang w:val="en-US" w:eastAsia="zh-CN"/>
              </w:rPr>
            </w:pPr>
            <w:r>
              <w:rPr>
                <w:rFonts w:hint="eastAsia" w:cs="Times New Roman"/>
                <w:color w:val="auto"/>
                <w:sz w:val="24"/>
                <w:szCs w:val="24"/>
                <w:u w:val="none"/>
                <w:lang w:val="en-US" w:eastAsia="zh-CN"/>
              </w:rPr>
              <w:t>根据</w:t>
            </w:r>
            <w:r>
              <w:rPr>
                <w:rFonts w:hint="default" w:ascii="Times New Roman" w:hAnsi="Times New Roman" w:cs="Times New Roman"/>
                <w:color w:val="auto"/>
                <w:kern w:val="0"/>
                <w:sz w:val="24"/>
                <w:highlight w:val="none"/>
              </w:rPr>
              <w:t>《湖南城陵矶临港产业新区产业核心区环境影响报告书》</w:t>
            </w:r>
            <w:r>
              <w:rPr>
                <w:rFonts w:hint="eastAsia" w:ascii="Times New Roman" w:hAnsi="Times New Roman" w:cs="Times New Roman"/>
                <w:color w:val="auto"/>
                <w:kern w:val="0"/>
                <w:sz w:val="24"/>
                <w:highlight w:val="none"/>
                <w:lang w:eastAsia="zh-CN"/>
              </w:rPr>
              <w:t>及其环评批复</w:t>
            </w:r>
            <w:r>
              <w:rPr>
                <w:rFonts w:hint="default" w:ascii="Times New Roman" w:hAnsi="Times New Roman" w:cs="Times New Roman"/>
                <w:color w:val="auto"/>
                <w:kern w:val="0"/>
                <w:sz w:val="24"/>
                <w:highlight w:val="none"/>
              </w:rPr>
              <w:t>（湘环评</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2012</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293号）</w:t>
            </w:r>
            <w:r>
              <w:rPr>
                <w:rFonts w:hint="eastAsia" w:ascii="Times New Roman" w:hAnsi="Times New Roman" w:cs="Times New Roman"/>
                <w:color w:val="auto"/>
                <w:kern w:val="0"/>
                <w:sz w:val="24"/>
                <w:highlight w:val="none"/>
                <w:lang w:eastAsia="zh-CN"/>
              </w:rPr>
              <w:t>，</w:t>
            </w:r>
            <w:r>
              <w:rPr>
                <w:rFonts w:hint="eastAsia" w:cs="Times New Roman"/>
                <w:color w:val="auto"/>
                <w:sz w:val="24"/>
                <w:szCs w:val="24"/>
                <w:u w:val="none"/>
                <w:lang w:val="en-US" w:eastAsia="zh-CN"/>
              </w:rPr>
              <w:t>本项目选址于</w:t>
            </w:r>
            <w:r>
              <w:rPr>
                <w:rFonts w:hint="eastAsia" w:ascii="Times New Roman" w:hAnsi="Times New Roman" w:eastAsia="宋体" w:cs="Times New Roman"/>
                <w:color w:val="auto"/>
                <w:sz w:val="24"/>
                <w:szCs w:val="24"/>
                <w:u w:val="none" w:color="auto"/>
                <w:lang w:val="en-US" w:eastAsia="zh-CN"/>
              </w:rPr>
              <w:t>岳阳市城陵矶新港区（</w:t>
            </w:r>
            <w:r>
              <w:rPr>
                <w:rFonts w:hint="eastAsia" w:cs="Times New Roman"/>
                <w:color w:val="auto"/>
                <w:sz w:val="24"/>
                <w:szCs w:val="24"/>
                <w:u w:val="none"/>
                <w:lang w:eastAsia="zh-CN"/>
              </w:rPr>
              <w:t>东欣路与东风大道交汇处，敖家垄路北侧，</w:t>
            </w:r>
            <w:r>
              <w:rPr>
                <w:rFonts w:hint="eastAsia" w:ascii="Times New Roman" w:hAnsi="Times New Roman" w:eastAsia="宋体" w:cs="Times New Roman"/>
                <w:color w:val="auto"/>
                <w:sz w:val="24"/>
                <w:szCs w:val="24"/>
                <w:u w:val="none" w:color="auto"/>
                <w:lang w:val="en-US" w:eastAsia="zh-CN"/>
              </w:rPr>
              <w:t>6906临港北斗产业园以南），属于临港产业新区核心区范围。</w:t>
            </w:r>
          </w:p>
          <w:p w14:paraId="2EB52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eastAsia="宋体" w:cs="Times New Roman"/>
                <w:color w:val="auto"/>
                <w:sz w:val="24"/>
                <w:szCs w:val="24"/>
                <w:u w:val="none" w:color="auto"/>
                <w:lang w:val="en-US" w:eastAsia="zh-CN"/>
              </w:rPr>
            </w:pPr>
            <w:r>
              <w:rPr>
                <w:rFonts w:hint="eastAsia" w:cs="Times New Roman"/>
                <w:color w:val="auto"/>
                <w:sz w:val="24"/>
                <w:szCs w:val="24"/>
                <w:u w:val="none"/>
                <w:lang w:val="en-US" w:eastAsia="zh-CN"/>
              </w:rPr>
              <w:t>城陵矶</w:t>
            </w:r>
            <w:r>
              <w:rPr>
                <w:rFonts w:hint="default" w:ascii="Times New Roman" w:hAnsi="Times New Roman" w:cs="Times New Roman"/>
                <w:color w:val="auto"/>
                <w:kern w:val="0"/>
                <w:sz w:val="24"/>
                <w:highlight w:val="none"/>
              </w:rPr>
              <w:t>临港产业新区产业核心区</w:t>
            </w:r>
            <w:r>
              <w:rPr>
                <w:rFonts w:hint="eastAsia" w:cs="Times New Roman"/>
                <w:color w:val="auto"/>
                <w:sz w:val="24"/>
                <w:szCs w:val="24"/>
                <w:u w:val="none"/>
                <w:lang w:val="en-US" w:eastAsia="zh-CN"/>
              </w:rPr>
              <w:t>以发展工业为主，规划工业总用地为940.49公顷，分一、二、三类工业用地和新材料区、高技术服务区、高端装备制造区、电子信息产业区四个工业区。其中新材料区重点发展工业催化新材料、高分子材料、生物医药化工、环保溶剂、中间体和炼厂气体等；高技术服务区重点发展港口航运物流；高端装备制造区重点发展工程机械、汽车零部件、船舶制造等制造业；电子信息产业区重点发展节能灯具、激光、电子、精密仪器等产业。</w:t>
            </w:r>
            <w:r>
              <w:rPr>
                <w:rFonts w:hint="default" w:ascii="Times New Roman" w:hAnsi="Times New Roman" w:eastAsia="宋体" w:cs="Times New Roman"/>
                <w:color w:val="auto"/>
                <w:spacing w:val="0"/>
                <w:w w:val="100"/>
                <w:kern w:val="21"/>
                <w:sz w:val="24"/>
                <w:szCs w:val="24"/>
                <w:highlight w:val="none"/>
                <w:u w:val="none" w:color="auto"/>
              </w:rPr>
              <w:t>本项目</w:t>
            </w:r>
            <w:r>
              <w:rPr>
                <w:rFonts w:hint="eastAsia" w:eastAsia="宋体" w:cs="Times New Roman"/>
                <w:color w:val="auto"/>
                <w:spacing w:val="0"/>
                <w:w w:val="100"/>
                <w:kern w:val="21"/>
                <w:sz w:val="24"/>
                <w:szCs w:val="24"/>
                <w:highlight w:val="none"/>
                <w:u w:val="none" w:color="auto"/>
                <w:lang w:eastAsia="zh-CN"/>
              </w:rPr>
              <w:t>为石油化工、新能源等领域设备智能制造，属于</w:t>
            </w:r>
            <w:r>
              <w:rPr>
                <w:rFonts w:hint="default" w:ascii="Times New Roman" w:hAnsi="Times New Roman" w:eastAsia="宋体" w:cs="Times New Roman"/>
                <w:color w:val="auto"/>
                <w:sz w:val="24"/>
                <w:szCs w:val="24"/>
                <w:u w:val="none" w:color="auto"/>
                <w:lang w:val="en-US" w:eastAsia="zh-CN"/>
              </w:rPr>
              <w:t>高端</w:t>
            </w:r>
            <w:r>
              <w:rPr>
                <w:rFonts w:hint="eastAsia" w:ascii="Times New Roman" w:hAnsi="Times New Roman" w:eastAsia="宋体" w:cs="Times New Roman"/>
                <w:color w:val="auto"/>
                <w:sz w:val="24"/>
                <w:szCs w:val="24"/>
                <w:u w:val="none" w:color="auto"/>
                <w:lang w:val="en-US" w:eastAsia="zh-CN"/>
              </w:rPr>
              <w:t>装备</w:t>
            </w:r>
            <w:r>
              <w:rPr>
                <w:rFonts w:hint="default" w:ascii="Times New Roman" w:hAnsi="Times New Roman" w:eastAsia="宋体" w:cs="Times New Roman"/>
                <w:color w:val="auto"/>
                <w:sz w:val="24"/>
                <w:szCs w:val="24"/>
                <w:u w:val="none" w:color="auto"/>
                <w:lang w:val="en-US" w:eastAsia="zh-CN"/>
              </w:rPr>
              <w:t>制造产业</w:t>
            </w:r>
            <w:r>
              <w:rPr>
                <w:rFonts w:hint="eastAsia" w:eastAsia="宋体" w:cs="Times New Roman"/>
                <w:color w:val="auto"/>
                <w:sz w:val="24"/>
                <w:szCs w:val="24"/>
                <w:u w:val="none" w:color="auto"/>
                <w:lang w:val="en-US" w:eastAsia="zh-CN"/>
              </w:rPr>
              <w:t>，符合园区产业定位。</w:t>
            </w:r>
          </w:p>
          <w:p w14:paraId="19BCC739">
            <w:pPr>
              <w:pStyle w:val="59"/>
              <w:keepNext w:val="0"/>
              <w:keepLines w:val="0"/>
              <w:pageBreakBefore w:val="0"/>
              <w:widowControl w:val="0"/>
              <w:suppressLineNumbers w:val="0"/>
              <w:tabs>
                <w:tab w:val="left" w:pos="866"/>
              </w:tabs>
              <w:kinsoku/>
              <w:wordWrap/>
              <w:overflowPunct/>
              <w:topLinePunct w:val="0"/>
              <w:bidi w:val="0"/>
              <w:adjustRightInd/>
              <w:snapToGrid/>
              <w:spacing w:before="0" w:beforeAutospacing="0" w:after="0" w:afterAutospacing="0" w:line="360" w:lineRule="auto"/>
              <w:ind w:left="0" w:right="-44" w:firstLine="482" w:firstLineChars="200"/>
              <w:jc w:val="both"/>
              <w:textAlignment w:val="auto"/>
              <w:rPr>
                <w:rFonts w:hint="eastAsia" w:ascii="Times New Roman" w:hAnsi="Times New Roman" w:eastAsia="宋体" w:cs="Times New Roman"/>
                <w:b/>
                <w:bCs/>
                <w:color w:val="auto"/>
                <w:kern w:val="2"/>
                <w:sz w:val="24"/>
                <w:szCs w:val="24"/>
                <w:u w:val="none"/>
                <w:lang w:val="en-US" w:eastAsia="zh-CN" w:bidi="ar-SA"/>
              </w:rPr>
            </w:pPr>
            <w:r>
              <w:rPr>
                <w:rFonts w:hint="eastAsia" w:ascii="Times New Roman" w:hAnsi="Times New Roman" w:eastAsia="宋体" w:cs="Times New Roman"/>
                <w:b/>
                <w:bCs/>
                <w:color w:val="auto"/>
                <w:kern w:val="2"/>
                <w:sz w:val="24"/>
                <w:szCs w:val="24"/>
                <w:u w:val="none"/>
                <w:lang w:val="en-US" w:eastAsia="zh-CN" w:bidi="ar-SA"/>
              </w:rPr>
              <w:fldChar w:fldCharType="begin"/>
            </w:r>
            <w:r>
              <w:rPr>
                <w:rFonts w:hint="eastAsia" w:ascii="Times New Roman" w:hAnsi="Times New Roman" w:eastAsia="宋体" w:cs="Times New Roman"/>
                <w:b/>
                <w:bCs/>
                <w:color w:val="auto"/>
                <w:kern w:val="2"/>
                <w:sz w:val="24"/>
                <w:szCs w:val="24"/>
                <w:u w:val="none"/>
                <w:lang w:val="en-US" w:eastAsia="zh-CN" w:bidi="ar-SA"/>
              </w:rPr>
              <w:instrText xml:space="preserve"> = 2 \* GB3 \* MERGEFORMAT </w:instrText>
            </w:r>
            <w:r>
              <w:rPr>
                <w:rFonts w:hint="eastAsia" w:ascii="Times New Roman" w:hAnsi="Times New Roman" w:eastAsia="宋体" w:cs="Times New Roman"/>
                <w:b/>
                <w:bCs/>
                <w:color w:val="auto"/>
                <w:kern w:val="2"/>
                <w:sz w:val="24"/>
                <w:szCs w:val="24"/>
                <w:u w:val="none"/>
                <w:lang w:val="en-US" w:eastAsia="zh-CN" w:bidi="ar-SA"/>
              </w:rPr>
              <w:fldChar w:fldCharType="separate"/>
            </w:r>
            <w:r>
              <w:rPr>
                <w:rFonts w:hint="eastAsia" w:ascii="Times New Roman" w:hAnsi="Times New Roman" w:eastAsia="宋体" w:cs="Times New Roman"/>
                <w:b/>
                <w:bCs/>
                <w:color w:val="auto"/>
                <w:kern w:val="2"/>
                <w:sz w:val="24"/>
                <w:szCs w:val="24"/>
                <w:u w:val="none"/>
                <w:lang w:val="en-US" w:eastAsia="zh-CN" w:bidi="ar-SA"/>
              </w:rPr>
              <w:t>②</w:t>
            </w:r>
            <w:r>
              <w:rPr>
                <w:rFonts w:hint="eastAsia" w:ascii="Times New Roman" w:hAnsi="Times New Roman" w:eastAsia="宋体" w:cs="Times New Roman"/>
                <w:b/>
                <w:bCs/>
                <w:color w:val="auto"/>
                <w:kern w:val="2"/>
                <w:sz w:val="24"/>
                <w:szCs w:val="24"/>
                <w:u w:val="none"/>
                <w:lang w:val="en-US" w:eastAsia="zh-CN" w:bidi="ar-SA"/>
              </w:rPr>
              <w:fldChar w:fldCharType="end"/>
            </w:r>
            <w:r>
              <w:rPr>
                <w:rFonts w:hint="eastAsia" w:ascii="Times New Roman" w:hAnsi="Times New Roman" w:eastAsia="宋体" w:cs="Times New Roman"/>
                <w:b/>
                <w:bCs/>
                <w:color w:val="auto"/>
                <w:kern w:val="2"/>
                <w:sz w:val="24"/>
                <w:szCs w:val="24"/>
                <w:u w:val="none"/>
                <w:lang w:val="en-US" w:eastAsia="zh-CN" w:bidi="ar-SA"/>
              </w:rPr>
              <w:t>企业准入条件符合性</w:t>
            </w:r>
          </w:p>
          <w:p w14:paraId="1C6ABAA4">
            <w:pPr>
              <w:pStyle w:val="59"/>
              <w:keepNext w:val="0"/>
              <w:keepLines w:val="0"/>
              <w:pageBreakBefore w:val="0"/>
              <w:widowControl w:val="0"/>
              <w:suppressLineNumbers w:val="0"/>
              <w:tabs>
                <w:tab w:val="left" w:pos="866"/>
              </w:tabs>
              <w:kinsoku/>
              <w:wordWrap/>
              <w:overflowPunct/>
              <w:topLinePunct w:val="0"/>
              <w:bidi w:val="0"/>
              <w:adjustRightInd/>
              <w:snapToGrid/>
              <w:spacing w:before="0" w:beforeAutospacing="0" w:after="0" w:afterAutospacing="0" w:line="360" w:lineRule="auto"/>
              <w:ind w:left="0" w:right="-44" w:firstLine="480" w:firstLineChars="200"/>
              <w:jc w:val="left"/>
              <w:textAlignment w:val="auto"/>
              <w:rPr>
                <w:rFonts w:hint="eastAsia" w:eastAsia="宋体"/>
                <w:b/>
                <w:sz w:val="21"/>
                <w:lang w:eastAsia="zh-CN"/>
              </w:rPr>
            </w:pPr>
            <w:r>
              <w:rPr>
                <w:rFonts w:hint="eastAsia" w:cs="Times New Roman"/>
                <w:color w:val="auto"/>
                <w:sz w:val="24"/>
                <w:szCs w:val="24"/>
                <w:u w:val="none"/>
                <w:lang w:val="en-US" w:eastAsia="zh-CN"/>
              </w:rPr>
              <w:t>根据</w:t>
            </w:r>
            <w:r>
              <w:rPr>
                <w:rFonts w:hint="default" w:ascii="Times New Roman" w:hAnsi="Times New Roman" w:cs="Times New Roman"/>
                <w:color w:val="auto"/>
                <w:kern w:val="0"/>
                <w:sz w:val="24"/>
                <w:highlight w:val="none"/>
              </w:rPr>
              <w:t>《湖南城陵矶临港产业新区产业核心区环境影响报告书》</w:t>
            </w:r>
            <w:r>
              <w:rPr>
                <w:rFonts w:hint="eastAsia" w:ascii="Times New Roman" w:hAnsi="Times New Roman" w:cs="Times New Roman"/>
                <w:color w:val="auto"/>
                <w:kern w:val="0"/>
                <w:sz w:val="24"/>
                <w:highlight w:val="none"/>
                <w:lang w:eastAsia="zh-CN"/>
              </w:rPr>
              <w:t>及其环评批复</w:t>
            </w:r>
            <w:r>
              <w:rPr>
                <w:rFonts w:hint="default" w:ascii="Times New Roman" w:hAnsi="Times New Roman" w:cs="Times New Roman"/>
                <w:color w:val="auto"/>
                <w:kern w:val="0"/>
                <w:sz w:val="24"/>
                <w:highlight w:val="none"/>
              </w:rPr>
              <w:t>（湘环评</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2012</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293号）</w:t>
            </w:r>
            <w:r>
              <w:rPr>
                <w:rFonts w:hint="eastAsia" w:ascii="Times New Roman" w:hAnsi="Times New Roman" w:cs="Times New Roman"/>
                <w:color w:val="auto"/>
                <w:kern w:val="0"/>
                <w:sz w:val="24"/>
                <w:highlight w:val="none"/>
                <w:lang w:eastAsia="zh-CN"/>
              </w:rPr>
              <w:t>，本项目与“核心区工业企业准入条件一览表”符合性分析如下：</w:t>
            </w:r>
          </w:p>
          <w:p w14:paraId="422D1980">
            <w:pPr>
              <w:pStyle w:val="59"/>
              <w:keepNext w:val="0"/>
              <w:keepLines w:val="0"/>
              <w:suppressLineNumbers w:val="0"/>
              <w:tabs>
                <w:tab w:val="left" w:pos="866"/>
              </w:tabs>
              <w:spacing w:before="0" w:beforeAutospacing="0" w:after="0" w:afterAutospacing="0" w:line="364" w:lineRule="auto"/>
              <w:ind w:left="113" w:right="-44" w:hanging="123"/>
              <w:jc w:val="center"/>
              <w:rPr>
                <w:rFonts w:hint="default"/>
                <w:b/>
                <w:sz w:val="21"/>
                <w:szCs w:val="21"/>
              </w:rPr>
            </w:pPr>
            <w:r>
              <w:rPr>
                <w:rFonts w:hint="default"/>
                <w:b/>
                <w:sz w:val="21"/>
                <w:szCs w:val="21"/>
                <w:lang w:eastAsia="zh-CN"/>
              </w:rPr>
              <w:t>表</w:t>
            </w:r>
            <w:r>
              <w:rPr>
                <w:rFonts w:hint="default" w:ascii="Times New Roman" w:eastAsia="Times New Roman"/>
                <w:b/>
                <w:sz w:val="21"/>
                <w:szCs w:val="21"/>
                <w:lang w:eastAsia="zh-CN"/>
              </w:rPr>
              <w:t>1-1</w:t>
            </w:r>
            <w:r>
              <w:rPr>
                <w:rFonts w:hint="eastAsia" w:ascii="Times New Roman"/>
                <w:b/>
                <w:sz w:val="21"/>
                <w:szCs w:val="21"/>
                <w:lang w:eastAsia="zh-CN"/>
              </w:rPr>
              <w:t xml:space="preserve"> </w:t>
            </w:r>
            <w:r>
              <w:rPr>
                <w:rFonts w:hint="eastAsia" w:ascii="Times New Roman"/>
                <w:b/>
                <w:sz w:val="21"/>
                <w:szCs w:val="21"/>
                <w:lang w:val="en-US" w:eastAsia="zh-CN"/>
              </w:rPr>
              <w:t xml:space="preserve"> 本项目与</w:t>
            </w:r>
            <w:r>
              <w:rPr>
                <w:rFonts w:hint="default"/>
                <w:b/>
                <w:sz w:val="21"/>
                <w:szCs w:val="21"/>
                <w:lang w:eastAsia="zh-CN"/>
              </w:rPr>
              <w:t>临港产业新区</w:t>
            </w:r>
            <w:r>
              <w:rPr>
                <w:rFonts w:hint="default"/>
                <w:b/>
                <w:sz w:val="21"/>
                <w:szCs w:val="21"/>
              </w:rPr>
              <w:t>企业准入条件</w:t>
            </w:r>
            <w:r>
              <w:rPr>
                <w:rFonts w:hint="eastAsia"/>
                <w:b/>
                <w:sz w:val="21"/>
                <w:szCs w:val="21"/>
                <w:lang w:eastAsia="zh-CN"/>
              </w:rPr>
              <w:t>符合性分析</w:t>
            </w:r>
            <w:r>
              <w:rPr>
                <w:rFonts w:hint="default"/>
                <w:b/>
                <w:sz w:val="21"/>
                <w:szCs w:val="21"/>
              </w:rPr>
              <w:t>表</w:t>
            </w:r>
          </w:p>
          <w:tbl>
            <w:tblPr>
              <w:tblStyle w:val="3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0"/>
              <w:gridCol w:w="3013"/>
              <w:gridCol w:w="3010"/>
              <w:gridCol w:w="753"/>
            </w:tblGrid>
            <w:tr w14:paraId="75BF2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l2br w:val="nil"/>
                    <w:tr2bl w:val="nil"/>
                  </w:tcBorders>
                  <w:noWrap w:val="0"/>
                  <w:vAlign w:val="center"/>
                </w:tcPr>
                <w:p w14:paraId="12DE47FA">
                  <w:pPr>
                    <w:keepNext w:val="0"/>
                    <w:keepLines w:val="0"/>
                    <w:suppressLineNumbers w:val="0"/>
                    <w:spacing w:before="0" w:beforeAutospacing="0" w:after="0" w:afterAutospacing="0" w:line="240" w:lineRule="auto"/>
                    <w:ind w:left="0" w:right="0"/>
                    <w:jc w:val="center"/>
                    <w:rPr>
                      <w:rFonts w:hint="eastAsia" w:eastAsia="宋体"/>
                      <w:b/>
                      <w:sz w:val="21"/>
                      <w:szCs w:val="21"/>
                      <w:lang w:eastAsia="zh-CN"/>
                    </w:rPr>
                  </w:pPr>
                  <w:r>
                    <w:rPr>
                      <w:rFonts w:hint="eastAsia"/>
                      <w:b/>
                      <w:sz w:val="21"/>
                      <w:szCs w:val="21"/>
                      <w:lang w:eastAsia="zh-CN"/>
                    </w:rPr>
                    <w:t>类型</w:t>
                  </w:r>
                </w:p>
              </w:tc>
              <w:tc>
                <w:tcPr>
                  <w:tcW w:w="1972" w:type="pct"/>
                  <w:tcBorders>
                    <w:tl2br w:val="nil"/>
                    <w:tr2bl w:val="nil"/>
                  </w:tcBorders>
                  <w:noWrap w:val="0"/>
                  <w:vAlign w:val="center"/>
                </w:tcPr>
                <w:p w14:paraId="109DE3F9">
                  <w:pPr>
                    <w:keepNext w:val="0"/>
                    <w:keepLines w:val="0"/>
                    <w:suppressLineNumbers w:val="0"/>
                    <w:spacing w:before="0" w:beforeAutospacing="0" w:after="0" w:afterAutospacing="0" w:line="240" w:lineRule="auto"/>
                    <w:ind w:left="0" w:right="0"/>
                    <w:jc w:val="center"/>
                    <w:rPr>
                      <w:rFonts w:hint="eastAsia" w:eastAsia="宋体"/>
                      <w:b/>
                      <w:sz w:val="21"/>
                      <w:szCs w:val="21"/>
                      <w:lang w:eastAsia="zh-CN"/>
                    </w:rPr>
                  </w:pPr>
                  <w:r>
                    <w:rPr>
                      <w:rFonts w:hint="eastAsia"/>
                      <w:b/>
                      <w:sz w:val="21"/>
                      <w:szCs w:val="21"/>
                      <w:lang w:eastAsia="zh-CN"/>
                    </w:rPr>
                    <w:t>行业类别</w:t>
                  </w:r>
                </w:p>
              </w:tc>
              <w:tc>
                <w:tcPr>
                  <w:tcW w:w="1970" w:type="pct"/>
                  <w:tcBorders>
                    <w:tl2br w:val="nil"/>
                    <w:tr2bl w:val="nil"/>
                  </w:tcBorders>
                  <w:noWrap w:val="0"/>
                  <w:vAlign w:val="center"/>
                </w:tcPr>
                <w:p w14:paraId="1CC0B262">
                  <w:pPr>
                    <w:keepNext w:val="0"/>
                    <w:keepLines w:val="0"/>
                    <w:suppressLineNumbers w:val="0"/>
                    <w:spacing w:before="0" w:beforeAutospacing="0" w:after="0" w:afterAutospacing="0" w:line="240" w:lineRule="auto"/>
                    <w:ind w:left="0" w:right="0"/>
                    <w:jc w:val="center"/>
                    <w:rPr>
                      <w:rFonts w:hint="eastAsia" w:eastAsia="宋体"/>
                      <w:b/>
                      <w:sz w:val="21"/>
                      <w:szCs w:val="21"/>
                      <w:lang w:eastAsia="zh-CN"/>
                    </w:rPr>
                  </w:pPr>
                  <w:r>
                    <w:rPr>
                      <w:rFonts w:hint="eastAsia"/>
                      <w:b/>
                      <w:sz w:val="21"/>
                      <w:szCs w:val="21"/>
                      <w:lang w:eastAsia="zh-CN"/>
                    </w:rPr>
                    <w:t>本项目情况</w:t>
                  </w:r>
                </w:p>
              </w:tc>
              <w:tc>
                <w:tcPr>
                  <w:tcW w:w="493" w:type="pct"/>
                  <w:tcBorders>
                    <w:tl2br w:val="nil"/>
                    <w:tr2bl w:val="nil"/>
                  </w:tcBorders>
                  <w:noWrap w:val="0"/>
                  <w:vAlign w:val="center"/>
                </w:tcPr>
                <w:p w14:paraId="41B5B258">
                  <w:pPr>
                    <w:keepNext w:val="0"/>
                    <w:keepLines w:val="0"/>
                    <w:suppressLineNumbers w:val="0"/>
                    <w:spacing w:before="0" w:beforeAutospacing="0" w:after="0" w:afterAutospacing="0" w:line="240" w:lineRule="auto"/>
                    <w:ind w:left="0" w:right="0"/>
                    <w:jc w:val="center"/>
                    <w:rPr>
                      <w:rFonts w:hint="eastAsia" w:eastAsia="宋体"/>
                      <w:b/>
                      <w:sz w:val="21"/>
                      <w:szCs w:val="21"/>
                      <w:lang w:eastAsia="zh-CN"/>
                    </w:rPr>
                  </w:pPr>
                  <w:r>
                    <w:rPr>
                      <w:rFonts w:hint="eastAsia"/>
                      <w:b/>
                      <w:sz w:val="21"/>
                      <w:szCs w:val="21"/>
                      <w:lang w:eastAsia="zh-CN"/>
                    </w:rPr>
                    <w:t>分析结论</w:t>
                  </w:r>
                </w:p>
              </w:tc>
            </w:tr>
            <w:tr w14:paraId="3F1B9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l2br w:val="nil"/>
                    <w:tr2bl w:val="nil"/>
                  </w:tcBorders>
                  <w:noWrap w:val="0"/>
                  <w:vAlign w:val="center"/>
                </w:tcPr>
                <w:p w14:paraId="06CC8EB2">
                  <w:pPr>
                    <w:keepNext w:val="0"/>
                    <w:keepLines w:val="0"/>
                    <w:widowControl/>
                    <w:suppressLineNumbers w:val="0"/>
                    <w:spacing w:before="0" w:beforeAutospacing="0" w:after="0" w:afterAutospacing="0" w:line="240" w:lineRule="auto"/>
                    <w:ind w:left="0" w:right="0"/>
                    <w:jc w:val="left"/>
                    <w:rPr>
                      <w:rFonts w:hint="default"/>
                      <w:bCs/>
                      <w:sz w:val="21"/>
                      <w:szCs w:val="21"/>
                    </w:rPr>
                  </w:pPr>
                  <w:r>
                    <w:rPr>
                      <w:rFonts w:hint="eastAsia" w:ascii="宋体" w:hAnsi="宋体" w:eastAsia="宋体" w:cs="宋体"/>
                      <w:color w:val="000000"/>
                      <w:kern w:val="0"/>
                      <w:sz w:val="21"/>
                      <w:szCs w:val="21"/>
                      <w:lang w:val="en-US" w:eastAsia="zh-CN" w:bidi="ar"/>
                    </w:rPr>
                    <w:t>鼓励类</w:t>
                  </w:r>
                </w:p>
              </w:tc>
              <w:tc>
                <w:tcPr>
                  <w:tcW w:w="1972" w:type="pct"/>
                  <w:tcBorders>
                    <w:tl2br w:val="nil"/>
                    <w:tr2bl w:val="nil"/>
                  </w:tcBorders>
                  <w:noWrap w:val="0"/>
                  <w:vAlign w:val="center"/>
                </w:tcPr>
                <w:p w14:paraId="0C394D2F">
                  <w:pPr>
                    <w:keepNext w:val="0"/>
                    <w:keepLines w:val="0"/>
                    <w:widowControl/>
                    <w:suppressLineNumbers w:val="0"/>
                    <w:spacing w:before="0" w:beforeAutospacing="0" w:after="0" w:afterAutospacing="0" w:line="240" w:lineRule="auto"/>
                    <w:ind w:left="0" w:right="0"/>
                    <w:jc w:val="left"/>
                    <w:rPr>
                      <w:rFonts w:hint="eastAsia"/>
                      <w:bCs/>
                      <w:sz w:val="21"/>
                      <w:szCs w:val="21"/>
                    </w:rPr>
                  </w:pPr>
                  <w:r>
                    <w:rPr>
                      <w:rFonts w:hint="eastAsia" w:ascii="宋体" w:hAnsi="宋体" w:eastAsia="宋体" w:cs="宋体"/>
                      <w:color w:val="000000"/>
                      <w:kern w:val="0"/>
                      <w:sz w:val="21"/>
                      <w:szCs w:val="21"/>
                      <w:lang w:val="en-US" w:eastAsia="zh-CN" w:bidi="ar"/>
                    </w:rPr>
                    <w:t>一类工业企业：企业技术研发机构、无工业废水、工艺废气排放的产业、现代物流、基础设施项目：交通运输、邮电通讯、供水、供热、供气、污水处理等；二类工业企业：先进机械制造业、环保新材料、高新技术产业；综合利用资源与再生资源、环境保护工程。</w:t>
                  </w:r>
                </w:p>
              </w:tc>
              <w:tc>
                <w:tcPr>
                  <w:tcW w:w="1970" w:type="pct"/>
                  <w:tcBorders>
                    <w:tl2br w:val="nil"/>
                    <w:tr2bl w:val="nil"/>
                  </w:tcBorders>
                  <w:noWrap w:val="0"/>
                  <w:vAlign w:val="center"/>
                </w:tcPr>
                <w:p w14:paraId="71609521">
                  <w:pPr>
                    <w:keepNext w:val="0"/>
                    <w:keepLines w:val="0"/>
                    <w:suppressLineNumbers w:val="0"/>
                    <w:spacing w:before="0" w:beforeAutospacing="0" w:after="0" w:afterAutospacing="0" w:line="240" w:lineRule="auto"/>
                    <w:ind w:left="0" w:right="0"/>
                    <w:jc w:val="center"/>
                    <w:rPr>
                      <w:rFonts w:hint="eastAsia" w:eastAsia="宋体"/>
                      <w:bCs/>
                      <w:sz w:val="21"/>
                      <w:szCs w:val="21"/>
                      <w:lang w:eastAsia="zh-CN"/>
                    </w:rPr>
                  </w:pPr>
                  <w:r>
                    <w:rPr>
                      <w:rFonts w:hint="eastAsia"/>
                      <w:bCs/>
                      <w:sz w:val="21"/>
                      <w:szCs w:val="21"/>
                      <w:lang w:eastAsia="zh-CN"/>
                    </w:rPr>
                    <w:t>本项目焊接工序采用焊接机器人，实现部分智能化制造，属于先进机械制造业。</w:t>
                  </w:r>
                </w:p>
              </w:tc>
              <w:tc>
                <w:tcPr>
                  <w:tcW w:w="493" w:type="pct"/>
                  <w:tcBorders>
                    <w:tl2br w:val="nil"/>
                    <w:tr2bl w:val="nil"/>
                  </w:tcBorders>
                  <w:noWrap w:val="0"/>
                  <w:vAlign w:val="center"/>
                </w:tcPr>
                <w:p w14:paraId="4371E0DF">
                  <w:pPr>
                    <w:keepNext w:val="0"/>
                    <w:keepLines w:val="0"/>
                    <w:suppressLineNumbers w:val="0"/>
                    <w:spacing w:before="0" w:beforeAutospacing="0" w:after="0" w:afterAutospacing="0" w:line="240" w:lineRule="auto"/>
                    <w:ind w:left="0" w:right="0"/>
                    <w:jc w:val="center"/>
                    <w:rPr>
                      <w:rFonts w:hint="eastAsia" w:eastAsia="宋体"/>
                      <w:bCs/>
                      <w:sz w:val="21"/>
                      <w:szCs w:val="21"/>
                      <w:lang w:eastAsia="zh-CN"/>
                    </w:rPr>
                  </w:pPr>
                  <w:r>
                    <w:rPr>
                      <w:rFonts w:hint="eastAsia"/>
                      <w:bCs/>
                      <w:sz w:val="21"/>
                      <w:szCs w:val="21"/>
                      <w:lang w:eastAsia="zh-CN"/>
                    </w:rPr>
                    <w:t>基本满足鼓励类要求</w:t>
                  </w:r>
                </w:p>
              </w:tc>
            </w:tr>
            <w:tr w14:paraId="7BF46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l2br w:val="nil"/>
                    <w:tr2bl w:val="nil"/>
                  </w:tcBorders>
                  <w:noWrap w:val="0"/>
                  <w:vAlign w:val="center"/>
                </w:tcPr>
                <w:p w14:paraId="5E8FB13F">
                  <w:pPr>
                    <w:keepNext w:val="0"/>
                    <w:keepLines w:val="0"/>
                    <w:widowControl/>
                    <w:suppressLineNumbers w:val="0"/>
                    <w:spacing w:before="0" w:beforeAutospacing="0" w:after="0" w:afterAutospacing="0" w:line="240" w:lineRule="auto"/>
                    <w:ind w:left="0" w:right="0"/>
                    <w:jc w:val="left"/>
                    <w:rPr>
                      <w:rFonts w:hint="default"/>
                      <w:bCs/>
                      <w:sz w:val="21"/>
                      <w:szCs w:val="21"/>
                    </w:rPr>
                  </w:pPr>
                  <w:r>
                    <w:rPr>
                      <w:rFonts w:hint="eastAsia" w:ascii="宋体" w:hAnsi="宋体" w:eastAsia="宋体" w:cs="宋体"/>
                      <w:color w:val="000000"/>
                      <w:kern w:val="0"/>
                      <w:sz w:val="21"/>
                      <w:szCs w:val="21"/>
                      <w:lang w:val="en-US" w:eastAsia="zh-CN" w:bidi="ar"/>
                    </w:rPr>
                    <w:t>允许类</w:t>
                  </w:r>
                </w:p>
              </w:tc>
              <w:tc>
                <w:tcPr>
                  <w:tcW w:w="1972" w:type="pct"/>
                  <w:tcBorders>
                    <w:tl2br w:val="nil"/>
                    <w:tr2bl w:val="nil"/>
                  </w:tcBorders>
                  <w:noWrap w:val="0"/>
                  <w:vAlign w:val="center"/>
                </w:tcPr>
                <w:p w14:paraId="00430C88">
                  <w:pPr>
                    <w:keepNext w:val="0"/>
                    <w:keepLines w:val="0"/>
                    <w:widowControl/>
                    <w:suppressLineNumbers w:val="0"/>
                    <w:spacing w:before="0" w:beforeAutospacing="0" w:after="0" w:afterAutospacing="0" w:line="240" w:lineRule="auto"/>
                    <w:ind w:left="0" w:right="0"/>
                    <w:jc w:val="left"/>
                    <w:rPr>
                      <w:rFonts w:hint="eastAsia"/>
                      <w:bCs/>
                      <w:sz w:val="21"/>
                      <w:szCs w:val="21"/>
                    </w:rPr>
                  </w:pPr>
                  <w:r>
                    <w:rPr>
                      <w:rFonts w:hint="eastAsia" w:ascii="宋体" w:hAnsi="宋体" w:eastAsia="宋体" w:cs="宋体"/>
                      <w:color w:val="000000"/>
                      <w:kern w:val="0"/>
                      <w:sz w:val="21"/>
                      <w:szCs w:val="21"/>
                      <w:lang w:val="en-US" w:eastAsia="zh-CN" w:bidi="ar"/>
                    </w:rPr>
                    <w:t>二类工业企业：排污量小，物耗能耗低的与主导产业配套的相关产业</w:t>
                  </w:r>
                </w:p>
              </w:tc>
              <w:tc>
                <w:tcPr>
                  <w:tcW w:w="1970" w:type="pct"/>
                  <w:tcBorders>
                    <w:tl2br w:val="nil"/>
                    <w:tr2bl w:val="nil"/>
                  </w:tcBorders>
                  <w:noWrap w:val="0"/>
                  <w:vAlign w:val="center"/>
                </w:tcPr>
                <w:p w14:paraId="5C3F9A90">
                  <w:pPr>
                    <w:keepNext w:val="0"/>
                    <w:keepLines w:val="0"/>
                    <w:suppressLineNumbers w:val="0"/>
                    <w:spacing w:before="0" w:beforeAutospacing="0" w:after="0" w:afterAutospacing="0" w:line="240" w:lineRule="auto"/>
                    <w:ind w:left="0" w:right="0"/>
                    <w:jc w:val="center"/>
                    <w:rPr>
                      <w:rFonts w:hint="eastAsia" w:eastAsia="宋体"/>
                      <w:bCs/>
                      <w:sz w:val="21"/>
                      <w:szCs w:val="21"/>
                      <w:highlight w:val="none"/>
                      <w:lang w:eastAsia="zh-CN"/>
                    </w:rPr>
                  </w:pPr>
                  <w:r>
                    <w:rPr>
                      <w:rFonts w:hint="eastAsia"/>
                      <w:bCs/>
                      <w:sz w:val="21"/>
                      <w:szCs w:val="21"/>
                      <w:highlight w:val="none"/>
                      <w:lang w:eastAsia="zh-CN"/>
                    </w:rPr>
                    <w:t>本项目属于二类工业企业。项目主要使用电能，物耗能耗较低。项目运营期主要产生机加工粉尘、焊接粉尘、</w:t>
                  </w:r>
                  <w:r>
                    <w:rPr>
                      <w:rFonts w:hint="eastAsia"/>
                      <w:bCs/>
                      <w:sz w:val="21"/>
                      <w:szCs w:val="21"/>
                      <w:highlight w:val="none"/>
                      <w:lang w:val="en-US" w:eastAsia="zh-CN"/>
                    </w:rPr>
                    <w:t>抛丸粉尘</w:t>
                  </w:r>
                  <w:r>
                    <w:rPr>
                      <w:rFonts w:hint="eastAsia"/>
                      <w:bCs/>
                      <w:sz w:val="21"/>
                      <w:szCs w:val="21"/>
                      <w:highlight w:val="none"/>
                      <w:lang w:eastAsia="zh-CN"/>
                    </w:rPr>
                    <w:t>和喷漆废气，经处理后达标排放；试压废水经沉淀后，生活污水经隔油池化粪池处理后</w:t>
                  </w:r>
                  <w:r>
                    <w:rPr>
                      <w:rFonts w:hint="eastAsia"/>
                      <w:bCs/>
                      <w:sz w:val="21"/>
                      <w:szCs w:val="21"/>
                      <w:highlight w:val="none"/>
                      <w:lang w:val="en-US" w:eastAsia="zh-CN"/>
                    </w:rPr>
                    <w:t>均</w:t>
                  </w:r>
                  <w:r>
                    <w:rPr>
                      <w:rFonts w:hint="eastAsia"/>
                      <w:bCs/>
                      <w:sz w:val="21"/>
                      <w:szCs w:val="21"/>
                      <w:highlight w:val="none"/>
                      <w:lang w:eastAsia="zh-CN"/>
                    </w:rPr>
                    <w:t>进入</w:t>
                  </w:r>
                  <w:r>
                    <w:rPr>
                      <w:rFonts w:hint="eastAsia"/>
                      <w:bCs/>
                      <w:szCs w:val="21"/>
                      <w:u w:val="none"/>
                    </w:rPr>
                    <w:t>湖南城陵矶临港产业新区污水处理厂</w:t>
                  </w:r>
                  <w:r>
                    <w:rPr>
                      <w:rFonts w:hint="eastAsia"/>
                      <w:bCs/>
                      <w:szCs w:val="21"/>
                      <w:u w:val="none"/>
                      <w:lang w:eastAsia="zh-CN"/>
                    </w:rPr>
                    <w:t>深度处理；废边角料、废包装材料、焊渣等均合理处理处置；废液压油、废油漆桶等危险废物委托相关资质单位处理处置。因此，本项目属于</w:t>
                  </w:r>
                  <w:r>
                    <w:rPr>
                      <w:rFonts w:hint="eastAsia" w:ascii="宋体" w:hAnsi="宋体" w:eastAsia="宋体" w:cs="宋体"/>
                      <w:color w:val="000000"/>
                      <w:kern w:val="0"/>
                      <w:sz w:val="21"/>
                      <w:szCs w:val="21"/>
                      <w:lang w:val="en-US" w:eastAsia="zh-CN" w:bidi="ar"/>
                    </w:rPr>
                    <w:t>排污量小，物耗能耗低的与主导产业配套的相关产业。</w:t>
                  </w:r>
                </w:p>
              </w:tc>
              <w:tc>
                <w:tcPr>
                  <w:tcW w:w="493" w:type="pct"/>
                  <w:tcBorders>
                    <w:tl2br w:val="nil"/>
                    <w:tr2bl w:val="nil"/>
                  </w:tcBorders>
                  <w:noWrap w:val="0"/>
                  <w:vAlign w:val="center"/>
                </w:tcPr>
                <w:p w14:paraId="2D86DD97">
                  <w:pPr>
                    <w:keepNext w:val="0"/>
                    <w:keepLines w:val="0"/>
                    <w:suppressLineNumbers w:val="0"/>
                    <w:spacing w:before="0" w:beforeAutospacing="0" w:after="0" w:afterAutospacing="0" w:line="240" w:lineRule="auto"/>
                    <w:ind w:left="0" w:right="0"/>
                    <w:jc w:val="center"/>
                    <w:rPr>
                      <w:rFonts w:hint="eastAsia" w:eastAsia="宋体"/>
                      <w:bCs/>
                      <w:sz w:val="21"/>
                      <w:szCs w:val="21"/>
                      <w:highlight w:val="none"/>
                      <w:lang w:eastAsia="zh-CN"/>
                    </w:rPr>
                  </w:pPr>
                  <w:r>
                    <w:rPr>
                      <w:rFonts w:hint="eastAsia"/>
                      <w:bCs/>
                      <w:sz w:val="21"/>
                      <w:szCs w:val="21"/>
                      <w:highlight w:val="none"/>
                      <w:lang w:eastAsia="zh-CN"/>
                    </w:rPr>
                    <w:t>属于允许类</w:t>
                  </w:r>
                </w:p>
              </w:tc>
            </w:tr>
            <w:tr w14:paraId="6DA9B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l2br w:val="nil"/>
                    <w:tr2bl w:val="nil"/>
                  </w:tcBorders>
                  <w:noWrap w:val="0"/>
                  <w:vAlign w:val="center"/>
                </w:tcPr>
                <w:p w14:paraId="3ABA4EEA">
                  <w:pPr>
                    <w:keepNext w:val="0"/>
                    <w:keepLines w:val="0"/>
                    <w:widowControl/>
                    <w:suppressLineNumbers w:val="0"/>
                    <w:spacing w:before="0" w:beforeAutospacing="0" w:after="0" w:afterAutospacing="0" w:line="240" w:lineRule="auto"/>
                    <w:ind w:left="0" w:right="0"/>
                    <w:jc w:val="left"/>
                    <w:rPr>
                      <w:rFonts w:hint="default"/>
                      <w:bCs/>
                      <w:sz w:val="21"/>
                      <w:szCs w:val="21"/>
                    </w:rPr>
                  </w:pPr>
                  <w:r>
                    <w:rPr>
                      <w:rFonts w:hint="eastAsia" w:ascii="宋体" w:hAnsi="宋体" w:eastAsia="宋体" w:cs="宋体"/>
                      <w:color w:val="000000"/>
                      <w:kern w:val="0"/>
                      <w:sz w:val="21"/>
                      <w:szCs w:val="21"/>
                      <w:lang w:val="en-US" w:eastAsia="zh-CN" w:bidi="ar"/>
                    </w:rPr>
                    <w:t>限制类</w:t>
                  </w:r>
                </w:p>
              </w:tc>
              <w:tc>
                <w:tcPr>
                  <w:tcW w:w="1972" w:type="pct"/>
                  <w:tcBorders>
                    <w:tl2br w:val="nil"/>
                    <w:tr2bl w:val="nil"/>
                  </w:tcBorders>
                  <w:noWrap w:val="0"/>
                  <w:vAlign w:val="center"/>
                </w:tcPr>
                <w:p w14:paraId="2A6A973C">
                  <w:pPr>
                    <w:keepNext w:val="0"/>
                    <w:keepLines w:val="0"/>
                    <w:widowControl/>
                    <w:suppressLineNumbers w:val="0"/>
                    <w:spacing w:before="0" w:beforeAutospacing="0" w:after="0" w:afterAutospacing="0" w:line="240" w:lineRule="auto"/>
                    <w:ind w:left="0" w:right="0"/>
                    <w:jc w:val="left"/>
                    <w:rPr>
                      <w:rFonts w:hint="eastAsia"/>
                      <w:bCs/>
                      <w:sz w:val="21"/>
                      <w:szCs w:val="21"/>
                      <w:u w:val="none"/>
                    </w:rPr>
                  </w:pPr>
                  <w:r>
                    <w:rPr>
                      <w:rFonts w:hint="eastAsia" w:ascii="宋体" w:hAnsi="宋体" w:eastAsia="宋体" w:cs="宋体"/>
                      <w:color w:val="000000"/>
                      <w:kern w:val="0"/>
                      <w:sz w:val="21"/>
                      <w:szCs w:val="21"/>
                      <w:lang w:val="en-US" w:eastAsia="zh-CN" w:bidi="ar"/>
                    </w:rPr>
                    <w:t>一、二类工业企业：水耗、能耗较高的工业项目、现有生产能力大，市场容量小的项目；三类工业企业：制革工业、电镀工业、使用含汞、砷、镉、铬、铅、氰化物等为原料的项目、水耗、能耗较高的工业项目、现有生产能力大，市场容量小的项目。</w:t>
                  </w:r>
                </w:p>
              </w:tc>
              <w:tc>
                <w:tcPr>
                  <w:tcW w:w="1970" w:type="pct"/>
                  <w:tcBorders>
                    <w:tl2br w:val="nil"/>
                    <w:tr2bl w:val="nil"/>
                  </w:tcBorders>
                  <w:noWrap w:val="0"/>
                  <w:vAlign w:val="center"/>
                </w:tcPr>
                <w:p w14:paraId="69841607">
                  <w:pPr>
                    <w:keepNext w:val="0"/>
                    <w:keepLines w:val="0"/>
                    <w:suppressLineNumbers w:val="0"/>
                    <w:spacing w:before="0" w:beforeAutospacing="0" w:after="0" w:afterAutospacing="0" w:line="240" w:lineRule="auto"/>
                    <w:ind w:left="0" w:right="0"/>
                    <w:jc w:val="center"/>
                    <w:rPr>
                      <w:rFonts w:hint="eastAsia" w:eastAsia="宋体"/>
                      <w:bCs/>
                      <w:sz w:val="21"/>
                      <w:szCs w:val="21"/>
                      <w:u w:val="none"/>
                      <w:lang w:eastAsia="zh-CN"/>
                    </w:rPr>
                  </w:pPr>
                  <w:r>
                    <w:rPr>
                      <w:rFonts w:hint="eastAsia" w:ascii="宋体" w:hAnsi="宋体" w:eastAsia="宋体" w:cs="宋体"/>
                      <w:color w:val="000000"/>
                      <w:kern w:val="0"/>
                      <w:sz w:val="21"/>
                      <w:szCs w:val="21"/>
                      <w:lang w:val="en-US" w:eastAsia="zh-CN" w:bidi="ar"/>
                    </w:rPr>
                    <w:t>本项目不属于水耗、能耗较高的工业项目、现有生产能力大，市场容量小的二类工业企业项目。</w:t>
                  </w:r>
                </w:p>
              </w:tc>
              <w:tc>
                <w:tcPr>
                  <w:tcW w:w="493" w:type="pct"/>
                  <w:tcBorders>
                    <w:tl2br w:val="nil"/>
                    <w:tr2bl w:val="nil"/>
                  </w:tcBorders>
                  <w:noWrap w:val="0"/>
                  <w:vAlign w:val="center"/>
                </w:tcPr>
                <w:p w14:paraId="223AC600">
                  <w:pPr>
                    <w:keepNext w:val="0"/>
                    <w:keepLines w:val="0"/>
                    <w:suppressLineNumbers w:val="0"/>
                    <w:spacing w:before="0" w:beforeAutospacing="0" w:after="0" w:afterAutospacing="0" w:line="240" w:lineRule="auto"/>
                    <w:ind w:left="0" w:right="0"/>
                    <w:jc w:val="center"/>
                    <w:rPr>
                      <w:rFonts w:hint="eastAsia" w:eastAsia="宋体"/>
                      <w:bCs/>
                      <w:sz w:val="21"/>
                      <w:szCs w:val="21"/>
                      <w:lang w:eastAsia="zh-CN"/>
                    </w:rPr>
                  </w:pPr>
                  <w:r>
                    <w:rPr>
                      <w:rFonts w:hint="eastAsia"/>
                      <w:bCs/>
                      <w:sz w:val="21"/>
                      <w:szCs w:val="21"/>
                      <w:lang w:eastAsia="zh-CN"/>
                    </w:rPr>
                    <w:t>不属于限制类</w:t>
                  </w:r>
                </w:p>
              </w:tc>
            </w:tr>
            <w:tr w14:paraId="0C408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l2br w:val="nil"/>
                    <w:tr2bl w:val="nil"/>
                  </w:tcBorders>
                  <w:noWrap w:val="0"/>
                  <w:vAlign w:val="center"/>
                </w:tcPr>
                <w:p w14:paraId="3081B96F">
                  <w:pPr>
                    <w:keepNext w:val="0"/>
                    <w:keepLines w:val="0"/>
                    <w:widowControl/>
                    <w:suppressLineNumbers w:val="0"/>
                    <w:spacing w:before="0" w:beforeAutospacing="0" w:after="0" w:afterAutospacing="0" w:line="240" w:lineRule="auto"/>
                    <w:ind w:left="0" w:right="0"/>
                    <w:jc w:val="left"/>
                    <w:rPr>
                      <w:rFonts w:hint="default"/>
                      <w:bCs/>
                      <w:sz w:val="21"/>
                      <w:szCs w:val="21"/>
                    </w:rPr>
                  </w:pPr>
                  <w:r>
                    <w:rPr>
                      <w:rFonts w:hint="eastAsia" w:ascii="宋体" w:hAnsi="宋体" w:eastAsia="宋体" w:cs="宋体"/>
                      <w:color w:val="000000"/>
                      <w:kern w:val="0"/>
                      <w:sz w:val="21"/>
                      <w:szCs w:val="21"/>
                      <w:lang w:val="en-US" w:eastAsia="zh-CN" w:bidi="ar"/>
                    </w:rPr>
                    <w:t>禁止类</w:t>
                  </w:r>
                </w:p>
              </w:tc>
              <w:tc>
                <w:tcPr>
                  <w:tcW w:w="1972" w:type="pct"/>
                  <w:tcBorders>
                    <w:tl2br w:val="nil"/>
                    <w:tr2bl w:val="nil"/>
                  </w:tcBorders>
                  <w:noWrap w:val="0"/>
                  <w:vAlign w:val="center"/>
                </w:tcPr>
                <w:p w14:paraId="20B620A6">
                  <w:pPr>
                    <w:keepNext w:val="0"/>
                    <w:keepLines w:val="0"/>
                    <w:widowControl/>
                    <w:suppressLineNumbers w:val="0"/>
                    <w:spacing w:before="0" w:beforeAutospacing="0" w:after="0" w:afterAutospacing="0" w:line="240" w:lineRule="auto"/>
                    <w:ind w:left="0" w:right="0"/>
                    <w:jc w:val="left"/>
                    <w:rPr>
                      <w:rFonts w:hint="eastAsia"/>
                      <w:bCs/>
                      <w:sz w:val="21"/>
                      <w:szCs w:val="21"/>
                    </w:rPr>
                  </w:pPr>
                  <w:r>
                    <w:rPr>
                      <w:rFonts w:hint="eastAsia" w:ascii="宋体" w:hAnsi="宋体" w:eastAsia="宋体" w:cs="宋体"/>
                      <w:color w:val="000000"/>
                      <w:kern w:val="0"/>
                      <w:sz w:val="21"/>
                      <w:szCs w:val="21"/>
                      <w:lang w:val="en-US" w:eastAsia="zh-CN" w:bidi="ar"/>
                    </w:rPr>
                    <w:t>不符合核心区产业定位的一、二、三类工业企业项目；禁止铅、锌、铬等重污染冶炼行业；纺织印染、炼油、农药工业；水处理设施不完善的企业禁止开工生产；纺织印染工业；致癌、致畸、致突变产品生产项目；来料加工的海外废金属、塑料、纸张工业；电力工业的小火力发电；国家明文禁止的</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十五小</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和</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新五小</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项目，以及大量增加</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NOx</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COD</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w:t>
                  </w:r>
                  <w:r>
                    <w:rPr>
                      <w:rFonts w:hint="eastAsia" w:ascii="宋体" w:hAnsi="宋体" w:eastAsia="宋体" w:cs="宋体"/>
                      <w:color w:val="000000"/>
                      <w:kern w:val="0"/>
                      <w:sz w:val="21"/>
                      <w:szCs w:val="21"/>
                      <w:lang w:val="en-US" w:eastAsia="zh-CN" w:bidi="ar"/>
                    </w:rPr>
                    <w:t>排放的工业项目。</w:t>
                  </w:r>
                </w:p>
              </w:tc>
              <w:tc>
                <w:tcPr>
                  <w:tcW w:w="1970" w:type="pct"/>
                  <w:tcBorders>
                    <w:tl2br w:val="nil"/>
                    <w:tr2bl w:val="nil"/>
                  </w:tcBorders>
                  <w:noWrap w:val="0"/>
                  <w:vAlign w:val="center"/>
                </w:tcPr>
                <w:p w14:paraId="772CEE7E">
                  <w:pPr>
                    <w:keepNext w:val="0"/>
                    <w:keepLines w:val="0"/>
                    <w:suppressLineNumbers w:val="0"/>
                    <w:spacing w:before="0" w:beforeAutospacing="0" w:after="0" w:afterAutospacing="0" w:line="240" w:lineRule="auto"/>
                    <w:ind w:left="0" w:right="0"/>
                    <w:jc w:val="center"/>
                    <w:rPr>
                      <w:rFonts w:hint="eastAsia"/>
                      <w:bCs/>
                      <w:sz w:val="21"/>
                      <w:szCs w:val="21"/>
                      <w:u w:val="wave"/>
                    </w:rPr>
                  </w:pPr>
                  <w:r>
                    <w:rPr>
                      <w:rFonts w:hint="eastAsia" w:ascii="宋体" w:hAnsi="宋体" w:eastAsia="宋体" w:cs="宋体"/>
                      <w:color w:val="000000"/>
                      <w:kern w:val="0"/>
                      <w:sz w:val="21"/>
                      <w:szCs w:val="21"/>
                      <w:lang w:val="en-US" w:eastAsia="zh-CN" w:bidi="ar"/>
                    </w:rPr>
                    <w:t>本项目属于符合核心区产业定位的二类工业企业项目。不涉及海外废金属加工；项目不新增</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NOx</w:t>
                  </w:r>
                  <w:r>
                    <w:rPr>
                      <w:rFonts w:hint="eastAsia" w:ascii="Times New Roman" w:hAnsi="Times New Roman" w:eastAsia="宋体" w:cs="Times New Roman"/>
                      <w:color w:val="000000"/>
                      <w:kern w:val="0"/>
                      <w:sz w:val="21"/>
                      <w:szCs w:val="21"/>
                      <w:lang w:val="en-US" w:eastAsia="zh-CN" w:bidi="ar"/>
                    </w:rPr>
                    <w:t>，运营期</w:t>
                  </w:r>
                  <w:r>
                    <w:rPr>
                      <w:rFonts w:hint="default" w:ascii="Times New Roman" w:hAnsi="Times New Roman" w:eastAsia="宋体" w:cs="Times New Roman"/>
                      <w:color w:val="000000"/>
                      <w:kern w:val="0"/>
                      <w:sz w:val="21"/>
                      <w:szCs w:val="21"/>
                      <w:lang w:val="en-US" w:eastAsia="zh-CN" w:bidi="ar"/>
                    </w:rPr>
                    <w:t>COD</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w:t>
                  </w:r>
                  <w:r>
                    <w:rPr>
                      <w:rFonts w:hint="eastAsia" w:ascii="宋体" w:hAnsi="宋体" w:eastAsia="宋体" w:cs="宋体"/>
                      <w:color w:val="000000"/>
                      <w:kern w:val="0"/>
                      <w:sz w:val="21"/>
                      <w:szCs w:val="21"/>
                      <w:lang w:val="en-US" w:eastAsia="zh-CN" w:bidi="ar"/>
                    </w:rPr>
                    <w:t>排放量较小。</w:t>
                  </w:r>
                </w:p>
              </w:tc>
              <w:tc>
                <w:tcPr>
                  <w:tcW w:w="493" w:type="pct"/>
                  <w:tcBorders>
                    <w:tl2br w:val="nil"/>
                    <w:tr2bl w:val="nil"/>
                  </w:tcBorders>
                  <w:noWrap w:val="0"/>
                  <w:vAlign w:val="center"/>
                </w:tcPr>
                <w:p w14:paraId="550F2204">
                  <w:pPr>
                    <w:keepNext w:val="0"/>
                    <w:keepLines w:val="0"/>
                    <w:suppressLineNumbers w:val="0"/>
                    <w:spacing w:before="0" w:beforeAutospacing="0" w:after="0" w:afterAutospacing="0" w:line="240" w:lineRule="auto"/>
                    <w:ind w:left="0" w:right="0"/>
                    <w:jc w:val="center"/>
                    <w:rPr>
                      <w:rFonts w:hint="eastAsia"/>
                      <w:sz w:val="21"/>
                      <w:szCs w:val="21"/>
                    </w:rPr>
                  </w:pPr>
                  <w:r>
                    <w:rPr>
                      <w:rFonts w:hint="eastAsia"/>
                      <w:bCs/>
                      <w:sz w:val="21"/>
                      <w:szCs w:val="21"/>
                      <w:lang w:eastAsia="zh-CN"/>
                    </w:rPr>
                    <w:t>不属于禁止类</w:t>
                  </w:r>
                </w:p>
              </w:tc>
            </w:tr>
            <w:tr w14:paraId="0162D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l2br w:val="nil"/>
                    <w:tr2bl w:val="nil"/>
                  </w:tcBorders>
                  <w:noWrap w:val="0"/>
                  <w:vAlign w:val="center"/>
                </w:tcPr>
                <w:p w14:paraId="0AFDCB65">
                  <w:pPr>
                    <w:keepNext w:val="0"/>
                    <w:keepLines w:val="0"/>
                    <w:widowControl/>
                    <w:suppressLineNumbers w:val="0"/>
                    <w:spacing w:before="0" w:beforeAutospacing="0" w:after="0" w:afterAutospacing="0" w:line="240" w:lineRule="auto"/>
                    <w:ind w:left="0" w:right="0"/>
                    <w:jc w:val="left"/>
                    <w:rPr>
                      <w:rFonts w:hint="default"/>
                      <w:bCs/>
                      <w:sz w:val="21"/>
                      <w:szCs w:val="21"/>
                    </w:rPr>
                  </w:pPr>
                  <w:r>
                    <w:rPr>
                      <w:rFonts w:hint="eastAsia" w:ascii="宋体" w:hAnsi="宋体" w:eastAsia="宋体" w:cs="宋体"/>
                      <w:color w:val="000000"/>
                      <w:kern w:val="0"/>
                      <w:sz w:val="21"/>
                      <w:szCs w:val="21"/>
                      <w:lang w:val="en-US" w:eastAsia="zh-CN" w:bidi="ar"/>
                    </w:rPr>
                    <w:t>环保指标要求</w:t>
                  </w:r>
                </w:p>
              </w:tc>
              <w:tc>
                <w:tcPr>
                  <w:tcW w:w="1972" w:type="pct"/>
                  <w:tcBorders>
                    <w:tl2br w:val="nil"/>
                    <w:tr2bl w:val="nil"/>
                  </w:tcBorders>
                  <w:noWrap w:val="0"/>
                  <w:vAlign w:val="center"/>
                </w:tcPr>
                <w:p w14:paraId="61DAF22C">
                  <w:pPr>
                    <w:keepNext w:val="0"/>
                    <w:keepLines w:val="0"/>
                    <w:widowControl/>
                    <w:suppressLineNumbers w:val="0"/>
                    <w:spacing w:before="0" w:beforeAutospacing="0" w:after="0" w:afterAutospacing="0" w:line="240" w:lineRule="auto"/>
                    <w:ind w:left="0" w:right="0"/>
                    <w:jc w:val="left"/>
                    <w:rPr>
                      <w:rFonts w:hint="eastAsia"/>
                      <w:bCs/>
                      <w:sz w:val="21"/>
                      <w:szCs w:val="21"/>
                    </w:rPr>
                  </w:pPr>
                  <w:r>
                    <w:rPr>
                      <w:rFonts w:hint="eastAsia" w:ascii="宋体" w:hAnsi="宋体" w:eastAsia="宋体" w:cs="宋体"/>
                      <w:color w:val="000000"/>
                      <w:kern w:val="0"/>
                      <w:sz w:val="21"/>
                      <w:szCs w:val="21"/>
                      <w:lang w:val="en-US" w:eastAsia="zh-CN" w:bidi="ar"/>
                    </w:rPr>
                    <w:t>废水、废气处理率达</w:t>
                  </w:r>
                  <w:r>
                    <w:rPr>
                      <w:rFonts w:hint="default" w:ascii="Times New Roman" w:hAnsi="Times New Roman" w:eastAsia="宋体" w:cs="Times New Roman"/>
                      <w:color w:val="000000"/>
                      <w:kern w:val="0"/>
                      <w:sz w:val="21"/>
                      <w:szCs w:val="21"/>
                      <w:lang w:val="en-US" w:eastAsia="zh-CN" w:bidi="ar"/>
                    </w:rPr>
                    <w:t>100%</w:t>
                  </w:r>
                  <w:r>
                    <w:rPr>
                      <w:rFonts w:hint="eastAsia" w:ascii="宋体" w:hAnsi="宋体" w:eastAsia="宋体" w:cs="宋体"/>
                      <w:color w:val="000000"/>
                      <w:kern w:val="0"/>
                      <w:sz w:val="21"/>
                      <w:szCs w:val="21"/>
                      <w:lang w:val="en-US" w:eastAsia="zh-CN" w:bidi="ar"/>
                    </w:rPr>
                    <w:t>；固废处置率达</w:t>
                  </w:r>
                  <w:r>
                    <w:rPr>
                      <w:rFonts w:hint="default" w:ascii="Times New Roman" w:hAnsi="Times New Roman" w:eastAsia="宋体" w:cs="Times New Roman"/>
                      <w:color w:val="000000"/>
                      <w:kern w:val="0"/>
                      <w:sz w:val="21"/>
                      <w:szCs w:val="21"/>
                      <w:lang w:val="en-US" w:eastAsia="zh-CN" w:bidi="ar"/>
                    </w:rPr>
                    <w:t>100%</w:t>
                  </w:r>
                  <w:r>
                    <w:rPr>
                      <w:rFonts w:hint="eastAsia" w:ascii="宋体" w:hAnsi="宋体" w:eastAsia="宋体" w:cs="宋体"/>
                      <w:color w:val="000000"/>
                      <w:kern w:val="0"/>
                      <w:sz w:val="21"/>
                      <w:szCs w:val="21"/>
                      <w:lang w:val="en-US" w:eastAsia="zh-CN" w:bidi="ar"/>
                    </w:rPr>
                    <w:t>；污染物排放达标率</w:t>
                  </w:r>
                  <w:r>
                    <w:rPr>
                      <w:rFonts w:hint="default" w:ascii="Times New Roman" w:hAnsi="Times New Roman" w:eastAsia="宋体" w:cs="Times New Roman"/>
                      <w:color w:val="000000"/>
                      <w:kern w:val="0"/>
                      <w:sz w:val="21"/>
                      <w:szCs w:val="21"/>
                      <w:lang w:val="en-US" w:eastAsia="zh-CN" w:bidi="ar"/>
                    </w:rPr>
                    <w:t>100%</w:t>
                  </w:r>
                  <w:r>
                    <w:rPr>
                      <w:rFonts w:hint="eastAsia" w:ascii="Times New Roman" w:hAnsi="Times New Roman" w:eastAsia="宋体" w:cs="Times New Roman"/>
                      <w:color w:val="000000"/>
                      <w:kern w:val="0"/>
                      <w:sz w:val="21"/>
                      <w:szCs w:val="21"/>
                      <w:lang w:val="en-US" w:eastAsia="zh-CN" w:bidi="ar"/>
                    </w:rPr>
                    <w:t>。</w:t>
                  </w:r>
                </w:p>
              </w:tc>
              <w:tc>
                <w:tcPr>
                  <w:tcW w:w="1970" w:type="pct"/>
                  <w:tcBorders>
                    <w:tl2br w:val="nil"/>
                    <w:tr2bl w:val="nil"/>
                  </w:tcBorders>
                  <w:noWrap w:val="0"/>
                  <w:vAlign w:val="center"/>
                </w:tcPr>
                <w:p w14:paraId="2F48ECCA">
                  <w:pPr>
                    <w:keepNext w:val="0"/>
                    <w:keepLines w:val="0"/>
                    <w:suppressLineNumbers w:val="0"/>
                    <w:spacing w:before="0" w:beforeAutospacing="0" w:after="0" w:afterAutospacing="0" w:line="240" w:lineRule="auto"/>
                    <w:ind w:left="0" w:right="0"/>
                    <w:jc w:val="center"/>
                    <w:rPr>
                      <w:rFonts w:hint="eastAsia"/>
                      <w:bCs/>
                      <w:sz w:val="21"/>
                      <w:szCs w:val="21"/>
                      <w:u w:val="wave"/>
                    </w:rPr>
                  </w:pPr>
                  <w:r>
                    <w:rPr>
                      <w:rFonts w:hint="eastAsia" w:ascii="宋体" w:hAnsi="宋体" w:eastAsia="宋体" w:cs="宋体"/>
                      <w:color w:val="000000"/>
                      <w:kern w:val="0"/>
                      <w:sz w:val="21"/>
                      <w:szCs w:val="21"/>
                      <w:lang w:val="en-US" w:eastAsia="zh-CN" w:bidi="ar"/>
                    </w:rPr>
                    <w:t>建设单位在严格落实环评提出的各项环保措施的前提下，废水、废气处理率、固废处置率、污染物排放达标率可达到</w:t>
                  </w:r>
                  <w:r>
                    <w:rPr>
                      <w:rFonts w:hint="default" w:ascii="Times New Roman" w:hAnsi="Times New Roman" w:eastAsia="宋体" w:cs="Times New Roman"/>
                      <w:color w:val="000000"/>
                      <w:kern w:val="0"/>
                      <w:sz w:val="21"/>
                      <w:szCs w:val="21"/>
                      <w:lang w:val="en-US" w:eastAsia="zh-CN" w:bidi="ar"/>
                    </w:rPr>
                    <w:t>100%</w:t>
                  </w:r>
                  <w:r>
                    <w:rPr>
                      <w:rFonts w:hint="eastAsia" w:ascii="Times New Roman" w:hAnsi="Times New Roman" w:eastAsia="宋体" w:cs="Times New Roman"/>
                      <w:color w:val="000000"/>
                      <w:kern w:val="0"/>
                      <w:sz w:val="21"/>
                      <w:szCs w:val="21"/>
                      <w:lang w:val="en-US" w:eastAsia="zh-CN" w:bidi="ar"/>
                    </w:rPr>
                    <w:t>。</w:t>
                  </w:r>
                </w:p>
              </w:tc>
              <w:tc>
                <w:tcPr>
                  <w:tcW w:w="493" w:type="pct"/>
                  <w:tcBorders>
                    <w:tl2br w:val="nil"/>
                    <w:tr2bl w:val="nil"/>
                  </w:tcBorders>
                  <w:noWrap w:val="0"/>
                  <w:vAlign w:val="center"/>
                </w:tcPr>
                <w:p w14:paraId="1AE6FAB7">
                  <w:pPr>
                    <w:keepNext w:val="0"/>
                    <w:keepLines w:val="0"/>
                    <w:suppressLineNumbers w:val="0"/>
                    <w:spacing w:before="0" w:beforeAutospacing="0" w:after="0" w:afterAutospacing="0" w:line="240" w:lineRule="auto"/>
                    <w:ind w:left="0" w:right="0"/>
                    <w:jc w:val="center"/>
                    <w:rPr>
                      <w:rFonts w:hint="eastAsia" w:eastAsia="宋体"/>
                      <w:bCs/>
                      <w:sz w:val="21"/>
                      <w:szCs w:val="21"/>
                      <w:lang w:eastAsia="zh-CN"/>
                    </w:rPr>
                  </w:pPr>
                  <w:r>
                    <w:rPr>
                      <w:rFonts w:hint="eastAsia"/>
                      <w:bCs/>
                      <w:sz w:val="21"/>
                      <w:szCs w:val="21"/>
                      <w:lang w:eastAsia="zh-CN"/>
                    </w:rPr>
                    <w:t>满足要求</w:t>
                  </w:r>
                </w:p>
              </w:tc>
            </w:tr>
            <w:tr w14:paraId="0CBD2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l2br w:val="nil"/>
                    <w:tr2bl w:val="nil"/>
                  </w:tcBorders>
                  <w:noWrap w:val="0"/>
                  <w:vAlign w:val="center"/>
                </w:tcPr>
                <w:p w14:paraId="448C1F80">
                  <w:pPr>
                    <w:keepNext w:val="0"/>
                    <w:keepLines w:val="0"/>
                    <w:widowControl/>
                    <w:suppressLineNumbers w:val="0"/>
                    <w:spacing w:before="0" w:beforeAutospacing="0" w:after="0" w:afterAutospacing="0" w:line="240" w:lineRule="auto"/>
                    <w:ind w:left="0" w:right="0"/>
                    <w:jc w:val="left"/>
                    <w:rPr>
                      <w:rFonts w:hint="default"/>
                      <w:bCs/>
                      <w:sz w:val="21"/>
                      <w:szCs w:val="21"/>
                    </w:rPr>
                  </w:pPr>
                  <w:r>
                    <w:rPr>
                      <w:rFonts w:hint="eastAsia" w:ascii="宋体" w:hAnsi="宋体" w:eastAsia="宋体" w:cs="宋体"/>
                      <w:color w:val="000000"/>
                      <w:kern w:val="0"/>
                      <w:sz w:val="21"/>
                      <w:szCs w:val="21"/>
                      <w:lang w:val="en-US" w:eastAsia="zh-CN" w:bidi="ar"/>
                    </w:rPr>
                    <w:t>其他</w:t>
                  </w:r>
                </w:p>
              </w:tc>
              <w:tc>
                <w:tcPr>
                  <w:tcW w:w="1972" w:type="pct"/>
                  <w:tcBorders>
                    <w:tl2br w:val="nil"/>
                    <w:tr2bl w:val="nil"/>
                  </w:tcBorders>
                  <w:noWrap w:val="0"/>
                  <w:vAlign w:val="center"/>
                </w:tcPr>
                <w:p w14:paraId="4C907647">
                  <w:pPr>
                    <w:keepNext w:val="0"/>
                    <w:keepLines w:val="0"/>
                    <w:widowControl/>
                    <w:suppressLineNumbers w:val="0"/>
                    <w:spacing w:before="0" w:beforeAutospacing="0" w:after="0" w:afterAutospacing="0" w:line="240" w:lineRule="auto"/>
                    <w:ind w:left="0" w:right="0"/>
                    <w:jc w:val="left"/>
                    <w:rPr>
                      <w:rFonts w:hint="eastAsia"/>
                      <w:bCs/>
                      <w:sz w:val="21"/>
                      <w:szCs w:val="21"/>
                    </w:rPr>
                  </w:pPr>
                  <w:r>
                    <w:rPr>
                      <w:rFonts w:hint="eastAsia" w:ascii="宋体" w:hAnsi="宋体" w:eastAsia="宋体" w:cs="宋体"/>
                      <w:color w:val="000000"/>
                      <w:kern w:val="0"/>
                      <w:sz w:val="21"/>
                      <w:szCs w:val="21"/>
                      <w:lang w:val="en-US" w:eastAsia="zh-CN" w:bidi="ar"/>
                    </w:rPr>
                    <w:t>①三类工业用地仅限涉及三类工业的高新企业项目预留地；②引入的企业全部采用天然气为能源，禁止采用燃煤、燃油为能源的项目进入，禁止工艺废气中有大量</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NOx</w:t>
                  </w:r>
                  <w:r>
                    <w:rPr>
                      <w:rFonts w:hint="eastAsia" w:ascii="宋体" w:hAnsi="宋体" w:eastAsia="宋体" w:cs="宋体"/>
                      <w:color w:val="000000"/>
                      <w:kern w:val="0"/>
                      <w:sz w:val="21"/>
                      <w:szCs w:val="21"/>
                      <w:lang w:val="en-US" w:eastAsia="zh-CN" w:bidi="ar"/>
                    </w:rPr>
                    <w:t>产生的产业。③污水处理厂及管网建成运行前，限制水型污染企业准入。</w:t>
                  </w:r>
                </w:p>
              </w:tc>
              <w:tc>
                <w:tcPr>
                  <w:tcW w:w="1970" w:type="pct"/>
                  <w:tcBorders>
                    <w:tl2br w:val="nil"/>
                    <w:tr2bl w:val="nil"/>
                  </w:tcBorders>
                  <w:noWrap w:val="0"/>
                  <w:vAlign w:val="center"/>
                </w:tcPr>
                <w:p w14:paraId="58FED3F9">
                  <w:pPr>
                    <w:keepNext w:val="0"/>
                    <w:keepLines w:val="0"/>
                    <w:suppressLineNumbers w:val="0"/>
                    <w:spacing w:before="0" w:beforeAutospacing="0" w:after="0" w:afterAutospacing="0" w:line="240" w:lineRule="auto"/>
                    <w:ind w:left="0" w:right="0"/>
                    <w:jc w:val="center"/>
                    <w:rPr>
                      <w:rFonts w:hint="eastAsia" w:eastAsia="宋体"/>
                      <w:bCs/>
                      <w:sz w:val="21"/>
                      <w:szCs w:val="21"/>
                      <w:u w:val="wave"/>
                      <w:lang w:eastAsia="zh-CN"/>
                    </w:rPr>
                  </w:pPr>
                  <w:r>
                    <w:rPr>
                      <w:rFonts w:hint="eastAsia" w:ascii="宋体" w:hAnsi="宋体" w:eastAsia="宋体" w:cs="宋体"/>
                      <w:color w:val="000000"/>
                      <w:kern w:val="0"/>
                      <w:sz w:val="21"/>
                      <w:szCs w:val="21"/>
                      <w:lang w:val="en-US" w:eastAsia="zh-CN" w:bidi="ar"/>
                    </w:rPr>
                    <w:t>本项目为二类工业企业，用地为二类工业用地。项目使用电能，不新增</w:t>
                  </w:r>
                  <w:r>
                    <w:rPr>
                      <w:rFonts w:hint="default" w:ascii="宋体" w:hAnsi="宋体" w:eastAsia="宋体" w:cs="宋体"/>
                      <w:color w:val="000000"/>
                      <w:kern w:val="0"/>
                      <w:sz w:val="21"/>
                      <w:szCs w:val="21"/>
                      <w:lang w:val="en-US" w:eastAsia="zh-CN" w:bidi="ar"/>
                    </w:rPr>
                    <w:t>S</w:t>
                  </w:r>
                  <w:r>
                    <w:rPr>
                      <w:rFonts w:hint="default" w:ascii="Times New Roman" w:hAnsi="Times New Roman" w:eastAsia="宋体" w:cs="Times New Roman"/>
                      <w:color w:val="000000"/>
                      <w:kern w:val="0"/>
                      <w:sz w:val="21"/>
                      <w:szCs w:val="21"/>
                      <w:lang w:val="en-US" w:eastAsia="zh-CN" w:bidi="ar"/>
                    </w:rPr>
                    <w:t>O</w:t>
                  </w:r>
                  <w:r>
                    <w:rPr>
                      <w:rFonts w:hint="default" w:ascii="Times New Roman" w:hAnsi="Times New Roman" w:eastAsia="宋体" w:cs="Times New Roman"/>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NOx</w:t>
                  </w:r>
                  <w:r>
                    <w:rPr>
                      <w:rFonts w:hint="eastAsia" w:ascii="Times New Roman" w:hAnsi="Times New Roman" w:eastAsia="宋体" w:cs="Times New Roman"/>
                      <w:color w:val="000000"/>
                      <w:kern w:val="0"/>
                      <w:sz w:val="21"/>
                      <w:szCs w:val="21"/>
                      <w:lang w:val="en-US" w:eastAsia="zh-CN" w:bidi="ar"/>
                    </w:rPr>
                    <w:t>。项目生活污水</w:t>
                  </w:r>
                  <w:r>
                    <w:rPr>
                      <w:rFonts w:hint="eastAsia" w:eastAsia="宋体" w:cs="Times New Roman"/>
                      <w:color w:val="000000"/>
                      <w:kern w:val="0"/>
                      <w:sz w:val="21"/>
                      <w:szCs w:val="21"/>
                      <w:lang w:val="en-US" w:eastAsia="zh-CN" w:bidi="ar"/>
                    </w:rPr>
                    <w:t>、试压废水</w:t>
                  </w:r>
                  <w:r>
                    <w:rPr>
                      <w:rFonts w:hint="eastAsia" w:ascii="Times New Roman" w:hAnsi="Times New Roman" w:eastAsia="宋体" w:cs="Times New Roman"/>
                      <w:color w:val="000000"/>
                      <w:kern w:val="0"/>
                      <w:sz w:val="21"/>
                      <w:szCs w:val="21"/>
                      <w:lang w:val="en-US" w:eastAsia="zh-CN" w:bidi="ar"/>
                    </w:rPr>
                    <w:t>经处理后排入</w:t>
                  </w:r>
                  <w:r>
                    <w:rPr>
                      <w:rFonts w:hint="eastAsia"/>
                      <w:bCs/>
                      <w:szCs w:val="21"/>
                      <w:u w:val="none"/>
                    </w:rPr>
                    <w:t>湖南城陵矶临港产业新区污水处理厂</w:t>
                  </w:r>
                  <w:r>
                    <w:rPr>
                      <w:rFonts w:hint="eastAsia"/>
                      <w:bCs/>
                      <w:szCs w:val="21"/>
                      <w:u w:val="none"/>
                      <w:lang w:eastAsia="zh-CN"/>
                    </w:rPr>
                    <w:t>深度处理</w:t>
                  </w:r>
                </w:p>
              </w:tc>
              <w:tc>
                <w:tcPr>
                  <w:tcW w:w="493" w:type="pct"/>
                  <w:tcBorders>
                    <w:tl2br w:val="nil"/>
                    <w:tr2bl w:val="nil"/>
                  </w:tcBorders>
                  <w:noWrap w:val="0"/>
                  <w:vAlign w:val="center"/>
                </w:tcPr>
                <w:p w14:paraId="6F727EDA">
                  <w:pPr>
                    <w:keepNext w:val="0"/>
                    <w:keepLines w:val="0"/>
                    <w:suppressLineNumbers w:val="0"/>
                    <w:spacing w:before="0" w:beforeAutospacing="0" w:after="0" w:afterAutospacing="0" w:line="240" w:lineRule="auto"/>
                    <w:ind w:left="0" w:right="0"/>
                    <w:jc w:val="center"/>
                    <w:rPr>
                      <w:rFonts w:hint="eastAsia" w:eastAsia="宋体"/>
                      <w:bCs/>
                      <w:sz w:val="21"/>
                      <w:szCs w:val="21"/>
                      <w:lang w:eastAsia="zh-CN"/>
                    </w:rPr>
                  </w:pPr>
                  <w:r>
                    <w:rPr>
                      <w:rFonts w:hint="eastAsia"/>
                      <w:bCs/>
                      <w:sz w:val="21"/>
                      <w:szCs w:val="21"/>
                      <w:lang w:eastAsia="zh-CN"/>
                    </w:rPr>
                    <w:t>满足要求</w:t>
                  </w:r>
                </w:p>
              </w:tc>
            </w:tr>
          </w:tbl>
          <w:p w14:paraId="5F8E3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eastAsia="宋体" w:cs="Times New Roman"/>
                <w:color w:val="FF0000"/>
                <w:sz w:val="24"/>
                <w:szCs w:val="24"/>
                <w:u w:val="none"/>
                <w:lang w:val="en-US" w:eastAsia="zh-CN"/>
              </w:rPr>
            </w:pPr>
            <w:r>
              <w:rPr>
                <w:rFonts w:hint="eastAsia" w:ascii="Times New Roman" w:hAnsi="Times New Roman" w:eastAsia="宋体" w:cs="Times New Roman"/>
                <w:color w:val="auto"/>
                <w:spacing w:val="0"/>
                <w:w w:val="100"/>
                <w:kern w:val="21"/>
                <w:sz w:val="24"/>
                <w:szCs w:val="24"/>
                <w:highlight w:val="none"/>
                <w:u w:val="none" w:color="auto"/>
                <w:lang w:eastAsia="zh-CN"/>
              </w:rPr>
              <w:t>综上，本项目</w:t>
            </w:r>
            <w:r>
              <w:rPr>
                <w:rFonts w:hint="eastAsia" w:eastAsia="宋体" w:cs="Times New Roman"/>
                <w:color w:val="auto"/>
                <w:sz w:val="24"/>
                <w:szCs w:val="24"/>
                <w:u w:val="none"/>
                <w:lang w:val="en-US" w:eastAsia="zh-CN"/>
              </w:rPr>
              <w:t>属于该规划允许准入类产业，本项目建设与《湖南城陵矶临港产业新区产业核心区环境影响报告书》中核心区工业企业准入条件规划相符。</w:t>
            </w:r>
          </w:p>
          <w:p w14:paraId="71F478DD">
            <w:pPr>
              <w:pStyle w:val="59"/>
              <w:keepNext w:val="0"/>
              <w:keepLines w:val="0"/>
              <w:pageBreakBefore w:val="0"/>
              <w:widowControl w:val="0"/>
              <w:suppressLineNumbers w:val="0"/>
              <w:tabs>
                <w:tab w:val="left" w:pos="866"/>
              </w:tabs>
              <w:kinsoku/>
              <w:wordWrap/>
              <w:overflowPunct/>
              <w:topLinePunct w:val="0"/>
              <w:bidi w:val="0"/>
              <w:adjustRightInd/>
              <w:snapToGrid/>
              <w:spacing w:before="0" w:beforeAutospacing="0" w:after="0" w:afterAutospacing="0" w:line="360" w:lineRule="auto"/>
              <w:ind w:left="199" w:leftChars="95" w:right="-44" w:firstLine="337" w:firstLineChars="140"/>
              <w:jc w:val="left"/>
              <w:textAlignment w:val="auto"/>
              <w:rPr>
                <w:rFonts w:hint="default" w:ascii="Times New Roman" w:hAnsi="Times New Roman" w:eastAsia="宋体" w:cs="Times New Roman"/>
                <w:b/>
                <w:bCs/>
                <w:color w:val="auto"/>
                <w:kern w:val="2"/>
                <w:sz w:val="24"/>
                <w:szCs w:val="24"/>
                <w:u w:val="none"/>
                <w:lang w:val="en-US" w:eastAsia="zh-CN" w:bidi="ar-SA"/>
              </w:rPr>
            </w:pPr>
            <w:r>
              <w:rPr>
                <w:rFonts w:hint="default" w:ascii="Times New Roman" w:hAnsi="Times New Roman" w:eastAsia="宋体" w:cs="Times New Roman"/>
                <w:b/>
                <w:bCs/>
                <w:color w:val="auto"/>
                <w:kern w:val="2"/>
                <w:sz w:val="24"/>
                <w:szCs w:val="24"/>
                <w:u w:val="none"/>
                <w:lang w:val="en-US" w:eastAsia="zh-CN" w:bidi="ar-SA"/>
              </w:rPr>
              <w:fldChar w:fldCharType="begin"/>
            </w:r>
            <w:r>
              <w:rPr>
                <w:rFonts w:hint="default" w:ascii="Times New Roman" w:hAnsi="Times New Roman" w:eastAsia="宋体" w:cs="Times New Roman"/>
                <w:b/>
                <w:bCs/>
                <w:color w:val="auto"/>
                <w:kern w:val="2"/>
                <w:sz w:val="24"/>
                <w:szCs w:val="24"/>
                <w:u w:val="none"/>
                <w:lang w:val="en-US" w:eastAsia="zh-CN" w:bidi="ar-SA"/>
              </w:rPr>
              <w:instrText xml:space="preserve"> = 3 \* GB3 \* MERGEFORMAT </w:instrText>
            </w:r>
            <w:r>
              <w:rPr>
                <w:rFonts w:hint="default" w:ascii="Times New Roman" w:hAnsi="Times New Roman" w:eastAsia="宋体" w:cs="Times New Roman"/>
                <w:b/>
                <w:bCs/>
                <w:color w:val="auto"/>
                <w:kern w:val="2"/>
                <w:sz w:val="24"/>
                <w:szCs w:val="24"/>
                <w:u w:val="none"/>
                <w:lang w:val="en-US" w:eastAsia="zh-CN" w:bidi="ar-SA"/>
              </w:rPr>
              <w:fldChar w:fldCharType="separate"/>
            </w:r>
            <w:r>
              <w:rPr>
                <w:rFonts w:hint="eastAsia" w:ascii="Times New Roman" w:hAnsi="Times New Roman" w:eastAsia="宋体" w:cs="Times New Roman"/>
                <w:b/>
                <w:bCs/>
                <w:color w:val="auto"/>
                <w:kern w:val="2"/>
                <w:sz w:val="24"/>
                <w:szCs w:val="24"/>
                <w:u w:val="none"/>
                <w:lang w:val="en-US" w:eastAsia="zh-CN" w:bidi="ar-SA"/>
              </w:rPr>
              <w:t>③</w:t>
            </w:r>
            <w:r>
              <w:rPr>
                <w:rFonts w:hint="default" w:ascii="Times New Roman" w:hAnsi="Times New Roman" w:eastAsia="宋体" w:cs="Times New Roman"/>
                <w:b/>
                <w:bCs/>
                <w:color w:val="auto"/>
                <w:kern w:val="2"/>
                <w:sz w:val="24"/>
                <w:szCs w:val="24"/>
                <w:u w:val="none"/>
                <w:lang w:val="en-US" w:eastAsia="zh-CN" w:bidi="ar-SA"/>
              </w:rPr>
              <w:fldChar w:fldCharType="end"/>
            </w:r>
            <w:r>
              <w:rPr>
                <w:rFonts w:hint="eastAsia" w:ascii="Times New Roman" w:hAnsi="Times New Roman" w:eastAsia="宋体" w:cs="Times New Roman"/>
                <w:b/>
                <w:bCs/>
                <w:color w:val="auto"/>
                <w:kern w:val="2"/>
                <w:sz w:val="24"/>
                <w:szCs w:val="24"/>
                <w:u w:val="none"/>
                <w:lang w:val="en-US" w:eastAsia="zh-CN" w:bidi="ar-SA"/>
              </w:rPr>
              <w:t>与规划环评批复（</w:t>
            </w:r>
            <w:r>
              <w:rPr>
                <w:rFonts w:hint="default" w:ascii="Times New Roman" w:hAnsi="Times New Roman" w:eastAsia="宋体" w:cs="Times New Roman"/>
                <w:b/>
                <w:bCs/>
                <w:color w:val="auto"/>
                <w:kern w:val="2"/>
                <w:sz w:val="24"/>
                <w:szCs w:val="24"/>
                <w:u w:val="none"/>
                <w:lang w:val="en-US" w:eastAsia="zh-CN" w:bidi="ar-SA"/>
              </w:rPr>
              <w:t>湘环评</w:t>
            </w:r>
            <w:r>
              <w:rPr>
                <w:rFonts w:hint="eastAsia" w:ascii="Times New Roman" w:hAnsi="Times New Roman" w:eastAsia="宋体" w:cs="Times New Roman"/>
                <w:b/>
                <w:bCs/>
                <w:color w:val="auto"/>
                <w:kern w:val="2"/>
                <w:sz w:val="24"/>
                <w:szCs w:val="24"/>
                <w:u w:val="none"/>
                <w:lang w:val="en-US" w:eastAsia="zh-CN" w:bidi="ar-SA"/>
              </w:rPr>
              <w:t>【</w:t>
            </w:r>
            <w:r>
              <w:rPr>
                <w:rFonts w:hint="default" w:ascii="Times New Roman" w:hAnsi="Times New Roman" w:eastAsia="宋体" w:cs="Times New Roman"/>
                <w:b/>
                <w:bCs/>
                <w:color w:val="auto"/>
                <w:kern w:val="2"/>
                <w:sz w:val="24"/>
                <w:szCs w:val="24"/>
                <w:u w:val="none"/>
                <w:lang w:val="en-US" w:eastAsia="zh-CN" w:bidi="ar-SA"/>
              </w:rPr>
              <w:t>2012</w:t>
            </w:r>
            <w:r>
              <w:rPr>
                <w:rFonts w:hint="eastAsia" w:ascii="Times New Roman" w:hAnsi="Times New Roman" w:eastAsia="宋体" w:cs="Times New Roman"/>
                <w:b/>
                <w:bCs/>
                <w:color w:val="auto"/>
                <w:kern w:val="2"/>
                <w:sz w:val="24"/>
                <w:szCs w:val="24"/>
                <w:u w:val="none"/>
                <w:lang w:val="en-US" w:eastAsia="zh-CN" w:bidi="ar-SA"/>
              </w:rPr>
              <w:t>】</w:t>
            </w:r>
            <w:r>
              <w:rPr>
                <w:rFonts w:hint="default" w:ascii="Times New Roman" w:hAnsi="Times New Roman" w:eastAsia="宋体" w:cs="Times New Roman"/>
                <w:b/>
                <w:bCs/>
                <w:color w:val="auto"/>
                <w:kern w:val="2"/>
                <w:sz w:val="24"/>
                <w:szCs w:val="24"/>
                <w:u w:val="none"/>
                <w:lang w:val="en-US" w:eastAsia="zh-CN" w:bidi="ar-SA"/>
              </w:rPr>
              <w:t>293号</w:t>
            </w:r>
            <w:r>
              <w:rPr>
                <w:rFonts w:hint="eastAsia" w:ascii="Times New Roman" w:hAnsi="Times New Roman" w:eastAsia="宋体" w:cs="Times New Roman"/>
                <w:b/>
                <w:bCs/>
                <w:color w:val="auto"/>
                <w:kern w:val="2"/>
                <w:sz w:val="24"/>
                <w:szCs w:val="24"/>
                <w:u w:val="none"/>
                <w:lang w:val="en-US" w:eastAsia="zh-CN" w:bidi="ar-SA"/>
              </w:rPr>
              <w:t>）相符性</w:t>
            </w:r>
          </w:p>
          <w:p w14:paraId="153C2024">
            <w:pPr>
              <w:pStyle w:val="59"/>
              <w:keepNext w:val="0"/>
              <w:keepLines w:val="0"/>
              <w:pageBreakBefore w:val="0"/>
              <w:widowControl w:val="0"/>
              <w:suppressLineNumbers w:val="0"/>
              <w:tabs>
                <w:tab w:val="left" w:pos="866"/>
              </w:tabs>
              <w:kinsoku/>
              <w:wordWrap/>
              <w:overflowPunct/>
              <w:topLinePunct w:val="0"/>
              <w:bidi w:val="0"/>
              <w:adjustRightInd/>
              <w:snapToGrid/>
              <w:spacing w:before="0" w:beforeAutospacing="0" w:after="0" w:afterAutospacing="0" w:line="360" w:lineRule="auto"/>
              <w:ind w:left="214" w:leftChars="102" w:right="-44" w:firstLine="336" w:firstLineChars="140"/>
              <w:jc w:val="left"/>
              <w:textAlignment w:val="auto"/>
              <w:rPr>
                <w:rFonts w:hint="default" w:ascii="Times New Roman" w:hAnsi="Times New Roman" w:eastAsia="宋体" w:cs="Times New Roman"/>
                <w:color w:val="auto"/>
                <w:spacing w:val="0"/>
                <w:w w:val="100"/>
                <w:kern w:val="21"/>
                <w:sz w:val="24"/>
                <w:szCs w:val="24"/>
                <w:highlight w:val="none"/>
                <w:u w:val="none" w:color="auto"/>
                <w:lang w:val="en-US" w:eastAsia="zh-CN" w:bidi="ar-SA"/>
              </w:rPr>
            </w:pPr>
            <w:r>
              <w:rPr>
                <w:rFonts w:hint="eastAsia" w:ascii="Times New Roman" w:hAnsi="Times New Roman" w:eastAsia="宋体" w:cs="Times New Roman"/>
                <w:color w:val="auto"/>
                <w:spacing w:val="0"/>
                <w:w w:val="100"/>
                <w:kern w:val="21"/>
                <w:sz w:val="24"/>
                <w:szCs w:val="24"/>
                <w:highlight w:val="none"/>
                <w:u w:val="none" w:color="auto"/>
                <w:lang w:val="en-US" w:eastAsia="zh-CN" w:bidi="ar-SA"/>
              </w:rPr>
              <w:t>本项目与规划环评批复相符性分析如下：</w:t>
            </w:r>
          </w:p>
          <w:p w14:paraId="0976B657">
            <w:pPr>
              <w:pStyle w:val="59"/>
              <w:keepNext w:val="0"/>
              <w:keepLines w:val="0"/>
              <w:pageBreakBefore w:val="0"/>
              <w:widowControl w:val="0"/>
              <w:suppressLineNumbers w:val="0"/>
              <w:tabs>
                <w:tab w:val="left" w:pos="866"/>
              </w:tabs>
              <w:kinsoku/>
              <w:wordWrap/>
              <w:overflowPunct/>
              <w:topLinePunct w:val="0"/>
              <w:bidi w:val="0"/>
              <w:adjustRightInd/>
              <w:snapToGrid/>
              <w:spacing w:before="0" w:beforeAutospacing="0" w:after="0" w:afterAutospacing="0" w:line="360" w:lineRule="auto"/>
              <w:ind w:left="113" w:right="-44" w:hanging="123"/>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表1-2  与“湘环评﹝2012﹞293号</w:t>
            </w:r>
            <w:r>
              <w:rPr>
                <w:rFonts w:hint="eastAsia" w:ascii="Times New Roman" w:hAnsi="Times New Roman" w:eastAsia="宋体" w:cs="Times New Roman"/>
                <w:b/>
                <w:sz w:val="21"/>
                <w:szCs w:val="21"/>
                <w:lang w:eastAsia="zh-CN"/>
              </w:rPr>
              <w:t>批复</w:t>
            </w:r>
            <w:r>
              <w:rPr>
                <w:rFonts w:hint="default" w:ascii="Times New Roman" w:hAnsi="Times New Roman" w:eastAsia="宋体" w:cs="Times New Roman"/>
                <w:b/>
                <w:sz w:val="21"/>
                <w:szCs w:val="21"/>
                <w:lang w:eastAsia="zh-CN"/>
              </w:rPr>
              <w:t>”符合性分析</w:t>
            </w:r>
          </w:p>
          <w:tbl>
            <w:tblPr>
              <w:tblStyle w:val="3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7"/>
              <w:gridCol w:w="3911"/>
              <w:gridCol w:w="2396"/>
              <w:gridCol w:w="702"/>
            </w:tblGrid>
            <w:tr w14:paraId="7BE5C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469F1537">
                  <w:pPr>
                    <w:keepNext w:val="0"/>
                    <w:keepLines w:val="0"/>
                    <w:suppressLineNumbers w:val="0"/>
                    <w:spacing w:before="0" w:beforeAutospacing="0" w:after="0" w:afterAutospacing="0"/>
                    <w:ind w:left="0" w:right="0"/>
                    <w:jc w:val="center"/>
                    <w:rPr>
                      <w:rFonts w:hint="eastAsia"/>
                      <w:b/>
                    </w:rPr>
                  </w:pPr>
                  <w:r>
                    <w:rPr>
                      <w:rFonts w:hint="eastAsia"/>
                      <w:bCs/>
                      <w:szCs w:val="21"/>
                    </w:rPr>
                    <w:t>序号</w:t>
                  </w:r>
                </w:p>
              </w:tc>
              <w:tc>
                <w:tcPr>
                  <w:tcW w:w="2560" w:type="pct"/>
                  <w:tcBorders>
                    <w:tl2br w:val="nil"/>
                    <w:tr2bl w:val="nil"/>
                  </w:tcBorders>
                  <w:noWrap w:val="0"/>
                  <w:vAlign w:val="center"/>
                </w:tcPr>
                <w:p w14:paraId="3B641F94">
                  <w:pPr>
                    <w:keepNext w:val="0"/>
                    <w:keepLines w:val="0"/>
                    <w:suppressLineNumbers w:val="0"/>
                    <w:spacing w:before="0" w:beforeAutospacing="0" w:after="0" w:afterAutospacing="0"/>
                    <w:ind w:left="0" w:right="0"/>
                    <w:jc w:val="center"/>
                    <w:rPr>
                      <w:rFonts w:hint="eastAsia" w:eastAsia="宋体"/>
                      <w:b/>
                      <w:lang w:eastAsia="zh-CN"/>
                    </w:rPr>
                  </w:pPr>
                  <w:r>
                    <w:rPr>
                      <w:rFonts w:hint="eastAsia"/>
                      <w:bCs/>
                      <w:szCs w:val="21"/>
                    </w:rPr>
                    <w:t>湘环评</w:t>
                  </w:r>
                  <w:r>
                    <w:rPr>
                      <w:rFonts w:hint="eastAsia"/>
                      <w:bCs/>
                      <w:szCs w:val="21"/>
                      <w:lang w:eastAsia="zh-CN"/>
                    </w:rPr>
                    <w:t>【</w:t>
                  </w:r>
                  <w:r>
                    <w:rPr>
                      <w:rFonts w:hint="eastAsia"/>
                      <w:bCs/>
                      <w:szCs w:val="21"/>
                    </w:rPr>
                    <w:t>2012</w:t>
                  </w:r>
                  <w:r>
                    <w:rPr>
                      <w:rFonts w:hint="eastAsia"/>
                      <w:bCs/>
                      <w:szCs w:val="21"/>
                      <w:lang w:eastAsia="zh-CN"/>
                    </w:rPr>
                    <w:t>】</w:t>
                  </w:r>
                  <w:r>
                    <w:rPr>
                      <w:rFonts w:hint="eastAsia"/>
                      <w:bCs/>
                      <w:szCs w:val="21"/>
                    </w:rPr>
                    <w:t>293号</w:t>
                  </w:r>
                  <w:r>
                    <w:rPr>
                      <w:rFonts w:hint="eastAsia"/>
                      <w:bCs/>
                      <w:szCs w:val="21"/>
                      <w:lang w:eastAsia="zh-CN"/>
                    </w:rPr>
                    <w:t>相关要求</w:t>
                  </w:r>
                </w:p>
              </w:tc>
              <w:tc>
                <w:tcPr>
                  <w:tcW w:w="1569" w:type="pct"/>
                  <w:tcBorders>
                    <w:tl2br w:val="nil"/>
                    <w:tr2bl w:val="nil"/>
                  </w:tcBorders>
                  <w:noWrap w:val="0"/>
                  <w:vAlign w:val="center"/>
                </w:tcPr>
                <w:p w14:paraId="2F87352B">
                  <w:pPr>
                    <w:keepNext w:val="0"/>
                    <w:keepLines w:val="0"/>
                    <w:suppressLineNumbers w:val="0"/>
                    <w:spacing w:before="0" w:beforeAutospacing="0" w:after="0" w:afterAutospacing="0"/>
                    <w:ind w:left="0" w:right="0"/>
                    <w:jc w:val="center"/>
                    <w:rPr>
                      <w:rFonts w:hint="eastAsia"/>
                      <w:b/>
                    </w:rPr>
                  </w:pPr>
                  <w:r>
                    <w:rPr>
                      <w:rFonts w:hint="default"/>
                      <w:bCs/>
                      <w:szCs w:val="21"/>
                    </w:rPr>
                    <w:t>本项目情况</w:t>
                  </w:r>
                </w:p>
              </w:tc>
              <w:tc>
                <w:tcPr>
                  <w:tcW w:w="460" w:type="pct"/>
                  <w:tcBorders>
                    <w:tl2br w:val="nil"/>
                    <w:tr2bl w:val="nil"/>
                  </w:tcBorders>
                  <w:noWrap w:val="0"/>
                  <w:vAlign w:val="center"/>
                </w:tcPr>
                <w:p w14:paraId="16A6A6C3">
                  <w:pPr>
                    <w:keepNext w:val="0"/>
                    <w:keepLines w:val="0"/>
                    <w:suppressLineNumbers w:val="0"/>
                    <w:spacing w:before="0" w:beforeAutospacing="0" w:after="0" w:afterAutospacing="0"/>
                    <w:ind w:left="0" w:right="0"/>
                    <w:jc w:val="center"/>
                    <w:rPr>
                      <w:rFonts w:hint="eastAsia" w:eastAsia="宋体"/>
                      <w:b/>
                      <w:lang w:eastAsia="zh-CN"/>
                    </w:rPr>
                  </w:pPr>
                  <w:r>
                    <w:rPr>
                      <w:rFonts w:hint="default"/>
                      <w:bCs/>
                      <w:szCs w:val="21"/>
                    </w:rPr>
                    <w:t>分析</w:t>
                  </w:r>
                  <w:r>
                    <w:rPr>
                      <w:rFonts w:hint="eastAsia"/>
                      <w:bCs/>
                      <w:szCs w:val="21"/>
                      <w:lang w:eastAsia="zh-CN"/>
                    </w:rPr>
                    <w:t>结论</w:t>
                  </w:r>
                </w:p>
              </w:tc>
            </w:tr>
            <w:tr w14:paraId="646EC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58ABCA68">
                  <w:pPr>
                    <w:keepNext w:val="0"/>
                    <w:keepLines w:val="0"/>
                    <w:suppressLineNumbers w:val="0"/>
                    <w:spacing w:before="0" w:beforeAutospacing="0" w:after="0" w:afterAutospacing="0"/>
                    <w:ind w:left="0" w:right="0"/>
                    <w:jc w:val="center"/>
                    <w:rPr>
                      <w:rFonts w:hint="default"/>
                      <w:bCs/>
                      <w:szCs w:val="21"/>
                    </w:rPr>
                  </w:pPr>
                  <w:r>
                    <w:rPr>
                      <w:rFonts w:hint="eastAsia"/>
                      <w:bCs/>
                      <w:szCs w:val="21"/>
                    </w:rPr>
                    <w:t>1</w:t>
                  </w:r>
                </w:p>
              </w:tc>
              <w:tc>
                <w:tcPr>
                  <w:tcW w:w="2560" w:type="pct"/>
                  <w:tcBorders>
                    <w:tl2br w:val="nil"/>
                    <w:tr2bl w:val="nil"/>
                  </w:tcBorders>
                  <w:noWrap w:val="0"/>
                  <w:vAlign w:val="center"/>
                </w:tcPr>
                <w:p w14:paraId="2835E30F">
                  <w:pPr>
                    <w:keepNext w:val="0"/>
                    <w:keepLines w:val="0"/>
                    <w:suppressLineNumbers w:val="0"/>
                    <w:spacing w:before="0" w:beforeAutospacing="0" w:after="0" w:afterAutospacing="0"/>
                    <w:ind w:left="0" w:right="0"/>
                    <w:jc w:val="center"/>
                    <w:rPr>
                      <w:rFonts w:hint="eastAsia"/>
                      <w:bCs/>
                      <w:szCs w:val="21"/>
                    </w:rPr>
                  </w:pPr>
                  <w:r>
                    <w:rPr>
                      <w:rFonts w:hint="eastAsia"/>
                      <w:bCs/>
                      <w:szCs w:val="21"/>
                    </w:rPr>
                    <w:t>进一步优化规划布局，严格按照功能区划进行开发建设，处理好产业区内部各功能组团及周边农业、居住等各功能组团的关系充分利用自然地形和绿化隔离带使各功能区隔离，确保功能区划明确、产业相对集中、生态环境优良。核心区自北向南依次布置三类、二类、一类工业用地、商业和居住用地（仅用于区域居民安置），规划区西侧靠长江段布设港口用地、铁路等交通用地、仓储用地，在工业用地周围及工业用地用地与居住用地之间、核心区边缘做好绿化隔离。</w:t>
                  </w:r>
                </w:p>
              </w:tc>
              <w:tc>
                <w:tcPr>
                  <w:tcW w:w="1569" w:type="pct"/>
                  <w:tcBorders>
                    <w:tl2br w:val="nil"/>
                    <w:tr2bl w:val="nil"/>
                  </w:tcBorders>
                  <w:noWrap w:val="0"/>
                  <w:vAlign w:val="center"/>
                </w:tcPr>
                <w:p w14:paraId="4D861DC6">
                  <w:pPr>
                    <w:keepNext w:val="0"/>
                    <w:keepLines w:val="0"/>
                    <w:suppressLineNumbers w:val="0"/>
                    <w:spacing w:before="0" w:beforeAutospacing="0" w:after="0" w:afterAutospacing="0"/>
                    <w:ind w:left="0" w:right="0"/>
                    <w:jc w:val="center"/>
                    <w:rPr>
                      <w:rFonts w:hint="eastAsia"/>
                      <w:bCs/>
                      <w:szCs w:val="21"/>
                    </w:rPr>
                  </w:pPr>
                  <w:r>
                    <w:rPr>
                      <w:rFonts w:hint="eastAsia"/>
                      <w:bCs/>
                      <w:szCs w:val="21"/>
                      <w:lang w:eastAsia="zh-CN"/>
                    </w:rPr>
                    <w:t>本项目</w:t>
                  </w:r>
                  <w:r>
                    <w:rPr>
                      <w:rFonts w:hint="eastAsia"/>
                      <w:bCs/>
                      <w:szCs w:val="21"/>
                    </w:rPr>
                    <w:t>位于</w:t>
                  </w:r>
                  <w:r>
                    <w:rPr>
                      <w:rFonts w:hint="eastAsia" w:eastAsia="宋体"/>
                      <w:bCs/>
                      <w:szCs w:val="21"/>
                      <w:lang w:val="en-US" w:eastAsia="zh-CN"/>
                    </w:rPr>
                    <w:t>岳阳临港高新技术产业开发区</w:t>
                  </w:r>
                  <w:r>
                    <w:rPr>
                      <w:rFonts w:hint="eastAsia" w:eastAsia="宋体"/>
                      <w:bCs/>
                      <w:szCs w:val="21"/>
                      <w:lang w:eastAsia="zh-CN"/>
                    </w:rPr>
                    <w:t>，</w:t>
                  </w:r>
                  <w:r>
                    <w:rPr>
                      <w:rFonts w:hint="eastAsia"/>
                      <w:bCs/>
                      <w:szCs w:val="21"/>
                    </w:rPr>
                    <w:t>属于临港核心区准入行业中的高端装备制造业</w:t>
                  </w:r>
                  <w:r>
                    <w:rPr>
                      <w:rFonts w:hint="eastAsia"/>
                      <w:bCs/>
                      <w:szCs w:val="21"/>
                      <w:lang w:eastAsia="zh-CN"/>
                    </w:rPr>
                    <w:t>，</w:t>
                  </w:r>
                  <w:r>
                    <w:rPr>
                      <w:rFonts w:hint="eastAsia"/>
                      <w:bCs/>
                      <w:szCs w:val="21"/>
                    </w:rPr>
                    <w:t>本项目</w:t>
                  </w:r>
                  <w:r>
                    <w:rPr>
                      <w:rFonts w:hint="eastAsia"/>
                      <w:bCs/>
                      <w:szCs w:val="21"/>
                      <w:lang w:eastAsia="zh-CN"/>
                    </w:rPr>
                    <w:t>符合园区产业定位。项目所在地块</w:t>
                  </w:r>
                  <w:r>
                    <w:rPr>
                      <w:rFonts w:hint="eastAsia"/>
                      <w:bCs/>
                      <w:color w:val="auto"/>
                      <w:szCs w:val="21"/>
                      <w:highlight w:val="none"/>
                    </w:rPr>
                    <w:t>属于</w:t>
                  </w:r>
                  <w:r>
                    <w:rPr>
                      <w:rFonts w:hint="eastAsia"/>
                      <w:bCs/>
                      <w:color w:val="auto"/>
                      <w:szCs w:val="21"/>
                      <w:highlight w:val="none"/>
                      <w:lang w:eastAsia="zh-CN"/>
                    </w:rPr>
                    <w:t>二</w:t>
                  </w:r>
                  <w:r>
                    <w:rPr>
                      <w:rFonts w:hint="eastAsia"/>
                      <w:bCs/>
                      <w:color w:val="auto"/>
                      <w:szCs w:val="21"/>
                      <w:highlight w:val="none"/>
                    </w:rPr>
                    <w:t>类工业用地，符合园区</w:t>
                  </w:r>
                  <w:r>
                    <w:rPr>
                      <w:rFonts w:hint="eastAsia"/>
                      <w:bCs/>
                      <w:color w:val="auto"/>
                      <w:szCs w:val="21"/>
                      <w:highlight w:val="none"/>
                      <w:lang w:eastAsia="zh-CN"/>
                    </w:rPr>
                    <w:t>土地利用规划</w:t>
                  </w:r>
                  <w:r>
                    <w:rPr>
                      <w:rFonts w:hint="eastAsia"/>
                      <w:bCs/>
                      <w:color w:val="auto"/>
                      <w:szCs w:val="21"/>
                      <w:highlight w:val="none"/>
                    </w:rPr>
                    <w:t>。</w:t>
                  </w:r>
                </w:p>
              </w:tc>
              <w:tc>
                <w:tcPr>
                  <w:tcW w:w="460" w:type="pct"/>
                  <w:tcBorders>
                    <w:tl2br w:val="nil"/>
                    <w:tr2bl w:val="nil"/>
                  </w:tcBorders>
                  <w:noWrap w:val="0"/>
                  <w:vAlign w:val="center"/>
                </w:tcPr>
                <w:p w14:paraId="3D042FA2">
                  <w:pPr>
                    <w:keepNext w:val="0"/>
                    <w:keepLines w:val="0"/>
                    <w:suppressLineNumbers w:val="0"/>
                    <w:spacing w:before="0" w:beforeAutospacing="0" w:after="0" w:afterAutospacing="0"/>
                    <w:ind w:left="0" w:right="0"/>
                    <w:jc w:val="center"/>
                    <w:rPr>
                      <w:rFonts w:hint="default"/>
                      <w:bCs/>
                      <w:szCs w:val="21"/>
                    </w:rPr>
                  </w:pPr>
                  <w:r>
                    <w:rPr>
                      <w:rFonts w:hint="eastAsia"/>
                      <w:bCs/>
                      <w:szCs w:val="21"/>
                    </w:rPr>
                    <w:t>符合</w:t>
                  </w:r>
                </w:p>
              </w:tc>
            </w:tr>
            <w:tr w14:paraId="5A9A6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3575A25A">
                  <w:pPr>
                    <w:keepNext w:val="0"/>
                    <w:keepLines w:val="0"/>
                    <w:suppressLineNumbers w:val="0"/>
                    <w:spacing w:before="0" w:beforeAutospacing="0" w:after="0" w:afterAutospacing="0"/>
                    <w:ind w:left="0" w:right="0"/>
                    <w:jc w:val="center"/>
                    <w:rPr>
                      <w:rFonts w:hint="default"/>
                      <w:bCs/>
                      <w:szCs w:val="21"/>
                    </w:rPr>
                  </w:pPr>
                  <w:r>
                    <w:rPr>
                      <w:rFonts w:hint="eastAsia"/>
                      <w:bCs/>
                      <w:szCs w:val="21"/>
                    </w:rPr>
                    <w:t>2</w:t>
                  </w:r>
                </w:p>
              </w:tc>
              <w:tc>
                <w:tcPr>
                  <w:tcW w:w="2560" w:type="pct"/>
                  <w:tcBorders>
                    <w:tl2br w:val="nil"/>
                    <w:tr2bl w:val="nil"/>
                  </w:tcBorders>
                  <w:noWrap w:val="0"/>
                  <w:vAlign w:val="center"/>
                </w:tcPr>
                <w:p w14:paraId="2E46D4A5">
                  <w:pPr>
                    <w:keepNext w:val="0"/>
                    <w:keepLines w:val="0"/>
                    <w:suppressLineNumbers w:val="0"/>
                    <w:spacing w:before="0" w:beforeAutospacing="0" w:after="0" w:afterAutospacing="0"/>
                    <w:ind w:left="0" w:right="0"/>
                    <w:jc w:val="center"/>
                    <w:rPr>
                      <w:rFonts w:hint="eastAsia"/>
                      <w:bCs/>
                      <w:szCs w:val="21"/>
                    </w:rPr>
                  </w:pPr>
                  <w:r>
                    <w:rPr>
                      <w:rFonts w:hint="eastAsia"/>
                      <w:bCs/>
                      <w:szCs w:val="21"/>
                    </w:rPr>
                    <w:t>严格执行入区企业准入制度，入区项目选址必须符合总体发展规划、用地规划、环保规划及主导产业定位要求，着重发展高新技术类项目，不得引进国家明令淘汰和禁止发展的能耗物耗高、环境污染严重、不符合产业政策的建设项目；管委会和地方环保行政主管部门必须按照报告书核定的“企业准入条件一览表”做好项目的招商把关，禁止引入铅、锌、铬等重污染冶炼行业、纺织印染、炼油、农药工业、来料加工的海外废金属、塑料、纸张加工等工业进入产业区</w:t>
                  </w:r>
                  <w:r>
                    <w:rPr>
                      <w:rFonts w:hint="eastAsia"/>
                      <w:bCs/>
                      <w:szCs w:val="21"/>
                      <w:lang w:eastAsia="zh-CN"/>
                    </w:rPr>
                    <w:t>；</w:t>
                  </w:r>
                  <w:r>
                    <w:rPr>
                      <w:rFonts w:hint="eastAsia"/>
                      <w:bCs/>
                      <w:szCs w:val="21"/>
                    </w:rPr>
                    <w:t>限制发展三类工业，区域内三类工业用地仅允许用于涉及三类工业的高新企业引进和发展鼓励类高新技术项目的预留用地。在入园项目前期和建设期，必须严格执行建设项目环境影响评价和“三同时”管理制度，推行清洁生产工艺，确保企业排污浓度、总量满足达标排放和总量控制要求；加强对产业区内现有企业的环境监管，确保符合环评批复和“三同时”管理要求；对区域内已建的部分与核心区产业定位不符的企业应制定淘汰退出计划，逐步退出核心区。</w:t>
                  </w:r>
                </w:p>
              </w:tc>
              <w:tc>
                <w:tcPr>
                  <w:tcW w:w="1569" w:type="pct"/>
                  <w:tcBorders>
                    <w:tl2br w:val="nil"/>
                    <w:tr2bl w:val="nil"/>
                  </w:tcBorders>
                  <w:noWrap w:val="0"/>
                  <w:vAlign w:val="center"/>
                </w:tcPr>
                <w:p w14:paraId="432B33C2">
                  <w:pPr>
                    <w:keepNext w:val="0"/>
                    <w:keepLines w:val="0"/>
                    <w:suppressLineNumbers w:val="0"/>
                    <w:spacing w:before="0" w:beforeAutospacing="0" w:after="0" w:afterAutospacing="0"/>
                    <w:ind w:left="0" w:right="0"/>
                    <w:jc w:val="center"/>
                    <w:rPr>
                      <w:rFonts w:hint="eastAsia"/>
                      <w:bCs/>
                      <w:szCs w:val="21"/>
                      <w:highlight w:val="none"/>
                    </w:rPr>
                  </w:pPr>
                  <w:r>
                    <w:rPr>
                      <w:rFonts w:hint="eastAsia"/>
                      <w:bCs/>
                      <w:szCs w:val="21"/>
                      <w:highlight w:val="none"/>
                    </w:rPr>
                    <w:t>本项目属于</w:t>
                  </w:r>
                  <w:r>
                    <w:rPr>
                      <w:rFonts w:hint="eastAsia"/>
                      <w:bCs/>
                      <w:szCs w:val="21"/>
                    </w:rPr>
                    <w:t>高端装备制造业</w:t>
                  </w:r>
                  <w:r>
                    <w:rPr>
                      <w:rFonts w:hint="eastAsia"/>
                      <w:bCs/>
                      <w:szCs w:val="21"/>
                      <w:lang w:eastAsia="zh-CN"/>
                    </w:rPr>
                    <w:t>，通过上文表</w:t>
                  </w:r>
                  <w:r>
                    <w:rPr>
                      <w:rFonts w:hint="eastAsia"/>
                      <w:bCs/>
                      <w:szCs w:val="21"/>
                      <w:lang w:val="en-US" w:eastAsia="zh-CN"/>
                    </w:rPr>
                    <w:t>1-1分析可知，本项目符合园区企业准入条件</w:t>
                  </w:r>
                  <w:r>
                    <w:rPr>
                      <w:rFonts w:hint="eastAsia"/>
                      <w:bCs/>
                      <w:szCs w:val="21"/>
                      <w:highlight w:val="none"/>
                    </w:rPr>
                    <w:t>。根据土地利用规划，项目所在地规划为</w:t>
                  </w:r>
                  <w:r>
                    <w:rPr>
                      <w:rFonts w:hint="eastAsia"/>
                      <w:bCs/>
                      <w:szCs w:val="21"/>
                      <w:highlight w:val="none"/>
                      <w:lang w:eastAsia="zh-CN"/>
                    </w:rPr>
                    <w:t>二类</w:t>
                  </w:r>
                  <w:r>
                    <w:rPr>
                      <w:rFonts w:hint="eastAsia"/>
                      <w:bCs/>
                      <w:szCs w:val="21"/>
                      <w:highlight w:val="none"/>
                    </w:rPr>
                    <w:t>工业用地</w:t>
                  </w:r>
                  <w:r>
                    <w:rPr>
                      <w:rFonts w:hint="eastAsia"/>
                      <w:bCs/>
                      <w:szCs w:val="21"/>
                      <w:highlight w:val="none"/>
                      <w:lang w:eastAsia="zh-CN"/>
                    </w:rPr>
                    <w:t>，</w:t>
                  </w:r>
                  <w:r>
                    <w:rPr>
                      <w:rFonts w:hint="eastAsia"/>
                      <w:bCs/>
                      <w:szCs w:val="21"/>
                      <w:highlight w:val="none"/>
                    </w:rPr>
                    <w:t>项目选址符合总体发展规划、用地规划、环保规划及主导产业定位要求，不属于国家明令淘汰和禁止发展的能耗物耗高、环境污染严重、不符合产业政策的建设项目；也不属于铅、锌、铬等重污染冶炼行业、纺织印染、炼油、农药工业、来料加工的海外废金属、塑料、纸张加工等工业。本项目</w:t>
                  </w:r>
                  <w:r>
                    <w:rPr>
                      <w:rFonts w:hint="eastAsia"/>
                      <w:bCs/>
                      <w:szCs w:val="21"/>
                      <w:highlight w:val="none"/>
                      <w:lang w:eastAsia="zh-CN"/>
                    </w:rPr>
                    <w:t>将</w:t>
                  </w:r>
                  <w:r>
                    <w:rPr>
                      <w:rFonts w:hint="eastAsia"/>
                      <w:bCs/>
                      <w:szCs w:val="21"/>
                      <w:highlight w:val="none"/>
                    </w:rPr>
                    <w:t>严格执行建设项目环境影响评价和“三同时”管理制度，推行清洁生产工艺，企业排污浓度、总量满足达标排放和总量控制要求。</w:t>
                  </w:r>
                </w:p>
              </w:tc>
              <w:tc>
                <w:tcPr>
                  <w:tcW w:w="460" w:type="pct"/>
                  <w:tcBorders>
                    <w:tl2br w:val="nil"/>
                    <w:tr2bl w:val="nil"/>
                  </w:tcBorders>
                  <w:noWrap w:val="0"/>
                  <w:vAlign w:val="center"/>
                </w:tcPr>
                <w:p w14:paraId="755159F0">
                  <w:pPr>
                    <w:keepNext w:val="0"/>
                    <w:keepLines w:val="0"/>
                    <w:suppressLineNumbers w:val="0"/>
                    <w:spacing w:before="0" w:beforeAutospacing="0" w:after="0" w:afterAutospacing="0"/>
                    <w:ind w:left="0" w:right="0"/>
                    <w:jc w:val="center"/>
                    <w:rPr>
                      <w:rFonts w:hint="eastAsia"/>
                      <w:bCs/>
                      <w:szCs w:val="21"/>
                      <w:highlight w:val="none"/>
                    </w:rPr>
                  </w:pPr>
                  <w:r>
                    <w:rPr>
                      <w:rFonts w:hint="eastAsia"/>
                      <w:bCs/>
                      <w:szCs w:val="21"/>
                      <w:highlight w:val="none"/>
                    </w:rPr>
                    <w:t>符合</w:t>
                  </w:r>
                </w:p>
              </w:tc>
            </w:tr>
            <w:tr w14:paraId="1AF20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3C774492">
                  <w:pPr>
                    <w:keepNext w:val="0"/>
                    <w:keepLines w:val="0"/>
                    <w:suppressLineNumbers w:val="0"/>
                    <w:spacing w:before="0" w:beforeAutospacing="0" w:after="0" w:afterAutospacing="0"/>
                    <w:ind w:left="0" w:right="0"/>
                    <w:jc w:val="center"/>
                    <w:rPr>
                      <w:rFonts w:hint="default"/>
                      <w:bCs/>
                      <w:szCs w:val="21"/>
                    </w:rPr>
                  </w:pPr>
                  <w:r>
                    <w:rPr>
                      <w:rFonts w:hint="eastAsia"/>
                      <w:bCs/>
                      <w:szCs w:val="21"/>
                    </w:rPr>
                    <w:t>3</w:t>
                  </w:r>
                </w:p>
              </w:tc>
              <w:tc>
                <w:tcPr>
                  <w:tcW w:w="2560" w:type="pct"/>
                  <w:tcBorders>
                    <w:tl2br w:val="nil"/>
                    <w:tr2bl w:val="nil"/>
                  </w:tcBorders>
                  <w:noWrap w:val="0"/>
                  <w:vAlign w:val="center"/>
                </w:tcPr>
                <w:p w14:paraId="6125905F">
                  <w:pPr>
                    <w:keepNext w:val="0"/>
                    <w:keepLines w:val="0"/>
                    <w:suppressLineNumbers w:val="0"/>
                    <w:spacing w:before="0" w:beforeAutospacing="0" w:after="0" w:afterAutospacing="0"/>
                    <w:ind w:left="0" w:right="0"/>
                    <w:jc w:val="left"/>
                    <w:rPr>
                      <w:rFonts w:hint="eastAsia"/>
                      <w:bCs/>
                      <w:szCs w:val="21"/>
                      <w:u w:val="none"/>
                    </w:rPr>
                  </w:pPr>
                  <w:r>
                    <w:rPr>
                      <w:rFonts w:hint="eastAsia"/>
                      <w:bCs/>
                      <w:szCs w:val="21"/>
                      <w:u w:val="none"/>
                    </w:rPr>
                    <w:t>规划区排水实施雨污</w:t>
                  </w:r>
                  <w:r>
                    <w:rPr>
                      <w:rFonts w:hint="eastAsia"/>
                      <w:bCs/>
                      <w:color w:val="auto"/>
                      <w:szCs w:val="21"/>
                      <w:u w:val="none"/>
                    </w:rPr>
                    <w:t>分流，加快象骨港污水处理厂及配套管网工程建设进度，截污、排污管网必须与道路建设及区域开发同步进行，确保</w:t>
                  </w:r>
                  <w:r>
                    <w:rPr>
                      <w:rFonts w:hint="eastAsia"/>
                      <w:bCs/>
                      <w:szCs w:val="21"/>
                      <w:u w:val="none"/>
                    </w:rPr>
                    <w:t>规划区内污水全面纳入污水处理厂处理。在污水处理厂及配套管网建成前，区域内应全面限制引进水型污染企业，并对已投产企业废水排放严格按《污水综合排放标准》(GB8978-1996)一级标准控制；污水处理厂建成后，企业生产生活废水经预处理达到《污水综合排放标准》(GB8978—1996)三级标准后由管网排入集中污水处理厂深度处理，达到《城镇污水处理厂污染物排放标准》(GB18918-2002)一级B标准后外排长江。</w:t>
                  </w:r>
                </w:p>
              </w:tc>
              <w:tc>
                <w:tcPr>
                  <w:tcW w:w="1569" w:type="pct"/>
                  <w:tcBorders>
                    <w:tl2br w:val="nil"/>
                    <w:tr2bl w:val="nil"/>
                  </w:tcBorders>
                  <w:noWrap w:val="0"/>
                  <w:vAlign w:val="center"/>
                </w:tcPr>
                <w:p w14:paraId="424997D6">
                  <w:pPr>
                    <w:keepNext w:val="0"/>
                    <w:keepLines w:val="0"/>
                    <w:suppressLineNumbers w:val="0"/>
                    <w:spacing w:before="0" w:beforeAutospacing="0" w:after="0" w:afterAutospacing="0"/>
                    <w:ind w:left="0" w:right="0"/>
                    <w:jc w:val="left"/>
                    <w:rPr>
                      <w:rFonts w:hint="eastAsia"/>
                      <w:bCs/>
                      <w:szCs w:val="21"/>
                      <w:u w:val="none"/>
                    </w:rPr>
                  </w:pPr>
                  <w:r>
                    <w:rPr>
                      <w:rFonts w:hint="eastAsia"/>
                      <w:bCs/>
                      <w:color w:val="auto"/>
                      <w:szCs w:val="21"/>
                      <w:u w:val="none"/>
                    </w:rPr>
                    <w:t>企业实施雨污分流，</w:t>
                  </w:r>
                  <w:r>
                    <w:rPr>
                      <w:rFonts w:hint="eastAsia"/>
                      <w:bCs/>
                      <w:szCs w:val="21"/>
                      <w:u w:val="none"/>
                      <w:lang w:eastAsia="zh-CN"/>
                    </w:rPr>
                    <w:t>园区污水管网已覆盖至本项目，本项目属于</w:t>
                  </w:r>
                  <w:r>
                    <w:rPr>
                      <w:rFonts w:hint="eastAsia"/>
                      <w:bCs/>
                      <w:szCs w:val="21"/>
                      <w:u w:val="none"/>
                    </w:rPr>
                    <w:t>湖南城陵矶临港产业新区污水处理厂</w:t>
                  </w:r>
                  <w:r>
                    <w:rPr>
                      <w:rFonts w:hint="eastAsia"/>
                      <w:bCs/>
                      <w:szCs w:val="21"/>
                      <w:u w:val="none"/>
                      <w:lang w:eastAsia="zh-CN"/>
                    </w:rPr>
                    <w:t>纳污范围。项目废水经预处理</w:t>
                  </w:r>
                  <w:r>
                    <w:rPr>
                      <w:rFonts w:hint="eastAsia"/>
                      <w:bCs/>
                      <w:szCs w:val="21"/>
                      <w:u w:val="none"/>
                    </w:rPr>
                    <w:t>达到《污水综合排放标准》（GB8978-1996）中三级标准</w:t>
                  </w:r>
                  <w:r>
                    <w:rPr>
                      <w:rFonts w:hint="eastAsia"/>
                      <w:bCs/>
                      <w:szCs w:val="21"/>
                      <w:u w:val="none"/>
                      <w:lang w:eastAsia="zh-CN"/>
                    </w:rPr>
                    <w:t>及</w:t>
                  </w:r>
                  <w:r>
                    <w:rPr>
                      <w:rFonts w:hint="eastAsia"/>
                      <w:bCs/>
                      <w:szCs w:val="21"/>
                      <w:u w:val="none"/>
                    </w:rPr>
                    <w:t>湖南城陵矶临港产业新区污水处理厂进水水质要求后</w:t>
                  </w:r>
                  <w:r>
                    <w:rPr>
                      <w:rFonts w:hint="eastAsia"/>
                      <w:bCs/>
                      <w:szCs w:val="21"/>
                      <w:u w:val="none"/>
                      <w:lang w:eastAsia="zh-CN"/>
                    </w:rPr>
                    <w:t>，再</w:t>
                  </w:r>
                  <w:r>
                    <w:rPr>
                      <w:rFonts w:hint="eastAsia"/>
                      <w:bCs/>
                      <w:szCs w:val="21"/>
                      <w:u w:val="none"/>
                    </w:rPr>
                    <w:t>由管网排入污水处理厂深度处理，达到《城镇污水处理厂污染物排放标准》(GB18918-2002)一级A标准后外排至象骨港，最终排入长江。</w:t>
                  </w:r>
                </w:p>
              </w:tc>
              <w:tc>
                <w:tcPr>
                  <w:tcW w:w="460" w:type="pct"/>
                  <w:tcBorders>
                    <w:tl2br w:val="nil"/>
                    <w:tr2bl w:val="nil"/>
                  </w:tcBorders>
                  <w:noWrap w:val="0"/>
                  <w:vAlign w:val="center"/>
                </w:tcPr>
                <w:p w14:paraId="0806547B">
                  <w:pPr>
                    <w:keepNext w:val="0"/>
                    <w:keepLines w:val="0"/>
                    <w:suppressLineNumbers w:val="0"/>
                    <w:spacing w:before="0" w:beforeAutospacing="0" w:after="0" w:afterAutospacing="0"/>
                    <w:ind w:left="0" w:right="0"/>
                    <w:jc w:val="center"/>
                    <w:rPr>
                      <w:rFonts w:hint="eastAsia"/>
                      <w:bCs/>
                      <w:szCs w:val="21"/>
                    </w:rPr>
                  </w:pPr>
                  <w:r>
                    <w:rPr>
                      <w:rFonts w:hint="eastAsia"/>
                      <w:bCs/>
                      <w:szCs w:val="21"/>
                    </w:rPr>
                    <w:t>符合</w:t>
                  </w:r>
                </w:p>
              </w:tc>
            </w:tr>
            <w:tr w14:paraId="02A5B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0B015C2D">
                  <w:pPr>
                    <w:keepNext w:val="0"/>
                    <w:keepLines w:val="0"/>
                    <w:suppressLineNumbers w:val="0"/>
                    <w:spacing w:before="0" w:beforeAutospacing="0" w:after="0" w:afterAutospacing="0"/>
                    <w:ind w:left="0" w:right="0"/>
                    <w:jc w:val="center"/>
                    <w:rPr>
                      <w:rFonts w:hint="default"/>
                      <w:bCs/>
                      <w:szCs w:val="21"/>
                    </w:rPr>
                  </w:pPr>
                  <w:r>
                    <w:rPr>
                      <w:rFonts w:hint="eastAsia"/>
                      <w:bCs/>
                      <w:szCs w:val="21"/>
                    </w:rPr>
                    <w:t>4</w:t>
                  </w:r>
                </w:p>
              </w:tc>
              <w:tc>
                <w:tcPr>
                  <w:tcW w:w="2560" w:type="pct"/>
                  <w:tcBorders>
                    <w:tl2br w:val="nil"/>
                    <w:tr2bl w:val="nil"/>
                  </w:tcBorders>
                  <w:noWrap w:val="0"/>
                  <w:vAlign w:val="center"/>
                </w:tcPr>
                <w:p w14:paraId="2EA190E0">
                  <w:pPr>
                    <w:keepNext w:val="0"/>
                    <w:keepLines w:val="0"/>
                    <w:suppressLineNumbers w:val="0"/>
                    <w:spacing w:before="0" w:beforeAutospacing="0" w:after="0" w:afterAutospacing="0"/>
                    <w:ind w:left="0" w:right="0"/>
                    <w:jc w:val="center"/>
                    <w:rPr>
                      <w:rFonts w:hint="eastAsia"/>
                      <w:bCs/>
                      <w:szCs w:val="21"/>
                    </w:rPr>
                  </w:pPr>
                  <w:r>
                    <w:rPr>
                      <w:rFonts w:hint="eastAsia"/>
                      <w:bCs/>
                      <w:szCs w:val="21"/>
                    </w:rPr>
                    <w:t>按报告书要求做好产业区大气污染控制措施。核心区依托华能电厂进行集中供热，区域内禁止使用原煤、重油为能源的项目进入，禁止引进SO</w:t>
                  </w:r>
                  <w:r>
                    <w:rPr>
                      <w:rFonts w:hint="eastAsia"/>
                      <w:bCs/>
                      <w:szCs w:val="21"/>
                      <w:vertAlign w:val="subscript"/>
                    </w:rPr>
                    <w:t>2</w:t>
                  </w:r>
                  <w:r>
                    <w:rPr>
                      <w:rFonts w:hint="eastAsia"/>
                      <w:bCs/>
                      <w:szCs w:val="21"/>
                    </w:rPr>
                    <w:t>、NOx排放量大的行业和项目。加强企业管理，对各企业有工艺废气产出的生产节点，应配置废气收集与处理净化装置，督促正常运行，确保达标排放；加强生产工艺研究与技术改进，采取有效措施，减少工艺废气的无组织排放，入园企业各生产装置排放的废气须经处理达到相应的排放标准；合理优化工业布局，在工业企业之间设置合理的间隔距离，避免相互干扰影响。</w:t>
                  </w:r>
                </w:p>
              </w:tc>
              <w:tc>
                <w:tcPr>
                  <w:tcW w:w="1569" w:type="pct"/>
                  <w:tcBorders>
                    <w:tl2br w:val="nil"/>
                    <w:tr2bl w:val="nil"/>
                  </w:tcBorders>
                  <w:noWrap w:val="0"/>
                  <w:vAlign w:val="center"/>
                </w:tcPr>
                <w:p w14:paraId="206F59BA">
                  <w:pPr>
                    <w:keepNext w:val="0"/>
                    <w:keepLines w:val="0"/>
                    <w:suppressLineNumbers w:val="0"/>
                    <w:spacing w:before="0" w:beforeAutospacing="0" w:after="0" w:afterAutospacing="0"/>
                    <w:ind w:left="0" w:right="0"/>
                    <w:jc w:val="center"/>
                    <w:rPr>
                      <w:rFonts w:hint="eastAsia"/>
                      <w:bCs/>
                      <w:szCs w:val="21"/>
                      <w:u w:val="wave"/>
                    </w:rPr>
                  </w:pPr>
                  <w:r>
                    <w:rPr>
                      <w:rFonts w:hint="eastAsia"/>
                      <w:bCs/>
                      <w:color w:val="auto"/>
                      <w:szCs w:val="21"/>
                      <w:u w:val="none"/>
                    </w:rPr>
                    <w:t>本项目在生产中</w:t>
                  </w:r>
                  <w:r>
                    <w:rPr>
                      <w:rFonts w:hint="eastAsia"/>
                      <w:bCs/>
                      <w:color w:val="auto"/>
                      <w:szCs w:val="21"/>
                      <w:u w:val="none"/>
                      <w:lang w:eastAsia="zh-CN"/>
                    </w:rPr>
                    <w:t>使用电能，</w:t>
                  </w:r>
                  <w:r>
                    <w:rPr>
                      <w:rFonts w:hint="eastAsia"/>
                      <w:bCs/>
                      <w:color w:val="auto"/>
                      <w:szCs w:val="21"/>
                      <w:u w:val="none"/>
                    </w:rPr>
                    <w:t>不产生SO</w:t>
                  </w:r>
                  <w:r>
                    <w:rPr>
                      <w:rFonts w:hint="eastAsia"/>
                      <w:bCs/>
                      <w:color w:val="auto"/>
                      <w:szCs w:val="21"/>
                      <w:u w:val="none"/>
                      <w:vertAlign w:val="subscript"/>
                    </w:rPr>
                    <w:t>2</w:t>
                  </w:r>
                  <w:r>
                    <w:rPr>
                      <w:rFonts w:hint="eastAsia"/>
                      <w:bCs/>
                      <w:color w:val="auto"/>
                      <w:szCs w:val="21"/>
                      <w:u w:val="none"/>
                    </w:rPr>
                    <w:t>、NOx；项目在生产中废气环节为</w:t>
                  </w:r>
                  <w:r>
                    <w:rPr>
                      <w:rFonts w:hint="eastAsia"/>
                      <w:bCs/>
                      <w:color w:val="auto"/>
                      <w:szCs w:val="21"/>
                      <w:u w:val="none"/>
                      <w:lang w:eastAsia="zh-CN"/>
                    </w:rPr>
                    <w:t>机加工、焊接粉尘，以及喷漆有机废气</w:t>
                  </w:r>
                  <w:r>
                    <w:rPr>
                      <w:rFonts w:hint="eastAsia"/>
                      <w:bCs/>
                      <w:color w:val="auto"/>
                      <w:szCs w:val="21"/>
                      <w:u w:val="none"/>
                    </w:rPr>
                    <w:t>，</w:t>
                  </w:r>
                  <w:r>
                    <w:rPr>
                      <w:rFonts w:hint="eastAsia"/>
                      <w:bCs/>
                      <w:color w:val="auto"/>
                      <w:szCs w:val="21"/>
                      <w:u w:val="none"/>
                      <w:lang w:eastAsia="zh-CN"/>
                    </w:rPr>
                    <w:t>各</w:t>
                  </w:r>
                  <w:r>
                    <w:rPr>
                      <w:rFonts w:hint="eastAsia"/>
                      <w:bCs/>
                      <w:color w:val="auto"/>
                      <w:szCs w:val="21"/>
                      <w:u w:val="none"/>
                    </w:rPr>
                    <w:t>废气</w:t>
                  </w:r>
                  <w:r>
                    <w:rPr>
                      <w:rFonts w:hint="eastAsia"/>
                      <w:bCs/>
                      <w:color w:val="auto"/>
                      <w:szCs w:val="21"/>
                      <w:u w:val="none"/>
                      <w:lang w:eastAsia="zh-CN"/>
                    </w:rPr>
                    <w:t>产出节点均设收集装置，废气经处理后达标排放。建设单位应加强日常管理，确保各处理设施正常运行，确保稳定达标排放。</w:t>
                  </w:r>
                </w:p>
              </w:tc>
              <w:tc>
                <w:tcPr>
                  <w:tcW w:w="460" w:type="pct"/>
                  <w:tcBorders>
                    <w:tl2br w:val="nil"/>
                    <w:tr2bl w:val="nil"/>
                  </w:tcBorders>
                  <w:noWrap w:val="0"/>
                  <w:vAlign w:val="center"/>
                </w:tcPr>
                <w:p w14:paraId="7739D3DF">
                  <w:pPr>
                    <w:keepNext w:val="0"/>
                    <w:keepLines w:val="0"/>
                    <w:suppressLineNumbers w:val="0"/>
                    <w:spacing w:before="0" w:beforeAutospacing="0" w:after="0" w:afterAutospacing="0"/>
                    <w:ind w:left="0" w:right="0"/>
                    <w:jc w:val="center"/>
                    <w:rPr>
                      <w:rFonts w:hint="eastAsia"/>
                    </w:rPr>
                  </w:pPr>
                  <w:r>
                    <w:rPr>
                      <w:rFonts w:hint="eastAsia"/>
                      <w:bCs/>
                      <w:szCs w:val="21"/>
                    </w:rPr>
                    <w:t>符合</w:t>
                  </w:r>
                </w:p>
              </w:tc>
            </w:tr>
            <w:tr w14:paraId="424BE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5166B09B">
                  <w:pPr>
                    <w:keepNext w:val="0"/>
                    <w:keepLines w:val="0"/>
                    <w:suppressLineNumbers w:val="0"/>
                    <w:spacing w:before="0" w:beforeAutospacing="0" w:after="0" w:afterAutospacing="0"/>
                    <w:ind w:left="0" w:right="0"/>
                    <w:jc w:val="center"/>
                    <w:rPr>
                      <w:rFonts w:hint="default"/>
                      <w:bCs/>
                      <w:szCs w:val="21"/>
                    </w:rPr>
                  </w:pPr>
                  <w:r>
                    <w:rPr>
                      <w:rFonts w:hint="eastAsia"/>
                      <w:bCs/>
                      <w:szCs w:val="21"/>
                    </w:rPr>
                    <w:t>5</w:t>
                  </w:r>
                </w:p>
              </w:tc>
              <w:tc>
                <w:tcPr>
                  <w:tcW w:w="2560" w:type="pct"/>
                  <w:tcBorders>
                    <w:tl2br w:val="nil"/>
                    <w:tr2bl w:val="nil"/>
                  </w:tcBorders>
                  <w:noWrap w:val="0"/>
                  <w:vAlign w:val="center"/>
                </w:tcPr>
                <w:p w14:paraId="33C8CF3C">
                  <w:pPr>
                    <w:keepNext w:val="0"/>
                    <w:keepLines w:val="0"/>
                    <w:suppressLineNumbers w:val="0"/>
                    <w:spacing w:before="0" w:beforeAutospacing="0" w:after="0" w:afterAutospacing="0"/>
                    <w:ind w:left="0" w:right="0"/>
                    <w:jc w:val="center"/>
                    <w:rPr>
                      <w:rFonts w:hint="eastAsia"/>
                      <w:bCs/>
                      <w:szCs w:val="21"/>
                    </w:rPr>
                  </w:pPr>
                  <w:r>
                    <w:rPr>
                      <w:rFonts w:hint="eastAsia"/>
                      <w:bCs/>
                      <w:szCs w:val="21"/>
                    </w:rPr>
                    <w:t>做好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固体废物特别是危险固废应按国家有关规定综合利本项目在生产中产生的固废有职工生活垃圾，交环卫部门清运；一般工业固体废物（如：废砂轮棒、废边角料等固体废物，可作为一般资源的均外售处置。危险废物（如废切削液、废活性炭等），交由有资质的单位处置。厂内设置的危险废物暂存间严格按《危险废物贮存污染相符用或妥善处置，严防二次污染。</w:t>
                  </w:r>
                </w:p>
              </w:tc>
              <w:tc>
                <w:tcPr>
                  <w:tcW w:w="1569" w:type="pct"/>
                  <w:tcBorders>
                    <w:tl2br w:val="nil"/>
                    <w:tr2bl w:val="nil"/>
                  </w:tcBorders>
                  <w:noWrap w:val="0"/>
                  <w:vAlign w:val="center"/>
                </w:tcPr>
                <w:p w14:paraId="33B33FA8">
                  <w:pPr>
                    <w:keepNext w:val="0"/>
                    <w:keepLines w:val="0"/>
                    <w:suppressLineNumbers w:val="0"/>
                    <w:spacing w:before="0" w:beforeAutospacing="0" w:after="0" w:afterAutospacing="0"/>
                    <w:ind w:left="0" w:right="0"/>
                    <w:jc w:val="center"/>
                    <w:rPr>
                      <w:rFonts w:hint="eastAsia"/>
                      <w:bCs/>
                      <w:szCs w:val="21"/>
                      <w:u w:val="wave"/>
                    </w:rPr>
                  </w:pPr>
                  <w:r>
                    <w:rPr>
                      <w:rFonts w:hint="eastAsia"/>
                      <w:bCs/>
                      <w:color w:val="auto"/>
                      <w:szCs w:val="21"/>
                      <w:u w:val="none"/>
                    </w:rPr>
                    <w:t>本项目</w:t>
                  </w:r>
                  <w:r>
                    <w:rPr>
                      <w:rFonts w:hint="eastAsia"/>
                      <w:bCs/>
                      <w:color w:val="auto"/>
                      <w:szCs w:val="21"/>
                      <w:u w:val="none"/>
                      <w:lang w:eastAsia="zh-CN"/>
                    </w:rPr>
                    <w:t>运营期</w:t>
                  </w:r>
                  <w:r>
                    <w:rPr>
                      <w:rFonts w:hint="eastAsia"/>
                      <w:bCs/>
                      <w:color w:val="auto"/>
                      <w:szCs w:val="21"/>
                      <w:u w:val="none"/>
                    </w:rPr>
                    <w:t>生活垃圾</w:t>
                  </w:r>
                  <w:r>
                    <w:rPr>
                      <w:rFonts w:hint="eastAsia"/>
                      <w:bCs/>
                      <w:color w:val="auto"/>
                      <w:szCs w:val="21"/>
                      <w:u w:val="none"/>
                      <w:lang w:eastAsia="zh-CN"/>
                    </w:rPr>
                    <w:t>经收集后</w:t>
                  </w:r>
                  <w:r>
                    <w:rPr>
                      <w:rFonts w:hint="eastAsia"/>
                      <w:bCs/>
                      <w:color w:val="auto"/>
                      <w:szCs w:val="21"/>
                      <w:u w:val="none"/>
                    </w:rPr>
                    <w:t>，交环卫部门清运；一般工业固体废物可作为一般资源的均外售</w:t>
                  </w:r>
                  <w:r>
                    <w:rPr>
                      <w:rFonts w:hint="eastAsia"/>
                      <w:bCs/>
                      <w:color w:val="auto"/>
                      <w:szCs w:val="21"/>
                      <w:u w:val="none"/>
                      <w:lang w:eastAsia="zh-CN"/>
                    </w:rPr>
                    <w:t>或回收</w:t>
                  </w:r>
                  <w:r>
                    <w:rPr>
                      <w:rFonts w:hint="eastAsia"/>
                      <w:bCs/>
                      <w:color w:val="auto"/>
                      <w:szCs w:val="21"/>
                      <w:u w:val="none"/>
                    </w:rPr>
                    <w:t>处置。危险废物交由有资质的单位处置。厂内设置的危险废物暂存间严格按《危险废物贮存污染控制标准》（GB18597-20</w:t>
                  </w:r>
                  <w:r>
                    <w:rPr>
                      <w:rFonts w:hint="eastAsia"/>
                      <w:bCs/>
                      <w:color w:val="auto"/>
                      <w:szCs w:val="21"/>
                      <w:u w:val="none"/>
                      <w:lang w:val="en-US" w:eastAsia="zh-CN"/>
                    </w:rPr>
                    <w:t>23</w:t>
                  </w:r>
                  <w:r>
                    <w:rPr>
                      <w:rFonts w:hint="eastAsia"/>
                      <w:bCs/>
                      <w:color w:val="auto"/>
                      <w:szCs w:val="21"/>
                      <w:u w:val="none"/>
                    </w:rPr>
                    <w:t>）要求建设</w:t>
                  </w:r>
                  <w:r>
                    <w:rPr>
                      <w:rFonts w:hint="eastAsia"/>
                      <w:bCs/>
                      <w:szCs w:val="21"/>
                      <w:u w:val="none"/>
                    </w:rPr>
                    <w:t>。</w:t>
                  </w:r>
                </w:p>
              </w:tc>
              <w:tc>
                <w:tcPr>
                  <w:tcW w:w="460" w:type="pct"/>
                  <w:tcBorders>
                    <w:tl2br w:val="nil"/>
                    <w:tr2bl w:val="nil"/>
                  </w:tcBorders>
                  <w:noWrap w:val="0"/>
                  <w:vAlign w:val="center"/>
                </w:tcPr>
                <w:p w14:paraId="63C86E7F">
                  <w:pPr>
                    <w:keepNext w:val="0"/>
                    <w:keepLines w:val="0"/>
                    <w:suppressLineNumbers w:val="0"/>
                    <w:spacing w:before="0" w:beforeAutospacing="0" w:after="0" w:afterAutospacing="0"/>
                    <w:ind w:left="0" w:right="0"/>
                    <w:jc w:val="center"/>
                    <w:rPr>
                      <w:rFonts w:hint="eastAsia"/>
                      <w:bCs/>
                      <w:szCs w:val="21"/>
                    </w:rPr>
                  </w:pPr>
                  <w:r>
                    <w:rPr>
                      <w:rFonts w:hint="eastAsia"/>
                      <w:bCs/>
                      <w:szCs w:val="21"/>
                    </w:rPr>
                    <w:t>符合</w:t>
                  </w:r>
                </w:p>
              </w:tc>
            </w:tr>
          </w:tbl>
          <w:p w14:paraId="261A3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eastAsia="宋体"/>
                <w:color w:val="auto"/>
                <w:sz w:val="24"/>
                <w:szCs w:val="24"/>
              </w:rPr>
            </w:pPr>
            <w:r>
              <w:rPr>
                <w:rFonts w:hint="eastAsia" w:eastAsia="宋体"/>
                <w:color w:val="auto"/>
                <w:sz w:val="24"/>
                <w:szCs w:val="24"/>
              </w:rPr>
              <w:t>综上所述，本项目与《湖南城陵矶临港产业新区产业核心区环境影响报告书》</w:t>
            </w:r>
            <w:r>
              <w:rPr>
                <w:rFonts w:hint="eastAsia" w:eastAsia="宋体"/>
                <w:color w:val="auto"/>
                <w:sz w:val="24"/>
                <w:szCs w:val="24"/>
                <w:lang w:eastAsia="zh-CN"/>
              </w:rPr>
              <w:t>及其</w:t>
            </w:r>
            <w:r>
              <w:rPr>
                <w:rFonts w:hint="eastAsia" w:eastAsia="宋体"/>
                <w:color w:val="auto"/>
                <w:sz w:val="24"/>
                <w:szCs w:val="24"/>
              </w:rPr>
              <w:t>批复（湘环评</w:t>
            </w:r>
            <w:r>
              <w:rPr>
                <w:rFonts w:hint="eastAsia" w:eastAsia="宋体"/>
                <w:color w:val="auto"/>
                <w:sz w:val="24"/>
                <w:szCs w:val="24"/>
                <w:lang w:eastAsia="zh-CN"/>
              </w:rPr>
              <w:t>【</w:t>
            </w:r>
            <w:r>
              <w:rPr>
                <w:rFonts w:hint="eastAsia" w:eastAsia="宋体"/>
                <w:color w:val="auto"/>
                <w:sz w:val="24"/>
                <w:szCs w:val="24"/>
              </w:rPr>
              <w:t>2012</w:t>
            </w:r>
            <w:r>
              <w:rPr>
                <w:rFonts w:hint="eastAsia" w:eastAsia="宋体"/>
                <w:color w:val="auto"/>
                <w:sz w:val="24"/>
                <w:szCs w:val="24"/>
                <w:lang w:eastAsia="zh-CN"/>
              </w:rPr>
              <w:t>】</w:t>
            </w:r>
            <w:r>
              <w:rPr>
                <w:rFonts w:hint="eastAsia" w:eastAsia="宋体"/>
                <w:color w:val="auto"/>
                <w:sz w:val="24"/>
                <w:szCs w:val="24"/>
              </w:rPr>
              <w:t>293号）</w:t>
            </w:r>
            <w:r>
              <w:rPr>
                <w:rFonts w:hint="eastAsia" w:eastAsia="宋体"/>
                <w:color w:val="auto"/>
                <w:sz w:val="24"/>
                <w:szCs w:val="24"/>
                <w:lang w:eastAsia="zh-CN"/>
              </w:rPr>
              <w:t>基本</w:t>
            </w:r>
            <w:r>
              <w:rPr>
                <w:rFonts w:hint="eastAsia" w:eastAsia="宋体"/>
                <w:color w:val="auto"/>
                <w:sz w:val="24"/>
                <w:szCs w:val="24"/>
              </w:rPr>
              <w:t>相符。</w:t>
            </w:r>
          </w:p>
          <w:p w14:paraId="290F8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u w:val="none" w:color="auto"/>
                <w:lang w:val="en-US" w:eastAsia="zh-CN"/>
              </w:rPr>
            </w:pPr>
            <w:r>
              <w:rPr>
                <w:rFonts w:hint="eastAsia" w:eastAsia="宋体" w:cs="Times New Roman"/>
                <w:b/>
                <w:bCs/>
                <w:color w:val="auto"/>
                <w:sz w:val="24"/>
                <w:szCs w:val="24"/>
                <w:u w:val="none" w:color="auto"/>
                <w:lang w:val="en-US" w:eastAsia="zh-CN"/>
              </w:rPr>
              <w:t>3</w:t>
            </w:r>
            <w:r>
              <w:rPr>
                <w:rFonts w:hint="eastAsia" w:ascii="Times New Roman" w:hAnsi="Times New Roman" w:eastAsia="宋体" w:cs="Times New Roman"/>
                <w:b/>
                <w:bCs/>
                <w:color w:val="auto"/>
                <w:sz w:val="24"/>
                <w:szCs w:val="24"/>
                <w:u w:val="none" w:color="auto"/>
                <w:lang w:val="en-US" w:eastAsia="zh-CN"/>
              </w:rPr>
              <w:t>、与《</w:t>
            </w:r>
            <w:r>
              <w:rPr>
                <w:rFonts w:hint="eastAsia" w:ascii="Times New Roman" w:hAnsi="Times New Roman" w:eastAsia="宋体" w:cs="Times New Roman"/>
                <w:b/>
                <w:bCs/>
                <w:color w:val="auto"/>
                <w:sz w:val="24"/>
                <w:szCs w:val="24"/>
                <w:u w:val="none" w:color="auto"/>
                <w:lang w:val="zh-CN" w:eastAsia="zh-CN"/>
              </w:rPr>
              <w:t>岳阳临港高新技术产业开发区环境影响跟踪评价报告书》</w:t>
            </w:r>
            <w:r>
              <w:rPr>
                <w:rFonts w:hint="eastAsia" w:ascii="Times New Roman" w:hAnsi="Times New Roman" w:eastAsia="宋体" w:cs="Times New Roman"/>
                <w:b/>
                <w:bCs/>
                <w:color w:val="auto"/>
                <w:sz w:val="24"/>
                <w:szCs w:val="24"/>
                <w:u w:val="none" w:color="auto"/>
                <w:lang w:val="en-US" w:eastAsia="zh-CN"/>
              </w:rPr>
              <w:t>及其批复</w:t>
            </w:r>
            <w:r>
              <w:rPr>
                <w:rFonts w:hint="eastAsia" w:ascii="Times New Roman" w:hAnsi="Times New Roman" w:eastAsia="宋体" w:cs="Times New Roman"/>
                <w:b/>
                <w:bCs/>
                <w:color w:val="auto"/>
                <w:sz w:val="24"/>
                <w:szCs w:val="24"/>
                <w:u w:val="none" w:color="auto"/>
                <w:lang w:val="zh-CN" w:eastAsia="zh-CN"/>
              </w:rPr>
              <w:t>（湘环评函</w:t>
            </w:r>
            <w:r>
              <w:rPr>
                <w:rFonts w:hint="eastAsia" w:ascii="Times New Roman" w:hAnsi="Times New Roman" w:eastAsia="宋体" w:cs="Times New Roman"/>
                <w:b/>
                <w:bCs/>
                <w:color w:val="auto"/>
                <w:sz w:val="24"/>
                <w:szCs w:val="24"/>
                <w:u w:val="none" w:color="auto"/>
                <w:lang w:val="en-US" w:eastAsia="zh-CN"/>
              </w:rPr>
              <w:t>【</w:t>
            </w:r>
            <w:r>
              <w:rPr>
                <w:rFonts w:hint="default" w:ascii="Times New Roman" w:hAnsi="Times New Roman" w:eastAsia="宋体" w:cs="Times New Roman"/>
                <w:b/>
                <w:bCs/>
                <w:color w:val="auto"/>
                <w:sz w:val="24"/>
                <w:szCs w:val="24"/>
                <w:u w:val="none" w:color="auto"/>
                <w:lang w:val="zh-CN" w:eastAsia="zh-CN"/>
              </w:rPr>
              <w:t>2021</w:t>
            </w:r>
            <w:r>
              <w:rPr>
                <w:rFonts w:hint="eastAsia" w:ascii="Times New Roman" w:hAnsi="Times New Roman" w:eastAsia="宋体" w:cs="Times New Roman"/>
                <w:b/>
                <w:bCs/>
                <w:color w:val="auto"/>
                <w:sz w:val="24"/>
                <w:szCs w:val="24"/>
                <w:u w:val="none" w:color="auto"/>
                <w:lang w:val="en-US" w:eastAsia="zh-CN"/>
              </w:rPr>
              <w:t>】</w:t>
            </w:r>
            <w:r>
              <w:rPr>
                <w:rFonts w:hint="default" w:ascii="Times New Roman" w:hAnsi="Times New Roman" w:eastAsia="宋体" w:cs="Times New Roman"/>
                <w:b/>
                <w:bCs/>
                <w:color w:val="auto"/>
                <w:sz w:val="24"/>
                <w:szCs w:val="24"/>
                <w:u w:val="none" w:color="auto"/>
                <w:lang w:val="zh-CN" w:eastAsia="zh-CN"/>
              </w:rPr>
              <w:t>3</w:t>
            </w:r>
            <w:r>
              <w:rPr>
                <w:rFonts w:hint="eastAsia" w:ascii="Times New Roman" w:hAnsi="Times New Roman" w:eastAsia="宋体" w:cs="Times New Roman"/>
                <w:b/>
                <w:bCs/>
                <w:color w:val="auto"/>
                <w:sz w:val="24"/>
                <w:szCs w:val="24"/>
                <w:u w:val="none" w:color="auto"/>
                <w:lang w:val="en-US" w:eastAsia="zh-CN"/>
              </w:rPr>
              <w:t>3</w:t>
            </w:r>
            <w:r>
              <w:rPr>
                <w:rFonts w:hint="eastAsia" w:ascii="Times New Roman" w:hAnsi="Times New Roman" w:eastAsia="宋体" w:cs="Times New Roman"/>
                <w:b/>
                <w:bCs/>
                <w:color w:val="auto"/>
                <w:sz w:val="24"/>
                <w:szCs w:val="24"/>
                <w:u w:val="none" w:color="auto"/>
                <w:lang w:val="zh-CN" w:eastAsia="zh-CN"/>
              </w:rPr>
              <w:t>号）</w:t>
            </w:r>
            <w:r>
              <w:rPr>
                <w:rFonts w:hint="eastAsia" w:ascii="Times New Roman" w:hAnsi="Times New Roman" w:eastAsia="宋体" w:cs="Times New Roman"/>
                <w:b/>
                <w:bCs/>
                <w:color w:val="auto"/>
                <w:sz w:val="24"/>
                <w:szCs w:val="24"/>
                <w:u w:val="none" w:color="auto"/>
                <w:lang w:val="en-US" w:eastAsia="zh-CN"/>
              </w:rPr>
              <w:t>符合性分析。</w:t>
            </w:r>
          </w:p>
          <w:p w14:paraId="63616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u w:val="none"/>
                <w:lang w:val="en-US" w:eastAsia="zh-CN"/>
              </w:rPr>
              <w:fldChar w:fldCharType="begin"/>
            </w:r>
            <w:r>
              <w:rPr>
                <w:rFonts w:hint="eastAsia" w:cs="Times New Roman"/>
                <w:b/>
                <w:bCs/>
                <w:color w:val="auto"/>
                <w:sz w:val="24"/>
                <w:szCs w:val="24"/>
                <w:u w:val="none"/>
                <w:lang w:val="en-US" w:eastAsia="zh-CN"/>
              </w:rPr>
              <w:instrText xml:space="preserve"> = 1 \* GB3 \* MERGEFORMAT </w:instrText>
            </w:r>
            <w:r>
              <w:rPr>
                <w:rFonts w:hint="eastAsia" w:cs="Times New Roman"/>
                <w:b/>
                <w:bCs/>
                <w:color w:val="auto"/>
                <w:sz w:val="24"/>
                <w:szCs w:val="24"/>
                <w:u w:val="none"/>
                <w:lang w:val="en-US" w:eastAsia="zh-CN"/>
              </w:rPr>
              <w:fldChar w:fldCharType="separate"/>
            </w:r>
            <w:r>
              <w:rPr>
                <w:rFonts w:hint="default"/>
                <w:b/>
                <w:bCs/>
              </w:rPr>
              <w:t>①</w:t>
            </w:r>
            <w:r>
              <w:rPr>
                <w:rFonts w:hint="eastAsia" w:cs="Times New Roman"/>
                <w:b/>
                <w:bCs/>
                <w:color w:val="auto"/>
                <w:sz w:val="24"/>
                <w:szCs w:val="24"/>
                <w:u w:val="none"/>
                <w:lang w:val="en-US" w:eastAsia="zh-CN"/>
              </w:rPr>
              <w:fldChar w:fldCharType="end"/>
            </w:r>
            <w:r>
              <w:rPr>
                <w:rFonts w:hint="eastAsia" w:cs="Times New Roman"/>
                <w:b/>
                <w:bCs/>
                <w:color w:val="auto"/>
                <w:sz w:val="24"/>
                <w:szCs w:val="24"/>
                <w:u w:val="none"/>
                <w:lang w:val="en-US" w:eastAsia="zh-CN"/>
              </w:rPr>
              <w:t>与跟踪环评符合性</w:t>
            </w:r>
          </w:p>
          <w:p w14:paraId="7A0A18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根据《岳阳临港高新技术产业开发区环境影响跟踪评价报告书》，对岳阳临港高新技术产业开发区企业引进的准入条件进行了优化调整，本项目与调整后的企业准入条件符合性分析如下：</w:t>
            </w:r>
          </w:p>
          <w:p w14:paraId="758E92C6">
            <w:pPr>
              <w:pStyle w:val="59"/>
              <w:keepNext w:val="0"/>
              <w:keepLines w:val="0"/>
              <w:suppressLineNumbers w:val="0"/>
              <w:tabs>
                <w:tab w:val="left" w:pos="866"/>
              </w:tabs>
              <w:spacing w:before="0" w:beforeAutospacing="0" w:after="0" w:afterAutospacing="0" w:line="364" w:lineRule="auto"/>
              <w:ind w:left="113" w:right="-44" w:hanging="123"/>
              <w:jc w:val="center"/>
              <w:rPr>
                <w:rFonts w:hint="default" w:ascii="Times New Roman" w:hAnsi="Times New Roman" w:eastAsia="宋体" w:cs="Times New Roman"/>
                <w:b/>
                <w:sz w:val="21"/>
                <w:szCs w:val="21"/>
                <w:u w:val="none" w:color="auto"/>
                <w:lang w:val="en-US" w:eastAsia="zh-CN"/>
              </w:rPr>
            </w:pPr>
            <w:r>
              <w:rPr>
                <w:rFonts w:hint="eastAsia" w:ascii="Times New Roman" w:hAnsi="Times New Roman" w:eastAsia="宋体" w:cs="Times New Roman"/>
                <w:b/>
                <w:sz w:val="21"/>
                <w:szCs w:val="21"/>
                <w:u w:val="none" w:color="auto"/>
                <w:lang w:val="en-US" w:eastAsia="zh-CN"/>
              </w:rPr>
              <w:t>表1-3  开发区企业准入条件</w:t>
            </w:r>
          </w:p>
          <w:tbl>
            <w:tblPr>
              <w:tblStyle w:val="38"/>
              <w:tblW w:w="7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
              <w:gridCol w:w="1002"/>
              <w:gridCol w:w="2514"/>
              <w:gridCol w:w="2859"/>
              <w:gridCol w:w="734"/>
            </w:tblGrid>
            <w:tr w14:paraId="429E7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tcBorders>
                    <w:tl2br w:val="nil"/>
                    <w:tr2bl w:val="nil"/>
                  </w:tcBorders>
                  <w:noWrap w:val="0"/>
                  <w:vAlign w:val="center"/>
                </w:tcPr>
                <w:p w14:paraId="6E773DBA">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类型</w:t>
                  </w:r>
                </w:p>
              </w:tc>
              <w:tc>
                <w:tcPr>
                  <w:tcW w:w="3516" w:type="dxa"/>
                  <w:gridSpan w:val="2"/>
                  <w:tcBorders>
                    <w:tl2br w:val="nil"/>
                    <w:tr2bl w:val="nil"/>
                  </w:tcBorders>
                  <w:noWrap w:val="0"/>
                  <w:vAlign w:val="center"/>
                </w:tcPr>
                <w:p w14:paraId="44695D1F">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行业类别</w:t>
                  </w:r>
                </w:p>
              </w:tc>
              <w:tc>
                <w:tcPr>
                  <w:tcW w:w="2859" w:type="dxa"/>
                  <w:tcBorders>
                    <w:tl2br w:val="nil"/>
                    <w:tr2bl w:val="nil"/>
                  </w:tcBorders>
                  <w:noWrap w:val="0"/>
                  <w:vAlign w:val="center"/>
                </w:tcPr>
                <w:p w14:paraId="30AFDAD1">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本项目情况</w:t>
                  </w:r>
                </w:p>
              </w:tc>
              <w:tc>
                <w:tcPr>
                  <w:tcW w:w="734" w:type="dxa"/>
                  <w:tcBorders>
                    <w:tl2br w:val="nil"/>
                    <w:tr2bl w:val="nil"/>
                  </w:tcBorders>
                  <w:noWrap w:val="0"/>
                  <w:vAlign w:val="center"/>
                </w:tcPr>
                <w:p w14:paraId="089CEC54">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eastAsia="宋体" w:cs="Times New Roman"/>
                      <w:sz w:val="21"/>
                      <w:szCs w:val="21"/>
                      <w:u w:val="none" w:color="auto"/>
                      <w:vertAlign w:val="baseline"/>
                      <w:lang w:val="en-US" w:eastAsia="zh-CN"/>
                    </w:rPr>
                    <w:t>分析结论</w:t>
                  </w:r>
                </w:p>
              </w:tc>
            </w:tr>
            <w:tr w14:paraId="504E3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tcBorders>
                    <w:tl2br w:val="nil"/>
                    <w:tr2bl w:val="nil"/>
                  </w:tcBorders>
                  <w:noWrap w:val="0"/>
                  <w:vAlign w:val="center"/>
                </w:tcPr>
                <w:p w14:paraId="5E0DF187">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总体要求</w:t>
                  </w:r>
                </w:p>
              </w:tc>
              <w:tc>
                <w:tcPr>
                  <w:tcW w:w="3516" w:type="dxa"/>
                  <w:gridSpan w:val="2"/>
                  <w:tcBorders>
                    <w:tl2br w:val="nil"/>
                    <w:tr2bl w:val="nil"/>
                  </w:tcBorders>
                  <w:noWrap w:val="0"/>
                  <w:vAlign w:val="center"/>
                </w:tcPr>
                <w:p w14:paraId="0DC65629">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1"/>
                      <w:szCs w:val="21"/>
                      <w:u w:val="none" w:color="auto"/>
                    </w:rPr>
                  </w:pPr>
                  <w:r>
                    <w:rPr>
                      <w:rFonts w:hint="default" w:ascii="Times New Roman" w:hAnsi="Times New Roman" w:eastAsia="宋体" w:cs="Times New Roman"/>
                      <w:color w:val="000000"/>
                      <w:kern w:val="0"/>
                      <w:sz w:val="21"/>
                      <w:szCs w:val="21"/>
                      <w:u w:val="none" w:color="auto"/>
                      <w:lang w:val="en-US" w:eastAsia="zh-CN" w:bidi="ar"/>
                    </w:rPr>
                    <w:t>①不属于《产业结构调整指导目录》（2019年本）淘汰类、禁止类。</w:t>
                  </w:r>
                </w:p>
                <w:p w14:paraId="6BDCF6DC">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②满足园区产业定位及各行业准入条件。</w:t>
                  </w:r>
                </w:p>
              </w:tc>
              <w:tc>
                <w:tcPr>
                  <w:tcW w:w="2859" w:type="dxa"/>
                  <w:tcBorders>
                    <w:tl2br w:val="nil"/>
                    <w:tr2bl w:val="nil"/>
                  </w:tcBorders>
                  <w:noWrap w:val="0"/>
                  <w:vAlign w:val="center"/>
                </w:tcPr>
                <w:p w14:paraId="4190AAC9">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本项目不属于《产业结构调整指导目录》（</w:t>
                  </w:r>
                  <w:r>
                    <w:rPr>
                      <w:rFonts w:hint="eastAsia" w:cs="Times New Roman"/>
                      <w:color w:val="000000"/>
                      <w:kern w:val="0"/>
                      <w:sz w:val="21"/>
                      <w:szCs w:val="21"/>
                      <w:u w:val="none" w:color="auto"/>
                      <w:lang w:val="en-US" w:eastAsia="zh-CN" w:bidi="ar"/>
                    </w:rPr>
                    <w:t>2024</w:t>
                  </w:r>
                  <w:r>
                    <w:rPr>
                      <w:rFonts w:hint="default" w:ascii="Times New Roman" w:hAnsi="Times New Roman" w:eastAsia="宋体" w:cs="Times New Roman"/>
                      <w:color w:val="000000"/>
                      <w:kern w:val="0"/>
                      <w:sz w:val="21"/>
                      <w:szCs w:val="21"/>
                      <w:u w:val="none" w:color="auto"/>
                      <w:lang w:val="en-US" w:eastAsia="zh-CN" w:bidi="ar"/>
                    </w:rPr>
                    <w:t>年本）淘汰类、禁止类。项目满足园区产业定位及各行业准入条件。</w:t>
                  </w:r>
                </w:p>
              </w:tc>
              <w:tc>
                <w:tcPr>
                  <w:tcW w:w="734" w:type="dxa"/>
                  <w:tcBorders>
                    <w:tl2br w:val="nil"/>
                    <w:tr2bl w:val="nil"/>
                  </w:tcBorders>
                  <w:noWrap w:val="0"/>
                  <w:vAlign w:val="center"/>
                </w:tcPr>
                <w:p w14:paraId="354047EA">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符合</w:t>
                  </w:r>
                </w:p>
              </w:tc>
            </w:tr>
            <w:tr w14:paraId="62369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tcBorders>
                    <w:tl2br w:val="nil"/>
                    <w:tr2bl w:val="nil"/>
                  </w:tcBorders>
                  <w:noWrap w:val="0"/>
                  <w:vAlign w:val="center"/>
                </w:tcPr>
                <w:p w14:paraId="175CA787">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鼓励类</w:t>
                  </w:r>
                </w:p>
              </w:tc>
              <w:tc>
                <w:tcPr>
                  <w:tcW w:w="3516" w:type="dxa"/>
                  <w:gridSpan w:val="2"/>
                  <w:tcBorders>
                    <w:tl2br w:val="nil"/>
                    <w:tr2bl w:val="nil"/>
                  </w:tcBorders>
                  <w:noWrap w:val="0"/>
                  <w:vAlign w:val="center"/>
                </w:tcPr>
                <w:p w14:paraId="6ED72683">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1"/>
                      <w:szCs w:val="21"/>
                      <w:u w:val="none" w:color="auto"/>
                    </w:rPr>
                  </w:pPr>
                  <w:r>
                    <w:rPr>
                      <w:rFonts w:hint="default" w:ascii="Times New Roman" w:hAnsi="Times New Roman" w:eastAsia="宋体" w:cs="Times New Roman"/>
                      <w:color w:val="000000"/>
                      <w:kern w:val="0"/>
                      <w:sz w:val="21"/>
                      <w:szCs w:val="21"/>
                      <w:u w:val="none" w:color="auto"/>
                      <w:lang w:val="en-US" w:eastAsia="zh-CN" w:bidi="ar"/>
                    </w:rPr>
                    <w:t>一类工业企业：企业技术研发机构、无工业废水、工艺废气排放的产业、现代物流、基础设施项目：交通运输、邮电通讯、供水、供热、供气、污水处理等；</w:t>
                  </w:r>
                </w:p>
                <w:p w14:paraId="1AAAA026">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二类工业企业：先进机械制造业、环保新材料、高新技术产业；电子信息、环境保护工程。</w:t>
                  </w:r>
                </w:p>
              </w:tc>
              <w:tc>
                <w:tcPr>
                  <w:tcW w:w="2859" w:type="dxa"/>
                  <w:tcBorders>
                    <w:tl2br w:val="nil"/>
                    <w:tr2bl w:val="nil"/>
                  </w:tcBorders>
                  <w:noWrap w:val="0"/>
                  <w:vAlign w:val="center"/>
                </w:tcPr>
                <w:p w14:paraId="439372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cs="Times New Roman"/>
                      <w:bCs/>
                      <w:sz w:val="21"/>
                      <w:szCs w:val="21"/>
                      <w:lang w:eastAsia="zh-CN"/>
                    </w:rPr>
                    <w:t>本项目焊接工序采用焊接机器人，实现部分智能化制造，属于先进机械制造业。</w:t>
                  </w:r>
                </w:p>
              </w:tc>
              <w:tc>
                <w:tcPr>
                  <w:tcW w:w="734" w:type="dxa"/>
                  <w:tcBorders>
                    <w:tl2br w:val="nil"/>
                    <w:tr2bl w:val="nil"/>
                  </w:tcBorders>
                  <w:noWrap w:val="0"/>
                  <w:vAlign w:val="center"/>
                </w:tcPr>
                <w:p w14:paraId="58B3AD3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cs="Times New Roman"/>
                      <w:bCs/>
                      <w:sz w:val="21"/>
                      <w:szCs w:val="21"/>
                      <w:lang w:eastAsia="zh-CN"/>
                    </w:rPr>
                    <w:t>基本满足鼓励类要求</w:t>
                  </w:r>
                </w:p>
              </w:tc>
            </w:tr>
            <w:tr w14:paraId="5D061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tcBorders>
                    <w:tl2br w:val="nil"/>
                    <w:tr2bl w:val="nil"/>
                  </w:tcBorders>
                  <w:noWrap w:val="0"/>
                  <w:vAlign w:val="center"/>
                </w:tcPr>
                <w:p w14:paraId="213C218A">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允许类</w:t>
                  </w:r>
                </w:p>
              </w:tc>
              <w:tc>
                <w:tcPr>
                  <w:tcW w:w="3516" w:type="dxa"/>
                  <w:gridSpan w:val="2"/>
                  <w:tcBorders>
                    <w:tl2br w:val="nil"/>
                    <w:tr2bl w:val="nil"/>
                  </w:tcBorders>
                  <w:noWrap w:val="0"/>
                  <w:vAlign w:val="center"/>
                </w:tcPr>
                <w:p w14:paraId="641587A8">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二类工业企业：排污量小，物耗能耗低的与主导产业配套的相关产业。</w:t>
                  </w:r>
                </w:p>
              </w:tc>
              <w:tc>
                <w:tcPr>
                  <w:tcW w:w="2859" w:type="dxa"/>
                  <w:tcBorders>
                    <w:tl2br w:val="nil"/>
                    <w:tr2bl w:val="nil"/>
                  </w:tcBorders>
                  <w:noWrap w:val="0"/>
                  <w:vAlign w:val="center"/>
                </w:tcPr>
                <w:p w14:paraId="27C32F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cs="Times New Roman"/>
                      <w:bCs/>
                      <w:sz w:val="21"/>
                      <w:szCs w:val="21"/>
                      <w:highlight w:val="none"/>
                      <w:lang w:eastAsia="zh-CN"/>
                    </w:rPr>
                    <w:t>本项目属于二类工业企业。项目主要使用电能，物耗能耗较低。项目运营期主要产生机加工粉尘、焊接粉尘和喷漆废气，经处理后达标排放；</w:t>
                  </w:r>
                  <w:r>
                    <w:rPr>
                      <w:rFonts w:hint="default" w:ascii="Times New Roman" w:hAnsi="Times New Roman" w:cs="Times New Roman"/>
                      <w:bCs/>
                      <w:color w:val="auto"/>
                      <w:sz w:val="21"/>
                      <w:szCs w:val="21"/>
                      <w:highlight w:val="none"/>
                      <w:lang w:eastAsia="zh-CN"/>
                    </w:rPr>
                    <w:t>生活污水经</w:t>
                  </w:r>
                  <w:r>
                    <w:rPr>
                      <w:rFonts w:hint="eastAsia" w:ascii="Times New Roman" w:hAnsi="Times New Roman" w:cs="Times New Roman"/>
                      <w:bCs/>
                      <w:color w:val="auto"/>
                      <w:sz w:val="21"/>
                      <w:szCs w:val="21"/>
                      <w:highlight w:val="none"/>
                      <w:lang w:eastAsia="zh-CN"/>
                    </w:rPr>
                    <w:t>隔油池</w:t>
                  </w:r>
                  <w:r>
                    <w:rPr>
                      <w:rFonts w:hint="default" w:ascii="Times New Roman" w:hAnsi="Times New Roman" w:cs="Times New Roman"/>
                      <w:bCs/>
                      <w:color w:val="auto"/>
                      <w:sz w:val="21"/>
                      <w:szCs w:val="21"/>
                      <w:highlight w:val="none"/>
                      <w:lang w:eastAsia="zh-CN"/>
                    </w:rPr>
                    <w:t>化粪池处理后进入</w:t>
                  </w:r>
                  <w:r>
                    <w:rPr>
                      <w:rFonts w:hint="default" w:ascii="Times New Roman" w:hAnsi="Times New Roman" w:cs="Times New Roman"/>
                      <w:bCs/>
                      <w:color w:val="auto"/>
                      <w:sz w:val="21"/>
                      <w:szCs w:val="21"/>
                      <w:u w:val="none"/>
                    </w:rPr>
                    <w:t>湖南城陵矶临港产业新区污水处理厂</w:t>
                  </w:r>
                  <w:r>
                    <w:rPr>
                      <w:rFonts w:hint="default" w:ascii="Times New Roman" w:hAnsi="Times New Roman" w:cs="Times New Roman"/>
                      <w:bCs/>
                      <w:color w:val="auto"/>
                      <w:sz w:val="21"/>
                      <w:szCs w:val="21"/>
                      <w:u w:val="none"/>
                      <w:lang w:eastAsia="zh-CN"/>
                    </w:rPr>
                    <w:t>深度处理；</w:t>
                  </w:r>
                  <w:r>
                    <w:rPr>
                      <w:rFonts w:hint="default" w:ascii="Times New Roman" w:hAnsi="Times New Roman" w:cs="Times New Roman"/>
                      <w:bCs/>
                      <w:sz w:val="21"/>
                      <w:szCs w:val="21"/>
                      <w:u w:val="none"/>
                      <w:lang w:eastAsia="zh-CN"/>
                    </w:rPr>
                    <w:t>废边角料、废包装材料、焊渣等均合理处理处置；废液压油、废油漆桶等危险废物委托相关资质单位处理处置。因此，本项目属于</w:t>
                  </w:r>
                  <w:r>
                    <w:rPr>
                      <w:rFonts w:hint="default" w:ascii="Times New Roman" w:hAnsi="Times New Roman" w:eastAsia="宋体" w:cs="Times New Roman"/>
                      <w:color w:val="000000"/>
                      <w:kern w:val="0"/>
                      <w:sz w:val="21"/>
                      <w:szCs w:val="21"/>
                      <w:lang w:val="en-US" w:eastAsia="zh-CN" w:bidi="ar"/>
                    </w:rPr>
                    <w:t>排污量小，物耗能耗低的与主导产业配套的相关产业。</w:t>
                  </w:r>
                </w:p>
              </w:tc>
              <w:tc>
                <w:tcPr>
                  <w:tcW w:w="734" w:type="dxa"/>
                  <w:tcBorders>
                    <w:tl2br w:val="nil"/>
                    <w:tr2bl w:val="nil"/>
                  </w:tcBorders>
                  <w:noWrap w:val="0"/>
                  <w:vAlign w:val="center"/>
                </w:tcPr>
                <w:p w14:paraId="3D42DA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cs="Times New Roman"/>
                      <w:bCs/>
                      <w:sz w:val="21"/>
                      <w:szCs w:val="21"/>
                      <w:highlight w:val="none"/>
                      <w:lang w:eastAsia="zh-CN"/>
                    </w:rPr>
                    <w:t>属于允许类</w:t>
                  </w:r>
                </w:p>
              </w:tc>
            </w:tr>
            <w:tr w14:paraId="04C91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tcBorders>
                    <w:tl2br w:val="nil"/>
                    <w:tr2bl w:val="nil"/>
                  </w:tcBorders>
                  <w:noWrap w:val="0"/>
                  <w:vAlign w:val="center"/>
                </w:tcPr>
                <w:p w14:paraId="58C5D38F">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sz w:val="21"/>
                      <w:szCs w:val="21"/>
                      <w:u w:val="none" w:color="auto"/>
                      <w:vertAlign w:val="baseline"/>
                      <w:lang w:val="en-US" w:eastAsia="zh-CN"/>
                    </w:rPr>
                  </w:pPr>
                  <w:r>
                    <w:rPr>
                      <w:rFonts w:hint="default" w:ascii="Times New Roman" w:hAnsi="Times New Roman" w:cs="Times New Roman"/>
                      <w:sz w:val="21"/>
                      <w:szCs w:val="21"/>
                      <w:u w:val="none" w:color="auto"/>
                      <w:vertAlign w:val="baseline"/>
                      <w:lang w:val="en-US" w:eastAsia="zh-CN"/>
                    </w:rPr>
                    <w:t>限制类</w:t>
                  </w:r>
                </w:p>
              </w:tc>
              <w:tc>
                <w:tcPr>
                  <w:tcW w:w="3516" w:type="dxa"/>
                  <w:gridSpan w:val="2"/>
                  <w:tcBorders>
                    <w:tl2br w:val="nil"/>
                    <w:tr2bl w:val="nil"/>
                  </w:tcBorders>
                  <w:noWrap w:val="0"/>
                  <w:vAlign w:val="center"/>
                </w:tcPr>
                <w:p w14:paraId="20E6B654">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1"/>
                      <w:szCs w:val="21"/>
                      <w:u w:val="none" w:color="auto"/>
                    </w:rPr>
                  </w:pPr>
                  <w:r>
                    <w:rPr>
                      <w:rFonts w:hint="default" w:ascii="Times New Roman" w:hAnsi="Times New Roman" w:eastAsia="宋体" w:cs="Times New Roman"/>
                      <w:color w:val="000000"/>
                      <w:kern w:val="0"/>
                      <w:sz w:val="21"/>
                      <w:szCs w:val="21"/>
                      <w:u w:val="none" w:color="auto"/>
                      <w:lang w:val="en-US" w:eastAsia="zh-CN" w:bidi="ar"/>
                    </w:rPr>
                    <w:t>①严格限制石化、有机化工等化工项目。</w:t>
                  </w:r>
                </w:p>
                <w:p w14:paraId="7C176407">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1"/>
                      <w:szCs w:val="21"/>
                      <w:u w:val="none" w:color="auto"/>
                    </w:rPr>
                  </w:pPr>
                  <w:r>
                    <w:rPr>
                      <w:rFonts w:hint="default" w:ascii="Times New Roman" w:hAnsi="Times New Roman" w:eastAsia="宋体" w:cs="Times New Roman"/>
                      <w:color w:val="000000"/>
                      <w:kern w:val="0"/>
                      <w:sz w:val="21"/>
                      <w:szCs w:val="21"/>
                      <w:u w:val="none" w:color="auto"/>
                      <w:lang w:val="en-US" w:eastAsia="zh-CN" w:bidi="ar"/>
                    </w:rPr>
                    <w:t>②严格限制石化、化工、家具制造、制药等高VOCs排放建设项目。</w:t>
                  </w:r>
                </w:p>
                <w:p w14:paraId="72AB4538">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1"/>
                      <w:szCs w:val="21"/>
                      <w:u w:val="none" w:color="auto"/>
                      <w:vertAlign w:val="baseline"/>
                      <w:lang w:val="en-US" w:eastAsia="zh-CN"/>
                    </w:rPr>
                  </w:pPr>
                  <w:r>
                    <w:rPr>
                      <w:rFonts w:hint="default" w:ascii="Times New Roman" w:hAnsi="Times New Roman" w:eastAsia="宋体" w:cs="Times New Roman"/>
                      <w:color w:val="000000"/>
                      <w:kern w:val="0"/>
                      <w:sz w:val="21"/>
                      <w:szCs w:val="21"/>
                      <w:u w:val="none" w:color="auto"/>
                      <w:lang w:val="en-US" w:eastAsia="zh-CN" w:bidi="ar"/>
                    </w:rPr>
                    <w:t>③一、二类工业企业：水耗、能耗较高的工业项目、现有生产能力大，市场容量小的项目；三类工业企业：制革工业、电镀工业、使用含汞、砷、镉、铬、铅、氰化物等为原料的项目、水耗、能耗较高的工业项目、现有生产能力大，市场容量小的项目。</w:t>
                  </w:r>
                </w:p>
              </w:tc>
              <w:tc>
                <w:tcPr>
                  <w:tcW w:w="2859" w:type="dxa"/>
                  <w:tcBorders>
                    <w:tl2br w:val="nil"/>
                    <w:tr2bl w:val="nil"/>
                  </w:tcBorders>
                  <w:noWrap w:val="0"/>
                  <w:vAlign w:val="center"/>
                </w:tcPr>
                <w:p w14:paraId="32B4D912">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本项目不属于石化、有机化工等化工项目，不属于石化、化工、家具制造、制药等高VOCs排放建设项目。</w:t>
                  </w:r>
                  <w:r>
                    <w:rPr>
                      <w:rFonts w:hint="default" w:ascii="Times New Roman" w:hAnsi="Times New Roman" w:eastAsia="宋体" w:cs="Times New Roman"/>
                      <w:color w:val="000000"/>
                      <w:kern w:val="0"/>
                      <w:sz w:val="21"/>
                      <w:szCs w:val="21"/>
                      <w:lang w:val="en-US" w:eastAsia="zh-CN" w:bidi="ar"/>
                    </w:rPr>
                    <w:t>本项目不属于水耗、能耗较高的工业项目、现有生产能力大，市场容量小的二类工业企业项目。</w:t>
                  </w:r>
                </w:p>
              </w:tc>
              <w:tc>
                <w:tcPr>
                  <w:tcW w:w="734" w:type="dxa"/>
                  <w:tcBorders>
                    <w:tl2br w:val="nil"/>
                    <w:tr2bl w:val="nil"/>
                  </w:tcBorders>
                  <w:noWrap w:val="0"/>
                  <w:vAlign w:val="center"/>
                </w:tcPr>
                <w:p w14:paraId="5BB4D3D9">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不属于限制类</w:t>
                  </w:r>
                </w:p>
              </w:tc>
            </w:tr>
            <w:tr w14:paraId="09440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vMerge w:val="restart"/>
                  <w:tcBorders>
                    <w:tl2br w:val="nil"/>
                    <w:tr2bl w:val="nil"/>
                  </w:tcBorders>
                  <w:noWrap w:val="0"/>
                  <w:vAlign w:val="center"/>
                </w:tcPr>
                <w:p w14:paraId="364288FC">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6"/>
                      <w:kern w:val="2"/>
                      <w:sz w:val="21"/>
                      <w:szCs w:val="21"/>
                      <w:u w:val="none" w:color="auto"/>
                      <w:vertAlign w:val="baseline"/>
                      <w:lang w:val="en-US" w:eastAsia="zh-CN" w:bidi="ar-SA"/>
                    </w:rPr>
                  </w:pPr>
                  <w:r>
                    <w:rPr>
                      <w:rFonts w:hint="default" w:ascii="Times New Roman" w:hAnsi="Times New Roman" w:cs="Times New Roman"/>
                      <w:sz w:val="21"/>
                      <w:szCs w:val="21"/>
                      <w:u w:val="none" w:color="auto"/>
                      <w:vertAlign w:val="baseline"/>
                      <w:lang w:val="en-US" w:eastAsia="zh-CN"/>
                    </w:rPr>
                    <w:t>禁止类</w:t>
                  </w:r>
                </w:p>
              </w:tc>
              <w:tc>
                <w:tcPr>
                  <w:tcW w:w="1002" w:type="dxa"/>
                  <w:tcBorders>
                    <w:tl2br w:val="nil"/>
                    <w:tr2bl w:val="nil"/>
                  </w:tcBorders>
                  <w:noWrap w:val="0"/>
                  <w:vAlign w:val="center"/>
                </w:tcPr>
                <w:p w14:paraId="7C8D9AEA">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left"/>
                    <w:textAlignment w:val="auto"/>
                    <w:rPr>
                      <w:rFonts w:hint="default" w:ascii="Times New Roman" w:hAnsi="Times New Roman" w:eastAsia="宋体" w:cs="Times New Roman"/>
                      <w:spacing w:val="6"/>
                      <w:kern w:val="2"/>
                      <w:sz w:val="21"/>
                      <w:szCs w:val="21"/>
                      <w:u w:val="none" w:color="auto"/>
                      <w:vertAlign w:val="baseline"/>
                      <w:lang w:val="en-US" w:eastAsia="zh-CN" w:bidi="ar-SA"/>
                    </w:rPr>
                  </w:pPr>
                  <w:r>
                    <w:rPr>
                      <w:rFonts w:hint="default" w:ascii="Times New Roman" w:hAnsi="Times New Roman" w:eastAsia="宋体" w:cs="Times New Roman"/>
                      <w:color w:val="000000"/>
                      <w:spacing w:val="0"/>
                      <w:kern w:val="0"/>
                      <w:sz w:val="21"/>
                      <w:szCs w:val="21"/>
                      <w:u w:val="none" w:color="auto"/>
                      <w:lang w:val="en-US" w:eastAsia="zh-CN" w:bidi="ar"/>
                    </w:rPr>
                    <w:t>规划为一类工业用地的不得引进二类工业；规划为二类工业用地的不得引进三类工业。</w:t>
                  </w:r>
                </w:p>
              </w:tc>
              <w:tc>
                <w:tcPr>
                  <w:tcW w:w="2514" w:type="dxa"/>
                  <w:tcBorders>
                    <w:tl2br w:val="nil"/>
                    <w:tr2bl w:val="nil"/>
                  </w:tcBorders>
                  <w:noWrap w:val="0"/>
                  <w:vAlign w:val="center"/>
                </w:tcPr>
                <w:p w14:paraId="61E887F1">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spacing w:val="6"/>
                      <w:kern w:val="2"/>
                      <w:sz w:val="21"/>
                      <w:szCs w:val="21"/>
                      <w:u w:val="none" w:color="auto"/>
                      <w:vertAlign w:val="baseline"/>
                      <w:lang w:val="en-US" w:eastAsia="zh-CN" w:bidi="ar-SA"/>
                    </w:rPr>
                  </w:pPr>
                  <w:r>
                    <w:rPr>
                      <w:rFonts w:hint="default" w:ascii="Times New Roman" w:hAnsi="Times New Roman" w:eastAsia="宋体" w:cs="Times New Roman"/>
                      <w:color w:val="000000"/>
                      <w:kern w:val="0"/>
                      <w:sz w:val="21"/>
                      <w:szCs w:val="21"/>
                      <w:u w:val="none" w:color="auto"/>
                      <w:lang w:val="en-US" w:eastAsia="zh-CN" w:bidi="ar"/>
                    </w:rPr>
                    <w:t>不符合核心区产业定位的一、二、三类工业企业项目；禁止铅、锌、铬等重污染冶炼行业；纺织印染、炼油、农药工业；水处理设施不完善的企业禁止开工生产；纺织印染工业；致癌、致畸、致突变产品生产项目；来料加工的海外废金属、塑料、纸张工业；电力工业的小火力发电；国家明文禁止的“十五小”和“新五小”项目，以及大量增加SO2、NOx、COD、NH3-N排放的工业项目。</w:t>
                  </w:r>
                </w:p>
              </w:tc>
              <w:tc>
                <w:tcPr>
                  <w:tcW w:w="2859" w:type="dxa"/>
                  <w:tcBorders>
                    <w:tl2br w:val="nil"/>
                    <w:tr2bl w:val="nil"/>
                  </w:tcBorders>
                  <w:noWrap w:val="0"/>
                  <w:vAlign w:val="center"/>
                </w:tcPr>
                <w:p w14:paraId="6B452172">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本项目用地为二类工业用地，</w:t>
                  </w:r>
                  <w:r>
                    <w:rPr>
                      <w:rFonts w:hint="default" w:ascii="Times New Roman" w:hAnsi="Times New Roman" w:eastAsia="宋体" w:cs="Times New Roman"/>
                      <w:color w:val="000000"/>
                      <w:kern w:val="0"/>
                      <w:sz w:val="21"/>
                      <w:szCs w:val="21"/>
                      <w:lang w:val="en-US" w:eastAsia="zh-CN" w:bidi="ar"/>
                    </w:rPr>
                    <w:t>本项目属于符合核心区产业定位的二类工业企业项目。不涉及海外废金属加工；项目不新增SO</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、NOx，运营期COD、NH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-N排放量较小。</w:t>
                  </w:r>
                </w:p>
              </w:tc>
              <w:tc>
                <w:tcPr>
                  <w:tcW w:w="734" w:type="dxa"/>
                  <w:tcBorders>
                    <w:tl2br w:val="nil"/>
                    <w:tr2bl w:val="nil"/>
                  </w:tcBorders>
                  <w:noWrap w:val="0"/>
                  <w:vAlign w:val="center"/>
                </w:tcPr>
                <w:p w14:paraId="4F57184C">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符合</w:t>
                  </w:r>
                </w:p>
              </w:tc>
            </w:tr>
            <w:tr w14:paraId="72357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vMerge w:val="continue"/>
                  <w:tcBorders>
                    <w:tl2br w:val="nil"/>
                    <w:tr2bl w:val="nil"/>
                  </w:tcBorders>
                  <w:noWrap w:val="0"/>
                  <w:vAlign w:val="center"/>
                </w:tcPr>
                <w:p w14:paraId="4D05EE3D">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sz w:val="21"/>
                      <w:szCs w:val="21"/>
                      <w:u w:val="none" w:color="auto"/>
                    </w:rPr>
                  </w:pPr>
                </w:p>
              </w:tc>
              <w:tc>
                <w:tcPr>
                  <w:tcW w:w="3516" w:type="dxa"/>
                  <w:gridSpan w:val="2"/>
                  <w:tcBorders>
                    <w:tl2br w:val="nil"/>
                    <w:tr2bl w:val="nil"/>
                  </w:tcBorders>
                  <w:noWrap w:val="0"/>
                  <w:vAlign w:val="center"/>
                </w:tcPr>
                <w:p w14:paraId="798332BD">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spacing w:val="6"/>
                      <w:kern w:val="2"/>
                      <w:sz w:val="21"/>
                      <w:szCs w:val="21"/>
                      <w:u w:val="none" w:color="auto"/>
                      <w:vertAlign w:val="baseline"/>
                      <w:lang w:val="en-US" w:eastAsia="zh-CN" w:bidi="ar-SA"/>
                    </w:rPr>
                  </w:pPr>
                  <w:r>
                    <w:rPr>
                      <w:rFonts w:hint="default" w:ascii="Times New Roman" w:hAnsi="Times New Roman" w:eastAsia="宋体" w:cs="Times New Roman"/>
                      <w:color w:val="000000"/>
                      <w:kern w:val="0"/>
                      <w:sz w:val="21"/>
                      <w:szCs w:val="21"/>
                      <w:u w:val="none" w:color="auto"/>
                      <w:lang w:val="en-US" w:eastAsia="zh-CN" w:bidi="ar"/>
                    </w:rPr>
                    <w:t>长江岸线1公里范围内，严禁新建、扩建化工生产项目。（化工生产项目包括：C2511原油加工及石油制品制造、C2519其他原油制造、C2521炼焦、C2611无机酸制造、C2612无机碱制造、C2613无机盐制造、C2614有机化学原料制造、C2619其他基础化学原料制造、C2621氮肥制造、C2622磷肥制造、C2623钾肥制造、C2624复混肥料制造、C2625有机肥料及微生物肥料制造、C2629其他肥料制造、C2631化学农药制造、C2632生物化学农药及微生物农药制造、C2641涂料制造、C2642油墨及类似产品制造、C2643工业颜料制造、C2644工艺美术颜料制造、C2645染料制造、C2646密封用填料及类似品制造、C2651初级形态塑料及合成树脂制造、C2652合成橡胶制造、C2653合成纤维单（聚合）体制造、C2659其他合成材料制造、C2661化学试剂和助剂制造、C2662专项化学用品制造、C2663林产化学用品制造、C2664文化用信息化学品制造、C2665医学生产用信息化学品制造、C2666环境污染处理专用药剂材料制造、C2667动物胶制造、C2669其他专用化学产品制造、C2911轮胎制造、C2912橡胶板、管、带制造、C2913橡胶零件制造、C2914再生橡胶制造、C2915日用及医用橡胶制品制造、C2916运动场地用塑胶制造、C2919其他橡胶制品制造）。</w:t>
                  </w:r>
                </w:p>
              </w:tc>
              <w:tc>
                <w:tcPr>
                  <w:tcW w:w="2859" w:type="dxa"/>
                  <w:tcBorders>
                    <w:tl2br w:val="nil"/>
                    <w:tr2bl w:val="nil"/>
                  </w:tcBorders>
                  <w:noWrap w:val="0"/>
                  <w:vAlign w:val="center"/>
                </w:tcPr>
                <w:p w14:paraId="5B8443E8">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本项目属于C33</w:t>
                  </w:r>
                  <w:r>
                    <w:rPr>
                      <w:rFonts w:hint="eastAsia" w:eastAsia="宋体" w:cs="Times New Roman"/>
                      <w:color w:val="000000"/>
                      <w:kern w:val="0"/>
                      <w:sz w:val="21"/>
                      <w:szCs w:val="21"/>
                      <w:u w:val="none" w:color="auto"/>
                      <w:lang w:val="en-US" w:eastAsia="zh-CN" w:bidi="ar"/>
                    </w:rPr>
                    <w:t>11、C3464</w:t>
                  </w:r>
                  <w:r>
                    <w:rPr>
                      <w:rFonts w:hint="default" w:ascii="Times New Roman" w:hAnsi="Times New Roman" w:eastAsia="宋体" w:cs="Times New Roman"/>
                      <w:color w:val="000000"/>
                      <w:kern w:val="0"/>
                      <w:sz w:val="21"/>
                      <w:szCs w:val="21"/>
                      <w:u w:val="none" w:color="auto"/>
                      <w:lang w:val="en-US" w:eastAsia="zh-CN" w:bidi="ar"/>
                    </w:rPr>
                    <w:t>，不涉及所列禁止类生产项目。</w:t>
                  </w:r>
                </w:p>
              </w:tc>
              <w:tc>
                <w:tcPr>
                  <w:tcW w:w="734" w:type="dxa"/>
                  <w:tcBorders>
                    <w:tl2br w:val="nil"/>
                    <w:tr2bl w:val="nil"/>
                  </w:tcBorders>
                  <w:noWrap w:val="0"/>
                  <w:vAlign w:val="center"/>
                </w:tcPr>
                <w:p w14:paraId="54D76A57">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符合</w:t>
                  </w:r>
                </w:p>
              </w:tc>
            </w:tr>
            <w:tr w14:paraId="04590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vMerge w:val="continue"/>
                  <w:tcBorders>
                    <w:tl2br w:val="nil"/>
                    <w:tr2bl w:val="nil"/>
                  </w:tcBorders>
                  <w:noWrap w:val="0"/>
                  <w:vAlign w:val="center"/>
                </w:tcPr>
                <w:p w14:paraId="613FE948">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cs="Times New Roman"/>
                      <w:sz w:val="21"/>
                      <w:szCs w:val="21"/>
                      <w:u w:val="none" w:color="auto"/>
                    </w:rPr>
                  </w:pPr>
                </w:p>
              </w:tc>
              <w:tc>
                <w:tcPr>
                  <w:tcW w:w="3516" w:type="dxa"/>
                  <w:gridSpan w:val="2"/>
                  <w:tcBorders>
                    <w:tl2br w:val="nil"/>
                    <w:tr2bl w:val="nil"/>
                  </w:tcBorders>
                  <w:noWrap w:val="0"/>
                  <w:vAlign w:val="center"/>
                </w:tcPr>
                <w:p w14:paraId="33E2CC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长江岸线1公里范围内禁止新建、扩建磷矿、磷化工项目。</w:t>
                  </w:r>
                </w:p>
              </w:tc>
              <w:tc>
                <w:tcPr>
                  <w:tcW w:w="2859" w:type="dxa"/>
                  <w:tcBorders>
                    <w:tl2br w:val="nil"/>
                    <w:tr2bl w:val="nil"/>
                  </w:tcBorders>
                  <w:noWrap w:val="0"/>
                  <w:vAlign w:val="center"/>
                </w:tcPr>
                <w:p w14:paraId="2960B6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本项目不属于磷矿、磷化工项目。</w:t>
                  </w:r>
                </w:p>
              </w:tc>
              <w:tc>
                <w:tcPr>
                  <w:tcW w:w="734" w:type="dxa"/>
                  <w:tcBorders>
                    <w:tl2br w:val="nil"/>
                    <w:tr2bl w:val="nil"/>
                  </w:tcBorders>
                  <w:noWrap w:val="0"/>
                  <w:vAlign w:val="center"/>
                </w:tcPr>
                <w:p w14:paraId="18060A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符合</w:t>
                  </w:r>
                </w:p>
              </w:tc>
            </w:tr>
            <w:tr w14:paraId="279CC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vMerge w:val="continue"/>
                  <w:tcBorders>
                    <w:tl2br w:val="nil"/>
                    <w:tr2bl w:val="nil"/>
                  </w:tcBorders>
                  <w:noWrap w:val="0"/>
                  <w:vAlign w:val="center"/>
                </w:tcPr>
                <w:p w14:paraId="25C32E79">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6"/>
                      <w:kern w:val="2"/>
                      <w:sz w:val="21"/>
                      <w:szCs w:val="21"/>
                      <w:u w:val="none" w:color="auto"/>
                      <w:vertAlign w:val="baseline"/>
                      <w:lang w:val="en-US" w:eastAsia="zh-CN" w:bidi="ar-SA"/>
                    </w:rPr>
                  </w:pPr>
                </w:p>
              </w:tc>
              <w:tc>
                <w:tcPr>
                  <w:tcW w:w="3516" w:type="dxa"/>
                  <w:gridSpan w:val="2"/>
                  <w:tcBorders>
                    <w:tl2br w:val="nil"/>
                    <w:tr2bl w:val="nil"/>
                  </w:tcBorders>
                  <w:noWrap w:val="0"/>
                  <w:vAlign w:val="center"/>
                </w:tcPr>
                <w:p w14:paraId="4991F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严禁水泥等行业新增产能，对确有必要新建的必须实施等量或减量置换。</w:t>
                  </w:r>
                </w:p>
              </w:tc>
              <w:tc>
                <w:tcPr>
                  <w:tcW w:w="2859" w:type="dxa"/>
                  <w:tcBorders>
                    <w:tl2br w:val="nil"/>
                    <w:tr2bl w:val="nil"/>
                  </w:tcBorders>
                  <w:noWrap w:val="0"/>
                  <w:vAlign w:val="center"/>
                </w:tcPr>
                <w:p w14:paraId="12468D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本项目不属于水泥行业。</w:t>
                  </w:r>
                </w:p>
              </w:tc>
              <w:tc>
                <w:tcPr>
                  <w:tcW w:w="734" w:type="dxa"/>
                  <w:tcBorders>
                    <w:tl2br w:val="nil"/>
                    <w:tr2bl w:val="nil"/>
                  </w:tcBorders>
                  <w:noWrap w:val="0"/>
                  <w:vAlign w:val="center"/>
                </w:tcPr>
                <w:p w14:paraId="7AFCE6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符合</w:t>
                  </w:r>
                </w:p>
              </w:tc>
            </w:tr>
            <w:tr w14:paraId="3CA68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vMerge w:val="continue"/>
                  <w:tcBorders>
                    <w:tl2br w:val="nil"/>
                    <w:tr2bl w:val="nil"/>
                  </w:tcBorders>
                  <w:noWrap w:val="0"/>
                  <w:vAlign w:val="center"/>
                </w:tcPr>
                <w:p w14:paraId="1FD45FDF">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6"/>
                      <w:kern w:val="2"/>
                      <w:sz w:val="21"/>
                      <w:szCs w:val="21"/>
                      <w:u w:val="none" w:color="auto"/>
                      <w:vertAlign w:val="baseline"/>
                      <w:lang w:val="en-US" w:eastAsia="zh-CN" w:bidi="ar-SA"/>
                    </w:rPr>
                  </w:pPr>
                </w:p>
              </w:tc>
              <w:tc>
                <w:tcPr>
                  <w:tcW w:w="3516" w:type="dxa"/>
                  <w:gridSpan w:val="2"/>
                  <w:tcBorders>
                    <w:tl2br w:val="nil"/>
                    <w:tr2bl w:val="nil"/>
                  </w:tcBorders>
                  <w:noWrap w:val="0"/>
                  <w:vAlign w:val="center"/>
                </w:tcPr>
                <w:p w14:paraId="3A188C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禁止新建、扩建法律法规和相关政策明令禁止的落后产能项目，对不符合要求的落后产能项目，依法依规退出。</w:t>
                  </w:r>
                </w:p>
              </w:tc>
              <w:tc>
                <w:tcPr>
                  <w:tcW w:w="2859" w:type="dxa"/>
                  <w:tcBorders>
                    <w:tl2br w:val="nil"/>
                    <w:tr2bl w:val="nil"/>
                  </w:tcBorders>
                  <w:noWrap w:val="0"/>
                  <w:vAlign w:val="center"/>
                </w:tcPr>
                <w:p w14:paraId="6D2D50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本项目不属于明令禁止的落后产能项目。</w:t>
                  </w:r>
                </w:p>
              </w:tc>
              <w:tc>
                <w:tcPr>
                  <w:tcW w:w="734" w:type="dxa"/>
                  <w:tcBorders>
                    <w:tl2br w:val="nil"/>
                    <w:tr2bl w:val="nil"/>
                  </w:tcBorders>
                  <w:noWrap w:val="0"/>
                  <w:vAlign w:val="center"/>
                </w:tcPr>
                <w:p w14:paraId="19697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u w:val="none" w:color="auto"/>
                      <w:lang w:val="en-US" w:eastAsia="zh-CN" w:bidi="ar"/>
                    </w:rPr>
                    <w:t>符合</w:t>
                  </w:r>
                </w:p>
              </w:tc>
            </w:tr>
            <w:tr w14:paraId="7EEEF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tcBorders>
                    <w:tl2br w:val="nil"/>
                    <w:tr2bl w:val="nil"/>
                  </w:tcBorders>
                  <w:noWrap w:val="0"/>
                  <w:vAlign w:val="center"/>
                </w:tcPr>
                <w:p w14:paraId="576D8131">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6"/>
                      <w:kern w:val="2"/>
                      <w:sz w:val="21"/>
                      <w:szCs w:val="21"/>
                      <w:u w:val="none" w:color="auto"/>
                      <w:vertAlign w:val="baseline"/>
                      <w:lang w:val="en-US" w:eastAsia="zh-CN" w:bidi="ar-SA"/>
                    </w:rPr>
                  </w:pPr>
                  <w:r>
                    <w:rPr>
                      <w:rFonts w:hint="default" w:ascii="Times New Roman" w:hAnsi="Times New Roman" w:cs="Times New Roman"/>
                      <w:sz w:val="21"/>
                      <w:szCs w:val="21"/>
                      <w:u w:val="none" w:color="auto"/>
                      <w:vertAlign w:val="baseline"/>
                      <w:lang w:val="en-US" w:eastAsia="zh-CN"/>
                    </w:rPr>
                    <w:t>环保指标要求</w:t>
                  </w:r>
                </w:p>
              </w:tc>
              <w:tc>
                <w:tcPr>
                  <w:tcW w:w="3516" w:type="dxa"/>
                  <w:gridSpan w:val="2"/>
                  <w:tcBorders>
                    <w:tl2br w:val="nil"/>
                    <w:tr2bl w:val="nil"/>
                  </w:tcBorders>
                  <w:noWrap w:val="0"/>
                  <w:vAlign w:val="center"/>
                </w:tcPr>
                <w:p w14:paraId="1B1F83E0">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spacing w:val="6"/>
                      <w:kern w:val="2"/>
                      <w:sz w:val="21"/>
                      <w:szCs w:val="21"/>
                      <w:u w:val="none" w:color="auto"/>
                      <w:vertAlign w:val="baseline"/>
                      <w:lang w:val="en-US" w:eastAsia="zh-CN" w:bidi="ar-SA"/>
                    </w:rPr>
                  </w:pPr>
                  <w:r>
                    <w:rPr>
                      <w:rFonts w:hint="default" w:ascii="Times New Roman" w:hAnsi="Times New Roman" w:eastAsia="宋体" w:cs="Times New Roman"/>
                      <w:color w:val="000000"/>
                      <w:kern w:val="0"/>
                      <w:sz w:val="21"/>
                      <w:szCs w:val="21"/>
                      <w:u w:val="none" w:color="auto"/>
                      <w:lang w:val="en-US" w:eastAsia="zh-CN" w:bidi="ar"/>
                    </w:rPr>
                    <w:t>废水、废气处理率达100%，固废处置率达100%，污染物排放达标率100%。</w:t>
                  </w:r>
                </w:p>
              </w:tc>
              <w:tc>
                <w:tcPr>
                  <w:tcW w:w="2859" w:type="dxa"/>
                  <w:tcBorders>
                    <w:tl2br w:val="nil"/>
                    <w:tr2bl w:val="nil"/>
                  </w:tcBorders>
                  <w:noWrap w:val="0"/>
                  <w:vAlign w:val="center"/>
                </w:tcPr>
                <w:p w14:paraId="62E5F1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lang w:val="en-US" w:eastAsia="zh-CN" w:bidi="ar"/>
                    </w:rPr>
                    <w:t>建设单位在严格落实环评提出的各项环保措施的前提下，废水、废气处理率、固废处置率、污染物排放达标率可达到100%。</w:t>
                  </w:r>
                </w:p>
              </w:tc>
              <w:tc>
                <w:tcPr>
                  <w:tcW w:w="734" w:type="dxa"/>
                  <w:tcBorders>
                    <w:tl2br w:val="nil"/>
                    <w:tr2bl w:val="nil"/>
                  </w:tcBorders>
                  <w:noWrap w:val="0"/>
                  <w:vAlign w:val="center"/>
                </w:tcPr>
                <w:p w14:paraId="3A49CA9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cs="Times New Roman"/>
                      <w:bCs/>
                      <w:sz w:val="21"/>
                      <w:szCs w:val="21"/>
                      <w:lang w:eastAsia="zh-CN"/>
                    </w:rPr>
                    <w:t>满足要求</w:t>
                  </w:r>
                </w:p>
              </w:tc>
            </w:tr>
            <w:tr w14:paraId="52134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 w:type="dxa"/>
                  <w:tcBorders>
                    <w:tl2br w:val="nil"/>
                    <w:tr2bl w:val="nil"/>
                  </w:tcBorders>
                  <w:noWrap w:val="0"/>
                  <w:vAlign w:val="center"/>
                </w:tcPr>
                <w:p w14:paraId="19AE0A00">
                  <w:pPr>
                    <w:pStyle w:val="7"/>
                    <w:keepNext/>
                    <w:keepLines w:val="0"/>
                    <w:pageBreakBefore w:val="0"/>
                    <w:widowControl w:val="0"/>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6"/>
                      <w:kern w:val="2"/>
                      <w:sz w:val="21"/>
                      <w:szCs w:val="21"/>
                      <w:u w:val="none" w:color="auto"/>
                      <w:vertAlign w:val="baseline"/>
                      <w:lang w:val="en-US" w:eastAsia="zh-CN" w:bidi="ar-SA"/>
                    </w:rPr>
                  </w:pPr>
                  <w:r>
                    <w:rPr>
                      <w:rFonts w:hint="default" w:ascii="Times New Roman" w:hAnsi="Times New Roman" w:cs="Times New Roman"/>
                      <w:sz w:val="21"/>
                      <w:szCs w:val="21"/>
                      <w:u w:val="none" w:color="auto"/>
                      <w:vertAlign w:val="baseline"/>
                      <w:lang w:val="en-US" w:eastAsia="zh-CN"/>
                    </w:rPr>
                    <w:t>其他</w:t>
                  </w:r>
                </w:p>
              </w:tc>
              <w:tc>
                <w:tcPr>
                  <w:tcW w:w="3516" w:type="dxa"/>
                  <w:gridSpan w:val="2"/>
                  <w:tcBorders>
                    <w:tl2br w:val="nil"/>
                    <w:tr2bl w:val="nil"/>
                  </w:tcBorders>
                  <w:noWrap w:val="0"/>
                  <w:vAlign w:val="center"/>
                </w:tcPr>
                <w:p w14:paraId="0B19FFCF">
                  <w:pPr>
                    <w:keepNext w:val="0"/>
                    <w:keepLines w:val="0"/>
                    <w:widowControl/>
                    <w:suppressLineNumbers w:val="0"/>
                    <w:spacing w:before="0" w:beforeAutospacing="0" w:after="0" w:afterAutospacing="0" w:line="240" w:lineRule="auto"/>
                    <w:ind w:left="0" w:right="0"/>
                    <w:jc w:val="left"/>
                    <w:rPr>
                      <w:rFonts w:hint="default" w:ascii="Times New Roman" w:hAnsi="Times New Roman" w:cs="Times New Roman"/>
                      <w:sz w:val="21"/>
                      <w:szCs w:val="21"/>
                      <w:u w:val="none" w:color="auto"/>
                    </w:rPr>
                  </w:pPr>
                  <w:r>
                    <w:rPr>
                      <w:rFonts w:hint="default" w:ascii="Times New Roman" w:hAnsi="Times New Roman" w:eastAsia="宋体" w:cs="Times New Roman"/>
                      <w:color w:val="000000"/>
                      <w:kern w:val="0"/>
                      <w:sz w:val="21"/>
                      <w:szCs w:val="21"/>
                      <w:u w:val="none" w:color="auto"/>
                      <w:lang w:val="en-US" w:eastAsia="zh-CN" w:bidi="ar"/>
                    </w:rPr>
                    <w:t>①三类工业用地仅允许用于涉及三类工业的高新企业引进和发展鼓励类高新技术项目的预留用地。</w:t>
                  </w:r>
                </w:p>
                <w:p w14:paraId="56D7AD86">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spacing w:val="6"/>
                      <w:kern w:val="2"/>
                      <w:sz w:val="21"/>
                      <w:szCs w:val="21"/>
                      <w:u w:val="none" w:color="auto"/>
                      <w:vertAlign w:val="baseline"/>
                      <w:lang w:val="en-US" w:eastAsia="zh-CN" w:bidi="ar-SA"/>
                    </w:rPr>
                  </w:pPr>
                  <w:r>
                    <w:rPr>
                      <w:rFonts w:hint="default" w:ascii="Times New Roman" w:hAnsi="Times New Roman" w:eastAsia="宋体" w:cs="Times New Roman"/>
                      <w:color w:val="000000"/>
                      <w:kern w:val="0"/>
                      <w:sz w:val="21"/>
                      <w:szCs w:val="21"/>
                      <w:u w:val="none" w:color="auto"/>
                      <w:lang w:val="en-US" w:eastAsia="zh-CN" w:bidi="ar"/>
                    </w:rPr>
                    <w:t>②开发区依托华能电厂进行集中供热，禁止使用原煤、重油为能源的项目进入。禁止工艺废气中有大量SO2、NOx产生的产业。</w:t>
                  </w:r>
                </w:p>
              </w:tc>
              <w:tc>
                <w:tcPr>
                  <w:tcW w:w="2859" w:type="dxa"/>
                  <w:tcBorders>
                    <w:tl2br w:val="nil"/>
                    <w:tr2bl w:val="nil"/>
                  </w:tcBorders>
                  <w:noWrap w:val="0"/>
                  <w:vAlign w:val="center"/>
                </w:tcPr>
                <w:p w14:paraId="40F46FF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eastAsia="宋体" w:cs="Times New Roman"/>
                      <w:color w:val="000000"/>
                      <w:kern w:val="0"/>
                      <w:sz w:val="21"/>
                      <w:szCs w:val="21"/>
                      <w:lang w:val="en-US" w:eastAsia="zh-CN" w:bidi="ar"/>
                    </w:rPr>
                    <w:t>本项目为二类工业企业，用地为二类工业用地。项目使用电能，不新增SO</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、NOx。项目生活污水经处理后排入</w:t>
                  </w:r>
                  <w:r>
                    <w:rPr>
                      <w:rFonts w:hint="default" w:ascii="Times New Roman" w:hAnsi="Times New Roman" w:cs="Times New Roman"/>
                      <w:bCs/>
                      <w:sz w:val="21"/>
                      <w:szCs w:val="21"/>
                      <w:u w:val="none"/>
                    </w:rPr>
                    <w:t>湖南城陵矶临港产业新区污水处理厂</w:t>
                  </w:r>
                  <w:r>
                    <w:rPr>
                      <w:rFonts w:hint="default" w:ascii="Times New Roman" w:hAnsi="Times New Roman" w:cs="Times New Roman"/>
                      <w:bCs/>
                      <w:sz w:val="21"/>
                      <w:szCs w:val="21"/>
                      <w:u w:val="none"/>
                      <w:lang w:eastAsia="zh-CN"/>
                    </w:rPr>
                    <w:t>深度处理</w:t>
                  </w:r>
                </w:p>
              </w:tc>
              <w:tc>
                <w:tcPr>
                  <w:tcW w:w="734" w:type="dxa"/>
                  <w:tcBorders>
                    <w:tl2br w:val="nil"/>
                    <w:tr2bl w:val="nil"/>
                  </w:tcBorders>
                  <w:noWrap w:val="0"/>
                  <w:vAlign w:val="center"/>
                </w:tcPr>
                <w:p w14:paraId="487859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bidi="ar"/>
                    </w:rPr>
                  </w:pPr>
                  <w:r>
                    <w:rPr>
                      <w:rFonts w:hint="default" w:ascii="Times New Roman" w:hAnsi="Times New Roman" w:cs="Times New Roman"/>
                      <w:bCs/>
                      <w:sz w:val="21"/>
                      <w:szCs w:val="21"/>
                      <w:lang w:eastAsia="zh-CN"/>
                    </w:rPr>
                    <w:t>满足要求</w:t>
                  </w:r>
                </w:p>
              </w:tc>
            </w:tr>
          </w:tbl>
          <w:p w14:paraId="03A65A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pacing w:val="0"/>
                <w:w w:val="100"/>
                <w:sz w:val="24"/>
                <w:szCs w:val="24"/>
                <w:u w:val="none" w:color="auto"/>
                <w:lang w:val="en-US" w:eastAsia="zh-CN"/>
              </w:rPr>
            </w:pPr>
            <w:r>
              <w:rPr>
                <w:rFonts w:hint="eastAsia" w:ascii="Times New Roman" w:hAnsi="Times New Roman" w:eastAsia="宋体" w:cs="Times New Roman"/>
                <w:color w:val="auto"/>
                <w:spacing w:val="0"/>
                <w:w w:val="100"/>
                <w:sz w:val="24"/>
                <w:szCs w:val="24"/>
                <w:u w:val="none" w:color="auto"/>
                <w:lang w:val="en-US" w:eastAsia="zh-CN"/>
              </w:rPr>
              <w:t>综上，对照调整后的企业准入条件，本项目符合准入条件相关规定。</w:t>
            </w:r>
          </w:p>
          <w:p w14:paraId="126538BF">
            <w:pPr>
              <w:pStyle w:val="59"/>
              <w:keepNext w:val="0"/>
              <w:keepLines w:val="0"/>
              <w:suppressLineNumbers w:val="0"/>
              <w:tabs>
                <w:tab w:val="left" w:pos="866"/>
              </w:tabs>
              <w:spacing w:before="0" w:beforeAutospacing="0" w:after="0" w:afterAutospacing="0" w:line="364" w:lineRule="auto"/>
              <w:ind w:left="214" w:leftChars="102" w:right="-44" w:firstLine="337" w:firstLineChars="140"/>
              <w:jc w:val="both"/>
              <w:rPr>
                <w:rFonts w:hint="eastAsia" w:ascii="Times New Roman" w:hAnsi="Times New Roman" w:eastAsia="宋体" w:cs="Times New Roman"/>
                <w:color w:val="auto"/>
                <w:spacing w:val="0"/>
                <w:w w:val="100"/>
                <w:kern w:val="2"/>
                <w:sz w:val="24"/>
                <w:szCs w:val="24"/>
                <w:u w:val="none" w:color="auto"/>
                <w:lang w:val="en-US" w:eastAsia="zh-CN" w:bidi="ar-SA"/>
              </w:rPr>
            </w:pPr>
            <w:r>
              <w:rPr>
                <w:rFonts w:hint="eastAsia" w:ascii="Times New Roman" w:hAnsi="Times New Roman" w:eastAsia="宋体" w:cs="Times New Roman"/>
                <w:b/>
                <w:bCs/>
                <w:color w:val="auto"/>
                <w:kern w:val="2"/>
                <w:sz w:val="24"/>
                <w:szCs w:val="24"/>
                <w:u w:val="none"/>
                <w:lang w:val="en-US" w:eastAsia="zh-CN" w:bidi="ar-SA"/>
              </w:rPr>
              <w:fldChar w:fldCharType="begin"/>
            </w:r>
            <w:r>
              <w:rPr>
                <w:rFonts w:hint="eastAsia" w:ascii="Times New Roman" w:hAnsi="Times New Roman" w:eastAsia="宋体" w:cs="Times New Roman"/>
                <w:b/>
                <w:bCs/>
                <w:color w:val="auto"/>
                <w:kern w:val="2"/>
                <w:sz w:val="24"/>
                <w:szCs w:val="24"/>
                <w:u w:val="none"/>
                <w:lang w:val="en-US" w:eastAsia="zh-CN" w:bidi="ar-SA"/>
              </w:rPr>
              <w:instrText xml:space="preserve"> = 2 \* GB3 \* MERGEFORMAT </w:instrText>
            </w:r>
            <w:r>
              <w:rPr>
                <w:rFonts w:hint="eastAsia" w:ascii="Times New Roman" w:hAnsi="Times New Roman" w:eastAsia="宋体" w:cs="Times New Roman"/>
                <w:b/>
                <w:bCs/>
                <w:color w:val="auto"/>
                <w:kern w:val="2"/>
                <w:sz w:val="24"/>
                <w:szCs w:val="24"/>
                <w:u w:val="none"/>
                <w:lang w:val="en-US" w:eastAsia="zh-CN" w:bidi="ar-SA"/>
              </w:rPr>
              <w:fldChar w:fldCharType="separate"/>
            </w:r>
            <w:r>
              <w:rPr>
                <w:rFonts w:hint="eastAsia" w:ascii="Times New Roman" w:hAnsi="Times New Roman" w:eastAsia="宋体" w:cs="Times New Roman"/>
                <w:b/>
                <w:bCs/>
                <w:color w:val="auto"/>
                <w:kern w:val="2"/>
                <w:sz w:val="24"/>
                <w:szCs w:val="24"/>
                <w:u w:val="none"/>
                <w:lang w:val="en-US" w:eastAsia="zh-CN" w:bidi="ar-SA"/>
              </w:rPr>
              <w:t>②</w:t>
            </w:r>
            <w:r>
              <w:rPr>
                <w:rFonts w:hint="eastAsia" w:ascii="Times New Roman" w:hAnsi="Times New Roman" w:eastAsia="宋体" w:cs="Times New Roman"/>
                <w:b/>
                <w:bCs/>
                <w:color w:val="auto"/>
                <w:kern w:val="2"/>
                <w:sz w:val="24"/>
                <w:szCs w:val="24"/>
                <w:u w:val="none"/>
                <w:lang w:val="en-US" w:eastAsia="zh-CN" w:bidi="ar-SA"/>
              </w:rPr>
              <w:fldChar w:fldCharType="end"/>
            </w:r>
            <w:r>
              <w:rPr>
                <w:rFonts w:hint="eastAsia" w:eastAsia="宋体" w:cs="Times New Roman"/>
                <w:b/>
                <w:bCs/>
                <w:color w:val="auto"/>
                <w:kern w:val="2"/>
                <w:sz w:val="24"/>
                <w:szCs w:val="24"/>
                <w:u w:val="none"/>
                <w:lang w:val="en-US" w:eastAsia="zh-CN" w:bidi="ar-SA"/>
              </w:rPr>
              <w:t>与跟踪环评审查意见的符合性</w:t>
            </w:r>
          </w:p>
          <w:p w14:paraId="5CF56156">
            <w:pPr>
              <w:pStyle w:val="59"/>
              <w:keepNext w:val="0"/>
              <w:keepLines w:val="0"/>
              <w:suppressLineNumbers w:val="0"/>
              <w:tabs>
                <w:tab w:val="left" w:pos="866"/>
              </w:tabs>
              <w:spacing w:before="0" w:beforeAutospacing="0" w:after="0" w:afterAutospacing="0" w:line="364" w:lineRule="auto"/>
              <w:ind w:left="214" w:leftChars="102" w:right="-44" w:firstLine="336" w:firstLineChars="140"/>
              <w:jc w:val="both"/>
              <w:rPr>
                <w:rFonts w:hint="eastAsia" w:ascii="Times New Roman" w:hAnsi="Times New Roman" w:eastAsia="宋体" w:cs="Times New Roman"/>
                <w:color w:val="auto"/>
                <w:spacing w:val="0"/>
                <w:w w:val="100"/>
                <w:kern w:val="2"/>
                <w:sz w:val="24"/>
                <w:szCs w:val="24"/>
                <w:u w:val="none" w:color="auto"/>
                <w:lang w:val="en-US" w:eastAsia="zh-CN" w:bidi="ar-SA"/>
              </w:rPr>
            </w:pPr>
            <w:r>
              <w:rPr>
                <w:rFonts w:hint="eastAsia" w:ascii="Times New Roman" w:hAnsi="Times New Roman" w:eastAsia="宋体" w:cs="Times New Roman"/>
                <w:color w:val="auto"/>
                <w:spacing w:val="0"/>
                <w:w w:val="100"/>
                <w:kern w:val="2"/>
                <w:sz w:val="24"/>
                <w:szCs w:val="24"/>
                <w:u w:val="none" w:color="auto"/>
                <w:lang w:val="en-US" w:eastAsia="zh-CN" w:bidi="ar-SA"/>
              </w:rPr>
              <w:t>本项目与跟踪环境影响评价审查意见的相符性：</w:t>
            </w:r>
          </w:p>
          <w:p w14:paraId="08D931BB">
            <w:pPr>
              <w:pStyle w:val="59"/>
              <w:keepNext w:val="0"/>
              <w:keepLines w:val="0"/>
              <w:suppressLineNumbers w:val="0"/>
              <w:tabs>
                <w:tab w:val="left" w:pos="866"/>
              </w:tabs>
              <w:spacing w:before="0" w:beforeAutospacing="0" w:after="0" w:afterAutospacing="0" w:line="364" w:lineRule="auto"/>
              <w:ind w:left="113" w:right="-44" w:hanging="123"/>
              <w:jc w:val="center"/>
              <w:rPr>
                <w:rFonts w:hint="default" w:ascii="Times New Roman" w:hAnsi="Times New Roman" w:eastAsia="宋体" w:cs="Times New Roman"/>
                <w:b/>
                <w:sz w:val="21"/>
                <w:szCs w:val="21"/>
                <w:u w:val="none" w:color="auto"/>
                <w:lang w:val="en-US" w:eastAsia="zh-CN"/>
              </w:rPr>
            </w:pPr>
            <w:r>
              <w:rPr>
                <w:rFonts w:hint="default" w:ascii="Times New Roman" w:hAnsi="Times New Roman" w:eastAsia="宋体" w:cs="Times New Roman"/>
                <w:b/>
                <w:sz w:val="21"/>
                <w:szCs w:val="21"/>
                <w:u w:val="none" w:color="auto"/>
                <w:lang w:val="en-US" w:eastAsia="zh-CN"/>
              </w:rPr>
              <w:t>表1-</w:t>
            </w:r>
            <w:r>
              <w:rPr>
                <w:rFonts w:hint="eastAsia" w:ascii="Times New Roman" w:hAnsi="Times New Roman" w:eastAsia="宋体" w:cs="Times New Roman"/>
                <w:b/>
                <w:sz w:val="21"/>
                <w:szCs w:val="21"/>
                <w:u w:val="none" w:color="auto"/>
                <w:lang w:val="en-US" w:eastAsia="zh-CN"/>
              </w:rPr>
              <w:t>4</w:t>
            </w:r>
            <w:r>
              <w:rPr>
                <w:rFonts w:hint="default" w:ascii="Times New Roman" w:hAnsi="Times New Roman" w:eastAsia="宋体" w:cs="Times New Roman"/>
                <w:b/>
                <w:sz w:val="21"/>
                <w:szCs w:val="21"/>
                <w:u w:val="none" w:color="auto"/>
                <w:lang w:val="en-US" w:eastAsia="zh-CN"/>
              </w:rPr>
              <w:t xml:space="preserve">  与“湘环评函</w:t>
            </w:r>
            <w:r>
              <w:rPr>
                <w:rFonts w:hint="eastAsia" w:ascii="Times New Roman" w:hAnsi="Times New Roman" w:eastAsia="宋体" w:cs="Times New Roman"/>
                <w:b/>
                <w:sz w:val="21"/>
                <w:szCs w:val="21"/>
                <w:u w:val="none" w:color="auto"/>
                <w:lang w:val="en-US" w:eastAsia="zh-CN"/>
              </w:rPr>
              <w:t>【</w:t>
            </w:r>
            <w:r>
              <w:rPr>
                <w:rFonts w:hint="default" w:ascii="Times New Roman" w:hAnsi="Times New Roman" w:eastAsia="宋体" w:cs="Times New Roman"/>
                <w:b/>
                <w:sz w:val="21"/>
                <w:szCs w:val="21"/>
                <w:u w:val="none" w:color="auto"/>
                <w:lang w:val="en-US" w:eastAsia="zh-CN"/>
              </w:rPr>
              <w:t>2021</w:t>
            </w:r>
            <w:r>
              <w:rPr>
                <w:rFonts w:hint="eastAsia" w:ascii="Times New Roman" w:hAnsi="Times New Roman" w:eastAsia="宋体" w:cs="Times New Roman"/>
                <w:b/>
                <w:sz w:val="21"/>
                <w:szCs w:val="21"/>
                <w:u w:val="none" w:color="auto"/>
                <w:lang w:val="en-US" w:eastAsia="zh-CN"/>
              </w:rPr>
              <w:t>】</w:t>
            </w:r>
            <w:r>
              <w:rPr>
                <w:rFonts w:hint="default" w:ascii="Times New Roman" w:hAnsi="Times New Roman" w:eastAsia="宋体" w:cs="Times New Roman"/>
                <w:b/>
                <w:sz w:val="21"/>
                <w:szCs w:val="21"/>
                <w:u w:val="none" w:color="auto"/>
                <w:lang w:val="en-US" w:eastAsia="zh-CN"/>
              </w:rPr>
              <w:t>33号</w:t>
            </w:r>
            <w:r>
              <w:rPr>
                <w:rFonts w:hint="eastAsia" w:ascii="Times New Roman" w:hAnsi="Times New Roman" w:eastAsia="宋体" w:cs="Times New Roman"/>
                <w:b/>
                <w:sz w:val="21"/>
                <w:szCs w:val="21"/>
                <w:u w:val="none" w:color="auto"/>
                <w:lang w:val="en-US" w:eastAsia="zh-CN"/>
              </w:rPr>
              <w:t>批复</w:t>
            </w:r>
            <w:r>
              <w:rPr>
                <w:rFonts w:hint="default" w:ascii="Times New Roman" w:hAnsi="Times New Roman" w:eastAsia="宋体" w:cs="Times New Roman"/>
                <w:b/>
                <w:sz w:val="21"/>
                <w:szCs w:val="21"/>
                <w:u w:val="none" w:color="auto"/>
                <w:lang w:val="en-US" w:eastAsia="zh-CN"/>
              </w:rPr>
              <w:t>”符合性分析</w:t>
            </w:r>
          </w:p>
          <w:tbl>
            <w:tblPr>
              <w:tblStyle w:val="3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8"/>
              <w:gridCol w:w="3779"/>
              <w:gridCol w:w="2850"/>
              <w:gridCol w:w="379"/>
            </w:tblGrid>
            <w:tr w14:paraId="522A7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7928E282">
                  <w:pPr>
                    <w:keepNext w:val="0"/>
                    <w:keepLines w:val="0"/>
                    <w:suppressLineNumbers w:val="0"/>
                    <w:spacing w:before="0" w:beforeAutospacing="0" w:after="0" w:afterAutospacing="0"/>
                    <w:ind w:left="0" w:right="0"/>
                    <w:jc w:val="center"/>
                    <w:rPr>
                      <w:rFonts w:hint="eastAsia"/>
                      <w:b/>
                      <w:u w:val="none" w:color="auto"/>
                    </w:rPr>
                  </w:pPr>
                  <w:r>
                    <w:rPr>
                      <w:rFonts w:hint="eastAsia"/>
                      <w:bCs/>
                      <w:szCs w:val="21"/>
                      <w:u w:val="none" w:color="auto"/>
                    </w:rPr>
                    <w:t>序号</w:t>
                  </w:r>
                </w:p>
              </w:tc>
              <w:tc>
                <w:tcPr>
                  <w:tcW w:w="2474" w:type="pct"/>
                  <w:tcBorders>
                    <w:tl2br w:val="nil"/>
                    <w:tr2bl w:val="nil"/>
                  </w:tcBorders>
                  <w:noWrap w:val="0"/>
                  <w:vAlign w:val="center"/>
                </w:tcPr>
                <w:p w14:paraId="77C0B1A3">
                  <w:pPr>
                    <w:keepNext w:val="0"/>
                    <w:keepLines w:val="0"/>
                    <w:suppressLineNumbers w:val="0"/>
                    <w:spacing w:before="0" w:beforeAutospacing="0" w:after="0" w:afterAutospacing="0"/>
                    <w:ind w:left="0" w:right="0"/>
                    <w:jc w:val="center"/>
                    <w:rPr>
                      <w:rFonts w:hint="eastAsia"/>
                      <w:b/>
                      <w:u w:val="none" w:color="auto"/>
                    </w:rPr>
                  </w:pPr>
                  <w:r>
                    <w:rPr>
                      <w:rFonts w:hint="eastAsia"/>
                      <w:bCs/>
                      <w:szCs w:val="21"/>
                      <w:u w:val="none" w:color="auto"/>
                    </w:rPr>
                    <w:t>湘环评</w:t>
                  </w:r>
                  <w:r>
                    <w:rPr>
                      <w:rFonts w:hint="eastAsia"/>
                      <w:bCs/>
                      <w:szCs w:val="21"/>
                      <w:u w:val="none" w:color="auto"/>
                      <w:lang w:eastAsia="zh-CN"/>
                    </w:rPr>
                    <w:t>【</w:t>
                  </w:r>
                  <w:r>
                    <w:rPr>
                      <w:rFonts w:hint="eastAsia"/>
                      <w:bCs/>
                      <w:szCs w:val="21"/>
                      <w:u w:val="none" w:color="auto"/>
                    </w:rPr>
                    <w:t>20</w:t>
                  </w:r>
                  <w:r>
                    <w:rPr>
                      <w:rFonts w:hint="eastAsia"/>
                      <w:bCs/>
                      <w:szCs w:val="21"/>
                      <w:u w:val="none" w:color="auto"/>
                      <w:lang w:val="en-US" w:eastAsia="zh-CN"/>
                    </w:rPr>
                    <w:t>21</w:t>
                  </w:r>
                  <w:r>
                    <w:rPr>
                      <w:rFonts w:hint="eastAsia"/>
                      <w:bCs/>
                      <w:szCs w:val="21"/>
                      <w:u w:val="none" w:color="auto"/>
                      <w:lang w:eastAsia="zh-CN"/>
                    </w:rPr>
                    <w:t>】</w:t>
                  </w:r>
                  <w:r>
                    <w:rPr>
                      <w:rFonts w:hint="eastAsia"/>
                      <w:bCs/>
                      <w:szCs w:val="21"/>
                      <w:u w:val="none" w:color="auto"/>
                      <w:lang w:val="en-US" w:eastAsia="zh-CN"/>
                    </w:rPr>
                    <w:t>3</w:t>
                  </w:r>
                  <w:r>
                    <w:rPr>
                      <w:rFonts w:hint="eastAsia"/>
                      <w:bCs/>
                      <w:szCs w:val="21"/>
                      <w:u w:val="none" w:color="auto"/>
                    </w:rPr>
                    <w:t>3号</w:t>
                  </w:r>
                </w:p>
              </w:tc>
              <w:tc>
                <w:tcPr>
                  <w:tcW w:w="1866" w:type="pct"/>
                  <w:tcBorders>
                    <w:tl2br w:val="nil"/>
                    <w:tr2bl w:val="nil"/>
                  </w:tcBorders>
                  <w:noWrap w:val="0"/>
                  <w:vAlign w:val="center"/>
                </w:tcPr>
                <w:p w14:paraId="1A5D7F60">
                  <w:pPr>
                    <w:keepNext w:val="0"/>
                    <w:keepLines w:val="0"/>
                    <w:suppressLineNumbers w:val="0"/>
                    <w:spacing w:before="0" w:beforeAutospacing="0" w:after="0" w:afterAutospacing="0"/>
                    <w:ind w:left="0" w:right="0"/>
                    <w:jc w:val="center"/>
                    <w:rPr>
                      <w:rFonts w:hint="eastAsia"/>
                      <w:b/>
                      <w:u w:val="none" w:color="auto"/>
                    </w:rPr>
                  </w:pPr>
                  <w:r>
                    <w:rPr>
                      <w:rFonts w:hint="default"/>
                      <w:bCs/>
                      <w:szCs w:val="21"/>
                      <w:u w:val="none" w:color="auto"/>
                    </w:rPr>
                    <w:t>本项目情况</w:t>
                  </w:r>
                </w:p>
              </w:tc>
              <w:tc>
                <w:tcPr>
                  <w:tcW w:w="248" w:type="pct"/>
                  <w:tcBorders>
                    <w:tl2br w:val="nil"/>
                    <w:tr2bl w:val="nil"/>
                  </w:tcBorders>
                  <w:noWrap w:val="0"/>
                  <w:vAlign w:val="center"/>
                </w:tcPr>
                <w:p w14:paraId="45C9A3AE">
                  <w:pPr>
                    <w:keepNext w:val="0"/>
                    <w:keepLines w:val="0"/>
                    <w:suppressLineNumbers w:val="0"/>
                    <w:spacing w:before="0" w:beforeAutospacing="0" w:after="0" w:afterAutospacing="0"/>
                    <w:ind w:left="0" w:right="0"/>
                    <w:jc w:val="center"/>
                    <w:rPr>
                      <w:rFonts w:hint="eastAsia"/>
                      <w:b/>
                      <w:u w:val="none" w:color="auto"/>
                    </w:rPr>
                  </w:pPr>
                  <w:r>
                    <w:rPr>
                      <w:rFonts w:hint="default"/>
                      <w:bCs/>
                      <w:szCs w:val="21"/>
                      <w:u w:val="none" w:color="auto"/>
                    </w:rPr>
                    <w:t>符合性</w:t>
                  </w:r>
                </w:p>
              </w:tc>
            </w:tr>
            <w:tr w14:paraId="23AEC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08349683">
                  <w:pPr>
                    <w:keepNext w:val="0"/>
                    <w:keepLines w:val="0"/>
                    <w:suppressLineNumbers w:val="0"/>
                    <w:spacing w:before="0" w:beforeAutospacing="0" w:after="0" w:afterAutospacing="0"/>
                    <w:ind w:left="0" w:right="0"/>
                    <w:jc w:val="center"/>
                    <w:rPr>
                      <w:rFonts w:hint="default"/>
                      <w:bCs/>
                      <w:szCs w:val="21"/>
                      <w:u w:val="none" w:color="auto"/>
                    </w:rPr>
                  </w:pPr>
                  <w:r>
                    <w:rPr>
                      <w:rFonts w:hint="eastAsia"/>
                      <w:bCs/>
                      <w:szCs w:val="21"/>
                      <w:u w:val="none" w:color="auto"/>
                    </w:rPr>
                    <w:t>1</w:t>
                  </w:r>
                </w:p>
              </w:tc>
              <w:tc>
                <w:tcPr>
                  <w:tcW w:w="2474" w:type="pct"/>
                  <w:tcBorders>
                    <w:tl2br w:val="nil"/>
                    <w:tr2bl w:val="nil"/>
                  </w:tcBorders>
                  <w:noWrap w:val="0"/>
                  <w:vAlign w:val="center"/>
                </w:tcPr>
                <w:p w14:paraId="63B1B71C">
                  <w:pPr>
                    <w:keepNext w:val="0"/>
                    <w:keepLines w:val="0"/>
                    <w:suppressLineNumbers w:val="0"/>
                    <w:spacing w:before="0" w:beforeAutospacing="0" w:after="0" w:afterAutospacing="0"/>
                    <w:ind w:left="0" w:right="0"/>
                    <w:jc w:val="center"/>
                    <w:rPr>
                      <w:rFonts w:hint="eastAsia"/>
                      <w:bCs/>
                      <w:szCs w:val="21"/>
                      <w:u w:val="none" w:color="auto"/>
                    </w:rPr>
                  </w:pPr>
                  <w:r>
                    <w:rPr>
                      <w:rFonts w:hint="eastAsia"/>
                      <w:bCs/>
                      <w:szCs w:val="21"/>
                      <w:u w:val="none" w:color="auto"/>
                    </w:rPr>
                    <w:t>按程序做好园区规划调整。对位于临江1km范围内的企业</w:t>
                  </w:r>
                  <w:r>
                    <w:rPr>
                      <w:rFonts w:hint="eastAsia"/>
                      <w:bCs/>
                      <w:szCs w:val="21"/>
                      <w:u w:val="none" w:color="auto"/>
                      <w:lang w:eastAsia="zh-CN"/>
                    </w:rPr>
                    <w:t>，</w:t>
                  </w:r>
                  <w:r>
                    <w:rPr>
                      <w:rFonts w:hint="eastAsia"/>
                      <w:bCs/>
                      <w:szCs w:val="21"/>
                      <w:u w:val="none" w:color="auto"/>
                    </w:rPr>
                    <w:t>应在规定期限内完成关闭退出、搬迁改造工作。临</w:t>
                  </w:r>
                  <w:r>
                    <w:rPr>
                      <w:rFonts w:hint="eastAsia"/>
                      <w:bCs/>
                      <w:szCs w:val="21"/>
                      <w:u w:val="none" w:color="auto"/>
                      <w:lang w:val="en-US" w:eastAsia="zh-CN"/>
                    </w:rPr>
                    <w:t>近凌泊湖小区、亚泰花园等居住区的工业企业应强化污染防治设施的治理效果，并按《报告书》要求，设置一定距离的绿化隔离带，最大程度地避免对邻近居住区的不良环境影响；后续引进企业，应合理引导企业布局，确保各行业企业在其相应的规划产业片区内发展，严禁跨红线布局。</w:t>
                  </w:r>
                </w:p>
              </w:tc>
              <w:tc>
                <w:tcPr>
                  <w:tcW w:w="1866" w:type="pct"/>
                  <w:tcBorders>
                    <w:tl2br w:val="nil"/>
                    <w:tr2bl w:val="nil"/>
                  </w:tcBorders>
                  <w:noWrap w:val="0"/>
                  <w:vAlign w:val="center"/>
                </w:tcPr>
                <w:p w14:paraId="5FDA36EB">
                  <w:pPr>
                    <w:keepNext w:val="0"/>
                    <w:keepLines w:val="0"/>
                    <w:suppressLineNumbers w:val="0"/>
                    <w:spacing w:before="0" w:beforeAutospacing="0" w:after="0" w:afterAutospacing="0"/>
                    <w:ind w:left="0" w:right="0"/>
                    <w:jc w:val="left"/>
                    <w:rPr>
                      <w:rFonts w:hint="eastAsia" w:ascii="Times New Roman" w:hAnsi="Times New Roman" w:eastAsia="宋体" w:cs="Times New Roman"/>
                      <w:bCs/>
                      <w:szCs w:val="21"/>
                      <w:u w:val="none" w:color="auto"/>
                      <w:lang w:val="en-US" w:eastAsia="zh-CN"/>
                    </w:rPr>
                  </w:pPr>
                  <w:r>
                    <w:rPr>
                      <w:rFonts w:hint="eastAsia"/>
                      <w:bCs/>
                      <w:szCs w:val="21"/>
                      <w:u w:val="none" w:color="auto"/>
                      <w:lang w:val="en-US" w:eastAsia="zh-CN"/>
                    </w:rPr>
                    <w:t>本</w:t>
                  </w:r>
                  <w:r>
                    <w:rPr>
                      <w:rFonts w:hint="eastAsia" w:ascii="Times New Roman" w:hAnsi="Times New Roman" w:eastAsia="宋体" w:cs="Times New Roman"/>
                      <w:bCs/>
                      <w:szCs w:val="21"/>
                      <w:u w:val="none" w:color="auto"/>
                      <w:lang w:val="en-US" w:eastAsia="zh-CN"/>
                    </w:rPr>
                    <w:t>项目不属于临江1km范围内的企业，项目周边100m范围内无居民点。项目符合园区产业定位。</w:t>
                  </w:r>
                </w:p>
                <w:p w14:paraId="67747287">
                  <w:pPr>
                    <w:keepNext w:val="0"/>
                    <w:keepLines w:val="0"/>
                    <w:suppressLineNumbers w:val="0"/>
                    <w:spacing w:before="0" w:beforeAutospacing="0" w:after="0" w:afterAutospacing="0"/>
                    <w:ind w:left="0" w:right="0"/>
                    <w:jc w:val="left"/>
                    <w:rPr>
                      <w:rFonts w:hint="default" w:eastAsia="宋体"/>
                      <w:bCs/>
                      <w:szCs w:val="21"/>
                      <w:u w:val="none" w:color="auto"/>
                      <w:lang w:val="en-US" w:eastAsia="zh-CN"/>
                    </w:rPr>
                  </w:pPr>
                  <w:r>
                    <w:rPr>
                      <w:rFonts w:hint="eastAsia" w:ascii="Times New Roman" w:hAnsi="Times New Roman" w:eastAsia="宋体" w:cs="Times New Roman"/>
                      <w:bCs/>
                      <w:szCs w:val="21"/>
                      <w:u w:val="none" w:color="auto"/>
                      <w:lang w:val="en-US" w:eastAsia="zh-CN"/>
                    </w:rPr>
                    <w:t>根据园区功能分区图，本项目所处分区为电子信息产业区，与规划的功能分区不符。根据规划环评跟踪影响评价结论及批复，园区分区现状为：企业未按原规划的产业布局进行布置，未形成规划中的新材料区、高技术服务区、高端装备制造区、电子信息产业区“四区”的空间结构。后续园区应根据现有企业分布、居住区实际情况，完善功能分区及布局，园区在后续引进产业企业时，应合理引导企业布局，确保各行业企业在其相应的规划产业片区内发展。本项目已与园区签订入园协议，待园区根据现有企业分布、居住区实际情况完善功能分区及布局后，本项目应按其规定执行。</w:t>
                  </w:r>
                </w:p>
              </w:tc>
              <w:tc>
                <w:tcPr>
                  <w:tcW w:w="248" w:type="pct"/>
                  <w:tcBorders>
                    <w:tl2br w:val="nil"/>
                    <w:tr2bl w:val="nil"/>
                  </w:tcBorders>
                  <w:noWrap w:val="0"/>
                  <w:vAlign w:val="center"/>
                </w:tcPr>
                <w:p w14:paraId="61C5CF2F">
                  <w:pPr>
                    <w:keepNext w:val="0"/>
                    <w:keepLines w:val="0"/>
                    <w:suppressLineNumbers w:val="0"/>
                    <w:spacing w:before="0" w:beforeAutospacing="0" w:after="0" w:afterAutospacing="0"/>
                    <w:ind w:left="0" w:right="0"/>
                    <w:jc w:val="center"/>
                    <w:rPr>
                      <w:rFonts w:hint="default"/>
                      <w:bCs/>
                      <w:szCs w:val="21"/>
                      <w:u w:val="none" w:color="auto"/>
                    </w:rPr>
                  </w:pPr>
                  <w:r>
                    <w:rPr>
                      <w:rFonts w:hint="eastAsia"/>
                      <w:bCs/>
                      <w:szCs w:val="21"/>
                      <w:u w:val="none" w:color="auto"/>
                    </w:rPr>
                    <w:t>符合</w:t>
                  </w:r>
                </w:p>
              </w:tc>
            </w:tr>
            <w:tr w14:paraId="67D4D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761FFC05">
                  <w:pPr>
                    <w:keepNext w:val="0"/>
                    <w:keepLines w:val="0"/>
                    <w:suppressLineNumbers w:val="0"/>
                    <w:spacing w:before="0" w:beforeAutospacing="0" w:after="0" w:afterAutospacing="0"/>
                    <w:ind w:left="0" w:right="0"/>
                    <w:jc w:val="center"/>
                    <w:rPr>
                      <w:rFonts w:hint="default"/>
                      <w:bCs/>
                      <w:szCs w:val="21"/>
                      <w:u w:val="none" w:color="auto"/>
                    </w:rPr>
                  </w:pPr>
                  <w:r>
                    <w:rPr>
                      <w:rFonts w:hint="eastAsia"/>
                      <w:bCs/>
                      <w:szCs w:val="21"/>
                      <w:u w:val="none" w:color="auto"/>
                    </w:rPr>
                    <w:t>2</w:t>
                  </w:r>
                </w:p>
              </w:tc>
              <w:tc>
                <w:tcPr>
                  <w:tcW w:w="2474" w:type="pct"/>
                  <w:tcBorders>
                    <w:tl2br w:val="nil"/>
                    <w:tr2bl w:val="nil"/>
                  </w:tcBorders>
                  <w:noWrap w:val="0"/>
                  <w:vAlign w:val="center"/>
                </w:tcPr>
                <w:p w14:paraId="40381A6E">
                  <w:pPr>
                    <w:keepNext w:val="0"/>
                    <w:keepLines w:val="0"/>
                    <w:suppressLineNumbers w:val="0"/>
                    <w:spacing w:before="0" w:beforeAutospacing="0" w:after="0" w:afterAutospacing="0"/>
                    <w:ind w:left="0" w:right="0"/>
                    <w:jc w:val="center"/>
                    <w:rPr>
                      <w:rFonts w:hint="eastAsia"/>
                      <w:bCs/>
                      <w:szCs w:val="21"/>
                      <w:u w:val="none" w:color="auto"/>
                    </w:rPr>
                  </w:pPr>
                  <w:r>
                    <w:rPr>
                      <w:rFonts w:hint="eastAsia"/>
                      <w:bCs/>
                      <w:szCs w:val="21"/>
                      <w:u w:val="none" w:color="auto"/>
                      <w:lang w:val="en-US" w:eastAsia="zh-CN"/>
                    </w:rPr>
                    <w:t>进一步严格产业环境准入。岳阳临港新区后续发展与规划调整须符合岳阳临港新区“三线一单”环境准入要求、长江经济带发展负面清单指南(试行)及《报告书》提出的环境准入条件和负面清单要求。对不符合园区用地规划、产业定位的现有企业，按《报告书》建议要求企业强化污染防治措施，且不得在原址新增污染物排放量，同时，做好项目周边用地的控规工作。园区范围新建、改建和扩建“两高”项目应按照《关于加强重点行业建设项目区域削减措施监督管理的通知》要求，依据区域环境质量改善目标,制定配套区域污染物削减方案，采取有效的污染物区域削减措施，腾出足够的环境容量。入园企业应优先考虑使用清洁能源、能耗低、技术工艺先进、清洁生产和环境管理水平高、污染防治技术成熟的企业,须严格执行环境保护“三同时”制度，确保外排污染物满足排污许可证管控要求。</w:t>
                  </w:r>
                </w:p>
              </w:tc>
              <w:tc>
                <w:tcPr>
                  <w:tcW w:w="1866" w:type="pct"/>
                  <w:tcBorders>
                    <w:tl2br w:val="nil"/>
                    <w:tr2bl w:val="nil"/>
                  </w:tcBorders>
                  <w:noWrap w:val="0"/>
                  <w:vAlign w:val="center"/>
                </w:tcPr>
                <w:p w14:paraId="726BA8FF">
                  <w:pPr>
                    <w:keepNext w:val="0"/>
                    <w:keepLines w:val="0"/>
                    <w:suppressLineNumbers w:val="0"/>
                    <w:spacing w:before="0" w:beforeAutospacing="0" w:after="0" w:afterAutospacing="0"/>
                    <w:ind w:left="0" w:right="0"/>
                    <w:jc w:val="center"/>
                    <w:rPr>
                      <w:rFonts w:hint="default" w:eastAsia="宋体"/>
                      <w:bCs/>
                      <w:szCs w:val="21"/>
                      <w:highlight w:val="none"/>
                      <w:u w:val="none" w:color="auto"/>
                      <w:lang w:val="en-US" w:eastAsia="zh-CN"/>
                    </w:rPr>
                  </w:pPr>
                  <w:r>
                    <w:rPr>
                      <w:rFonts w:hint="eastAsia"/>
                      <w:bCs/>
                      <w:szCs w:val="21"/>
                      <w:highlight w:val="none"/>
                      <w:u w:val="none" w:color="auto"/>
                    </w:rPr>
                    <w:t>本项目已严格执行</w:t>
                  </w:r>
                  <w:r>
                    <w:rPr>
                      <w:rFonts w:hint="eastAsia"/>
                      <w:bCs/>
                      <w:szCs w:val="21"/>
                      <w:u w:val="none" w:color="auto"/>
                      <w:lang w:val="en-US" w:eastAsia="zh-CN"/>
                    </w:rPr>
                    <w:t>岳阳临港新区“三线一单”环境准入要求、长江经济带发展负面清单指南(试行)及《报告书》提出的环境准入条件和负面清单要求。符合园区用地规划及产业定位</w:t>
                  </w:r>
                  <w:r>
                    <w:rPr>
                      <w:rFonts w:hint="eastAsia"/>
                      <w:bCs/>
                      <w:szCs w:val="21"/>
                      <w:highlight w:val="none"/>
                      <w:u w:val="none" w:color="auto"/>
                    </w:rPr>
                    <w:t>，</w:t>
                  </w:r>
                  <w:r>
                    <w:rPr>
                      <w:rFonts w:hint="eastAsia"/>
                      <w:bCs/>
                      <w:szCs w:val="21"/>
                      <w:highlight w:val="none"/>
                      <w:u w:val="none" w:color="auto"/>
                      <w:lang w:val="en-US" w:eastAsia="zh-CN"/>
                    </w:rPr>
                    <w:t>本项目不属于两高项目，项目生产能耗低，环评完成后按要求办理排污许可证，并满足其管控要求。</w:t>
                  </w:r>
                </w:p>
              </w:tc>
              <w:tc>
                <w:tcPr>
                  <w:tcW w:w="248" w:type="pct"/>
                  <w:tcBorders>
                    <w:tl2br w:val="nil"/>
                    <w:tr2bl w:val="nil"/>
                  </w:tcBorders>
                  <w:noWrap w:val="0"/>
                  <w:vAlign w:val="center"/>
                </w:tcPr>
                <w:p w14:paraId="64FA2B20">
                  <w:pPr>
                    <w:keepNext w:val="0"/>
                    <w:keepLines w:val="0"/>
                    <w:suppressLineNumbers w:val="0"/>
                    <w:spacing w:before="0" w:beforeAutospacing="0" w:after="0" w:afterAutospacing="0"/>
                    <w:ind w:left="0" w:right="0"/>
                    <w:jc w:val="center"/>
                    <w:rPr>
                      <w:rFonts w:hint="eastAsia"/>
                      <w:bCs/>
                      <w:szCs w:val="21"/>
                      <w:highlight w:val="none"/>
                      <w:u w:val="none" w:color="auto"/>
                    </w:rPr>
                  </w:pPr>
                  <w:r>
                    <w:rPr>
                      <w:rFonts w:hint="eastAsia"/>
                      <w:bCs/>
                      <w:szCs w:val="21"/>
                      <w:highlight w:val="none"/>
                      <w:u w:val="none" w:color="auto"/>
                    </w:rPr>
                    <w:t>符合</w:t>
                  </w:r>
                </w:p>
              </w:tc>
            </w:tr>
            <w:tr w14:paraId="4061F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39BD5A02">
                  <w:pPr>
                    <w:keepNext w:val="0"/>
                    <w:keepLines w:val="0"/>
                    <w:suppressLineNumbers w:val="0"/>
                    <w:spacing w:before="0" w:beforeAutospacing="0" w:after="0" w:afterAutospacing="0"/>
                    <w:ind w:left="0" w:right="0"/>
                    <w:jc w:val="center"/>
                    <w:rPr>
                      <w:rFonts w:hint="default"/>
                      <w:bCs/>
                      <w:szCs w:val="21"/>
                      <w:u w:val="none" w:color="auto"/>
                    </w:rPr>
                  </w:pPr>
                  <w:r>
                    <w:rPr>
                      <w:rFonts w:hint="eastAsia"/>
                      <w:bCs/>
                      <w:szCs w:val="21"/>
                      <w:u w:val="none" w:color="auto"/>
                    </w:rPr>
                    <w:t>3</w:t>
                  </w:r>
                </w:p>
              </w:tc>
              <w:tc>
                <w:tcPr>
                  <w:tcW w:w="2474" w:type="pct"/>
                  <w:tcBorders>
                    <w:tl2br w:val="nil"/>
                    <w:tr2bl w:val="nil"/>
                  </w:tcBorders>
                  <w:noWrap w:val="0"/>
                  <w:vAlign w:val="center"/>
                </w:tcPr>
                <w:p w14:paraId="512643A4">
                  <w:pPr>
                    <w:keepNext w:val="0"/>
                    <w:keepLines w:val="0"/>
                    <w:suppressLineNumbers w:val="0"/>
                    <w:spacing w:before="0" w:beforeAutospacing="0" w:after="0" w:afterAutospacing="0"/>
                    <w:ind w:left="0" w:right="0"/>
                    <w:jc w:val="center"/>
                    <w:rPr>
                      <w:rFonts w:hint="eastAsia"/>
                      <w:bCs/>
                      <w:szCs w:val="21"/>
                      <w:u w:val="none" w:color="auto"/>
                    </w:rPr>
                  </w:pPr>
                  <w:r>
                    <w:rPr>
                      <w:rFonts w:hint="eastAsia"/>
                      <w:bCs/>
                      <w:szCs w:val="21"/>
                      <w:u w:val="none" w:color="auto"/>
                    </w:rPr>
                    <w:t>进一步落实园区污染管控措施。岳阳临港新区应按开发进度完善区域雨污分流和污污分流系统、污水收集管网及集中污水处理设施建设</w:t>
                  </w:r>
                  <w:r>
                    <w:rPr>
                      <w:rFonts w:hint="eastAsia"/>
                      <w:bCs/>
                      <w:szCs w:val="21"/>
                      <w:u w:val="none" w:color="auto"/>
                      <w:lang w:eastAsia="zh-CN"/>
                    </w:rPr>
                    <w:t>，</w:t>
                  </w:r>
                  <w:r>
                    <w:rPr>
                      <w:rFonts w:hint="eastAsia"/>
                      <w:bCs/>
                      <w:szCs w:val="21"/>
                      <w:u w:val="none" w:color="auto"/>
                    </w:rPr>
                    <w:t>确保园区废水应收尽收</w:t>
                  </w:r>
                  <w:r>
                    <w:rPr>
                      <w:rFonts w:hint="eastAsia"/>
                      <w:bCs/>
                      <w:szCs w:val="21"/>
                      <w:u w:val="none" w:color="auto"/>
                      <w:lang w:eastAsia="zh-CN"/>
                    </w:rPr>
                    <w:t>，</w:t>
                  </w:r>
                  <w:r>
                    <w:rPr>
                      <w:rFonts w:hint="eastAsia"/>
                      <w:bCs/>
                      <w:szCs w:val="21"/>
                      <w:u w:val="none" w:color="auto"/>
                    </w:rPr>
                    <w:t>全部送至湖南城陵矶临港产业新区污水处理厂深度处理。加强污水处理设施日常运营维护</w:t>
                  </w:r>
                  <w:r>
                    <w:rPr>
                      <w:rFonts w:hint="eastAsia"/>
                      <w:bCs/>
                      <w:szCs w:val="21"/>
                      <w:u w:val="none" w:color="auto"/>
                      <w:lang w:eastAsia="zh-CN"/>
                    </w:rPr>
                    <w:t>，</w:t>
                  </w:r>
                  <w:r>
                    <w:rPr>
                      <w:rFonts w:hint="eastAsia"/>
                      <w:bCs/>
                      <w:szCs w:val="21"/>
                      <w:u w:val="none" w:color="auto"/>
                    </w:rPr>
                    <w:t>确保可长期稳定运行。鉴于白杨湖现阶段存在总磷超标现象,地方应按要求加快开展白杨湖综合环境整治与生态修复工</w:t>
                  </w:r>
                  <w:r>
                    <w:rPr>
                      <w:rFonts w:hint="eastAsia"/>
                      <w:bCs/>
                      <w:szCs w:val="21"/>
                      <w:u w:val="none" w:color="auto"/>
                      <w:lang w:val="en-US" w:eastAsia="zh-CN"/>
                    </w:rPr>
                    <w:t>作,配套污水管网在未完成对接区域，不得新增水污染排放的建设项目。优化能源结构，推广清洁能源。加强园区大气污染防治，加大对区内重点排污企业废气治理措施运行情况及废气无组织排放的监管，确保大气污染物达标排放，对治理设施不能有效运行的企业，采取停产措施。做好工业固体废物和生活垃圾的分类收集、转运、综合利用和无害化处理，建立完善的固废管理体系。对危险废物应严格按照国家有关规定综合利用或妥善处置，对危险废物产生企业和经营单位，应强化日常环境监管。园区须严格落实排污许可制度和污染物排放总量控制，重点抓好企业环保手续的完善，全面落实高新区内现有企业污染物特别排放限值控制要求，采取有效措施减少污染物排放总量，确保实现区域环境质量改善目标，促进园区发展与生态环境保护相协调。</w:t>
                  </w:r>
                </w:p>
              </w:tc>
              <w:tc>
                <w:tcPr>
                  <w:tcW w:w="1866" w:type="pct"/>
                  <w:tcBorders>
                    <w:tl2br w:val="nil"/>
                    <w:tr2bl w:val="nil"/>
                  </w:tcBorders>
                  <w:noWrap w:val="0"/>
                  <w:vAlign w:val="center"/>
                </w:tcPr>
                <w:p w14:paraId="3AFD7028">
                  <w:pPr>
                    <w:keepNext w:val="0"/>
                    <w:keepLines w:val="0"/>
                    <w:suppressLineNumbers w:val="0"/>
                    <w:spacing w:before="0" w:beforeAutospacing="0" w:after="0" w:afterAutospacing="0"/>
                    <w:ind w:left="0" w:right="0"/>
                    <w:jc w:val="center"/>
                    <w:rPr>
                      <w:rFonts w:hint="eastAsia"/>
                      <w:bCs/>
                      <w:szCs w:val="21"/>
                      <w:u w:val="none" w:color="auto"/>
                    </w:rPr>
                  </w:pPr>
                  <w:r>
                    <w:rPr>
                      <w:rFonts w:hint="eastAsia"/>
                      <w:bCs/>
                      <w:szCs w:val="21"/>
                      <w:u w:val="none" w:color="auto"/>
                    </w:rPr>
                    <w:t>企业实施雨污分流，项目</w:t>
                  </w:r>
                  <w:r>
                    <w:rPr>
                      <w:rFonts w:hint="eastAsia"/>
                      <w:bCs/>
                      <w:szCs w:val="21"/>
                      <w:u w:val="none" w:color="auto"/>
                      <w:lang w:eastAsia="zh-CN"/>
                    </w:rPr>
                    <w:t>废水经预处理后</w:t>
                  </w:r>
                  <w:r>
                    <w:rPr>
                      <w:rFonts w:hint="eastAsia"/>
                      <w:bCs/>
                      <w:szCs w:val="21"/>
                      <w:u w:val="none" w:color="auto"/>
                    </w:rPr>
                    <w:t>，由管网排入湖南城陵矶临港产业新区污水处理厂深度处理，达到《城镇污水处理厂污染物排放标准》(GB18918-2002)一级A标准后外排外排至象骨港，最终排入长江。</w:t>
                  </w:r>
                </w:p>
                <w:p w14:paraId="6F93E4CF">
                  <w:pPr>
                    <w:keepNext w:val="0"/>
                    <w:keepLines w:val="0"/>
                    <w:suppressLineNumbers w:val="0"/>
                    <w:spacing w:before="0" w:beforeAutospacing="0" w:after="0" w:afterAutospacing="0"/>
                    <w:ind w:left="0" w:right="0"/>
                    <w:jc w:val="center"/>
                    <w:rPr>
                      <w:rFonts w:hint="default" w:eastAsia="宋体"/>
                      <w:bCs/>
                      <w:szCs w:val="21"/>
                      <w:u w:val="none" w:color="auto"/>
                      <w:lang w:val="en-US" w:eastAsia="zh-CN"/>
                    </w:rPr>
                  </w:pPr>
                  <w:r>
                    <w:rPr>
                      <w:rFonts w:hint="eastAsia"/>
                      <w:bCs/>
                      <w:szCs w:val="21"/>
                      <w:u w:val="none" w:color="auto"/>
                      <w:lang w:val="en-US" w:eastAsia="zh-CN"/>
                    </w:rPr>
                    <w:t>项目废气经采取措施后均可达标排放，项目一般固体废物及危险废物均可得到合理处理处置，对周边环境影响较小。</w:t>
                  </w:r>
                </w:p>
              </w:tc>
              <w:tc>
                <w:tcPr>
                  <w:tcW w:w="248" w:type="pct"/>
                  <w:tcBorders>
                    <w:tl2br w:val="nil"/>
                    <w:tr2bl w:val="nil"/>
                  </w:tcBorders>
                  <w:noWrap w:val="0"/>
                  <w:vAlign w:val="center"/>
                </w:tcPr>
                <w:p w14:paraId="0CD56AFE">
                  <w:pPr>
                    <w:keepNext w:val="0"/>
                    <w:keepLines w:val="0"/>
                    <w:suppressLineNumbers w:val="0"/>
                    <w:spacing w:before="0" w:beforeAutospacing="0" w:after="0" w:afterAutospacing="0"/>
                    <w:ind w:left="0" w:right="0"/>
                    <w:jc w:val="center"/>
                    <w:rPr>
                      <w:rFonts w:hint="eastAsia"/>
                      <w:bCs/>
                      <w:szCs w:val="21"/>
                      <w:u w:val="none" w:color="auto"/>
                    </w:rPr>
                  </w:pPr>
                  <w:r>
                    <w:rPr>
                      <w:rFonts w:hint="eastAsia"/>
                      <w:bCs/>
                      <w:szCs w:val="21"/>
                      <w:u w:val="none" w:color="auto"/>
                    </w:rPr>
                    <w:t>符合</w:t>
                  </w:r>
                </w:p>
              </w:tc>
            </w:tr>
            <w:tr w14:paraId="25FDE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6A1E5909">
                  <w:pPr>
                    <w:keepNext w:val="0"/>
                    <w:keepLines w:val="0"/>
                    <w:suppressLineNumbers w:val="0"/>
                    <w:spacing w:before="0" w:beforeAutospacing="0" w:after="0" w:afterAutospacing="0"/>
                    <w:ind w:left="0" w:right="0"/>
                    <w:jc w:val="center"/>
                    <w:rPr>
                      <w:rFonts w:hint="default"/>
                      <w:bCs/>
                      <w:szCs w:val="21"/>
                      <w:u w:val="none" w:color="auto"/>
                    </w:rPr>
                  </w:pPr>
                  <w:r>
                    <w:rPr>
                      <w:rFonts w:hint="eastAsia"/>
                      <w:bCs/>
                      <w:szCs w:val="21"/>
                      <w:u w:val="none" w:color="auto"/>
                    </w:rPr>
                    <w:t>4</w:t>
                  </w:r>
                </w:p>
              </w:tc>
              <w:tc>
                <w:tcPr>
                  <w:tcW w:w="2474" w:type="pct"/>
                  <w:tcBorders>
                    <w:tl2br w:val="nil"/>
                    <w:tr2bl w:val="nil"/>
                  </w:tcBorders>
                  <w:noWrap w:val="0"/>
                  <w:vAlign w:val="center"/>
                </w:tcPr>
                <w:p w14:paraId="494FEACA">
                  <w:pPr>
                    <w:keepNext w:val="0"/>
                    <w:keepLines w:val="0"/>
                    <w:suppressLineNumbers w:val="0"/>
                    <w:spacing w:before="0" w:beforeAutospacing="0" w:after="0" w:afterAutospacing="0"/>
                    <w:ind w:left="0" w:right="0"/>
                    <w:jc w:val="center"/>
                    <w:rPr>
                      <w:rFonts w:hint="eastAsia"/>
                      <w:bCs/>
                      <w:szCs w:val="21"/>
                      <w:u w:val="none" w:color="auto"/>
                    </w:rPr>
                  </w:pPr>
                  <w:r>
                    <w:rPr>
                      <w:rFonts w:hint="eastAsia"/>
                      <w:bCs/>
                      <w:szCs w:val="21"/>
                      <w:u w:val="none" w:color="auto"/>
                    </w:rPr>
                    <w:t>完善园区环境监测体系。岳阳临港新区应严格落实跟踪评价提出的监测方案</w:t>
                  </w:r>
                  <w:r>
                    <w:rPr>
                      <w:rFonts w:hint="eastAsia"/>
                      <w:bCs/>
                      <w:szCs w:val="21"/>
                      <w:u w:val="none" w:color="auto"/>
                      <w:lang w:eastAsia="zh-CN"/>
                    </w:rPr>
                    <w:t>，</w:t>
                  </w:r>
                  <w:r>
                    <w:rPr>
                      <w:rFonts w:hint="eastAsia"/>
                      <w:bCs/>
                      <w:szCs w:val="21"/>
                      <w:u w:val="none" w:color="auto"/>
                    </w:rPr>
                    <w:t>鉴于其周边分布有湖南东洞庭湖国家级自然保护区、长江监利段四大家鱼国家级水产种质资源保护区、湖北长江新螺段白饔豚国家级自然保护区、湖南云溪白泥湖国家湿地公园、东洞庭湖江豚自然保护区等生态环境敏感点</w:t>
                  </w:r>
                  <w:r>
                    <w:rPr>
                      <w:rFonts w:hint="eastAsia"/>
                      <w:bCs/>
                      <w:szCs w:val="21"/>
                      <w:u w:val="none" w:color="auto"/>
                      <w:lang w:eastAsia="zh-CN"/>
                    </w:rPr>
                    <w:t>，</w:t>
                  </w:r>
                  <w:r>
                    <w:rPr>
                      <w:rFonts w:hint="eastAsia"/>
                      <w:bCs/>
                      <w:szCs w:val="21"/>
                      <w:u w:val="none" w:color="auto"/>
                    </w:rPr>
                    <w:t>应结合临港新区规划的功能分区、产业布局、重点企业分布、特征污染物的排放种类和状况等</w:t>
                  </w:r>
                  <w:r>
                    <w:rPr>
                      <w:rFonts w:hint="eastAsia"/>
                      <w:bCs/>
                      <w:szCs w:val="21"/>
                      <w:u w:val="none" w:color="auto"/>
                      <w:lang w:eastAsia="zh-CN"/>
                    </w:rPr>
                    <w:t>，</w:t>
                  </w:r>
                  <w:r>
                    <w:rPr>
                      <w:rFonts w:hint="eastAsia"/>
                      <w:bCs/>
                      <w:szCs w:val="21"/>
                      <w:u w:val="none" w:color="auto"/>
                    </w:rPr>
                    <w:t>建立健全区域环境空气、地表水、地下水、土壤等环境要素的监控体系</w:t>
                  </w:r>
                  <w:r>
                    <w:rPr>
                      <w:rFonts w:hint="eastAsia"/>
                      <w:bCs/>
                      <w:szCs w:val="21"/>
                      <w:u w:val="none" w:color="auto"/>
                      <w:lang w:eastAsia="zh-CN"/>
                    </w:rPr>
                    <w:t>，</w:t>
                  </w:r>
                  <w:r>
                    <w:rPr>
                      <w:rFonts w:hint="eastAsia"/>
                      <w:bCs/>
                      <w:szCs w:val="21"/>
                      <w:u w:val="none" w:color="auto"/>
                    </w:rPr>
                    <w:t>并按《报告书》提出的要求</w:t>
                  </w:r>
                  <w:r>
                    <w:rPr>
                      <w:rFonts w:hint="eastAsia"/>
                      <w:bCs/>
                      <w:szCs w:val="21"/>
                      <w:u w:val="none" w:color="auto"/>
                      <w:lang w:eastAsia="zh-CN"/>
                    </w:rPr>
                    <w:t>，</w:t>
                  </w:r>
                  <w:r>
                    <w:rPr>
                      <w:rFonts w:hint="eastAsia"/>
                      <w:bCs/>
                      <w:szCs w:val="21"/>
                      <w:u w:val="none" w:color="auto"/>
                    </w:rPr>
                    <w:t>对相应点位</w:t>
                  </w:r>
                  <w:r>
                    <w:rPr>
                      <w:rFonts w:hint="eastAsia"/>
                      <w:bCs/>
                      <w:szCs w:val="21"/>
                      <w:u w:val="none" w:color="auto"/>
                      <w:lang w:eastAsia="zh-CN"/>
                    </w:rPr>
                    <w:t>（</w:t>
                  </w:r>
                  <w:r>
                    <w:rPr>
                      <w:rFonts w:hint="eastAsia"/>
                      <w:bCs/>
                      <w:szCs w:val="21"/>
                      <w:u w:val="none" w:color="auto"/>
                    </w:rPr>
                    <w:t>断面</w:t>
                  </w:r>
                  <w:r>
                    <w:rPr>
                      <w:rFonts w:hint="eastAsia"/>
                      <w:bCs/>
                      <w:szCs w:val="21"/>
                      <w:u w:val="none" w:color="auto"/>
                      <w:lang w:eastAsia="zh-CN"/>
                    </w:rPr>
                    <w:t>）</w:t>
                  </w:r>
                  <w:r>
                    <w:rPr>
                      <w:rFonts w:hint="eastAsia"/>
                      <w:bCs/>
                      <w:szCs w:val="21"/>
                      <w:u w:val="none" w:color="auto"/>
                    </w:rPr>
                    <w:t>开展主要污染物及重金属跟踪监测。加强对临港新区重点排放单位、环保投诉较多企业的监督性监测。</w:t>
                  </w:r>
                </w:p>
              </w:tc>
              <w:tc>
                <w:tcPr>
                  <w:tcW w:w="1866" w:type="pct"/>
                  <w:tcBorders>
                    <w:tl2br w:val="nil"/>
                    <w:tr2bl w:val="nil"/>
                  </w:tcBorders>
                  <w:noWrap w:val="0"/>
                  <w:vAlign w:val="center"/>
                </w:tcPr>
                <w:p w14:paraId="6E6EBE36">
                  <w:pPr>
                    <w:keepNext w:val="0"/>
                    <w:keepLines w:val="0"/>
                    <w:suppressLineNumbers w:val="0"/>
                    <w:spacing w:before="0" w:beforeAutospacing="0" w:after="0" w:afterAutospacing="0"/>
                    <w:ind w:left="0" w:right="0"/>
                    <w:jc w:val="center"/>
                    <w:rPr>
                      <w:rFonts w:hint="default" w:eastAsia="宋体"/>
                      <w:bCs/>
                      <w:szCs w:val="21"/>
                      <w:u w:val="none" w:color="auto"/>
                      <w:lang w:val="en-US" w:eastAsia="zh-CN"/>
                    </w:rPr>
                  </w:pPr>
                  <w:r>
                    <w:rPr>
                      <w:rFonts w:hint="eastAsia"/>
                      <w:bCs/>
                      <w:color w:val="auto"/>
                      <w:szCs w:val="21"/>
                      <w:u w:val="none" w:color="auto"/>
                    </w:rPr>
                    <w:t>本项目</w:t>
                  </w:r>
                  <w:r>
                    <w:rPr>
                      <w:rFonts w:hint="eastAsia"/>
                      <w:bCs/>
                      <w:color w:val="auto"/>
                      <w:szCs w:val="21"/>
                      <w:u w:val="none" w:color="auto"/>
                      <w:lang w:eastAsia="zh-CN"/>
                    </w:rPr>
                    <w:t>运营后，将按相关要求制订</w:t>
                  </w:r>
                  <w:r>
                    <w:rPr>
                      <w:rFonts w:hint="eastAsia"/>
                      <w:bCs/>
                      <w:color w:val="auto"/>
                      <w:szCs w:val="21"/>
                      <w:u w:val="none" w:color="auto"/>
                      <w:lang w:val="en-US" w:eastAsia="zh-CN"/>
                    </w:rPr>
                    <w:t>监测计划，并按计划落实日常监测。</w:t>
                  </w:r>
                </w:p>
              </w:tc>
              <w:tc>
                <w:tcPr>
                  <w:tcW w:w="248" w:type="pct"/>
                  <w:tcBorders>
                    <w:tl2br w:val="nil"/>
                    <w:tr2bl w:val="nil"/>
                  </w:tcBorders>
                  <w:noWrap w:val="0"/>
                  <w:vAlign w:val="center"/>
                </w:tcPr>
                <w:p w14:paraId="2623C6C5">
                  <w:pPr>
                    <w:keepNext w:val="0"/>
                    <w:keepLines w:val="0"/>
                    <w:suppressLineNumbers w:val="0"/>
                    <w:spacing w:before="0" w:beforeAutospacing="0" w:after="0" w:afterAutospacing="0"/>
                    <w:ind w:left="0" w:right="0"/>
                    <w:jc w:val="center"/>
                    <w:rPr>
                      <w:rFonts w:hint="eastAsia"/>
                      <w:u w:val="none" w:color="auto"/>
                    </w:rPr>
                  </w:pPr>
                  <w:r>
                    <w:rPr>
                      <w:rFonts w:hint="eastAsia"/>
                      <w:bCs/>
                      <w:szCs w:val="21"/>
                      <w:u w:val="none" w:color="auto"/>
                    </w:rPr>
                    <w:t>符合</w:t>
                  </w:r>
                </w:p>
              </w:tc>
            </w:tr>
            <w:tr w14:paraId="25B06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5311C0F2">
                  <w:pPr>
                    <w:keepNext w:val="0"/>
                    <w:keepLines w:val="0"/>
                    <w:suppressLineNumbers w:val="0"/>
                    <w:spacing w:before="0" w:beforeAutospacing="0" w:after="0" w:afterAutospacing="0"/>
                    <w:ind w:left="0" w:right="0"/>
                    <w:jc w:val="center"/>
                    <w:rPr>
                      <w:rFonts w:hint="default"/>
                      <w:bCs/>
                      <w:szCs w:val="21"/>
                      <w:u w:val="none" w:color="auto"/>
                    </w:rPr>
                  </w:pPr>
                  <w:r>
                    <w:rPr>
                      <w:rFonts w:hint="eastAsia"/>
                      <w:bCs/>
                      <w:szCs w:val="21"/>
                      <w:u w:val="none" w:color="auto"/>
                    </w:rPr>
                    <w:t>5</w:t>
                  </w:r>
                </w:p>
              </w:tc>
              <w:tc>
                <w:tcPr>
                  <w:tcW w:w="2474" w:type="pct"/>
                  <w:tcBorders>
                    <w:tl2br w:val="nil"/>
                    <w:tr2bl w:val="nil"/>
                  </w:tcBorders>
                  <w:noWrap w:val="0"/>
                  <w:vAlign w:val="center"/>
                </w:tcPr>
                <w:p w14:paraId="1BAA6D23">
                  <w:pPr>
                    <w:keepNext w:val="0"/>
                    <w:keepLines w:val="0"/>
                    <w:suppressLineNumbers w:val="0"/>
                    <w:spacing w:before="0" w:beforeAutospacing="0" w:after="0" w:afterAutospacing="0"/>
                    <w:ind w:left="0" w:right="0"/>
                    <w:jc w:val="center"/>
                    <w:rPr>
                      <w:rFonts w:hint="eastAsia"/>
                      <w:bCs/>
                      <w:szCs w:val="21"/>
                      <w:u w:val="none" w:color="auto"/>
                    </w:rPr>
                  </w:pPr>
                  <w:r>
                    <w:rPr>
                      <w:rFonts w:hint="eastAsia"/>
                      <w:bCs/>
                      <w:szCs w:val="21"/>
                      <w:u w:val="none" w:color="auto"/>
                      <w:lang w:val="en-US" w:eastAsia="zh-CN"/>
                    </w:rPr>
                    <w:t>健全园区环境风险防控体系。加强岳阳临港新区重要环境风险源管控，加强园区危险化学品储运的环境风险管理，严格落实应急响应联动机制，确保区域环境安全。</w:t>
                  </w:r>
                </w:p>
              </w:tc>
              <w:tc>
                <w:tcPr>
                  <w:tcW w:w="1866" w:type="pct"/>
                  <w:tcBorders>
                    <w:tl2br w:val="nil"/>
                    <w:tr2bl w:val="nil"/>
                  </w:tcBorders>
                  <w:noWrap w:val="0"/>
                  <w:vAlign w:val="center"/>
                </w:tcPr>
                <w:p w14:paraId="355B2697">
                  <w:pPr>
                    <w:keepNext w:val="0"/>
                    <w:keepLines w:val="0"/>
                    <w:suppressLineNumbers w:val="0"/>
                    <w:spacing w:before="0" w:beforeAutospacing="0" w:after="0" w:afterAutospacing="0"/>
                    <w:ind w:left="0" w:right="0"/>
                    <w:jc w:val="center"/>
                    <w:rPr>
                      <w:rFonts w:hint="default" w:eastAsia="宋体"/>
                      <w:bCs/>
                      <w:szCs w:val="21"/>
                      <w:u w:val="none" w:color="auto"/>
                      <w:lang w:val="en-US" w:eastAsia="zh-CN"/>
                    </w:rPr>
                  </w:pPr>
                  <w:r>
                    <w:rPr>
                      <w:rFonts w:hint="eastAsia"/>
                      <w:bCs/>
                      <w:color w:val="auto"/>
                      <w:szCs w:val="21"/>
                      <w:u w:val="none" w:color="auto"/>
                    </w:rPr>
                    <w:t>本项目</w:t>
                  </w:r>
                  <w:r>
                    <w:rPr>
                      <w:rFonts w:hint="eastAsia"/>
                      <w:bCs/>
                      <w:color w:val="auto"/>
                      <w:szCs w:val="21"/>
                      <w:u w:val="none" w:color="auto"/>
                      <w:lang w:val="en-US" w:eastAsia="zh-CN"/>
                    </w:rPr>
                    <w:t>投入运营后，将按要求编制突发环境事件应急预案，并与园区应急预案联动。</w:t>
                  </w:r>
                </w:p>
              </w:tc>
              <w:tc>
                <w:tcPr>
                  <w:tcW w:w="248" w:type="pct"/>
                  <w:tcBorders>
                    <w:tl2br w:val="nil"/>
                    <w:tr2bl w:val="nil"/>
                  </w:tcBorders>
                  <w:noWrap w:val="0"/>
                  <w:vAlign w:val="center"/>
                </w:tcPr>
                <w:p w14:paraId="1276535B">
                  <w:pPr>
                    <w:keepNext w:val="0"/>
                    <w:keepLines w:val="0"/>
                    <w:suppressLineNumbers w:val="0"/>
                    <w:spacing w:before="0" w:beforeAutospacing="0" w:after="0" w:afterAutospacing="0"/>
                    <w:ind w:left="0" w:right="0"/>
                    <w:jc w:val="center"/>
                    <w:rPr>
                      <w:rFonts w:hint="eastAsia"/>
                      <w:bCs/>
                      <w:szCs w:val="21"/>
                      <w:u w:val="none" w:color="auto"/>
                    </w:rPr>
                  </w:pPr>
                  <w:r>
                    <w:rPr>
                      <w:rFonts w:hint="eastAsia"/>
                      <w:bCs/>
                      <w:szCs w:val="21"/>
                      <w:u w:val="none" w:color="auto"/>
                    </w:rPr>
                    <w:t>符合</w:t>
                  </w:r>
                </w:p>
              </w:tc>
            </w:tr>
            <w:tr w14:paraId="2B129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00670339">
                  <w:pPr>
                    <w:keepNext w:val="0"/>
                    <w:keepLines w:val="0"/>
                    <w:suppressLineNumbers w:val="0"/>
                    <w:spacing w:before="0" w:beforeAutospacing="0" w:after="0" w:afterAutospacing="0"/>
                    <w:ind w:left="0" w:right="0"/>
                    <w:jc w:val="center"/>
                    <w:rPr>
                      <w:rFonts w:hint="default" w:eastAsia="宋体"/>
                      <w:bCs/>
                      <w:szCs w:val="21"/>
                      <w:u w:val="none" w:color="auto"/>
                      <w:lang w:val="en-US" w:eastAsia="zh-CN"/>
                    </w:rPr>
                  </w:pPr>
                  <w:r>
                    <w:rPr>
                      <w:rFonts w:hint="eastAsia"/>
                      <w:bCs/>
                      <w:szCs w:val="21"/>
                      <w:u w:val="none" w:color="auto"/>
                      <w:lang w:val="en-US" w:eastAsia="zh-CN"/>
                    </w:rPr>
                    <w:t>6</w:t>
                  </w:r>
                </w:p>
              </w:tc>
              <w:tc>
                <w:tcPr>
                  <w:tcW w:w="2474" w:type="pct"/>
                  <w:tcBorders>
                    <w:tl2br w:val="nil"/>
                    <w:tr2bl w:val="nil"/>
                  </w:tcBorders>
                  <w:noWrap w:val="0"/>
                  <w:vAlign w:val="center"/>
                </w:tcPr>
                <w:p w14:paraId="0C4FCA9D">
                  <w:pPr>
                    <w:keepNext w:val="0"/>
                    <w:keepLines w:val="0"/>
                    <w:suppressLineNumbers w:val="0"/>
                    <w:spacing w:before="0" w:beforeAutospacing="0" w:after="0" w:afterAutospacing="0"/>
                    <w:ind w:left="0" w:right="0"/>
                    <w:jc w:val="center"/>
                    <w:rPr>
                      <w:rFonts w:hint="eastAsia"/>
                      <w:bCs/>
                      <w:szCs w:val="21"/>
                      <w:u w:val="none" w:color="auto"/>
                    </w:rPr>
                  </w:pPr>
                  <w:r>
                    <w:rPr>
                      <w:rFonts w:hint="eastAsia"/>
                      <w:bCs/>
                      <w:szCs w:val="21"/>
                      <w:u w:val="none" w:color="auto"/>
                      <w:lang w:val="en-US" w:eastAsia="zh-CN"/>
                    </w:rPr>
                    <w:t>加强对环境敏感点的保护。严格做好控规，杜绝在规划的工业用地上新增环境敏感目标、建设居民区。做好商业用地、居住用地周边的规划控制，在下一轮规划调整中应从提升指导性、可操作性的角度出发推动产业集中布局、降低环境影响，严格控制气型污染企业入驻，加强对现有企业的污染防治措施。按要求做好功能区及具体项目用地周边规划控制，岳阳临港新区应根据开发规划统筹制定拆迁安置方案，落实移民生产生活安置措施，防止移民再次安置和次生环境问题。</w:t>
                  </w:r>
                </w:p>
              </w:tc>
              <w:tc>
                <w:tcPr>
                  <w:tcW w:w="1866" w:type="pct"/>
                  <w:tcBorders>
                    <w:tl2br w:val="nil"/>
                    <w:tr2bl w:val="nil"/>
                  </w:tcBorders>
                  <w:noWrap w:val="0"/>
                  <w:vAlign w:val="center"/>
                </w:tcPr>
                <w:p w14:paraId="33638C0A">
                  <w:pPr>
                    <w:keepNext w:val="0"/>
                    <w:keepLines w:val="0"/>
                    <w:suppressLineNumbers w:val="0"/>
                    <w:spacing w:before="0" w:beforeAutospacing="0" w:after="0" w:afterAutospacing="0"/>
                    <w:ind w:left="0" w:right="0"/>
                    <w:jc w:val="center"/>
                    <w:rPr>
                      <w:rFonts w:hint="default" w:eastAsia="宋体"/>
                      <w:bCs/>
                      <w:color w:val="auto"/>
                      <w:szCs w:val="21"/>
                      <w:u w:val="none" w:color="auto"/>
                      <w:lang w:val="en-US" w:eastAsia="zh-CN"/>
                    </w:rPr>
                  </w:pPr>
                  <w:r>
                    <w:rPr>
                      <w:rFonts w:hint="eastAsia"/>
                      <w:bCs/>
                      <w:color w:val="auto"/>
                      <w:szCs w:val="21"/>
                      <w:u w:val="none" w:color="auto"/>
                      <w:lang w:val="en-US" w:eastAsia="zh-CN"/>
                    </w:rPr>
                    <w:t>项目周边100m范围内无居民点。项目用地为二类工业用地，已与园区签订入园协议，园区管委会同意项目入园。同时项目运营期将按要求落实各项污染防治措施，各类污染物经合理处理处置，废水、废气、噪声做到达标排放。</w:t>
                  </w:r>
                </w:p>
              </w:tc>
              <w:tc>
                <w:tcPr>
                  <w:tcW w:w="248" w:type="pct"/>
                  <w:tcBorders>
                    <w:tl2br w:val="nil"/>
                    <w:tr2bl w:val="nil"/>
                  </w:tcBorders>
                  <w:noWrap w:val="0"/>
                  <w:vAlign w:val="center"/>
                </w:tcPr>
                <w:p w14:paraId="79168299">
                  <w:pPr>
                    <w:keepNext w:val="0"/>
                    <w:keepLines w:val="0"/>
                    <w:suppressLineNumbers w:val="0"/>
                    <w:spacing w:before="0" w:beforeAutospacing="0" w:after="0" w:afterAutospacing="0"/>
                    <w:ind w:left="0" w:right="0"/>
                    <w:jc w:val="center"/>
                    <w:rPr>
                      <w:rFonts w:hint="eastAsia" w:eastAsia="宋体"/>
                      <w:bCs/>
                      <w:szCs w:val="21"/>
                      <w:u w:val="none" w:color="auto"/>
                      <w:lang w:val="en-US" w:eastAsia="zh-CN"/>
                    </w:rPr>
                  </w:pPr>
                  <w:r>
                    <w:rPr>
                      <w:rFonts w:hint="eastAsia"/>
                      <w:bCs/>
                      <w:szCs w:val="21"/>
                      <w:u w:val="none" w:color="auto"/>
                      <w:lang w:val="en-US" w:eastAsia="zh-CN"/>
                    </w:rPr>
                    <w:t>符合</w:t>
                  </w:r>
                </w:p>
              </w:tc>
            </w:tr>
            <w:tr w14:paraId="7F203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noWrap w:val="0"/>
                  <w:vAlign w:val="center"/>
                </w:tcPr>
                <w:p w14:paraId="6901A0BD">
                  <w:pPr>
                    <w:keepNext w:val="0"/>
                    <w:keepLines w:val="0"/>
                    <w:suppressLineNumbers w:val="0"/>
                    <w:spacing w:before="0" w:beforeAutospacing="0" w:after="0" w:afterAutospacing="0"/>
                    <w:ind w:left="0" w:right="0"/>
                    <w:jc w:val="center"/>
                    <w:rPr>
                      <w:rFonts w:hint="eastAsia" w:eastAsia="宋体"/>
                      <w:bCs/>
                      <w:szCs w:val="21"/>
                      <w:u w:val="none" w:color="auto"/>
                      <w:lang w:val="en-US" w:eastAsia="zh-CN"/>
                    </w:rPr>
                  </w:pPr>
                  <w:r>
                    <w:rPr>
                      <w:rFonts w:hint="eastAsia"/>
                      <w:bCs/>
                      <w:szCs w:val="21"/>
                      <w:u w:val="none" w:color="auto"/>
                      <w:lang w:val="en-US" w:eastAsia="zh-CN"/>
                    </w:rPr>
                    <w:t>7</w:t>
                  </w:r>
                </w:p>
              </w:tc>
              <w:tc>
                <w:tcPr>
                  <w:tcW w:w="2474" w:type="pct"/>
                  <w:tcBorders>
                    <w:tl2br w:val="nil"/>
                    <w:tr2bl w:val="nil"/>
                  </w:tcBorders>
                  <w:noWrap w:val="0"/>
                  <w:vAlign w:val="center"/>
                </w:tcPr>
                <w:p w14:paraId="1152009F">
                  <w:pPr>
                    <w:keepNext w:val="0"/>
                    <w:keepLines w:val="0"/>
                    <w:suppressLineNumbers w:val="0"/>
                    <w:spacing w:before="0" w:beforeAutospacing="0" w:after="0" w:afterAutospacing="0"/>
                    <w:ind w:left="0" w:right="0"/>
                    <w:jc w:val="center"/>
                    <w:rPr>
                      <w:rFonts w:hint="eastAsia"/>
                      <w:bCs/>
                      <w:szCs w:val="21"/>
                      <w:u w:val="none" w:color="auto"/>
                      <w:lang w:val="en-US" w:eastAsia="zh-CN"/>
                    </w:rPr>
                  </w:pPr>
                  <w:r>
                    <w:rPr>
                      <w:rFonts w:hint="eastAsia"/>
                      <w:bCs/>
                      <w:szCs w:val="21"/>
                      <w:u w:val="none" w:color="auto"/>
                      <w:lang w:val="en-US" w:eastAsia="zh-CN"/>
                    </w:rPr>
                    <w:t>做好园区后续开发过程中生态环境保护和水土保持。尽可能保留自然水体,施工期对土石方开挖、堆存及回填要实施围挡、护坡等措施，裸露地及时恢复植被，防止后续开发建设中的扬尘污染和水土流失。</w:t>
                  </w:r>
                </w:p>
              </w:tc>
              <w:tc>
                <w:tcPr>
                  <w:tcW w:w="1866" w:type="pct"/>
                  <w:tcBorders>
                    <w:tl2br w:val="nil"/>
                    <w:tr2bl w:val="nil"/>
                  </w:tcBorders>
                  <w:noWrap w:val="0"/>
                  <w:vAlign w:val="center"/>
                </w:tcPr>
                <w:p w14:paraId="5ADF0528">
                  <w:pPr>
                    <w:keepNext w:val="0"/>
                    <w:keepLines w:val="0"/>
                    <w:suppressLineNumbers w:val="0"/>
                    <w:spacing w:before="0" w:beforeAutospacing="0" w:after="0" w:afterAutospacing="0"/>
                    <w:ind w:left="0" w:right="0"/>
                    <w:jc w:val="center"/>
                    <w:rPr>
                      <w:rFonts w:hint="default" w:eastAsia="宋体"/>
                      <w:bCs/>
                      <w:color w:val="auto"/>
                      <w:szCs w:val="21"/>
                      <w:u w:val="none" w:color="auto"/>
                      <w:lang w:val="en-US" w:eastAsia="zh-CN"/>
                    </w:rPr>
                  </w:pPr>
                  <w:r>
                    <w:rPr>
                      <w:rFonts w:hint="eastAsia"/>
                      <w:bCs/>
                      <w:color w:val="auto"/>
                      <w:szCs w:val="21"/>
                      <w:u w:val="none" w:color="auto"/>
                      <w:lang w:val="en-US" w:eastAsia="zh-CN"/>
                    </w:rPr>
                    <w:t>本项目在现有厂房内进行扩建，对生态环境影响不大</w:t>
                  </w:r>
                  <w:r>
                    <w:rPr>
                      <w:rFonts w:hint="eastAsia"/>
                      <w:bCs/>
                      <w:szCs w:val="21"/>
                      <w:u w:val="none" w:color="auto"/>
                      <w:lang w:val="en-US" w:eastAsia="zh-CN"/>
                    </w:rPr>
                    <w:t>，不会新增水土流失。</w:t>
                  </w:r>
                </w:p>
              </w:tc>
              <w:tc>
                <w:tcPr>
                  <w:tcW w:w="248" w:type="pct"/>
                  <w:tcBorders>
                    <w:tl2br w:val="nil"/>
                    <w:tr2bl w:val="nil"/>
                  </w:tcBorders>
                  <w:noWrap w:val="0"/>
                  <w:vAlign w:val="center"/>
                </w:tcPr>
                <w:p w14:paraId="174D5774">
                  <w:pPr>
                    <w:keepNext w:val="0"/>
                    <w:keepLines w:val="0"/>
                    <w:suppressLineNumbers w:val="0"/>
                    <w:spacing w:before="0" w:beforeAutospacing="0" w:after="0" w:afterAutospacing="0"/>
                    <w:ind w:left="0" w:right="0"/>
                    <w:jc w:val="center"/>
                    <w:rPr>
                      <w:rFonts w:hint="eastAsia" w:eastAsia="宋体"/>
                      <w:bCs/>
                      <w:szCs w:val="21"/>
                      <w:u w:val="none" w:color="auto"/>
                      <w:lang w:val="en-US" w:eastAsia="zh-CN"/>
                    </w:rPr>
                  </w:pPr>
                  <w:r>
                    <w:rPr>
                      <w:rFonts w:hint="eastAsia"/>
                      <w:bCs/>
                      <w:szCs w:val="21"/>
                      <w:u w:val="none" w:color="auto"/>
                      <w:lang w:val="en-US" w:eastAsia="zh-CN"/>
                    </w:rPr>
                    <w:t>符合</w:t>
                  </w:r>
                </w:p>
              </w:tc>
            </w:tr>
          </w:tbl>
          <w:p w14:paraId="6EE9506E">
            <w:pPr>
              <w:pStyle w:val="89"/>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000000" w:themeColor="text1"/>
                <w:spacing w:val="0"/>
                <w:position w:val="0"/>
                <w:sz w:val="24"/>
                <w:u w:val="none" w:color="auto"/>
                <w:lang w:val="en-US" w:eastAsia="zh-CN"/>
                <w14:textFill>
                  <w14:solidFill>
                    <w14:schemeClr w14:val="tx1"/>
                  </w14:solidFill>
                </w14:textFill>
              </w:rPr>
            </w:pPr>
            <w:r>
              <w:rPr>
                <w:rFonts w:hint="eastAsia" w:ascii="Times New Roman" w:hAnsi="Times New Roman" w:eastAsia="宋体" w:cs="Times New Roman"/>
                <w:color w:val="auto"/>
                <w:spacing w:val="0"/>
                <w:w w:val="100"/>
                <w:sz w:val="24"/>
                <w:szCs w:val="24"/>
                <w:highlight w:val="none"/>
                <w:u w:val="none" w:color="auto"/>
                <w:lang w:val="en-US" w:eastAsia="zh-CN"/>
              </w:rPr>
              <w:t>综上，本项目与《</w:t>
            </w:r>
            <w:r>
              <w:rPr>
                <w:rFonts w:hint="eastAsia" w:ascii="Times New Roman" w:hAnsi="Times New Roman" w:eastAsia="宋体" w:cs="Times New Roman"/>
                <w:color w:val="auto"/>
                <w:spacing w:val="0"/>
                <w:w w:val="100"/>
                <w:sz w:val="24"/>
                <w:szCs w:val="24"/>
                <w:highlight w:val="none"/>
                <w:u w:val="none" w:color="auto"/>
                <w:lang w:val="zh-CN" w:eastAsia="zh-CN"/>
              </w:rPr>
              <w:t>岳阳临港高新技术产业开发区环境影响跟踪评价报告书》</w:t>
            </w:r>
            <w:r>
              <w:rPr>
                <w:rFonts w:hint="eastAsia" w:ascii="Times New Roman" w:hAnsi="Times New Roman" w:eastAsia="宋体" w:cs="Times New Roman"/>
                <w:color w:val="auto"/>
                <w:spacing w:val="0"/>
                <w:w w:val="100"/>
                <w:sz w:val="24"/>
                <w:szCs w:val="24"/>
                <w:highlight w:val="none"/>
                <w:u w:val="none" w:color="auto"/>
                <w:lang w:val="en-US" w:eastAsia="zh-CN"/>
              </w:rPr>
              <w:t>及其批复</w:t>
            </w:r>
            <w:r>
              <w:rPr>
                <w:rFonts w:hint="eastAsia" w:ascii="Times New Roman" w:hAnsi="Times New Roman" w:eastAsia="宋体" w:cs="Times New Roman"/>
                <w:color w:val="auto"/>
                <w:spacing w:val="0"/>
                <w:w w:val="100"/>
                <w:sz w:val="24"/>
                <w:szCs w:val="24"/>
                <w:highlight w:val="none"/>
                <w:u w:val="none" w:color="auto"/>
                <w:lang w:val="zh-CN" w:eastAsia="zh-CN"/>
              </w:rPr>
              <w:t>（湘环评函</w:t>
            </w:r>
            <w:r>
              <w:rPr>
                <w:rFonts w:hint="eastAsia" w:ascii="Times New Roman" w:hAnsi="Times New Roman" w:eastAsia="宋体" w:cs="Times New Roman"/>
                <w:color w:val="auto"/>
                <w:spacing w:val="0"/>
                <w:w w:val="100"/>
                <w:sz w:val="24"/>
                <w:szCs w:val="24"/>
                <w:highlight w:val="none"/>
                <w:u w:val="none" w:color="auto"/>
                <w:lang w:val="en-US" w:eastAsia="zh-CN"/>
              </w:rPr>
              <w:t>【</w:t>
            </w:r>
            <w:r>
              <w:rPr>
                <w:rFonts w:hint="default" w:ascii="Times New Roman" w:hAnsi="Times New Roman" w:eastAsia="宋体" w:cs="Times New Roman"/>
                <w:color w:val="auto"/>
                <w:spacing w:val="0"/>
                <w:w w:val="100"/>
                <w:sz w:val="24"/>
                <w:szCs w:val="24"/>
                <w:highlight w:val="none"/>
                <w:u w:val="none" w:color="auto"/>
                <w:lang w:val="zh-CN" w:eastAsia="zh-CN"/>
              </w:rPr>
              <w:t>2021</w:t>
            </w:r>
            <w:r>
              <w:rPr>
                <w:rFonts w:hint="eastAsia" w:ascii="Times New Roman" w:hAnsi="Times New Roman" w:eastAsia="宋体" w:cs="Times New Roman"/>
                <w:color w:val="auto"/>
                <w:spacing w:val="0"/>
                <w:w w:val="100"/>
                <w:sz w:val="24"/>
                <w:szCs w:val="24"/>
                <w:highlight w:val="none"/>
                <w:u w:val="none" w:color="auto"/>
                <w:lang w:val="en-US" w:eastAsia="zh-CN"/>
              </w:rPr>
              <w:t>】</w:t>
            </w:r>
            <w:r>
              <w:rPr>
                <w:rFonts w:hint="default" w:ascii="Times New Roman" w:hAnsi="Times New Roman" w:eastAsia="宋体" w:cs="Times New Roman"/>
                <w:color w:val="auto"/>
                <w:spacing w:val="0"/>
                <w:w w:val="100"/>
                <w:sz w:val="24"/>
                <w:szCs w:val="24"/>
                <w:highlight w:val="none"/>
                <w:u w:val="none" w:color="auto"/>
                <w:lang w:val="zh-CN" w:eastAsia="zh-CN"/>
              </w:rPr>
              <w:t>3</w:t>
            </w:r>
            <w:r>
              <w:rPr>
                <w:rFonts w:hint="eastAsia" w:ascii="Times New Roman" w:hAnsi="Times New Roman" w:eastAsia="宋体" w:cs="Times New Roman"/>
                <w:color w:val="auto"/>
                <w:spacing w:val="0"/>
                <w:w w:val="100"/>
                <w:sz w:val="24"/>
                <w:szCs w:val="24"/>
                <w:highlight w:val="none"/>
                <w:u w:val="none" w:color="auto"/>
                <w:lang w:val="en-US" w:eastAsia="zh-CN"/>
              </w:rPr>
              <w:t>3</w:t>
            </w:r>
            <w:r>
              <w:rPr>
                <w:rFonts w:hint="eastAsia" w:ascii="Times New Roman" w:hAnsi="Times New Roman" w:eastAsia="宋体" w:cs="Times New Roman"/>
                <w:color w:val="auto"/>
                <w:spacing w:val="0"/>
                <w:w w:val="100"/>
                <w:sz w:val="24"/>
                <w:szCs w:val="24"/>
                <w:highlight w:val="none"/>
                <w:u w:val="none" w:color="auto"/>
                <w:lang w:val="zh-CN" w:eastAsia="zh-CN"/>
              </w:rPr>
              <w:t>号）</w:t>
            </w:r>
            <w:r>
              <w:rPr>
                <w:rFonts w:hint="eastAsia" w:ascii="Times New Roman" w:hAnsi="Times New Roman" w:eastAsia="宋体" w:cs="Times New Roman"/>
                <w:color w:val="auto"/>
                <w:spacing w:val="0"/>
                <w:w w:val="100"/>
                <w:sz w:val="24"/>
                <w:szCs w:val="24"/>
                <w:highlight w:val="none"/>
                <w:u w:val="none" w:color="auto"/>
                <w:lang w:val="en-US" w:eastAsia="zh-CN"/>
              </w:rPr>
              <w:t>相符。</w:t>
            </w:r>
            <w:r>
              <w:rPr>
                <w:rFonts w:hint="default" w:ascii="Times New Roman" w:hAnsi="Times New Roman" w:cs="Times New Roman"/>
                <w:color w:val="000000"/>
                <w:sz w:val="24"/>
                <w:szCs w:val="24"/>
                <w:u w:val="none"/>
                <w:lang w:val="en-US" w:eastAsia="zh-CN"/>
              </w:rPr>
              <w:t xml:space="preserve"> </w:t>
            </w:r>
          </w:p>
        </w:tc>
      </w:tr>
      <w:tr w14:paraId="71219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48" w:hRule="atLeast"/>
          <w:jc w:val="center"/>
        </w:trPr>
        <w:tc>
          <w:tcPr>
            <w:tcW w:w="650" w:type="pct"/>
            <w:noWrap w:val="0"/>
            <w:vAlign w:val="center"/>
          </w:tcPr>
          <w:p w14:paraId="789EF33D">
            <w:pPr>
              <w:pStyle w:val="7"/>
              <w:suppressLineNumbers w:val="0"/>
              <w:bidi w:val="0"/>
              <w:spacing w:before="0" w:after="0"/>
              <w:ind w:left="0" w:right="0" w:firstLine="0" w:firstLineChars="0"/>
              <w:jc w:val="cente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4"/>
                <w:szCs w:val="24"/>
                <w:u w:val="none" w:color="auto"/>
                <w:vertAlign w:val="baseline"/>
                <w14:textFill>
                  <w14:solidFill>
                    <w14:schemeClr w14:val="tx1"/>
                  </w14:solidFill>
                </w14:textFill>
              </w:rPr>
              <w:t>其他符合性分析</w:t>
            </w:r>
          </w:p>
        </w:tc>
        <w:tc>
          <w:tcPr>
            <w:tcW w:w="4349" w:type="pct"/>
            <w:gridSpan w:val="3"/>
            <w:noWrap w:val="0"/>
            <w:vAlign w:val="top"/>
          </w:tcPr>
          <w:p w14:paraId="714C7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1、与</w:t>
            </w: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三线一单</w:t>
            </w: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的相符性分析</w:t>
            </w:r>
          </w:p>
          <w:p w14:paraId="5FB185E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t>（1）本项目与</w:t>
            </w:r>
            <w:r>
              <w:rPr>
                <w:rFonts w:hint="default" w:ascii="Times New Roman" w:hAnsi="Times New Roman" w:cs="Times New Roman"/>
                <w:b w:val="0"/>
                <w:bCs w:val="0"/>
                <w:color w:val="000000" w:themeColor="text1"/>
                <w:spacing w:val="0"/>
                <w:w w:val="100"/>
                <w:position w:val="0"/>
                <w:sz w:val="24"/>
                <w:szCs w:val="24"/>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t>三线</w:t>
            </w:r>
            <w:r>
              <w:rPr>
                <w:rFonts w:hint="default" w:ascii="Times New Roman" w:hAnsi="Times New Roman" w:cs="Times New Roman"/>
                <w:b w:val="0"/>
                <w:bCs w:val="0"/>
                <w:color w:val="000000" w:themeColor="text1"/>
                <w:spacing w:val="0"/>
                <w:w w:val="100"/>
                <w:position w:val="0"/>
                <w:sz w:val="24"/>
                <w:szCs w:val="24"/>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t>符合性分析</w:t>
            </w:r>
          </w:p>
          <w:p w14:paraId="42E5BD4B">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t>本项目与</w:t>
            </w:r>
            <w:r>
              <w:rPr>
                <w:rFonts w:hint="default" w:ascii="Times New Roman" w:hAnsi="Times New Roman" w:cs="Times New Roman"/>
                <w:b w:val="0"/>
                <w:bCs w:val="0"/>
                <w:color w:val="000000" w:themeColor="text1"/>
                <w:spacing w:val="0"/>
                <w:w w:val="100"/>
                <w:position w:val="0"/>
                <w:sz w:val="24"/>
                <w:szCs w:val="24"/>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t>三线</w:t>
            </w:r>
            <w:r>
              <w:rPr>
                <w:rFonts w:hint="default" w:ascii="Times New Roman" w:hAnsi="Times New Roman" w:cs="Times New Roman"/>
                <w:b w:val="0"/>
                <w:bCs w:val="0"/>
                <w:color w:val="000000" w:themeColor="text1"/>
                <w:spacing w:val="0"/>
                <w:w w:val="100"/>
                <w:position w:val="0"/>
                <w:sz w:val="24"/>
                <w:szCs w:val="24"/>
                <w:u w:val="none" w:color="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t>符合性分析详见表1-</w:t>
            </w:r>
            <w:r>
              <w:rPr>
                <w:rFonts w:hint="default" w:ascii="Times New Roman" w:hAnsi="Times New Roman" w:cs="Times New Roman"/>
                <w:b w:val="0"/>
                <w:bCs w:val="0"/>
                <w:color w:val="000000" w:themeColor="text1"/>
                <w:spacing w:val="0"/>
                <w:w w:val="100"/>
                <w:position w:val="0"/>
                <w:sz w:val="24"/>
                <w:szCs w:val="24"/>
                <w:u w:val="none" w:color="auto"/>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t>。</w:t>
            </w:r>
          </w:p>
          <w:p w14:paraId="298CD42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t>表1-</w:t>
            </w:r>
            <w:r>
              <w:rPr>
                <w:rFonts w:hint="default" w:ascii="Times New Roman" w:hAnsi="Times New Roman" w:cs="Times New Roman"/>
                <w:b/>
                <w:color w:val="000000" w:themeColor="text1"/>
                <w:spacing w:val="0"/>
                <w:position w:val="0"/>
                <w:sz w:val="21"/>
                <w:szCs w:val="21"/>
                <w:u w:val="none" w:color="auto"/>
                <w:lang w:val="en-US" w:eastAsia="zh-CN"/>
                <w14:textFill>
                  <w14:solidFill>
                    <w14:schemeClr w14:val="tx1"/>
                  </w14:solidFill>
                </w14:textFill>
              </w:rPr>
              <w:t>5</w:t>
            </w:r>
            <w:r>
              <w:rPr>
                <w:rFonts w:hint="default" w:ascii="Times New Roman" w:hAnsi="Times New Roman" w:eastAsia="宋体" w:cs="Times New Roman"/>
                <w:b/>
                <w:color w:val="000000" w:themeColor="text1"/>
                <w:spacing w:val="0"/>
                <w:position w:val="0"/>
                <w:sz w:val="21"/>
                <w:szCs w:val="21"/>
                <w:u w:val="non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t>本项目与</w:t>
            </w:r>
            <w:r>
              <w:rPr>
                <w:rFonts w:hint="default" w:ascii="Times New Roman" w:hAnsi="Times New Roman" w:cs="Times New Roman"/>
                <w:b/>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t>三线一单</w:t>
            </w:r>
            <w:r>
              <w:rPr>
                <w:rFonts w:hint="default" w:ascii="Times New Roman" w:hAnsi="Times New Roman" w:cs="Times New Roman"/>
                <w:b/>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t>符合性分析一览表</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39"/>
              <w:gridCol w:w="3058"/>
              <w:gridCol w:w="3537"/>
              <w:gridCol w:w="501"/>
            </w:tblGrid>
            <w:tr w14:paraId="41B100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352" w:type="pct"/>
                  <w:tcBorders>
                    <w:tl2br w:val="nil"/>
                    <w:tr2bl w:val="nil"/>
                  </w:tcBorders>
                  <w:noWrap w:val="0"/>
                  <w:vAlign w:val="center"/>
                </w:tcPr>
                <w:p w14:paraId="21A9E653">
                  <w:pPr>
                    <w:pStyle w:val="6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cs="Times New Roman"/>
                      <w:b/>
                      <w:bCs/>
                      <w:color w:val="000000" w:themeColor="text1"/>
                      <w:spacing w:val="0"/>
                      <w:position w:val="0"/>
                      <w:sz w:val="21"/>
                      <w:szCs w:val="21"/>
                      <w:u w:val="none" w:color="auto"/>
                      <w:lang w:eastAsia="zh-CN"/>
                      <w14:textFill>
                        <w14:solidFill>
                          <w14:schemeClr w14:val="tx1"/>
                        </w14:solidFill>
                      </w14:textFill>
                    </w:rPr>
                    <w:t>类别</w:t>
                  </w:r>
                </w:p>
              </w:tc>
              <w:tc>
                <w:tcPr>
                  <w:tcW w:w="2002" w:type="pct"/>
                  <w:tcBorders>
                    <w:tl2br w:val="nil"/>
                    <w:tr2bl w:val="nil"/>
                  </w:tcBorders>
                  <w:noWrap w:val="0"/>
                  <w:vAlign w:val="center"/>
                </w:tcPr>
                <w:p w14:paraId="10398A92">
                  <w:pPr>
                    <w:pStyle w:val="6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管控要求</w:t>
                  </w:r>
                </w:p>
              </w:tc>
              <w:tc>
                <w:tcPr>
                  <w:tcW w:w="2316" w:type="pct"/>
                  <w:tcBorders>
                    <w:tl2br w:val="nil"/>
                    <w:tr2bl w:val="nil"/>
                  </w:tcBorders>
                  <w:noWrap w:val="0"/>
                  <w:vAlign w:val="center"/>
                </w:tcPr>
                <w:p w14:paraId="50B1F24E">
                  <w:pPr>
                    <w:pStyle w:val="6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本项目情况</w:t>
                  </w:r>
                </w:p>
              </w:tc>
              <w:tc>
                <w:tcPr>
                  <w:tcW w:w="328" w:type="pct"/>
                  <w:tcBorders>
                    <w:tl2br w:val="nil"/>
                    <w:tr2bl w:val="nil"/>
                  </w:tcBorders>
                  <w:noWrap w:val="0"/>
                  <w:vAlign w:val="center"/>
                </w:tcPr>
                <w:p w14:paraId="17105F83">
                  <w:pPr>
                    <w:pStyle w:val="6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符合性</w:t>
                  </w:r>
                </w:p>
              </w:tc>
            </w:tr>
            <w:tr w14:paraId="0DE903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32" w:hRule="atLeast"/>
                <w:jc w:val="center"/>
              </w:trPr>
              <w:tc>
                <w:tcPr>
                  <w:tcW w:w="352" w:type="pct"/>
                  <w:tcBorders>
                    <w:tl2br w:val="nil"/>
                    <w:tr2bl w:val="nil"/>
                  </w:tcBorders>
                  <w:noWrap w:val="0"/>
                  <w:vAlign w:val="center"/>
                </w:tcPr>
                <w:p w14:paraId="7AE0B7DC">
                  <w:pPr>
                    <w:pStyle w:val="6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生态保护红线</w:t>
                  </w:r>
                </w:p>
              </w:tc>
              <w:tc>
                <w:tcPr>
                  <w:tcW w:w="2002" w:type="pct"/>
                  <w:tcBorders>
                    <w:tl2br w:val="nil"/>
                    <w:tr2bl w:val="nil"/>
                  </w:tcBorders>
                  <w:noWrap w:val="0"/>
                  <w:vAlign w:val="center"/>
                </w:tcPr>
                <w:p w14:paraId="2085230A">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cs="Times New Roman"/>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生态保护红线</w:t>
                  </w:r>
                  <w:r>
                    <w:rPr>
                      <w:rFonts w:hint="default" w:ascii="Times New Roman" w:hAnsi="Times New Roman" w:cs="Times New Roman"/>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3537" w:type="dxa"/>
                  <w:tcBorders>
                    <w:tl2br w:val="nil"/>
                    <w:tr2bl w:val="nil"/>
                  </w:tcBorders>
                  <w:noWrap w:val="0"/>
                  <w:vAlign w:val="center"/>
                </w:tcPr>
                <w:p w14:paraId="55434B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20" w:firstLineChars="200"/>
                    <w:jc w:val="both"/>
                    <w:textAlignment w:val="auto"/>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auto"/>
                      <w:spacing w:val="0"/>
                      <w:w w:val="100"/>
                      <w:sz w:val="21"/>
                      <w:szCs w:val="21"/>
                      <w:u w:val="none" w:color="auto"/>
                      <w:lang w:eastAsia="zh-CN"/>
                    </w:rPr>
                    <w:t>本项目位于</w:t>
                  </w:r>
                  <w:r>
                    <w:rPr>
                      <w:rFonts w:hint="default" w:ascii="Times New Roman" w:hAnsi="Times New Roman" w:eastAsia="宋体" w:cs="Times New Roman"/>
                      <w:b w:val="0"/>
                      <w:bCs w:val="0"/>
                      <w:color w:val="auto"/>
                      <w:spacing w:val="0"/>
                      <w:w w:val="100"/>
                      <w:sz w:val="21"/>
                      <w:szCs w:val="21"/>
                      <w:u w:val="none" w:color="auto"/>
                      <w:lang w:val="en-US" w:eastAsia="zh-CN"/>
                    </w:rPr>
                    <w:t>岳阳临港高新技术产业开发区</w:t>
                  </w:r>
                  <w:r>
                    <w:rPr>
                      <w:rFonts w:hint="default" w:ascii="Times New Roman" w:hAnsi="Times New Roman" w:eastAsia="宋体" w:cs="Times New Roman"/>
                      <w:b w:val="0"/>
                      <w:bCs w:val="0"/>
                      <w:color w:val="auto"/>
                      <w:spacing w:val="0"/>
                      <w:w w:val="100"/>
                      <w:sz w:val="21"/>
                      <w:szCs w:val="21"/>
                      <w:u w:val="none" w:color="auto"/>
                      <w:lang w:eastAsia="zh-CN"/>
                    </w:rPr>
                    <w:t>，用地性质为二类工业用地，项目地不属于生态保护红线范围内。</w:t>
                  </w:r>
                </w:p>
              </w:tc>
              <w:tc>
                <w:tcPr>
                  <w:tcW w:w="501" w:type="dxa"/>
                  <w:tcBorders>
                    <w:tl2br w:val="nil"/>
                    <w:tr2bl w:val="nil"/>
                  </w:tcBorders>
                  <w:noWrap w:val="0"/>
                  <w:vAlign w:val="center"/>
                </w:tcPr>
                <w:p w14:paraId="149C5B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cs="Times New Roman"/>
                      <w:bCs/>
                      <w:color w:val="auto"/>
                      <w:szCs w:val="21"/>
                      <w:lang w:eastAsia="zh-CN"/>
                    </w:rPr>
                    <w:t>符合</w:t>
                  </w:r>
                </w:p>
              </w:tc>
            </w:tr>
            <w:tr w14:paraId="41EF60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45" w:hRule="atLeast"/>
                <w:jc w:val="center"/>
              </w:trPr>
              <w:tc>
                <w:tcPr>
                  <w:tcW w:w="352" w:type="pct"/>
                  <w:tcBorders>
                    <w:tl2br w:val="nil"/>
                    <w:tr2bl w:val="nil"/>
                  </w:tcBorders>
                  <w:noWrap w:val="0"/>
                  <w:vAlign w:val="center"/>
                </w:tcPr>
                <w:p w14:paraId="08E4A339">
                  <w:pPr>
                    <w:pStyle w:val="6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环境质量底线</w:t>
                  </w:r>
                </w:p>
              </w:tc>
              <w:tc>
                <w:tcPr>
                  <w:tcW w:w="2002" w:type="pct"/>
                  <w:tcBorders>
                    <w:tl2br w:val="nil"/>
                    <w:tr2bl w:val="nil"/>
                  </w:tcBorders>
                  <w:noWrap w:val="0"/>
                  <w:vAlign w:val="center"/>
                </w:tcPr>
                <w:p w14:paraId="7EB54DC2">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cs="Times New Roman"/>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环境质量底线</w:t>
                  </w:r>
                  <w:r>
                    <w:rPr>
                      <w:rFonts w:hint="default" w:ascii="Times New Roman" w:hAnsi="Times New Roman" w:cs="Times New Roman"/>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w:t>
                  </w:r>
                </w:p>
              </w:tc>
              <w:tc>
                <w:tcPr>
                  <w:tcW w:w="3537" w:type="dxa"/>
                  <w:tcBorders>
                    <w:tl2br w:val="nil"/>
                    <w:tr2bl w:val="nil"/>
                  </w:tcBorders>
                  <w:noWrap w:val="0"/>
                  <w:vAlign w:val="center"/>
                </w:tcPr>
                <w:p w14:paraId="06E15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20" w:firstLineChars="200"/>
                    <w:jc w:val="both"/>
                    <w:textAlignment w:val="auto"/>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auto"/>
                      <w:spacing w:val="0"/>
                      <w:w w:val="100"/>
                      <w:sz w:val="21"/>
                      <w:szCs w:val="21"/>
                      <w:u w:val="none" w:color="auto"/>
                      <w:lang w:eastAsia="zh-CN"/>
                    </w:rPr>
                    <w:t>项目所在区域环境质量良好，本项目经落实提出的污染防治措施后均能合理处理处置或达标排放，不会导致当地的区域环境质量下降，区域环境质量基本能维持现状，因此符合环境质量底线要求。</w:t>
                  </w:r>
                </w:p>
              </w:tc>
              <w:tc>
                <w:tcPr>
                  <w:tcW w:w="501" w:type="dxa"/>
                  <w:tcBorders>
                    <w:tl2br w:val="nil"/>
                    <w:tr2bl w:val="nil"/>
                  </w:tcBorders>
                  <w:noWrap w:val="0"/>
                  <w:vAlign w:val="center"/>
                </w:tcPr>
                <w:p w14:paraId="5D891D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cs="Times New Roman"/>
                      <w:bCs/>
                      <w:color w:val="auto"/>
                      <w:szCs w:val="21"/>
                      <w:lang w:eastAsia="zh-CN"/>
                    </w:rPr>
                    <w:t>符合</w:t>
                  </w:r>
                </w:p>
              </w:tc>
            </w:tr>
            <w:tr w14:paraId="6123DD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2" w:type="pct"/>
                  <w:tcBorders>
                    <w:tl2br w:val="nil"/>
                    <w:tr2bl w:val="nil"/>
                  </w:tcBorders>
                  <w:noWrap w:val="0"/>
                  <w:vAlign w:val="center"/>
                </w:tcPr>
                <w:p w14:paraId="1FBD0826">
                  <w:pPr>
                    <w:pStyle w:val="6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资源利用上线</w:t>
                  </w:r>
                </w:p>
              </w:tc>
              <w:tc>
                <w:tcPr>
                  <w:tcW w:w="2002" w:type="pct"/>
                  <w:tcBorders>
                    <w:tl2br w:val="nil"/>
                    <w:tr2bl w:val="nil"/>
                  </w:tcBorders>
                  <w:noWrap w:val="0"/>
                  <w:vAlign w:val="center"/>
                </w:tcPr>
                <w:p w14:paraId="0BCF61F0">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资源是环境的载体，</w:t>
                  </w:r>
                  <w:r>
                    <w:rPr>
                      <w:rFonts w:hint="default" w:ascii="Times New Roman" w:hAnsi="Times New Roman" w:cs="Times New Roman"/>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资源利用上线</w:t>
                  </w:r>
                  <w:r>
                    <w:rPr>
                      <w:rFonts w:hint="default" w:ascii="Times New Roman" w:hAnsi="Times New Roman" w:cs="Times New Roman"/>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地区能源、水、土地等资源消耗不得突破的</w:t>
                  </w:r>
                  <w:r>
                    <w:rPr>
                      <w:rFonts w:hint="default" w:ascii="Times New Roman" w:hAnsi="Times New Roman" w:cs="Times New Roman"/>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天花板</w:t>
                  </w:r>
                  <w:r>
                    <w:rPr>
                      <w:rFonts w:hint="default" w:ascii="Times New Roman" w:hAnsi="Times New Roman" w:cs="Times New Roman"/>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3537" w:type="dxa"/>
                  <w:tcBorders>
                    <w:tl2br w:val="nil"/>
                    <w:tr2bl w:val="nil"/>
                  </w:tcBorders>
                  <w:noWrap w:val="0"/>
                  <w:vAlign w:val="center"/>
                </w:tcPr>
                <w:p w14:paraId="3014B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20" w:firstLineChars="200"/>
                    <w:jc w:val="both"/>
                    <w:textAlignment w:val="auto"/>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auto"/>
                      <w:spacing w:val="0"/>
                      <w:w w:val="100"/>
                      <w:sz w:val="21"/>
                      <w:szCs w:val="21"/>
                      <w:u w:val="none" w:color="auto"/>
                      <w:lang w:eastAsia="zh-CN"/>
                    </w:rPr>
                    <w:t>项目用水量较少，能源主要依托园区电网供电。项目</w:t>
                  </w:r>
                  <w:r>
                    <w:rPr>
                      <w:rFonts w:hint="default" w:ascii="Times New Roman" w:hAnsi="Times New Roman" w:cs="Times New Roman"/>
                      <w:color w:val="auto"/>
                      <w:sz w:val="21"/>
                      <w:szCs w:val="21"/>
                    </w:rPr>
                    <w:t>所占资源较少，污染物排放量小，</w:t>
                  </w:r>
                  <w:r>
                    <w:rPr>
                      <w:rFonts w:hint="default" w:ascii="Times New Roman" w:hAnsi="Times New Roman" w:eastAsia="宋体" w:cs="Times New Roman"/>
                      <w:b w:val="0"/>
                      <w:bCs w:val="0"/>
                      <w:color w:val="auto"/>
                      <w:spacing w:val="0"/>
                      <w:w w:val="100"/>
                      <w:sz w:val="21"/>
                      <w:szCs w:val="21"/>
                      <w:u w:val="none" w:color="auto"/>
                      <w:lang w:val="en-US" w:eastAsia="zh-CN"/>
                    </w:rPr>
                    <w:t>本项目</w:t>
                  </w:r>
                  <w:r>
                    <w:rPr>
                      <w:rFonts w:hint="default" w:ascii="Times New Roman" w:hAnsi="Times New Roman" w:eastAsia="宋体" w:cs="Times New Roman"/>
                      <w:b w:val="0"/>
                      <w:bCs w:val="0"/>
                      <w:color w:val="auto"/>
                      <w:spacing w:val="0"/>
                      <w:w w:val="100"/>
                      <w:sz w:val="21"/>
                      <w:szCs w:val="21"/>
                      <w:u w:val="none" w:color="auto"/>
                      <w:lang w:eastAsia="zh-CN"/>
                    </w:rPr>
                    <w:t>不属于两高项目。符合资源利用上线要求。</w:t>
                  </w:r>
                </w:p>
              </w:tc>
              <w:tc>
                <w:tcPr>
                  <w:tcW w:w="501" w:type="dxa"/>
                  <w:tcBorders>
                    <w:tl2br w:val="nil"/>
                    <w:tr2bl w:val="nil"/>
                  </w:tcBorders>
                  <w:noWrap w:val="0"/>
                  <w:vAlign w:val="center"/>
                </w:tcPr>
                <w:p w14:paraId="495AE7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cs="Times New Roman"/>
                      <w:bCs/>
                      <w:color w:val="auto"/>
                      <w:szCs w:val="21"/>
                      <w:lang w:eastAsia="zh-CN"/>
                    </w:rPr>
                    <w:t>符合</w:t>
                  </w:r>
                </w:p>
              </w:tc>
            </w:tr>
          </w:tbl>
          <w:p w14:paraId="0A215782">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t>（2）本项目与</w:t>
            </w:r>
            <w:r>
              <w:rPr>
                <w:rFonts w:hint="default" w:ascii="Times New Roman" w:hAnsi="Times New Roman" w:cs="Times New Roman"/>
                <w:b w:val="0"/>
                <w:bCs w:val="0"/>
                <w:color w:val="000000" w:themeColor="text1"/>
                <w:spacing w:val="0"/>
                <w:w w:val="100"/>
                <w:position w:val="0"/>
                <w:sz w:val="24"/>
                <w:szCs w:val="24"/>
                <w:u w:val="none" w:color="auto"/>
                <w:lang w:val="en-US" w:eastAsia="zh-CN"/>
                <w14:textFill>
                  <w14:solidFill>
                    <w14:schemeClr w14:val="tx1"/>
                  </w14:solidFill>
                </w14:textFill>
              </w:rPr>
              <w:t>分区管控要求的</w:t>
            </w:r>
            <w:r>
              <w:rPr>
                <w:rFonts w:hint="default" w:ascii="Times New Roman" w:hAnsi="Times New Roman" w:eastAsia="宋体" w:cs="Times New Roman"/>
                <w:b w:val="0"/>
                <w:bCs w:val="0"/>
                <w:color w:val="000000" w:themeColor="text1"/>
                <w:spacing w:val="0"/>
                <w:w w:val="100"/>
                <w:position w:val="0"/>
                <w:sz w:val="24"/>
                <w:szCs w:val="24"/>
                <w:u w:val="none" w:color="auto"/>
                <w:lang w:val="en-US" w:eastAsia="zh-CN"/>
                <w14:textFill>
                  <w14:solidFill>
                    <w14:schemeClr w14:val="tx1"/>
                  </w14:solidFill>
                </w14:textFill>
              </w:rPr>
              <w:t>符合性分析</w:t>
            </w:r>
          </w:p>
          <w:p w14:paraId="06766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u w:val="none"/>
                <w:lang w:eastAsia="zh-CN"/>
              </w:rPr>
            </w:pPr>
            <w:r>
              <w:rPr>
                <w:rFonts w:hint="default" w:ascii="Times New Roman" w:hAnsi="Times New Roman" w:eastAsia="宋体" w:cs="Times New Roman"/>
                <w:b w:val="0"/>
                <w:bCs w:val="0"/>
                <w:color w:val="auto"/>
                <w:spacing w:val="0"/>
                <w:w w:val="100"/>
                <w:sz w:val="24"/>
                <w:szCs w:val="24"/>
                <w:u w:val="none" w:color="auto"/>
                <w:lang w:val="en-US" w:eastAsia="zh-CN"/>
              </w:rPr>
              <w:t>本项目位于岳阳临港高新技术产业开发区范围内，</w:t>
            </w:r>
            <w:r>
              <w:rPr>
                <w:rFonts w:hint="default" w:ascii="Times New Roman" w:hAnsi="Times New Roman" w:eastAsia="宋体" w:cs="Times New Roman"/>
                <w:color w:val="auto"/>
                <w:spacing w:val="0"/>
                <w:w w:val="100"/>
                <w:sz w:val="24"/>
                <w:szCs w:val="24"/>
                <w:u w:val="none"/>
                <w:lang w:eastAsia="zh-CN"/>
              </w:rPr>
              <w:t>对照《湖南省生态环境分区管控总体管控要求暨省级以上产业园区生态环境准人清单》</w:t>
            </w:r>
            <w:r>
              <w:rPr>
                <w:rFonts w:hint="default" w:ascii="Times New Roman" w:hAnsi="Times New Roman" w:cs="Times New Roman"/>
                <w:color w:val="000000" w:themeColor="text1"/>
                <w:spacing w:val="0"/>
                <w:kern w:val="0"/>
                <w:position w:val="0"/>
                <w:sz w:val="24"/>
                <w:szCs w:val="24"/>
                <w:u w:val="none" w:color="auto"/>
                <w:lang w:val="en-US" w:eastAsia="zh-CN" w:bidi="ar-SA"/>
                <w14:textFill>
                  <w14:solidFill>
                    <w14:schemeClr w14:val="tx1"/>
                  </w14:solidFill>
                </w14:textFill>
              </w:rPr>
              <w:t>（湘环函【2024】26号）</w:t>
            </w:r>
            <w:r>
              <w:rPr>
                <w:rFonts w:hint="default" w:ascii="Times New Roman" w:hAnsi="Times New Roman" w:eastAsia="宋体" w:cs="Times New Roman"/>
                <w:color w:val="auto"/>
                <w:spacing w:val="0"/>
                <w:w w:val="100"/>
                <w:sz w:val="24"/>
                <w:szCs w:val="24"/>
                <w:u w:val="none"/>
                <w:lang w:eastAsia="zh-CN"/>
              </w:rPr>
              <w:t>，</w:t>
            </w:r>
            <w:r>
              <w:rPr>
                <w:rFonts w:hint="default" w:ascii="Times New Roman" w:hAnsi="Times New Roman" w:eastAsia="宋体" w:cs="Times New Roman"/>
                <w:color w:val="auto"/>
                <w:spacing w:val="0"/>
                <w:w w:val="100"/>
                <w:sz w:val="24"/>
                <w:szCs w:val="24"/>
                <w:u w:val="none" w:color="auto"/>
              </w:rPr>
              <w:t>本项目所在区域属于重点管控单元</w:t>
            </w:r>
            <w:r>
              <w:rPr>
                <w:rFonts w:hint="default" w:ascii="Times New Roman" w:hAnsi="Times New Roman" w:eastAsia="宋体" w:cs="Times New Roman"/>
                <w:color w:val="auto"/>
                <w:spacing w:val="0"/>
                <w:w w:val="100"/>
                <w:sz w:val="24"/>
                <w:szCs w:val="24"/>
                <w:u w:val="none"/>
                <w:lang w:eastAsia="zh-CN"/>
              </w:rPr>
              <w:t>。</w:t>
            </w:r>
          </w:p>
          <w:p w14:paraId="2459B1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pacing w:val="0"/>
                <w:w w:val="100"/>
                <w:sz w:val="24"/>
                <w:szCs w:val="24"/>
                <w:u w:val="none" w:color="auto"/>
                <w:lang w:val="en-US" w:eastAsia="zh-CN"/>
              </w:rPr>
            </w:pPr>
            <w:r>
              <w:rPr>
                <w:rFonts w:hint="default" w:ascii="Times New Roman" w:hAnsi="Times New Roman" w:eastAsia="宋体" w:cs="Times New Roman"/>
                <w:b w:val="0"/>
                <w:bCs w:val="0"/>
                <w:color w:val="auto"/>
                <w:spacing w:val="0"/>
                <w:w w:val="100"/>
                <w:sz w:val="24"/>
                <w:szCs w:val="24"/>
                <w:u w:val="none" w:color="auto"/>
                <w:lang w:val="en-US" w:eastAsia="zh-CN"/>
              </w:rPr>
              <w:t>本项目与岳阳临港高新技术产业开发区生态环境准入清单的符合性分析具体如下：</w:t>
            </w:r>
          </w:p>
          <w:p w14:paraId="175CA5C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000000" w:themeColor="text1"/>
                <w:spacing w:val="0"/>
                <w:kern w:val="0"/>
                <w:position w:val="0"/>
                <w:sz w:val="24"/>
                <w:szCs w:val="24"/>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u w:val="none" w:color="auto"/>
                <w:lang w:val="en-US" w:eastAsia="zh-CN" w:bidi="ar-SA"/>
                <w14:textFill>
                  <w14:solidFill>
                    <w14:schemeClr w14:val="tx1"/>
                  </w14:solidFill>
                </w14:textFill>
              </w:rPr>
              <w:t>表1-</w:t>
            </w:r>
            <w:r>
              <w:rPr>
                <w:rFonts w:hint="default" w:ascii="Times New Roman" w:hAnsi="Times New Roman" w:cs="Times New Roman"/>
                <w:b/>
                <w:bCs/>
                <w:color w:val="000000" w:themeColor="text1"/>
                <w:spacing w:val="0"/>
                <w:kern w:val="0"/>
                <w:position w:val="0"/>
                <w:sz w:val="21"/>
                <w:szCs w:val="21"/>
                <w:u w:val="none" w:color="auto"/>
                <w:lang w:val="en-US" w:eastAsia="zh-CN" w:bidi="ar-SA"/>
                <w14:textFill>
                  <w14:solidFill>
                    <w14:schemeClr w14:val="tx1"/>
                  </w14:solidFill>
                </w14:textFill>
              </w:rPr>
              <w:t xml:space="preserve">6   </w:t>
            </w:r>
            <w:r>
              <w:rPr>
                <w:rFonts w:hint="default" w:ascii="Times New Roman" w:hAnsi="Times New Roman" w:eastAsia="宋体" w:cs="Times New Roman"/>
                <w:b/>
                <w:bCs/>
                <w:color w:val="auto"/>
                <w:spacing w:val="0"/>
                <w:kern w:val="0"/>
                <w:position w:val="0"/>
                <w:sz w:val="21"/>
                <w:szCs w:val="21"/>
                <w:u w:val="none" w:color="auto"/>
                <w:lang w:val="en-US" w:eastAsia="zh-CN" w:bidi="ar-SA"/>
              </w:rPr>
              <w:t>岳阳临港高新技术产业开发区环境管控单元概况一览表</w:t>
            </w:r>
            <w:r>
              <w:rPr>
                <w:rFonts w:hint="default" w:ascii="Times New Roman" w:hAnsi="Times New Roman" w:cs="Times New Roman"/>
              </w:rPr>
              <w:drawing>
                <wp:inline distT="0" distB="0" distL="114300" distR="114300">
                  <wp:extent cx="4923790" cy="1633855"/>
                  <wp:effectExtent l="0" t="0" r="13970" b="1206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5">
                            <a:lum bright="-18000" contrast="36000"/>
                          </a:blip>
                          <a:stretch>
                            <a:fillRect/>
                          </a:stretch>
                        </pic:blipFill>
                        <pic:spPr>
                          <a:xfrm>
                            <a:off x="0" y="0"/>
                            <a:ext cx="4923790" cy="1633855"/>
                          </a:xfrm>
                          <a:prstGeom prst="rect">
                            <a:avLst/>
                          </a:prstGeom>
                          <a:noFill/>
                          <a:ln>
                            <a:noFill/>
                          </a:ln>
                        </pic:spPr>
                      </pic:pic>
                    </a:graphicData>
                  </a:graphic>
                </wp:inline>
              </w:drawing>
            </w:r>
          </w:p>
          <w:p w14:paraId="461B49E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pacing w:val="0"/>
                <w:kern w:val="0"/>
                <w:position w:val="0"/>
                <w:sz w:val="21"/>
                <w:szCs w:val="21"/>
                <w:u w:val="none" w:color="auto"/>
                <w:lang w:val="en-US" w:eastAsia="zh-CN" w:bidi="ar-SA"/>
                <w14:textFill>
                  <w14:solidFill>
                    <w14:schemeClr w14:val="tx1"/>
                  </w14:solidFill>
                </w14:textFill>
              </w:rPr>
            </w:pPr>
            <w:r>
              <w:rPr>
                <w:rFonts w:hint="default" w:ascii="Times New Roman" w:hAnsi="Times New Roman" w:cs="Times New Roman"/>
                <w:b/>
                <w:bCs/>
                <w:color w:val="000000" w:themeColor="text1"/>
                <w:spacing w:val="0"/>
                <w:kern w:val="0"/>
                <w:position w:val="0"/>
                <w:sz w:val="21"/>
                <w:szCs w:val="21"/>
                <w:u w:val="none" w:color="auto"/>
                <w:lang w:val="en-US" w:eastAsia="zh-CN" w:bidi="ar-SA"/>
                <w14:textFill>
                  <w14:solidFill>
                    <w14:schemeClr w14:val="tx1"/>
                  </w14:solidFill>
                </w14:textFill>
              </w:rPr>
              <w:t xml:space="preserve">表1-7  </w:t>
            </w:r>
            <w:r>
              <w:rPr>
                <w:rFonts w:hint="default" w:ascii="Times New Roman" w:hAnsi="Times New Roman" w:eastAsia="宋体" w:cs="Times New Roman"/>
                <w:b/>
                <w:bCs/>
                <w:color w:val="000000" w:themeColor="text1"/>
                <w:spacing w:val="0"/>
                <w:kern w:val="0"/>
                <w:position w:val="0"/>
                <w:sz w:val="21"/>
                <w:szCs w:val="21"/>
                <w:u w:val="none" w:color="auto"/>
                <w:lang w:val="en-US" w:eastAsia="zh-CN" w:bidi="ar-SA"/>
                <w14:textFill>
                  <w14:solidFill>
                    <w14:schemeClr w14:val="tx1"/>
                  </w14:solidFill>
                </w14:textFill>
              </w:rPr>
              <w:t>与</w:t>
            </w:r>
            <w:r>
              <w:rPr>
                <w:rFonts w:hint="default" w:ascii="Times New Roman" w:hAnsi="Times New Roman" w:eastAsia="宋体" w:cs="Times New Roman"/>
                <w:b/>
                <w:bCs/>
                <w:color w:val="auto"/>
                <w:spacing w:val="0"/>
                <w:kern w:val="0"/>
                <w:position w:val="0"/>
                <w:sz w:val="21"/>
                <w:szCs w:val="21"/>
                <w:u w:val="none" w:color="auto"/>
                <w:lang w:val="en-US" w:eastAsia="zh-CN" w:bidi="ar-SA"/>
              </w:rPr>
              <w:t>岳阳临港高新技术产业开发区</w:t>
            </w:r>
            <w:r>
              <w:rPr>
                <w:rFonts w:hint="default" w:ascii="Times New Roman" w:hAnsi="Times New Roman" w:cs="Times New Roman"/>
                <w:b/>
                <w:bCs/>
                <w:color w:val="000000" w:themeColor="text1"/>
                <w:spacing w:val="0"/>
                <w:kern w:val="0"/>
                <w:position w:val="0"/>
                <w:sz w:val="21"/>
                <w:szCs w:val="21"/>
                <w:u w:val="none" w:color="auto"/>
                <w:lang w:val="en-US" w:eastAsia="zh-CN" w:bidi="ar-SA"/>
                <w14:textFill>
                  <w14:solidFill>
                    <w14:schemeClr w14:val="tx1"/>
                  </w14:solidFill>
                </w14:textFill>
              </w:rPr>
              <w:t>分区</w:t>
            </w:r>
            <w:r>
              <w:rPr>
                <w:rFonts w:hint="default" w:ascii="Times New Roman" w:hAnsi="Times New Roman" w:eastAsia="宋体" w:cs="Times New Roman"/>
                <w:b/>
                <w:bCs/>
                <w:color w:val="000000" w:themeColor="text1"/>
                <w:spacing w:val="0"/>
                <w:kern w:val="0"/>
                <w:position w:val="0"/>
                <w:sz w:val="21"/>
                <w:szCs w:val="21"/>
                <w:u w:val="none" w:color="auto"/>
                <w:lang w:val="en-US" w:eastAsia="zh-CN" w:bidi="ar-SA"/>
                <w14:textFill>
                  <w14:solidFill>
                    <w14:schemeClr w14:val="tx1"/>
                  </w14:solidFill>
                </w14:textFill>
              </w:rPr>
              <w:t>管控要求符合性分析</w:t>
            </w:r>
          </w:p>
          <w:tbl>
            <w:tblPr>
              <w:tblStyle w:val="38"/>
              <w:tblW w:w="50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423"/>
              <w:gridCol w:w="4007"/>
              <w:gridCol w:w="2754"/>
              <w:gridCol w:w="457"/>
            </w:tblGrid>
            <w:tr w14:paraId="37F02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276" w:type="pct"/>
                  <w:tcBorders>
                    <w:tl2br w:val="nil"/>
                    <w:tr2bl w:val="nil"/>
                  </w:tcBorders>
                  <w:noWrap w:val="0"/>
                  <w:vAlign w:val="center"/>
                </w:tcPr>
                <w:p w14:paraId="022690C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t>管控</w:t>
                  </w:r>
                  <w:r>
                    <w:rPr>
                      <w:rFonts w:hint="default" w:ascii="Times New Roman" w:hAnsi="Times New Roman"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t>维</w:t>
                  </w:r>
                  <w:r>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t>度</w:t>
                  </w:r>
                </w:p>
              </w:tc>
              <w:tc>
                <w:tcPr>
                  <w:tcW w:w="2622" w:type="pct"/>
                  <w:tcBorders>
                    <w:tl2br w:val="nil"/>
                    <w:tr2bl w:val="nil"/>
                  </w:tcBorders>
                  <w:noWrap w:val="0"/>
                  <w:vAlign w:val="center"/>
                </w:tcPr>
                <w:p w14:paraId="49BB02D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t>管控要求</w:t>
                  </w:r>
                </w:p>
              </w:tc>
              <w:tc>
                <w:tcPr>
                  <w:tcW w:w="1802" w:type="pct"/>
                  <w:tcBorders>
                    <w:tl2br w:val="nil"/>
                    <w:tr2bl w:val="nil"/>
                  </w:tcBorders>
                  <w:noWrap w:val="0"/>
                  <w:vAlign w:val="center"/>
                </w:tcPr>
                <w:p w14:paraId="15E5EE96">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本项目情况</w:t>
                  </w:r>
                </w:p>
              </w:tc>
              <w:tc>
                <w:tcPr>
                  <w:tcW w:w="299" w:type="pct"/>
                  <w:tcBorders>
                    <w:tl2br w:val="nil"/>
                    <w:tr2bl w:val="nil"/>
                  </w:tcBorders>
                  <w:noWrap w:val="0"/>
                  <w:vAlign w:val="center"/>
                </w:tcPr>
                <w:p w14:paraId="402A227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t>符合性</w:t>
                  </w:r>
                </w:p>
              </w:tc>
            </w:tr>
            <w:tr w14:paraId="4E583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276" w:type="pct"/>
                  <w:tcBorders>
                    <w:tl2br w:val="nil"/>
                    <w:tr2bl w:val="nil"/>
                  </w:tcBorders>
                  <w:noWrap w:val="0"/>
                  <w:vAlign w:val="center"/>
                </w:tcPr>
                <w:p w14:paraId="0F9B5FC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t>空间布局约束</w:t>
                  </w:r>
                </w:p>
              </w:tc>
              <w:tc>
                <w:tcPr>
                  <w:tcW w:w="2622" w:type="pct"/>
                  <w:tcBorders>
                    <w:tl2br w:val="nil"/>
                    <w:tr2bl w:val="nil"/>
                  </w:tcBorders>
                  <w:noWrap w:val="0"/>
                  <w:vAlign w:val="center"/>
                </w:tcPr>
                <w:p w14:paraId="35F9DE5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(1.1)对位于临江1km范围内的企业，应在规定期限内完成关闭退出、搬迁改造工作。临近居住区的工业企业应强化污染防治设施的治理效果</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p>
                <w:p w14:paraId="223F1BE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(1.2)区域内三类工业用地仅允许用于高新技术产业引进和发展鼓励类高新技术项目的预留用地。</w:t>
                  </w:r>
                </w:p>
                <w:p w14:paraId="07A4E10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p>
              </w:tc>
              <w:tc>
                <w:tcPr>
                  <w:tcW w:w="1802" w:type="pct"/>
                  <w:tcBorders>
                    <w:tl2br w:val="nil"/>
                    <w:tr2bl w:val="nil"/>
                  </w:tcBorders>
                  <w:noWrap w:val="0"/>
                  <w:vAlign w:val="center"/>
                </w:tcPr>
                <w:p w14:paraId="466D3B9E">
                  <w:pPr>
                    <w:pStyle w:val="3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1.1</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本项目</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厂址不在</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临江1km范围内。项目周边100m范围内无居民点，同时严格落实环评提出的各项污染防治设施，确保处理设施的治理效果。</w:t>
                  </w:r>
                </w:p>
                <w:p w14:paraId="4DF9B16D">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1.2本项目在现有厂房内进行扩建生产</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，属于二类工业用地。</w:t>
                  </w:r>
                </w:p>
              </w:tc>
              <w:tc>
                <w:tcPr>
                  <w:tcW w:w="299" w:type="pct"/>
                  <w:tcBorders>
                    <w:tl2br w:val="nil"/>
                    <w:tr2bl w:val="nil"/>
                  </w:tcBorders>
                  <w:noWrap w:val="0"/>
                  <w:vAlign w:val="center"/>
                </w:tcPr>
                <w:p w14:paraId="2604B712">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u w:val="none" w:color="auto"/>
                      <w:vertAlign w:val="baseline"/>
                      <w:lang w:val="en-US" w:eastAsia="zh-CN" w:bidi="ar-SA"/>
                      <w14:textFill>
                        <w14:solidFill>
                          <w14:schemeClr w14:val="tx1"/>
                        </w14:solidFill>
                      </w14:textFill>
                    </w:rPr>
                    <w:t>符合</w:t>
                  </w:r>
                </w:p>
              </w:tc>
            </w:tr>
            <w:tr w14:paraId="510D9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276" w:type="pct"/>
                  <w:tcBorders>
                    <w:tl2br w:val="nil"/>
                    <w:tr2bl w:val="nil"/>
                  </w:tcBorders>
                  <w:noWrap w:val="0"/>
                  <w:vAlign w:val="center"/>
                </w:tcPr>
                <w:p w14:paraId="2B52D77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t>污染物排放管控</w:t>
                  </w:r>
                </w:p>
              </w:tc>
              <w:tc>
                <w:tcPr>
                  <w:tcW w:w="2622" w:type="pct"/>
                  <w:tcBorders>
                    <w:tl2br w:val="nil"/>
                    <w:tr2bl w:val="nil"/>
                  </w:tcBorders>
                  <w:noWrap w:val="0"/>
                  <w:vAlign w:val="center"/>
                </w:tcPr>
                <w:p w14:paraId="40884DF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(2.1)废水</w:t>
                  </w:r>
                </w:p>
                <w:p w14:paraId="439DB28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(2.1.1) 高新区各区块排水实施雨污分流，区块内污水纳入湖南城陵矶临港产业新区污水处理厂处理，达标后排入象骨港，最</w:t>
                  </w:r>
                </w:p>
                <w:p w14:paraId="655DEB0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终排入长江。高新区各区块雨水经雨水管网排至白杨湖、松杨湖、芭蕉湖和象骨港。</w:t>
                  </w:r>
                </w:p>
                <w:p w14:paraId="1F9DC53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(2.1.2)推进重点行业氮磷排放总量控制，强化监管，推动重点行业企业安装在线监控装置并稳定运行。</w:t>
                  </w:r>
                </w:p>
                <w:p w14:paraId="2D178B6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(2.2)废气</w:t>
                  </w:r>
                </w:p>
                <w:p w14:paraId="7DD62D0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(2.2.1)对各企业有工艺废气产出的生产节点，应配置废气收集与处理净化装置并确保正常运行、达标排放</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加强生产工艺研究与技术改进，采取有效措施，减少工艺废气的无组织排放，入园企业各生产装置排放的废气须经处理达到相应排放标准。</w:t>
                  </w:r>
                </w:p>
                <w:p w14:paraId="4F2BF1B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(2.2.2)加快推进工业涂装、包装印刷等行业企业VOCs治理</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根据企业原辅材料使用、污染排放控制设施、无组织排放收集措施、</w:t>
                  </w:r>
                </w:p>
                <w:p w14:paraId="2AF93EA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处置装置运行效果等方面，建立涉VOCs企业绩效分级管理机制。</w:t>
                  </w:r>
                </w:p>
                <w:p w14:paraId="71391FB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(2.3) 高新区内相关行业污染物排放满足《湖南省生态环中境厅关于执行污染物特别排放限值(第一批)的公告》中的要求。</w:t>
                  </w:r>
                </w:p>
                <w:p w14:paraId="6ED102B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(2.4)固体废弃物</w:t>
                  </w:r>
                </w:p>
                <w:p w14:paraId="0A67E15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(2.4.1)做好高新区工业固体废物和生活垃圾的分类收集、转运，综合利用和无害化处理，建立统一的固废收集、贮存、运输、</w:t>
                  </w:r>
                </w:p>
                <w:p w14:paraId="266A266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综合利用和安全处置的运营管理体系。</w:t>
                  </w:r>
                </w:p>
                <w:p w14:paraId="1895E16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(2.4.2)入园企业应推行使用清洁能源</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采用能耗低、先进的工艺技术和污染防治技术。推行清洁生产审核，减少固体废物产生量</w:t>
                  </w:r>
                </w:p>
                <w:p w14:paraId="3B0E411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加强固体废物的资源化进程，提高综合利用率。</w:t>
                  </w:r>
                </w:p>
                <w:p w14:paraId="1AD7935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(2.4.3) 规范固体废物处理措施，对工业企业产生的固体废物特别是危险废物应按国家有关规定综合利用或妥善处置，严防二</w:t>
                  </w:r>
                </w:p>
                <w:p w14:paraId="4ABD354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次污染。</w:t>
                  </w:r>
                </w:p>
                <w:p w14:paraId="02F949F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p>
              </w:tc>
              <w:tc>
                <w:tcPr>
                  <w:tcW w:w="1802" w:type="pct"/>
                  <w:tcBorders>
                    <w:tl2br w:val="nil"/>
                    <w:tr2bl w:val="nil"/>
                  </w:tcBorders>
                  <w:noWrap w:val="0"/>
                  <w:vAlign w:val="center"/>
                </w:tcPr>
                <w:p w14:paraId="273EBA03">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val="0"/>
                      <w:color w:val="auto"/>
                      <w:spacing w:val="0"/>
                      <w:kern w:val="0"/>
                      <w:position w:val="0"/>
                      <w:sz w:val="21"/>
                      <w:szCs w:val="21"/>
                      <w:highlight w:val="none"/>
                      <w:u w:val="none" w:color="auto"/>
                      <w:vertAlign w:val="baseline"/>
                      <w:lang w:val="en-US" w:eastAsia="zh-CN" w:bidi="ar-SA"/>
                    </w:rPr>
                  </w:pPr>
                  <w:r>
                    <w:rPr>
                      <w:rFonts w:hint="default" w:ascii="Times New Roman" w:hAnsi="Times New Roman" w:cs="Times New Roman"/>
                      <w:b w:val="0"/>
                      <w:bCs w:val="0"/>
                      <w:color w:val="auto"/>
                      <w:spacing w:val="0"/>
                      <w:kern w:val="0"/>
                      <w:position w:val="0"/>
                      <w:sz w:val="21"/>
                      <w:szCs w:val="21"/>
                      <w:highlight w:val="none"/>
                      <w:u w:val="none" w:color="auto"/>
                      <w:vertAlign w:val="baseline"/>
                      <w:lang w:val="en-US" w:eastAsia="zh-CN" w:bidi="ar-SA"/>
                    </w:rPr>
                    <w:t>2.1.1</w:t>
                  </w:r>
                  <w:r>
                    <w:rPr>
                      <w:rFonts w:hint="default" w:ascii="Times New Roman" w:hAnsi="Times New Roman" w:eastAsia="宋体" w:cs="Times New Roman"/>
                      <w:b w:val="0"/>
                      <w:bCs w:val="0"/>
                      <w:color w:val="auto"/>
                      <w:spacing w:val="0"/>
                      <w:kern w:val="0"/>
                      <w:position w:val="0"/>
                      <w:sz w:val="21"/>
                      <w:szCs w:val="21"/>
                      <w:highlight w:val="none"/>
                      <w:u w:val="none" w:color="auto"/>
                      <w:vertAlign w:val="baseline"/>
                      <w:lang w:val="en-US" w:eastAsia="zh-CN" w:bidi="ar-SA"/>
                    </w:rPr>
                    <w:t>本项目</w:t>
                  </w:r>
                  <w:r>
                    <w:rPr>
                      <w:rFonts w:hint="default" w:ascii="Times New Roman" w:hAnsi="Times New Roman" w:cs="Times New Roman"/>
                      <w:b w:val="0"/>
                      <w:bCs w:val="0"/>
                      <w:color w:val="auto"/>
                      <w:spacing w:val="0"/>
                      <w:kern w:val="0"/>
                      <w:position w:val="0"/>
                      <w:sz w:val="21"/>
                      <w:szCs w:val="21"/>
                      <w:highlight w:val="none"/>
                      <w:u w:val="none" w:color="auto"/>
                      <w:vertAlign w:val="baseline"/>
                      <w:lang w:val="en-US" w:eastAsia="zh-CN" w:bidi="ar-SA"/>
                    </w:rPr>
                    <w:t>厂区实行雨污分流；周边有污水处理厂纳污管网覆盖，废水经预处理后进入</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湖南城陵矶临港产业新区污水处理厂处理，达标后排入象骨港，最终排入长江；雨水经区块雨水管网排至白杨湖。</w:t>
                  </w:r>
                </w:p>
                <w:p w14:paraId="049C2769">
                  <w:pPr>
                    <w:pStyle w:val="3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default" w:ascii="Times New Roman" w:hAnsi="Times New Roman" w:eastAsia="宋体" w:cs="Times New Roman"/>
                      <w:b w:val="0"/>
                      <w:bCs w:val="0"/>
                      <w:color w:val="auto"/>
                      <w:spacing w:val="0"/>
                      <w:kern w:val="0"/>
                      <w:position w:val="0"/>
                      <w:sz w:val="21"/>
                      <w:szCs w:val="21"/>
                      <w:highlight w:val="none"/>
                      <w:u w:val="none" w:color="auto"/>
                      <w:vertAlign w:val="baseline"/>
                      <w:lang w:val="en-US" w:eastAsia="zh-CN" w:bidi="ar-SA"/>
                    </w:rPr>
                  </w:pPr>
                  <w:r>
                    <w:rPr>
                      <w:rFonts w:hint="default" w:ascii="Times New Roman" w:hAnsi="Times New Roman" w:cs="Times New Roman"/>
                      <w:b w:val="0"/>
                      <w:bCs w:val="0"/>
                      <w:color w:val="auto"/>
                      <w:spacing w:val="0"/>
                      <w:kern w:val="0"/>
                      <w:position w:val="0"/>
                      <w:sz w:val="21"/>
                      <w:szCs w:val="21"/>
                      <w:highlight w:val="none"/>
                      <w:u w:val="none" w:color="auto"/>
                      <w:vertAlign w:val="baseline"/>
                      <w:lang w:val="en-US" w:eastAsia="zh-CN" w:bidi="ar-SA"/>
                    </w:rPr>
                    <w:t>2.1.2本项目不属于重点行业企业。</w:t>
                  </w:r>
                </w:p>
                <w:p w14:paraId="1B64826A">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auto"/>
                      <w:spacing w:val="0"/>
                      <w:kern w:val="0"/>
                      <w:position w:val="0"/>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spacing w:val="0"/>
                      <w:kern w:val="0"/>
                      <w:position w:val="0"/>
                      <w:sz w:val="21"/>
                      <w:szCs w:val="21"/>
                      <w:highlight w:val="none"/>
                      <w:u w:val="none" w:color="auto"/>
                      <w:vertAlign w:val="baseline"/>
                      <w:lang w:val="en-US" w:eastAsia="zh-CN" w:bidi="ar-SA"/>
                    </w:rPr>
                    <w:t>2</w:t>
                  </w:r>
                  <w:r>
                    <w:rPr>
                      <w:rFonts w:hint="default" w:ascii="Times New Roman" w:hAnsi="Times New Roman" w:cs="Times New Roman"/>
                      <w:b w:val="0"/>
                      <w:bCs w:val="0"/>
                      <w:color w:val="auto"/>
                      <w:spacing w:val="0"/>
                      <w:kern w:val="0"/>
                      <w:position w:val="0"/>
                      <w:sz w:val="21"/>
                      <w:szCs w:val="21"/>
                      <w:highlight w:val="none"/>
                      <w:u w:val="none" w:color="auto"/>
                      <w:vertAlign w:val="baseline"/>
                      <w:lang w:val="en-US" w:eastAsia="zh-CN" w:bidi="ar-SA"/>
                    </w:rPr>
                    <w:t>.2.1本项目</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产生的工艺废气主要包括喷漆废气、抛丸粉尘、焊接烟尘等，均配置相应废气收集与处理净化装置，同时加强日常管理，确保各处理设施正常运行，确保稳定达标排放；同时不断加强生产工艺研究与技术改进，采取封闭式厂房、全封闭式喷漆房、含VOC原辅料密闭储存运输等措施，减少废气无组织排放，确保厂界无组织废气达标排放。</w:t>
                  </w:r>
                </w:p>
                <w:p w14:paraId="7EEC477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auto"/>
                      <w:spacing w:val="0"/>
                      <w:kern w:val="0"/>
                      <w:position w:val="0"/>
                      <w:sz w:val="21"/>
                      <w:szCs w:val="21"/>
                      <w:highlight w:val="none"/>
                      <w:u w:val="none" w:color="auto"/>
                      <w:vertAlign w:val="baseline"/>
                      <w:lang w:val="en-US" w:eastAsia="zh-CN" w:bidi="ar-SA"/>
                    </w:rPr>
                    <w:t>2.2.2</w:t>
                  </w:r>
                  <w:r>
                    <w:rPr>
                      <w:rFonts w:hint="default" w:ascii="Times New Roman" w:hAnsi="Times New Roman" w:eastAsia="宋体" w:cs="Times New Roman"/>
                      <w:b w:val="0"/>
                      <w:bCs w:val="0"/>
                      <w:color w:val="auto"/>
                      <w:spacing w:val="0"/>
                      <w:kern w:val="0"/>
                      <w:position w:val="0"/>
                      <w:sz w:val="21"/>
                      <w:szCs w:val="21"/>
                      <w:highlight w:val="none"/>
                      <w:u w:val="none" w:color="auto"/>
                      <w:vertAlign w:val="baseline"/>
                      <w:lang w:val="en-US" w:eastAsia="zh-CN" w:bidi="ar-SA"/>
                    </w:rPr>
                    <w:t>本项目</w:t>
                  </w:r>
                  <w:r>
                    <w:rPr>
                      <w:rFonts w:hint="default" w:ascii="Times New Roman" w:hAnsi="Times New Roman" w:cs="Times New Roman"/>
                      <w:b w:val="0"/>
                      <w:bCs w:val="0"/>
                      <w:color w:val="auto"/>
                      <w:spacing w:val="0"/>
                      <w:kern w:val="0"/>
                      <w:position w:val="0"/>
                      <w:sz w:val="21"/>
                      <w:szCs w:val="21"/>
                      <w:highlight w:val="none"/>
                      <w:u w:val="none" w:color="auto"/>
                      <w:vertAlign w:val="baseline"/>
                      <w:lang w:val="en-US" w:eastAsia="zh-CN" w:bidi="ar-SA"/>
                    </w:rPr>
                    <w:t>喷漆工序将产生VOC</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s，企业将按相关要求，根据原辅材料使用、污染排放控制设施、无组织排放收集措施、处置装置运行效果等方面，进一步建立涉VOCs企业绩效分级管理机制。</w:t>
                  </w:r>
                </w:p>
                <w:p w14:paraId="462096EC">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2.3本项目不涉及执行污染物特别排放限值(第一批)相关行业。</w:t>
                  </w:r>
                </w:p>
                <w:p w14:paraId="1282F75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2.4.1本项目产生的工业固体废物和生活垃圾分类收集，合理处理处置。</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同时加强管理，建立台账。</w:t>
                  </w:r>
                </w:p>
                <w:p w14:paraId="440ED4F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2.4.2</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本项目</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使用电能，为清洁能源</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项目</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采用能耗低、先进的工艺技术和污染防治技术。按相关要求推行清洁生产审核，减少固体废物产生量</w:t>
                  </w:r>
                </w:p>
                <w:p w14:paraId="175CB37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加强固体废物的资源化进程，提高综合利用率。</w:t>
                  </w:r>
                </w:p>
                <w:p w14:paraId="711120C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2.4.3本</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项目产生的一般工业固体废物优先综合利用，危险废物收集暂存于危废暂存间后交有资质单位处理，生活垃圾收集后交园区环卫部门清运处理。分别按照</w:t>
                  </w:r>
                  <w:r>
                    <w:rPr>
                      <w:rFonts w:hint="default" w:ascii="Times New Roman" w:hAnsi="Times New Roman" w:eastAsia="宋体" w:cs="Times New Roman"/>
                      <w:color w:val="auto"/>
                      <w:sz w:val="21"/>
                      <w:szCs w:val="21"/>
                      <w:highlight w:val="none"/>
                      <w:u w:val="none"/>
                    </w:rPr>
                    <w:t>《一般工业固体废物贮存和填埋污染控制标准》（GB18599—2020）</w:t>
                  </w:r>
                  <w:r>
                    <w:rPr>
                      <w:rFonts w:hint="default" w:ascii="Times New Roman" w:hAnsi="Times New Roman" w:eastAsia="宋体" w:cs="Times New Roman"/>
                      <w:color w:val="auto"/>
                      <w:sz w:val="21"/>
                      <w:szCs w:val="21"/>
                      <w:highlight w:val="none"/>
                      <w:u w:val="none"/>
                      <w:lang w:eastAsia="zh-CN"/>
                    </w:rPr>
                    <w:t>、</w:t>
                  </w:r>
                  <w:r>
                    <w:rPr>
                      <w:rFonts w:hint="default" w:ascii="Times New Roman" w:hAnsi="Times New Roman" w:eastAsia="宋体" w:cs="Times New Roman"/>
                      <w:color w:val="auto"/>
                      <w:sz w:val="21"/>
                      <w:szCs w:val="21"/>
                      <w:highlight w:val="none"/>
                      <w:u w:val="none"/>
                    </w:rPr>
                    <w:t>《危险废物贮存污染控制标准》（GB18597-20</w:t>
                  </w:r>
                  <w:r>
                    <w:rPr>
                      <w:rFonts w:hint="default" w:ascii="Times New Roman" w:hAnsi="Times New Roman" w:eastAsia="宋体" w:cs="Times New Roman"/>
                      <w:color w:val="auto"/>
                      <w:sz w:val="21"/>
                      <w:szCs w:val="21"/>
                      <w:highlight w:val="none"/>
                      <w:u w:val="none"/>
                      <w:lang w:val="en-US" w:eastAsia="zh-CN"/>
                    </w:rPr>
                    <w:t>23</w:t>
                  </w:r>
                  <w:r>
                    <w:rPr>
                      <w:rFonts w:hint="default" w:ascii="Times New Roman" w:hAnsi="Times New Roman" w:eastAsia="宋体" w:cs="Times New Roman"/>
                      <w:color w:val="auto"/>
                      <w:sz w:val="21"/>
                      <w:szCs w:val="21"/>
                      <w:highlight w:val="none"/>
                      <w:u w:val="none"/>
                    </w:rPr>
                    <w:t>）</w:t>
                  </w:r>
                  <w:r>
                    <w:rPr>
                      <w:rFonts w:hint="default" w:ascii="Times New Roman" w:hAnsi="Times New Roman" w:eastAsia="宋体" w:cs="Times New Roman"/>
                      <w:color w:val="auto"/>
                      <w:sz w:val="21"/>
                      <w:szCs w:val="21"/>
                      <w:highlight w:val="none"/>
                      <w:u w:val="none"/>
                      <w:lang w:eastAsia="zh-CN"/>
                    </w:rPr>
                    <w:t>相关要求建设一般固废暂存间和危废暂存间，</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项目产生的各类固废均得到合理处理处置，严防二次污染。</w:t>
                  </w:r>
                </w:p>
              </w:tc>
              <w:tc>
                <w:tcPr>
                  <w:tcW w:w="299" w:type="pct"/>
                  <w:tcBorders>
                    <w:tl2br w:val="nil"/>
                    <w:tr2bl w:val="nil"/>
                  </w:tcBorders>
                  <w:noWrap w:val="0"/>
                  <w:vAlign w:val="center"/>
                </w:tcPr>
                <w:p w14:paraId="5EC5A2F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u w:val="none" w:color="auto"/>
                      <w:vertAlign w:val="baseline"/>
                      <w:lang w:val="en-US" w:eastAsia="zh-CN" w:bidi="ar-SA"/>
                      <w14:textFill>
                        <w14:solidFill>
                          <w14:schemeClr w14:val="tx1"/>
                        </w14:solidFill>
                      </w14:textFill>
                    </w:rPr>
                    <w:t>符合</w:t>
                  </w:r>
                </w:p>
              </w:tc>
            </w:tr>
            <w:tr w14:paraId="0A1E4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276" w:type="pct"/>
                  <w:tcBorders>
                    <w:tl2br w:val="nil"/>
                    <w:tr2bl w:val="nil"/>
                  </w:tcBorders>
                  <w:noWrap w:val="0"/>
                  <w:vAlign w:val="center"/>
                </w:tcPr>
                <w:p w14:paraId="0C3348DE">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t>环境风险管控</w:t>
                  </w:r>
                </w:p>
              </w:tc>
              <w:tc>
                <w:tcPr>
                  <w:tcW w:w="2622" w:type="pct"/>
                  <w:tcBorders>
                    <w:tl2br w:val="nil"/>
                    <w:tr2bl w:val="nil"/>
                  </w:tcBorders>
                  <w:noWrap w:val="0"/>
                  <w:vAlign w:val="center"/>
                </w:tcPr>
                <w:p w14:paraId="24306E4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(3.1)高新区各区块应建立健全环境风险防控体系，落实《湖南城陵矶新港区核心区突发环境事件应急预案》的相关要求，严</w:t>
                  </w:r>
                </w:p>
                <w:p w14:paraId="16564EC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防环境风险事故发生，提高应急处置能力。</w:t>
                  </w:r>
                </w:p>
                <w:p w14:paraId="4C56BF6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(3.2) 高新区应建立健全重污染天气预警和应急机制，针对不同的减排对象进行分类控制，最大限度降低重污染天气造成的危</w:t>
                  </w:r>
                </w:p>
                <w:p w14:paraId="4B24F20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害，保障环境安全和公众身体健康。</w:t>
                  </w:r>
                </w:p>
                <w:p w14:paraId="3730054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(3.3)高新区内可能发生突发环境事件的污染物排放企业，生产、储存、运输、使用危险化学品的企业，产生、收集、贮存危</w:t>
                  </w:r>
                </w:p>
                <w:p w14:paraId="790C66D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险废物的企业应当编制和实施环境应急预案</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鼓励其他企业制定单独的环境应急预案， 或在突发事件应急预案中制定环境应急预案专章，并备案。</w:t>
                  </w:r>
                </w:p>
                <w:p w14:paraId="623C580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(3.4)建设用地土壤风险防控</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严格土壤污染重点监管单位和沿江化工企业搬迁腾退用地土壤污染风险管控。以用途变更为“一</w:t>
                  </w:r>
                </w:p>
                <w:p w14:paraId="699C536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住两公”的地块为重点，依法开展土壤污染状况调查和风险评估。对纳入建设用地土壤污染风险管控和修复名录内的地块，移出名</w:t>
                  </w:r>
                </w:p>
                <w:p w14:paraId="325ACC8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录前，不得核发建设工程规划许可证。对列入优先监管清单的地块，开展土壤污染调查和风险评估，按要求采取风险防控措施。</w:t>
                  </w:r>
                </w:p>
                <w:p w14:paraId="43CA3E3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p>
              </w:tc>
              <w:tc>
                <w:tcPr>
                  <w:tcW w:w="1802" w:type="pct"/>
                  <w:tcBorders>
                    <w:tl2br w:val="nil"/>
                    <w:tr2bl w:val="nil"/>
                  </w:tcBorders>
                  <w:noWrap w:val="0"/>
                  <w:vAlign w:val="center"/>
                </w:tcPr>
                <w:p w14:paraId="158800C2">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3.1、3.3</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建设单位</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将按要求</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编制和实施环境应急预案</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，完成应急预案备案，落实各项风险应急防范措施，并与产业区突发环境事件应急预案衔接。</w:t>
                  </w:r>
                </w:p>
                <w:p w14:paraId="315F028D">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3.2本项目将按</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高新区建立的重污染天气预警和应急机制执行。</w:t>
                  </w:r>
                </w:p>
                <w:p w14:paraId="2031F63D">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3.4本项目不涉及</w:t>
                  </w:r>
                  <w:r>
                    <w:rPr>
                      <w:rFonts w:hint="default" w:ascii="Times New Roman" w:hAnsi="Times New Roman" w:eastAsia="宋体" w:cs="Times New Roman"/>
                      <w:b w:val="0"/>
                      <w:bCs w:val="0"/>
                      <w:color w:val="auto"/>
                      <w:spacing w:val="0"/>
                      <w:kern w:val="0"/>
                      <w:position w:val="0"/>
                      <w:sz w:val="21"/>
                      <w:szCs w:val="21"/>
                      <w:highlight w:val="none"/>
                      <w:u w:val="none" w:color="auto"/>
                      <w:vertAlign w:val="baseline"/>
                      <w:lang w:val="en-US" w:eastAsia="zh-CN" w:bidi="ar-SA"/>
                    </w:rPr>
                    <w:t>。</w:t>
                  </w:r>
                </w:p>
                <w:p w14:paraId="15A3291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p>
              </w:tc>
              <w:tc>
                <w:tcPr>
                  <w:tcW w:w="299" w:type="pct"/>
                  <w:tcBorders>
                    <w:tl2br w:val="nil"/>
                    <w:tr2bl w:val="nil"/>
                  </w:tcBorders>
                  <w:noWrap w:val="0"/>
                  <w:vAlign w:val="center"/>
                </w:tcPr>
                <w:p w14:paraId="4FE50FF6">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u w:val="none" w:color="auto"/>
                      <w:vertAlign w:val="baseline"/>
                      <w:lang w:val="en-US" w:eastAsia="zh-CN" w:bidi="ar-SA"/>
                      <w14:textFill>
                        <w14:solidFill>
                          <w14:schemeClr w14:val="tx1"/>
                        </w14:solidFill>
                      </w14:textFill>
                    </w:rPr>
                    <w:t>符合</w:t>
                  </w:r>
                </w:p>
              </w:tc>
            </w:tr>
            <w:tr w14:paraId="31431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276" w:type="pct"/>
                  <w:tcBorders>
                    <w:tl2br w:val="nil"/>
                    <w:tr2bl w:val="nil"/>
                  </w:tcBorders>
                  <w:noWrap w:val="0"/>
                  <w:vAlign w:val="center"/>
                </w:tcPr>
                <w:p w14:paraId="2601CA5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u w:val="none" w:color="auto"/>
                      <w:vertAlign w:val="baseline"/>
                      <w:lang w:val="en-US" w:eastAsia="zh-CN" w:bidi="ar-SA"/>
                      <w14:textFill>
                        <w14:solidFill>
                          <w14:schemeClr w14:val="tx1"/>
                        </w14:solidFill>
                      </w14:textFill>
                    </w:rPr>
                    <w:t>资源开发效率要求</w:t>
                  </w:r>
                </w:p>
              </w:tc>
              <w:tc>
                <w:tcPr>
                  <w:tcW w:w="2622" w:type="pct"/>
                  <w:tcBorders>
                    <w:tl2br w:val="nil"/>
                    <w:tr2bl w:val="nil"/>
                  </w:tcBorders>
                  <w:noWrap w:val="0"/>
                  <w:vAlign w:val="center"/>
                </w:tcPr>
                <w:p w14:paraId="3DD4B5C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(4.1)能源</w:t>
                  </w:r>
                </w:p>
                <w:p w14:paraId="03D8074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(4.1.1)高新区依托华能电厂进行集中供热，禁止使用原煤、重油为能源的项目进入。</w:t>
                  </w:r>
                </w:p>
                <w:p w14:paraId="4F198B7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(4.1.2) 高新区区域内能源消费主要为电力、天然气、蒸汽，无煤炭消费，2025年区域年综合能耗消费量预测当量值为97800吨标煤。2025 年区域单位GDP能耗预测值为0.22 吨标煤/万元，消耗增量当量值控制在464100吨标煤。</w:t>
                  </w:r>
                </w:p>
                <w:p w14:paraId="68A23AC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(4.1.3) 禁燃区范围内不得新建、改建、扩建燃煤锅炉及高污染燃料燃用设施。</w:t>
                  </w:r>
                </w:p>
                <w:p w14:paraId="28D4C04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(4.2)水资源</w:t>
                  </w:r>
                </w:p>
                <w:p w14:paraId="55204B3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(4.2.1) 强化生产用水管理，大力推广高效冷却、循环用水等节水工艺和技术，支持企业开展节水技术改造。</w:t>
                  </w:r>
                </w:p>
                <w:p w14:paraId="4E863E3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(4.2.2)积极推行水循环梯级利用，推动现有企业和高新区开展绿色高质量省级和循环化改造</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促进企业间串联用水、分质用水，</w:t>
                  </w:r>
                </w:p>
                <w:p w14:paraId="42419FE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一水多用和循环利用。</w:t>
                  </w:r>
                </w:p>
                <w:p w14:paraId="2AC086A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(4.2.3) 2025年，高新区指标应符合相应行政区域的管控要求，云溪区用水总量2.30亿立方米，万元地区生产总值用水量比2020年下降6.68%，万元工业增加值用水量比2020年下降2.12%。</w:t>
                  </w:r>
                </w:p>
                <w:p w14:paraId="779B289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(4.3) 土地资源</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在详细规划编制、用地预审与选址、用地报批、土地出让、规划许可、竣工验收等环节，全面推行工业项目建设用地引导指标和工业项目供地负面清单管理。省级园区工业用地固定资产投入强度达到260万元/亩，工业用地地均税收达到13万元/亩。</w:t>
                  </w:r>
                </w:p>
                <w:p w14:paraId="4295191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p>
              </w:tc>
              <w:tc>
                <w:tcPr>
                  <w:tcW w:w="1802" w:type="pct"/>
                  <w:tcBorders>
                    <w:tl2br w:val="nil"/>
                    <w:tr2bl w:val="nil"/>
                  </w:tcBorders>
                  <w:noWrap w:val="0"/>
                  <w:vAlign w:val="center"/>
                </w:tcPr>
                <w:p w14:paraId="3BD4FF31">
                  <w:pPr>
                    <w:pStyle w:val="3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4.1本项目使用电能，不涉及使用原煤、重油等能源，不涉及</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燃煤锅炉及高污染燃料燃用设施</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p>
                <w:p w14:paraId="7A94E8D6">
                  <w:pPr>
                    <w:pStyle w:val="3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4.2企业将</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强化生产用水管理，逐步推广节水工艺和技术。</w:t>
                  </w:r>
                </w:p>
                <w:p w14:paraId="195DC647">
                  <w:pPr>
                    <w:pStyle w:val="3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4.3</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本项目</w:t>
                  </w:r>
                  <w:r>
                    <w:rPr>
                      <w:rFonts w:hint="default" w:ascii="Times New Roman" w:hAnsi="Times New Roman"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在现有厂房内进行扩建生产，不新增用地</w:t>
                  </w:r>
                  <w:r>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t>。</w:t>
                  </w:r>
                </w:p>
                <w:p w14:paraId="7C86AF0A">
                  <w:pPr>
                    <w:pStyle w:val="3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0" w:leftChars="200" w:right="0"/>
                    <w:jc w:val="both"/>
                    <w:textAlignment w:val="auto"/>
                    <w:outlineLvl w:val="9"/>
                    <w:rPr>
                      <w:rFonts w:hint="default" w:ascii="Times New Roman" w:hAnsi="Times New Roman" w:eastAsia="宋体" w:cs="Times New Roman"/>
                      <w:b w:val="0"/>
                      <w:bCs w:val="0"/>
                      <w:color w:val="000000" w:themeColor="text1"/>
                      <w:spacing w:val="0"/>
                      <w:kern w:val="0"/>
                      <w:position w:val="0"/>
                      <w:sz w:val="21"/>
                      <w:szCs w:val="21"/>
                      <w:highlight w:val="none"/>
                      <w:u w:val="none" w:color="auto"/>
                      <w:vertAlign w:val="baseline"/>
                      <w:lang w:val="en-US" w:eastAsia="zh-CN" w:bidi="ar-SA"/>
                      <w14:textFill>
                        <w14:solidFill>
                          <w14:schemeClr w14:val="tx1"/>
                        </w14:solidFill>
                      </w14:textFill>
                    </w:rPr>
                  </w:pPr>
                </w:p>
              </w:tc>
              <w:tc>
                <w:tcPr>
                  <w:tcW w:w="299" w:type="pct"/>
                  <w:tcBorders>
                    <w:tl2br w:val="nil"/>
                    <w:tr2bl w:val="nil"/>
                  </w:tcBorders>
                  <w:noWrap w:val="0"/>
                  <w:vAlign w:val="center"/>
                </w:tcPr>
                <w:p w14:paraId="7F59E616">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color w:val="000000" w:themeColor="text1"/>
                      <w:spacing w:val="0"/>
                      <w:kern w:val="0"/>
                      <w:position w:val="0"/>
                      <w:sz w:val="21"/>
                      <w:szCs w:val="21"/>
                      <w:u w:val="none" w:color="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u w:val="none" w:color="auto"/>
                      <w:vertAlign w:val="baseline"/>
                      <w:lang w:val="en-US" w:eastAsia="zh-CN" w:bidi="ar-SA"/>
                      <w14:textFill>
                        <w14:solidFill>
                          <w14:schemeClr w14:val="tx1"/>
                        </w14:solidFill>
                      </w14:textFill>
                    </w:rPr>
                    <w:t>符合</w:t>
                  </w:r>
                </w:p>
              </w:tc>
            </w:tr>
          </w:tbl>
          <w:p w14:paraId="2B77A1C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000000" w:themeColor="text1"/>
                <w:spacing w:val="0"/>
                <w:kern w:val="0"/>
                <w:position w:val="0"/>
                <w:sz w:val="24"/>
                <w:szCs w:val="24"/>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auto"/>
                <w:spacing w:val="0"/>
                <w:w w:val="100"/>
                <w:sz w:val="24"/>
                <w:szCs w:val="24"/>
                <w:u w:val="none" w:color="auto"/>
                <w:lang w:val="en-US" w:eastAsia="zh-CN"/>
              </w:rPr>
              <w:t>综上，经与</w:t>
            </w:r>
            <w:r>
              <w:rPr>
                <w:rFonts w:hint="eastAsia" w:ascii="Times New Roman" w:hAnsi="Times New Roman" w:eastAsia="宋体" w:cs="Times New Roman"/>
                <w:b w:val="0"/>
                <w:bCs w:val="0"/>
                <w:color w:val="auto"/>
                <w:spacing w:val="0"/>
                <w:w w:val="100"/>
                <w:sz w:val="24"/>
                <w:szCs w:val="24"/>
                <w:u w:val="none" w:color="auto"/>
                <w:lang w:val="en-US" w:eastAsia="zh-CN"/>
              </w:rPr>
              <w:t>“</w:t>
            </w:r>
            <w:r>
              <w:rPr>
                <w:rFonts w:hint="default" w:ascii="Times New Roman" w:hAnsi="Times New Roman" w:eastAsia="宋体" w:cs="Times New Roman"/>
                <w:b w:val="0"/>
                <w:bCs w:val="0"/>
                <w:color w:val="auto"/>
                <w:spacing w:val="0"/>
                <w:w w:val="100"/>
                <w:sz w:val="24"/>
                <w:szCs w:val="24"/>
                <w:u w:val="none" w:color="auto"/>
                <w:lang w:val="en-US" w:eastAsia="zh-CN"/>
              </w:rPr>
              <w:t>三线一单</w:t>
            </w:r>
            <w:r>
              <w:rPr>
                <w:rFonts w:hint="eastAsia" w:ascii="Times New Roman" w:hAnsi="Times New Roman" w:eastAsia="宋体" w:cs="Times New Roman"/>
                <w:b w:val="0"/>
                <w:bCs w:val="0"/>
                <w:color w:val="auto"/>
                <w:spacing w:val="0"/>
                <w:w w:val="100"/>
                <w:sz w:val="24"/>
                <w:szCs w:val="24"/>
                <w:u w:val="none" w:color="auto"/>
                <w:lang w:val="en-US" w:eastAsia="zh-CN"/>
              </w:rPr>
              <w:t>”</w:t>
            </w:r>
            <w:r>
              <w:rPr>
                <w:rFonts w:hint="default" w:ascii="Times New Roman" w:hAnsi="Times New Roman" w:eastAsia="宋体" w:cs="Times New Roman"/>
                <w:b w:val="0"/>
                <w:bCs w:val="0"/>
                <w:color w:val="auto"/>
                <w:spacing w:val="0"/>
                <w:w w:val="100"/>
                <w:sz w:val="24"/>
                <w:szCs w:val="24"/>
                <w:u w:val="none" w:color="auto"/>
                <w:lang w:val="en-US" w:eastAsia="zh-CN"/>
              </w:rPr>
              <w:t>进行对照后，本项目不在生态保护红线内，项目建设不会突破环境质量底线及资源利用上线，同时项目与《</w:t>
            </w:r>
            <w:r>
              <w:rPr>
                <w:rFonts w:hint="default" w:ascii="Times New Roman" w:hAnsi="Times New Roman" w:eastAsia="宋体" w:cs="Times New Roman"/>
                <w:color w:val="auto"/>
                <w:spacing w:val="0"/>
                <w:w w:val="100"/>
                <w:sz w:val="24"/>
                <w:szCs w:val="24"/>
                <w:u w:val="none"/>
                <w:lang w:eastAsia="zh-CN"/>
              </w:rPr>
              <w:t>湖南省生态环境分区管控总体管控要求暨省级以上产业园区生态环境准人清单》</w:t>
            </w:r>
            <w:r>
              <w:rPr>
                <w:rFonts w:hint="default" w:ascii="Times New Roman" w:hAnsi="Times New Roman" w:cs="Times New Roman"/>
                <w:color w:val="000000" w:themeColor="text1"/>
                <w:spacing w:val="0"/>
                <w:kern w:val="0"/>
                <w:position w:val="0"/>
                <w:sz w:val="24"/>
                <w:szCs w:val="24"/>
                <w:u w:val="none" w:color="auto"/>
                <w:lang w:val="en-US" w:eastAsia="zh-CN" w:bidi="ar-SA"/>
                <w14:textFill>
                  <w14:solidFill>
                    <w14:schemeClr w14:val="tx1"/>
                  </w14:solidFill>
                </w14:textFill>
              </w:rPr>
              <w:t>（湘环函【2024】26号）</w:t>
            </w:r>
            <w:r>
              <w:rPr>
                <w:rFonts w:hint="default" w:ascii="Times New Roman" w:hAnsi="Times New Roman" w:eastAsia="宋体" w:cs="Times New Roman"/>
                <w:b w:val="0"/>
                <w:bCs w:val="0"/>
                <w:color w:val="auto"/>
                <w:spacing w:val="0"/>
                <w:w w:val="100"/>
                <w:sz w:val="24"/>
                <w:szCs w:val="24"/>
                <w:u w:val="none" w:color="auto"/>
                <w:lang w:val="en-US" w:eastAsia="zh-CN"/>
              </w:rPr>
              <w:t>相关管控要求基本相符。因此，本项目与“三线一单”的控制要求相符。</w:t>
            </w:r>
          </w:p>
          <w:p w14:paraId="51A54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2、产业政策符合性分析</w:t>
            </w:r>
          </w:p>
          <w:p w14:paraId="156CF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lang w:eastAsia="zh-CN"/>
              </w:rPr>
              <w:t>本项目行业类别为</w:t>
            </w:r>
            <w:r>
              <w:rPr>
                <w:rFonts w:hint="eastAsia" w:eastAsia="宋体" w:cs="Times New Roman"/>
                <w:color w:val="auto"/>
                <w:spacing w:val="0"/>
                <w:position w:val="0"/>
                <w:sz w:val="24"/>
                <w:szCs w:val="24"/>
                <w:u w:val="none" w:color="auto"/>
                <w:lang w:val="en-US" w:eastAsia="zh-CN"/>
              </w:rPr>
              <w:t>“</w:t>
            </w:r>
            <w:r>
              <w:rPr>
                <w:rFonts w:hint="eastAsia" w:ascii="Times New Roman" w:hAnsi="Times New Roman" w:eastAsia="宋体" w:cs="Times New Roman"/>
                <w:color w:val="auto"/>
                <w:spacing w:val="0"/>
                <w:position w:val="0"/>
                <w:sz w:val="24"/>
                <w:szCs w:val="24"/>
                <w:u w:val="none" w:color="auto"/>
                <w:lang w:val="en-US" w:eastAsia="zh-CN"/>
              </w:rPr>
              <w:t>C3311金属结构制造</w:t>
            </w:r>
            <w:r>
              <w:rPr>
                <w:rFonts w:hint="eastAsia" w:eastAsia="宋体" w:cs="Times New Roman"/>
                <w:color w:val="auto"/>
                <w:spacing w:val="0"/>
                <w:position w:val="0"/>
                <w:sz w:val="24"/>
                <w:szCs w:val="24"/>
                <w:u w:val="none" w:color="auto"/>
                <w:lang w:val="en-US" w:eastAsia="zh-CN"/>
              </w:rPr>
              <w:t>、</w:t>
            </w:r>
            <w:r>
              <w:rPr>
                <w:rFonts w:hint="eastAsia" w:ascii="Times New Roman" w:hAnsi="Times New Roman" w:eastAsia="宋体" w:cs="Times New Roman"/>
                <w:color w:val="auto"/>
                <w:spacing w:val="0"/>
                <w:position w:val="0"/>
                <w:sz w:val="24"/>
                <w:szCs w:val="24"/>
                <w:u w:val="none" w:color="auto"/>
                <w:lang w:val="en-US" w:eastAsia="zh-CN"/>
              </w:rPr>
              <w:t>C3464制冷、空调设备制造</w:t>
            </w:r>
            <w:r>
              <w:rPr>
                <w:rFonts w:hint="eastAsia" w:eastAsia="宋体" w:cs="Times New Roman"/>
                <w:color w:val="auto"/>
                <w:spacing w:val="0"/>
                <w:position w:val="0"/>
                <w:sz w:val="24"/>
                <w:szCs w:val="24"/>
                <w:u w:val="none" w:color="auto"/>
                <w:lang w:val="en-US" w:eastAsia="zh-CN"/>
              </w:rPr>
              <w:t>”</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lang w:eastAsia="zh-CN"/>
              </w:rPr>
              <w:t>对照</w:t>
            </w:r>
            <w:r>
              <w:rPr>
                <w:rFonts w:hint="default" w:ascii="Times New Roman" w:hAnsi="Times New Roman" w:eastAsia="宋体" w:cs="Times New Roman"/>
                <w:color w:val="auto"/>
                <w:spacing w:val="0"/>
                <w:position w:val="0"/>
                <w:sz w:val="24"/>
                <w:szCs w:val="24"/>
                <w:u w:val="none" w:color="auto"/>
              </w:rPr>
              <w:t>《产业结构调整指导目录</w:t>
            </w: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20</w:t>
            </w:r>
            <w:r>
              <w:rPr>
                <w:rFonts w:hint="eastAsia" w:cs="Times New Roman"/>
                <w:color w:val="auto"/>
                <w:spacing w:val="0"/>
                <w:position w:val="0"/>
                <w:sz w:val="24"/>
                <w:szCs w:val="24"/>
                <w:u w:val="none" w:color="auto"/>
                <w:lang w:val="en-US" w:eastAsia="zh-CN"/>
              </w:rPr>
              <w:t>24</w:t>
            </w:r>
            <w:r>
              <w:rPr>
                <w:rFonts w:hint="default" w:ascii="Times New Roman" w:hAnsi="Times New Roman" w:eastAsia="宋体" w:cs="Times New Roman"/>
                <w:color w:val="auto"/>
                <w:spacing w:val="0"/>
                <w:position w:val="0"/>
                <w:sz w:val="24"/>
                <w:szCs w:val="24"/>
                <w:u w:val="none" w:color="auto"/>
              </w:rPr>
              <w:t>年本）》，</w:t>
            </w:r>
            <w:r>
              <w:rPr>
                <w:rFonts w:hint="default" w:ascii="Times New Roman" w:hAnsi="Times New Roman" w:eastAsia="宋体" w:cs="Times New Roman"/>
                <w:color w:val="auto"/>
                <w:spacing w:val="0"/>
                <w:position w:val="0"/>
                <w:sz w:val="24"/>
                <w:szCs w:val="24"/>
                <w:u w:val="none" w:color="auto"/>
                <w:lang w:eastAsia="zh-CN"/>
              </w:rPr>
              <w:t>本项目不属于淘汰类和限制类</w:t>
            </w:r>
            <w:r>
              <w:rPr>
                <w:rFonts w:hint="default" w:ascii="Times New Roman" w:hAnsi="Times New Roman" w:eastAsia="宋体" w:cs="Times New Roman"/>
                <w:color w:val="auto"/>
                <w:spacing w:val="0"/>
                <w:position w:val="0"/>
                <w:sz w:val="24"/>
                <w:szCs w:val="24"/>
                <w:u w:val="none" w:color="auto"/>
              </w:rPr>
              <w:t>。</w:t>
            </w:r>
          </w:p>
          <w:p w14:paraId="712B6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本</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项目生产中使用的</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生产</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设备</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生产</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产品</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、工艺</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均不属于《产业结构调整指导目录》</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20</w:t>
            </w:r>
            <w:r>
              <w:rPr>
                <w:rFonts w:hint="eastAsia" w:cs="Times New Roman"/>
                <w:color w:val="000000" w:themeColor="text1"/>
                <w:spacing w:val="0"/>
                <w:position w:val="0"/>
                <w:sz w:val="24"/>
                <w:szCs w:val="24"/>
                <w:u w:val="none" w:color="auto"/>
                <w:lang w:val="en-US" w:eastAsia="zh-CN"/>
                <w14:textFill>
                  <w14:solidFill>
                    <w14:schemeClr w14:val="tx1"/>
                  </w14:solidFill>
                </w14:textFill>
              </w:rPr>
              <w:t>24</w:t>
            </w:r>
            <w:r>
              <w:rPr>
                <w:rFonts w:hint="default" w:ascii="Times New Roman" w:hAnsi="Times New Roman" w:eastAsia="宋体" w:cs="Times New Roman"/>
                <w:color w:val="000000" w:themeColor="text1"/>
                <w:spacing w:val="0"/>
                <w:position w:val="0"/>
                <w:sz w:val="24"/>
                <w:szCs w:val="24"/>
                <w:u w:val="none" w:color="auto"/>
                <w:lang w:val="en-US" w:eastAsia="zh-CN"/>
                <w14:textFill>
                  <w14:solidFill>
                    <w14:schemeClr w14:val="tx1"/>
                  </w14:solidFill>
                </w14:textFill>
              </w:rPr>
              <w:t>年</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本</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t>中</w:t>
            </w:r>
            <w:r>
              <w:rPr>
                <w:rFonts w:hint="default" w:ascii="Times New Roman" w:hAnsi="Times New Roman" w:cs="Times New Roman"/>
                <w:color w:val="000000" w:themeColor="text1"/>
                <w:spacing w:val="0"/>
                <w:position w:val="0"/>
                <w:sz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t>淘汰落后设备</w:t>
            </w:r>
            <w:r>
              <w:rPr>
                <w:rFonts w:hint="default" w:ascii="Times New Roman" w:hAnsi="Times New Roman"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t>和</w:t>
            </w:r>
            <w:r>
              <w:rPr>
                <w:rFonts w:hint="default" w:ascii="Times New Roman" w:hAnsi="Times New Roman" w:cs="Times New Roman"/>
                <w:color w:val="000000" w:themeColor="text1"/>
                <w:spacing w:val="0"/>
                <w:position w:val="0"/>
                <w:sz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t>落后产品</w:t>
            </w:r>
            <w:r>
              <w:rPr>
                <w:rFonts w:hint="default" w:ascii="Times New Roman" w:hAnsi="Times New Roman"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w:t>
            </w:r>
          </w:p>
          <w:p w14:paraId="05F92E61">
            <w:pPr>
              <w:keepNext w:val="0"/>
              <w:keepLines w:val="0"/>
              <w:suppressLineNumbers w:val="0"/>
              <w:spacing w:before="0" w:beforeAutospacing="0" w:after="0" w:afterAutospacing="0" w:line="360" w:lineRule="auto"/>
              <w:ind w:left="0" w:right="0" w:firstLine="480" w:firstLineChars="200"/>
              <w:rPr>
                <w:rFonts w:hint="default"/>
                <w:color w:val="auto"/>
                <w:sz w:val="24"/>
                <w:szCs w:val="24"/>
              </w:rPr>
            </w:pPr>
            <w:r>
              <w:rPr>
                <w:rFonts w:hint="eastAsia" w:ascii="Times New Roman" w:hAnsi="Times New Roman" w:eastAsia="宋体" w:cs="Times New Roman"/>
                <w:color w:val="auto"/>
                <w:spacing w:val="0"/>
                <w:w w:val="100"/>
                <w:sz w:val="24"/>
                <w:szCs w:val="24"/>
                <w:u w:val="none" w:color="auto"/>
                <w:lang w:val="en-US" w:eastAsia="zh-CN"/>
              </w:rPr>
              <w:t>同时项目已取得岳阳市发展和改革委员会备案证明，因此</w:t>
            </w:r>
            <w:r>
              <w:rPr>
                <w:rFonts w:hint="default" w:ascii="Times New Roman" w:hAnsi="Times New Roman" w:eastAsia="宋体" w:cs="Times New Roman"/>
                <w:color w:val="auto"/>
                <w:spacing w:val="0"/>
                <w:w w:val="100"/>
                <w:sz w:val="24"/>
                <w:szCs w:val="24"/>
                <w:u w:val="none" w:color="auto"/>
                <w:lang w:val="en-US" w:eastAsia="zh-CN"/>
              </w:rPr>
              <w:t>本项目符合国家产业政策。</w:t>
            </w:r>
          </w:p>
          <w:p w14:paraId="6675767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default" w:ascii="Times New Roman" w:hAnsi="Times New Roman" w:eastAsia="宋体" w:cs="Times New Roman"/>
                <w:b/>
                <w:bCs/>
                <w:color w:val="000000" w:themeColor="text1"/>
                <w:spacing w:val="0"/>
                <w:kern w:val="0"/>
                <w:position w:val="0"/>
                <w:sz w:val="24"/>
                <w:szCs w:val="24"/>
                <w:highlight w:val="none"/>
                <w:u w:val="none" w:color="auto"/>
                <w:lang w:val="en-US" w:eastAsia="zh-CN" w:bidi="ar-SA"/>
                <w14:textFill>
                  <w14:solidFill>
                    <w14:schemeClr w14:val="tx1"/>
                  </w14:solidFill>
                </w14:textFill>
              </w:rPr>
            </w:pPr>
            <w:r>
              <w:rPr>
                <w:rFonts w:hint="default" w:ascii="Times New Roman" w:hAnsi="Times New Roman" w:cs="Times New Roman"/>
                <w:b/>
                <w:bCs/>
                <w:color w:val="000000" w:themeColor="text1"/>
                <w:spacing w:val="0"/>
                <w:kern w:val="0"/>
                <w:position w:val="0"/>
                <w:sz w:val="24"/>
                <w:szCs w:val="24"/>
                <w:highlight w:val="none"/>
                <w:u w:val="none" w:color="auto"/>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pacing w:val="0"/>
                <w:kern w:val="0"/>
                <w:position w:val="0"/>
                <w:sz w:val="24"/>
                <w:szCs w:val="24"/>
                <w:highlight w:val="none"/>
                <w:u w:val="none" w:color="auto"/>
                <w:lang w:val="en-US" w:eastAsia="zh-CN" w:bidi="ar-SA"/>
                <w14:textFill>
                  <w14:solidFill>
                    <w14:schemeClr w14:val="tx1"/>
                  </w14:solidFill>
                </w14:textFill>
              </w:rPr>
              <w:t>与《湖南省</w:t>
            </w:r>
            <w:r>
              <w:rPr>
                <w:rFonts w:hint="default" w:ascii="Times New Roman" w:hAnsi="Times New Roman" w:cs="Times New Roman"/>
                <w:b/>
                <w:bCs/>
                <w:color w:val="000000" w:themeColor="text1"/>
                <w:spacing w:val="0"/>
                <w:kern w:val="0"/>
                <w:position w:val="0"/>
                <w:sz w:val="24"/>
                <w:szCs w:val="24"/>
                <w:highlight w:val="none"/>
                <w:u w:val="none" w:color="auto"/>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0"/>
                <w:kern w:val="0"/>
                <w:position w:val="0"/>
                <w:sz w:val="24"/>
                <w:szCs w:val="24"/>
                <w:highlight w:val="none"/>
                <w:u w:val="none" w:color="auto"/>
                <w:lang w:val="en-US" w:eastAsia="zh-CN" w:bidi="ar-SA"/>
                <w14:textFill>
                  <w14:solidFill>
                    <w14:schemeClr w14:val="tx1"/>
                  </w14:solidFill>
                </w14:textFill>
              </w:rPr>
              <w:t>两高</w:t>
            </w:r>
            <w:r>
              <w:rPr>
                <w:rFonts w:hint="default" w:ascii="Times New Roman" w:hAnsi="Times New Roman" w:cs="Times New Roman"/>
                <w:b/>
                <w:bCs/>
                <w:color w:val="000000" w:themeColor="text1"/>
                <w:spacing w:val="0"/>
                <w:kern w:val="0"/>
                <w:position w:val="0"/>
                <w:sz w:val="24"/>
                <w:szCs w:val="24"/>
                <w:highlight w:val="none"/>
                <w:u w:val="none" w:color="auto"/>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0"/>
                <w:kern w:val="0"/>
                <w:position w:val="0"/>
                <w:sz w:val="24"/>
                <w:szCs w:val="24"/>
                <w:highlight w:val="none"/>
                <w:u w:val="none" w:color="auto"/>
                <w:lang w:val="en-US" w:eastAsia="zh-CN" w:bidi="ar-SA"/>
                <w14:textFill>
                  <w14:solidFill>
                    <w14:schemeClr w14:val="tx1"/>
                  </w14:solidFill>
                </w14:textFill>
              </w:rPr>
              <w:t>项目管理目录》相符性分析</w:t>
            </w:r>
          </w:p>
          <w:p w14:paraId="0F263542">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t>《湖南省</w:t>
            </w:r>
            <w:r>
              <w:rPr>
                <w:rFonts w:hint="default" w:ascii="Times New Roman" w:hAnsi="Times New Roman" w:cs="Times New Roman"/>
                <w:color w:val="000000" w:themeColor="text1"/>
                <w:spacing w:val="0"/>
                <w:position w:val="0"/>
                <w:sz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t>两高</w:t>
            </w:r>
            <w:r>
              <w:rPr>
                <w:rFonts w:hint="default" w:ascii="Times New Roman" w:hAnsi="Times New Roman" w:cs="Times New Roman"/>
                <w:color w:val="000000" w:themeColor="text1"/>
                <w:spacing w:val="0"/>
                <w:position w:val="0"/>
                <w:sz w:val="24"/>
                <w:szCs w:val="24"/>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t>项目管理目录》详见下表</w:t>
            </w:r>
            <w:r>
              <w:rPr>
                <w:rFonts w:hint="default" w:ascii="Times New Roman" w:hAnsi="Times New Roman" w:cs="Times New Roman"/>
                <w:color w:val="000000" w:themeColor="text1"/>
                <w:spacing w:val="0"/>
                <w:kern w:val="0"/>
                <w:position w:val="0"/>
                <w:sz w:val="24"/>
                <w:szCs w:val="24"/>
                <w:highlight w:val="none"/>
                <w:u w:val="none" w:color="auto"/>
                <w:lang w:val="en-US" w:eastAsia="zh-CN" w:bidi="ar-SA"/>
                <w14:textFill>
                  <w14:solidFill>
                    <w14:schemeClr w14:val="tx1"/>
                  </w14:solidFill>
                </w14:textFill>
              </w:rPr>
              <w:t>：</w:t>
            </w:r>
          </w:p>
          <w:p w14:paraId="177F1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表1-</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 xml:space="preserve">  湖南省</w:t>
            </w: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两高</w:t>
            </w: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项目管理目录</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
              <w:gridCol w:w="474"/>
              <w:gridCol w:w="2367"/>
              <w:gridCol w:w="2818"/>
              <w:gridCol w:w="1567"/>
            </w:tblGrid>
            <w:tr w14:paraId="2808B6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tcBorders>
                    <w:tl2br w:val="nil"/>
                    <w:tr2bl w:val="nil"/>
                  </w:tcBorders>
                  <w:noWrap w:val="0"/>
                  <w:vAlign w:val="center"/>
                </w:tcPr>
                <w:p w14:paraId="49905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u w:val="none" w:color="auto"/>
                      <w:vertAlign w:val="baseline"/>
                      <w:lang w:val="en-US" w:eastAsia="zh-CN"/>
                      <w14:textFill>
                        <w14:solidFill>
                          <w14:schemeClr w14:val="tx1"/>
                        </w14:solidFill>
                      </w14:textFill>
                    </w:rPr>
                    <w:t>序号</w:t>
                  </w:r>
                </w:p>
              </w:tc>
              <w:tc>
                <w:tcPr>
                  <w:tcW w:w="310" w:type="pct"/>
                  <w:tcBorders>
                    <w:tl2br w:val="nil"/>
                    <w:tr2bl w:val="nil"/>
                  </w:tcBorders>
                  <w:noWrap w:val="0"/>
                  <w:vAlign w:val="center"/>
                </w:tcPr>
                <w:p w14:paraId="55202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u w:val="none" w:color="auto"/>
                      <w:vertAlign w:val="baseline"/>
                      <w:lang w:val="en-US" w:eastAsia="zh-CN"/>
                      <w14:textFill>
                        <w14:solidFill>
                          <w14:schemeClr w14:val="tx1"/>
                        </w14:solidFill>
                      </w14:textFill>
                    </w:rPr>
                    <w:t>行业</w:t>
                  </w:r>
                </w:p>
              </w:tc>
              <w:tc>
                <w:tcPr>
                  <w:tcW w:w="1549" w:type="pct"/>
                  <w:tcBorders>
                    <w:tl2br w:val="nil"/>
                    <w:tr2bl w:val="nil"/>
                  </w:tcBorders>
                  <w:noWrap w:val="0"/>
                  <w:vAlign w:val="center"/>
                </w:tcPr>
                <w:p w14:paraId="0EB7E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position w:val="0"/>
                      <w:sz w:val="21"/>
                      <w:szCs w:val="21"/>
                      <w:highlight w:val="none"/>
                      <w:u w:val="none" w:color="auto"/>
                      <w:vertAlign w:val="baseline"/>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u w:val="none" w:color="auto"/>
                      <w:vertAlign w:val="baseline"/>
                      <w:lang w:val="en-US" w:eastAsia="zh-CN"/>
                      <w14:textFill>
                        <w14:solidFill>
                          <w14:schemeClr w14:val="tx1"/>
                        </w14:solidFill>
                      </w14:textFill>
                    </w:rPr>
                    <w:t>主要内容</w:t>
                  </w:r>
                </w:p>
              </w:tc>
              <w:tc>
                <w:tcPr>
                  <w:tcW w:w="1844" w:type="pct"/>
                  <w:tcBorders>
                    <w:tl2br w:val="nil"/>
                    <w:tr2bl w:val="nil"/>
                  </w:tcBorders>
                  <w:noWrap w:val="0"/>
                  <w:vAlign w:val="center"/>
                </w:tcPr>
                <w:p w14:paraId="18682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u w:val="none" w:color="auto"/>
                      <w:vertAlign w:val="baseline"/>
                      <w:lang w:val="en-US" w:eastAsia="zh-CN"/>
                      <w14:textFill>
                        <w14:solidFill>
                          <w14:schemeClr w14:val="tx1"/>
                        </w14:solidFill>
                      </w14:textFill>
                    </w:rPr>
                    <w:t>涉及主要产品及工序</w:t>
                  </w:r>
                </w:p>
              </w:tc>
              <w:tc>
                <w:tcPr>
                  <w:tcW w:w="1025" w:type="pct"/>
                  <w:tcBorders>
                    <w:tl2br w:val="nil"/>
                    <w:tr2bl w:val="nil"/>
                  </w:tcBorders>
                  <w:noWrap w:val="0"/>
                  <w:vAlign w:val="center"/>
                </w:tcPr>
                <w:p w14:paraId="4334B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u w:val="none" w:color="auto"/>
                      <w:vertAlign w:val="baseline"/>
                      <w:lang w:val="en-US" w:eastAsia="zh-CN"/>
                      <w14:textFill>
                        <w14:solidFill>
                          <w14:schemeClr w14:val="tx1"/>
                        </w14:solidFill>
                      </w14:textFill>
                    </w:rPr>
                    <w:t>备注</w:t>
                  </w:r>
                </w:p>
              </w:tc>
            </w:tr>
            <w:tr w14:paraId="2D5A9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tcBorders>
                    <w:tl2br w:val="nil"/>
                    <w:tr2bl w:val="nil"/>
                  </w:tcBorders>
                  <w:noWrap w:val="0"/>
                  <w:vAlign w:val="center"/>
                </w:tcPr>
                <w:p w14:paraId="2F47A7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1</w:t>
                  </w:r>
                </w:p>
              </w:tc>
              <w:tc>
                <w:tcPr>
                  <w:tcW w:w="310" w:type="pct"/>
                  <w:tcBorders>
                    <w:tl2br w:val="nil"/>
                    <w:tr2bl w:val="nil"/>
                  </w:tcBorders>
                  <w:noWrap w:val="0"/>
                  <w:vAlign w:val="center"/>
                </w:tcPr>
                <w:p w14:paraId="1F058C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石化</w:t>
                  </w:r>
                </w:p>
              </w:tc>
              <w:tc>
                <w:tcPr>
                  <w:tcW w:w="1549" w:type="pct"/>
                  <w:tcBorders>
                    <w:tl2br w:val="nil"/>
                    <w:tr2bl w:val="nil"/>
                  </w:tcBorders>
                  <w:noWrap w:val="0"/>
                  <w:vAlign w:val="center"/>
                </w:tcPr>
                <w:p w14:paraId="52697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t>原油加工及石油制品制造</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2511</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p>
              </w:tc>
              <w:tc>
                <w:tcPr>
                  <w:tcW w:w="1844" w:type="pct"/>
                  <w:tcBorders>
                    <w:tl2br w:val="nil"/>
                    <w:tr2bl w:val="nil"/>
                  </w:tcBorders>
                  <w:noWrap w:val="0"/>
                  <w:vAlign w:val="center"/>
                </w:tcPr>
                <w:p w14:paraId="0F6D80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炼油、乙烯</w:t>
                  </w:r>
                </w:p>
              </w:tc>
              <w:tc>
                <w:tcPr>
                  <w:tcW w:w="1025" w:type="pct"/>
                  <w:tcBorders>
                    <w:tl2br w:val="nil"/>
                    <w:tr2bl w:val="nil"/>
                  </w:tcBorders>
                  <w:noWrap w:val="0"/>
                  <w:vAlign w:val="center"/>
                </w:tcPr>
                <w:p w14:paraId="7A821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w:t>
                  </w:r>
                </w:p>
              </w:tc>
            </w:tr>
            <w:tr w14:paraId="03E4A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tcBorders>
                    <w:tl2br w:val="nil"/>
                    <w:tr2bl w:val="nil"/>
                  </w:tcBorders>
                  <w:noWrap w:val="0"/>
                  <w:vAlign w:val="center"/>
                </w:tcPr>
                <w:p w14:paraId="08AE0D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2</w:t>
                  </w:r>
                </w:p>
              </w:tc>
              <w:tc>
                <w:tcPr>
                  <w:tcW w:w="310" w:type="pct"/>
                  <w:tcBorders>
                    <w:tl2br w:val="nil"/>
                    <w:tr2bl w:val="nil"/>
                  </w:tcBorders>
                  <w:noWrap w:val="0"/>
                  <w:vAlign w:val="center"/>
                </w:tcPr>
                <w:p w14:paraId="4FD717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化工</w:t>
                  </w:r>
                </w:p>
              </w:tc>
              <w:tc>
                <w:tcPr>
                  <w:tcW w:w="1549" w:type="pct"/>
                  <w:tcBorders>
                    <w:tl2br w:val="nil"/>
                    <w:tr2bl w:val="nil"/>
                  </w:tcBorders>
                  <w:noWrap w:val="0"/>
                  <w:vAlign w:val="center"/>
                </w:tcPr>
                <w:p w14:paraId="5E8A42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t>无机酸制造</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2611</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t>无机碱制造</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2612</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t>无机盐制造</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2613</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p>
              </w:tc>
              <w:tc>
                <w:tcPr>
                  <w:tcW w:w="1844" w:type="pct"/>
                  <w:tcBorders>
                    <w:tl2br w:val="nil"/>
                    <w:tr2bl w:val="nil"/>
                  </w:tcBorders>
                  <w:noWrap w:val="0"/>
                  <w:vAlign w:val="center"/>
                </w:tcPr>
                <w:p w14:paraId="15603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烧碱、纯碱、工业硫酸、黄磷、合成氨、尿素、磷铵、电石、聚氯乙烯、聚丙烯、精对苯二甲酸、对二甲苯、苯乙烯、乙酸乙烯酯、二苯基甲烷二异氰酸酯、1,4-丁二醇</w:t>
                  </w:r>
                </w:p>
              </w:tc>
              <w:tc>
                <w:tcPr>
                  <w:tcW w:w="1025" w:type="pct"/>
                  <w:tcBorders>
                    <w:tl2br w:val="nil"/>
                    <w:tr2bl w:val="nil"/>
                  </w:tcBorders>
                  <w:noWrap w:val="0"/>
                  <w:vAlign w:val="center"/>
                </w:tcPr>
                <w:p w14:paraId="25D77D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w:t>
                  </w:r>
                </w:p>
              </w:tc>
            </w:tr>
            <w:tr w14:paraId="76AB5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tcBorders>
                    <w:tl2br w:val="nil"/>
                    <w:tr2bl w:val="nil"/>
                  </w:tcBorders>
                  <w:noWrap w:val="0"/>
                  <w:vAlign w:val="center"/>
                </w:tcPr>
                <w:p w14:paraId="631E7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3</w:t>
                  </w:r>
                </w:p>
              </w:tc>
              <w:tc>
                <w:tcPr>
                  <w:tcW w:w="310" w:type="pct"/>
                  <w:tcBorders>
                    <w:tl2br w:val="nil"/>
                    <w:tr2bl w:val="nil"/>
                  </w:tcBorders>
                  <w:noWrap w:val="0"/>
                  <w:vAlign w:val="center"/>
                </w:tcPr>
                <w:p w14:paraId="4F0A7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煤化工</w:t>
                  </w:r>
                </w:p>
              </w:tc>
              <w:tc>
                <w:tcPr>
                  <w:tcW w:w="1549" w:type="pct"/>
                  <w:tcBorders>
                    <w:tl2br w:val="nil"/>
                    <w:tr2bl w:val="nil"/>
                  </w:tcBorders>
                  <w:noWrap w:val="0"/>
                  <w:vAlign w:val="center"/>
                </w:tcPr>
                <w:p w14:paraId="13674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t>煤制合成气生产</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2522</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t>煤制液体燃料生产</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2523</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p>
              </w:tc>
              <w:tc>
                <w:tcPr>
                  <w:tcW w:w="1844" w:type="pct"/>
                  <w:tcBorders>
                    <w:tl2br w:val="nil"/>
                    <w:tr2bl w:val="nil"/>
                  </w:tcBorders>
                  <w:noWrap w:val="0"/>
                  <w:vAlign w:val="center"/>
                </w:tcPr>
                <w:p w14:paraId="361C1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一氧化碳、氢气、甲烷及其他煤制合成气；甲醇、二甲醚、乙二醇、汽油、柴油和航空燃料及其他煤制液体燃料</w:t>
                  </w:r>
                </w:p>
              </w:tc>
              <w:tc>
                <w:tcPr>
                  <w:tcW w:w="1025" w:type="pct"/>
                  <w:tcBorders>
                    <w:tl2br w:val="nil"/>
                    <w:tr2bl w:val="nil"/>
                  </w:tcBorders>
                  <w:noWrap w:val="0"/>
                  <w:vAlign w:val="center"/>
                </w:tcPr>
                <w:p w14:paraId="6F8A2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w:t>
                  </w:r>
                </w:p>
              </w:tc>
            </w:tr>
            <w:tr w14:paraId="116AD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tcBorders>
                    <w:tl2br w:val="nil"/>
                    <w:tr2bl w:val="nil"/>
                  </w:tcBorders>
                  <w:noWrap w:val="0"/>
                  <w:vAlign w:val="center"/>
                </w:tcPr>
                <w:p w14:paraId="79E79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4</w:t>
                  </w:r>
                </w:p>
              </w:tc>
              <w:tc>
                <w:tcPr>
                  <w:tcW w:w="310" w:type="pct"/>
                  <w:tcBorders>
                    <w:tl2br w:val="nil"/>
                    <w:tr2bl w:val="nil"/>
                  </w:tcBorders>
                  <w:noWrap w:val="0"/>
                  <w:vAlign w:val="center"/>
                </w:tcPr>
                <w:p w14:paraId="616FF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t>焦化</w:t>
                  </w:r>
                </w:p>
              </w:tc>
              <w:tc>
                <w:tcPr>
                  <w:tcW w:w="1549" w:type="pct"/>
                  <w:tcBorders>
                    <w:tl2br w:val="nil"/>
                    <w:tr2bl w:val="nil"/>
                  </w:tcBorders>
                  <w:noWrap w:val="0"/>
                  <w:vAlign w:val="center"/>
                </w:tcPr>
                <w:p w14:paraId="27C9E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eastAsia="zh-CN"/>
                      <w14:textFill>
                        <w14:solidFill>
                          <w14:schemeClr w14:val="tx1"/>
                        </w14:solidFill>
                      </w14:textFill>
                    </w:rPr>
                    <w:t>炼焦（</w:t>
                  </w: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2521</w:t>
                  </w: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eastAsia="zh-CN"/>
                      <w14:textFill>
                        <w14:solidFill>
                          <w14:schemeClr w14:val="tx1"/>
                        </w14:solidFill>
                      </w14:textFill>
                    </w:rPr>
                    <w:t>）</w:t>
                  </w:r>
                </w:p>
              </w:tc>
              <w:tc>
                <w:tcPr>
                  <w:tcW w:w="1844" w:type="pct"/>
                  <w:tcBorders>
                    <w:tl2br w:val="nil"/>
                    <w:tr2bl w:val="nil"/>
                  </w:tcBorders>
                  <w:noWrap w:val="0"/>
                  <w:vAlign w:val="center"/>
                </w:tcPr>
                <w:p w14:paraId="57EED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焦炭、石油焦（焦炭类）、沥青焦、其他原料生产焦炭、机焦、型焦、土焦、半焦炭、针状焦、其他工艺生产焦炭、矿物油焦</w:t>
                  </w:r>
                </w:p>
              </w:tc>
              <w:tc>
                <w:tcPr>
                  <w:tcW w:w="1025" w:type="pct"/>
                  <w:tcBorders>
                    <w:tl2br w:val="nil"/>
                    <w:tr2bl w:val="nil"/>
                  </w:tcBorders>
                  <w:noWrap w:val="0"/>
                  <w:vAlign w:val="center"/>
                </w:tcPr>
                <w:p w14:paraId="1F14B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w:t>
                  </w:r>
                </w:p>
              </w:tc>
            </w:tr>
            <w:tr w14:paraId="72CD5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tcBorders>
                    <w:tl2br w:val="nil"/>
                    <w:tr2bl w:val="nil"/>
                  </w:tcBorders>
                  <w:noWrap w:val="0"/>
                  <w:vAlign w:val="center"/>
                </w:tcPr>
                <w:p w14:paraId="5B78F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5</w:t>
                  </w:r>
                </w:p>
              </w:tc>
              <w:tc>
                <w:tcPr>
                  <w:tcW w:w="310" w:type="pct"/>
                  <w:tcBorders>
                    <w:tl2br w:val="nil"/>
                    <w:tr2bl w:val="nil"/>
                  </w:tcBorders>
                  <w:noWrap w:val="0"/>
                  <w:vAlign w:val="center"/>
                </w:tcPr>
                <w:p w14:paraId="3848A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t>钢铁</w:t>
                  </w:r>
                </w:p>
              </w:tc>
              <w:tc>
                <w:tcPr>
                  <w:tcW w:w="1549" w:type="pct"/>
                  <w:tcBorders>
                    <w:tl2br w:val="nil"/>
                    <w:tr2bl w:val="nil"/>
                  </w:tcBorders>
                  <w:noWrap w:val="0"/>
                  <w:vAlign w:val="center"/>
                </w:tcPr>
                <w:p w14:paraId="4CBEF9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炼铁（</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3110</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）、炼钢（</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3120</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）、铁合金（</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3140</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p>
              </w:tc>
              <w:tc>
                <w:tcPr>
                  <w:tcW w:w="1844" w:type="pct"/>
                  <w:tcBorders>
                    <w:tl2br w:val="nil"/>
                    <w:tr2bl w:val="nil"/>
                  </w:tcBorders>
                  <w:noWrap w:val="0"/>
                  <w:vAlign w:val="center"/>
                </w:tcPr>
                <w:p w14:paraId="5660CD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炼钢用高炉生铁、直接还原铁、熔融还原铁、非合金钢粗钢、低合金钢粗钢、合金钢粗钢、铁合金、电解金属锰</w:t>
                  </w:r>
                </w:p>
              </w:tc>
              <w:tc>
                <w:tcPr>
                  <w:tcW w:w="1025" w:type="pct"/>
                  <w:tcBorders>
                    <w:tl2br w:val="nil"/>
                    <w:tr2bl w:val="nil"/>
                  </w:tcBorders>
                  <w:noWrap w:val="0"/>
                  <w:vAlign w:val="center"/>
                </w:tcPr>
                <w:p w14:paraId="591204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不包括以含重金属固体废弃物为原料（≥85%）进行锰资源综合回收项目。</w:t>
                  </w:r>
                </w:p>
              </w:tc>
            </w:tr>
            <w:tr w14:paraId="1A86F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restart"/>
                  <w:tcBorders>
                    <w:tl2br w:val="nil"/>
                    <w:tr2bl w:val="nil"/>
                  </w:tcBorders>
                  <w:noWrap w:val="0"/>
                  <w:vAlign w:val="center"/>
                </w:tcPr>
                <w:p w14:paraId="455F7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6</w:t>
                  </w:r>
                </w:p>
              </w:tc>
              <w:tc>
                <w:tcPr>
                  <w:tcW w:w="310" w:type="pct"/>
                  <w:vMerge w:val="restart"/>
                  <w:tcBorders>
                    <w:tl2br w:val="nil"/>
                    <w:tr2bl w:val="nil"/>
                  </w:tcBorders>
                  <w:noWrap w:val="0"/>
                  <w:vAlign w:val="center"/>
                </w:tcPr>
                <w:p w14:paraId="0819C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t>建材</w:t>
                  </w:r>
                </w:p>
              </w:tc>
              <w:tc>
                <w:tcPr>
                  <w:tcW w:w="1549" w:type="pct"/>
                  <w:vMerge w:val="restart"/>
                  <w:tcBorders>
                    <w:tl2br w:val="nil"/>
                    <w:tr2bl w:val="nil"/>
                  </w:tcBorders>
                  <w:noWrap w:val="0"/>
                  <w:vAlign w:val="center"/>
                </w:tcPr>
                <w:p w14:paraId="1FBD9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t>水泥制造</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3011</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t>石灰和石膏制造</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3012</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t>粘土砖瓦及建筑砌块制造</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3031</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）、平板玻璃制造（</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3041</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t>建筑陶瓷制品制造</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3071</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p>
              </w:tc>
              <w:tc>
                <w:tcPr>
                  <w:tcW w:w="1844" w:type="pct"/>
                  <w:tcBorders>
                    <w:tl2br w:val="nil"/>
                    <w:tr2bl w:val="nil"/>
                  </w:tcBorders>
                  <w:noWrap w:val="0"/>
                  <w:vAlign w:val="center"/>
                </w:tcPr>
                <w:p w14:paraId="7BC6B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石灰、建筑陶瓷、耐火材料、烧结砖瓦</w:t>
                  </w:r>
                </w:p>
              </w:tc>
              <w:tc>
                <w:tcPr>
                  <w:tcW w:w="1025" w:type="pct"/>
                  <w:tcBorders>
                    <w:tl2br w:val="nil"/>
                    <w:tr2bl w:val="nil"/>
                  </w:tcBorders>
                  <w:noWrap w:val="0"/>
                  <w:vAlign w:val="center"/>
                </w:tcPr>
                <w:p w14:paraId="3A6812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不包括</w:t>
                  </w:r>
                  <w: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资源综合</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利用项目。</w:t>
                  </w:r>
                </w:p>
              </w:tc>
            </w:tr>
            <w:tr w14:paraId="29E60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vMerge w:val="continue"/>
                  <w:tcBorders>
                    <w:tl2br w:val="nil"/>
                    <w:tr2bl w:val="nil"/>
                  </w:tcBorders>
                  <w:noWrap w:val="0"/>
                  <w:vAlign w:val="center"/>
                </w:tcPr>
                <w:p w14:paraId="57D702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p>
              </w:tc>
              <w:tc>
                <w:tcPr>
                  <w:tcW w:w="310" w:type="pct"/>
                  <w:vMerge w:val="continue"/>
                  <w:tcBorders>
                    <w:tl2br w:val="nil"/>
                    <w:tr2bl w:val="nil"/>
                  </w:tcBorders>
                  <w:noWrap w:val="0"/>
                  <w:vAlign w:val="center"/>
                </w:tcPr>
                <w:p w14:paraId="1DFC7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p>
              </w:tc>
              <w:tc>
                <w:tcPr>
                  <w:tcW w:w="1549" w:type="pct"/>
                  <w:vMerge w:val="continue"/>
                  <w:tcBorders>
                    <w:tl2br w:val="nil"/>
                    <w:tr2bl w:val="nil"/>
                  </w:tcBorders>
                  <w:noWrap w:val="0"/>
                  <w:vAlign w:val="center"/>
                </w:tcPr>
                <w:p w14:paraId="008E7C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pPr>
                </w:p>
              </w:tc>
              <w:tc>
                <w:tcPr>
                  <w:tcW w:w="1844" w:type="pct"/>
                  <w:tcBorders>
                    <w:tl2br w:val="nil"/>
                    <w:tr2bl w:val="nil"/>
                  </w:tcBorders>
                  <w:noWrap w:val="0"/>
                  <w:vAlign w:val="center"/>
                </w:tcPr>
                <w:p w14:paraId="57D48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水泥熟料、平板玻璃</w:t>
                  </w:r>
                </w:p>
              </w:tc>
              <w:tc>
                <w:tcPr>
                  <w:tcW w:w="1025" w:type="pct"/>
                  <w:tcBorders>
                    <w:tl2br w:val="nil"/>
                    <w:tr2bl w:val="nil"/>
                  </w:tcBorders>
                  <w:noWrap w:val="0"/>
                  <w:vAlign w:val="center"/>
                </w:tcPr>
                <w:p w14:paraId="22319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w:t>
                  </w:r>
                </w:p>
              </w:tc>
            </w:tr>
            <w:tr w14:paraId="1FEEF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tcBorders>
                    <w:tl2br w:val="nil"/>
                    <w:tr2bl w:val="nil"/>
                  </w:tcBorders>
                  <w:noWrap w:val="0"/>
                  <w:vAlign w:val="center"/>
                </w:tcPr>
                <w:p w14:paraId="3E396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7</w:t>
                  </w:r>
                </w:p>
              </w:tc>
              <w:tc>
                <w:tcPr>
                  <w:tcW w:w="310" w:type="pct"/>
                  <w:tcBorders>
                    <w:tl2br w:val="nil"/>
                    <w:tr2bl w:val="nil"/>
                  </w:tcBorders>
                  <w:noWrap w:val="0"/>
                  <w:vAlign w:val="center"/>
                </w:tcPr>
                <w:p w14:paraId="05342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t>有色</w:t>
                  </w:r>
                </w:p>
              </w:tc>
              <w:tc>
                <w:tcPr>
                  <w:tcW w:w="1549" w:type="pct"/>
                  <w:tcBorders>
                    <w:tl2br w:val="nil"/>
                    <w:tr2bl w:val="nil"/>
                  </w:tcBorders>
                  <w:noWrap w:val="0"/>
                  <w:vAlign w:val="center"/>
                </w:tcPr>
                <w:p w14:paraId="6B53F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铜冶炼（</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3211</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）、铅锌冶炼（</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3212</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）、锑冶炼（</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3215</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）、铝冶炼（</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3216</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）、硅冶炼（</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3218</w:t>
                  </w: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w:t>
                  </w:r>
                </w:p>
              </w:tc>
              <w:tc>
                <w:tcPr>
                  <w:tcW w:w="1844" w:type="pct"/>
                  <w:tcBorders>
                    <w:tl2br w:val="nil"/>
                    <w:tr2bl w:val="nil"/>
                  </w:tcBorders>
                  <w:noWrap w:val="0"/>
                  <w:vAlign w:val="center"/>
                </w:tcPr>
                <w:p w14:paraId="6C050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t>铜、铅锌、锑、铝、硅冶炼</w:t>
                  </w:r>
                </w:p>
              </w:tc>
              <w:tc>
                <w:tcPr>
                  <w:tcW w:w="1025" w:type="pct"/>
                  <w:tcBorders>
                    <w:tl2br w:val="nil"/>
                    <w:tr2bl w:val="nil"/>
                  </w:tcBorders>
                  <w:noWrap w:val="0"/>
                  <w:vAlign w:val="center"/>
                </w:tcPr>
                <w:p w14:paraId="1ACCC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不包括</w:t>
                  </w:r>
                  <w: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再生有色资源冶炼</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项目。</w:t>
                  </w:r>
                </w:p>
              </w:tc>
            </w:tr>
            <w:tr w14:paraId="6AEDB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tcBorders>
                    <w:tl2br w:val="nil"/>
                    <w:tr2bl w:val="nil"/>
                  </w:tcBorders>
                  <w:noWrap w:val="0"/>
                  <w:vAlign w:val="center"/>
                </w:tcPr>
                <w:p w14:paraId="37B6B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8</w:t>
                  </w:r>
                </w:p>
              </w:tc>
              <w:tc>
                <w:tcPr>
                  <w:tcW w:w="310" w:type="pct"/>
                  <w:tcBorders>
                    <w:tl2br w:val="nil"/>
                    <w:tr2bl w:val="nil"/>
                  </w:tcBorders>
                  <w:noWrap w:val="0"/>
                  <w:vAlign w:val="center"/>
                </w:tcPr>
                <w:p w14:paraId="1C6E5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煤电</w:t>
                  </w:r>
                </w:p>
              </w:tc>
              <w:tc>
                <w:tcPr>
                  <w:tcW w:w="1549" w:type="pct"/>
                  <w:tcBorders>
                    <w:tl2br w:val="nil"/>
                    <w:tr2bl w:val="nil"/>
                  </w:tcBorders>
                  <w:noWrap w:val="0"/>
                  <w:vAlign w:val="center"/>
                </w:tcPr>
                <w:p w14:paraId="57CB0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火力发电（4411）、热电联产（4412）</w:t>
                  </w:r>
                </w:p>
              </w:tc>
              <w:tc>
                <w:tcPr>
                  <w:tcW w:w="1844" w:type="pct"/>
                  <w:tcBorders>
                    <w:tl2br w:val="nil"/>
                    <w:tr2bl w:val="nil"/>
                  </w:tcBorders>
                  <w:noWrap w:val="0"/>
                  <w:vAlign w:val="center"/>
                </w:tcPr>
                <w:p w14:paraId="7733D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燃煤发电、燃煤热电联产</w:t>
                  </w:r>
                </w:p>
              </w:tc>
              <w:tc>
                <w:tcPr>
                  <w:tcW w:w="1025" w:type="pct"/>
                  <w:tcBorders>
                    <w:tl2br w:val="nil"/>
                    <w:tr2bl w:val="nil"/>
                  </w:tcBorders>
                  <w:noWrap w:val="0"/>
                  <w:vAlign w:val="center"/>
                </w:tcPr>
                <w:p w14:paraId="6BEEE9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w:t>
                  </w:r>
                </w:p>
              </w:tc>
            </w:tr>
            <w:tr w14:paraId="0551D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tcBorders>
                    <w:tl2br w:val="nil"/>
                    <w:tr2bl w:val="nil"/>
                  </w:tcBorders>
                  <w:noWrap w:val="0"/>
                  <w:vAlign w:val="center"/>
                </w:tcPr>
                <w:p w14:paraId="0B5C4B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u w:val="none" w:color="auto"/>
                      <w:vertAlign w:val="baseline"/>
                      <w:lang w:val="en-US" w:eastAsia="zh-CN"/>
                      <w14:textFill>
                        <w14:solidFill>
                          <w14:schemeClr w14:val="tx1"/>
                        </w14:solidFill>
                      </w14:textFill>
                    </w:rPr>
                    <w:t>9</w:t>
                  </w:r>
                </w:p>
              </w:tc>
              <w:tc>
                <w:tcPr>
                  <w:tcW w:w="4729" w:type="pct"/>
                  <w:gridSpan w:val="4"/>
                  <w:tcBorders>
                    <w:tl2br w:val="nil"/>
                    <w:tr2bl w:val="nil"/>
                  </w:tcBorders>
                  <w:noWrap w:val="0"/>
                  <w:vAlign w:val="center"/>
                </w:tcPr>
                <w:p w14:paraId="324BA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pacing w:val="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u w:val="none" w:color="auto"/>
                      <w:lang w:val="en-US" w:eastAsia="zh-CN"/>
                      <w14:textFill>
                        <w14:solidFill>
                          <w14:schemeClr w14:val="tx1"/>
                        </w14:solidFill>
                      </w14:textFill>
                    </w:rPr>
                    <w:t>涉煤及煤制品、石油焦、渣油、重油等高污染燃料使用工业炉窑、锅炉的项目</w:t>
                  </w:r>
                </w:p>
              </w:tc>
            </w:tr>
          </w:tbl>
          <w:p w14:paraId="1F7F96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0"/>
                <w:position w:val="0"/>
                <w:sz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highlight w:val="none"/>
                <w:u w:val="none" w:color="auto"/>
                <w:lang w:val="en-US" w:eastAsia="zh-CN"/>
                <w14:textFill>
                  <w14:solidFill>
                    <w14:schemeClr w14:val="tx1"/>
                  </w14:solidFill>
                </w14:textFill>
              </w:rPr>
              <w:t>本项目的国民经济行业类别为</w:t>
            </w:r>
            <w:r>
              <w:rPr>
                <w:rFonts w:hint="eastAsia" w:eastAsia="宋体" w:cs="Times New Roman"/>
                <w:color w:val="auto"/>
                <w:spacing w:val="0"/>
                <w:position w:val="0"/>
                <w:sz w:val="24"/>
                <w:szCs w:val="24"/>
                <w:u w:val="none" w:color="auto"/>
                <w:lang w:val="en-US" w:eastAsia="zh-CN"/>
              </w:rPr>
              <w:t>“</w:t>
            </w:r>
            <w:r>
              <w:rPr>
                <w:rFonts w:hint="eastAsia" w:ascii="Times New Roman" w:hAnsi="Times New Roman" w:eastAsia="宋体" w:cs="Times New Roman"/>
                <w:color w:val="auto"/>
                <w:spacing w:val="0"/>
                <w:position w:val="0"/>
                <w:sz w:val="24"/>
                <w:szCs w:val="24"/>
                <w:u w:val="none" w:color="auto"/>
                <w:lang w:val="en-US" w:eastAsia="zh-CN"/>
              </w:rPr>
              <w:t>C3311金属结构制造</w:t>
            </w:r>
            <w:r>
              <w:rPr>
                <w:rFonts w:hint="eastAsia" w:eastAsia="宋体" w:cs="Times New Roman"/>
                <w:color w:val="auto"/>
                <w:spacing w:val="0"/>
                <w:position w:val="0"/>
                <w:sz w:val="24"/>
                <w:szCs w:val="24"/>
                <w:u w:val="none" w:color="auto"/>
                <w:lang w:val="en-US" w:eastAsia="zh-CN"/>
              </w:rPr>
              <w:t>、</w:t>
            </w:r>
            <w:r>
              <w:rPr>
                <w:rFonts w:hint="eastAsia" w:ascii="Times New Roman" w:hAnsi="Times New Roman" w:eastAsia="宋体" w:cs="Times New Roman"/>
                <w:color w:val="auto"/>
                <w:spacing w:val="0"/>
                <w:position w:val="0"/>
                <w:sz w:val="24"/>
                <w:szCs w:val="24"/>
                <w:u w:val="none" w:color="auto"/>
                <w:lang w:val="en-US" w:eastAsia="zh-CN"/>
              </w:rPr>
              <w:t>C3464制冷、空调设备制造</w:t>
            </w:r>
            <w:r>
              <w:rPr>
                <w:rFonts w:hint="eastAsia" w:eastAsia="宋体" w:cs="Times New Roman"/>
                <w:color w:val="auto"/>
                <w:spacing w:val="0"/>
                <w:position w:val="0"/>
                <w:sz w:val="24"/>
                <w:szCs w:val="24"/>
                <w:u w:val="none" w:color="auto"/>
                <w:lang w:val="en-US" w:eastAsia="zh-CN"/>
              </w:rPr>
              <w:t>”</w:t>
            </w:r>
            <w:r>
              <w:rPr>
                <w:rFonts w:hint="default" w:ascii="Times New Roman" w:hAnsi="Times New Roman" w:eastAsia="宋体" w:cs="Times New Roman"/>
                <w:color w:val="000000" w:themeColor="text1"/>
                <w:spacing w:val="0"/>
                <w:position w:val="0"/>
                <w:sz w:val="24"/>
                <w:highlight w:val="none"/>
                <w:u w:val="none" w:color="auto"/>
                <w:lang w:val="en-US" w:eastAsia="zh-CN"/>
                <w14:textFill>
                  <w14:solidFill>
                    <w14:schemeClr w14:val="tx1"/>
                  </w14:solidFill>
                </w14:textFill>
              </w:rPr>
              <w:t>，对照《湖南省</w:t>
            </w:r>
            <w:r>
              <w:rPr>
                <w:rFonts w:hint="default" w:ascii="Times New Roman" w:hAnsi="Times New Roman" w:cs="Times New Roman"/>
                <w:color w:val="000000" w:themeColor="text1"/>
                <w:spacing w:val="0"/>
                <w:position w:val="0"/>
                <w:sz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highlight w:val="none"/>
                <w:u w:val="none" w:color="auto"/>
                <w:lang w:val="en-US" w:eastAsia="zh-CN"/>
                <w14:textFill>
                  <w14:solidFill>
                    <w14:schemeClr w14:val="tx1"/>
                  </w14:solidFill>
                </w14:textFill>
              </w:rPr>
              <w:t>两高</w:t>
            </w:r>
            <w:r>
              <w:rPr>
                <w:rFonts w:hint="default" w:ascii="Times New Roman" w:hAnsi="Times New Roman" w:cs="Times New Roman"/>
                <w:color w:val="000000" w:themeColor="text1"/>
                <w:spacing w:val="0"/>
                <w:position w:val="0"/>
                <w:sz w:val="24"/>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highlight w:val="none"/>
                <w:u w:val="none" w:color="auto"/>
                <w:lang w:val="en-US" w:eastAsia="zh-CN"/>
                <w14:textFill>
                  <w14:solidFill>
                    <w14:schemeClr w14:val="tx1"/>
                  </w14:solidFill>
                </w14:textFill>
              </w:rPr>
              <w:t>项目管理目录》</w:t>
            </w:r>
            <w:r>
              <w:rPr>
                <w:rFonts w:hint="default" w:ascii="Times New Roman" w:hAnsi="Times New Roman" w:cs="Times New Roman"/>
                <w:color w:val="000000" w:themeColor="text1"/>
                <w:spacing w:val="0"/>
                <w:position w:val="0"/>
                <w:sz w:val="24"/>
                <w:highlight w:val="none"/>
                <w:u w:val="none" w:color="auto"/>
                <w:lang w:val="en-US" w:eastAsia="zh-CN"/>
                <w14:textFill>
                  <w14:solidFill>
                    <w14:schemeClr w14:val="tx1"/>
                  </w14:solidFill>
                </w14:textFill>
              </w:rPr>
              <w:t>可知</w:t>
            </w:r>
            <w:r>
              <w:rPr>
                <w:rFonts w:hint="default" w:ascii="Times New Roman" w:hAnsi="Times New Roman" w:eastAsia="宋体" w:cs="Times New Roman"/>
                <w:color w:val="000000" w:themeColor="text1"/>
                <w:spacing w:val="0"/>
                <w:position w:val="0"/>
                <w:sz w:val="24"/>
                <w:highlight w:val="none"/>
                <w:u w:val="none" w:color="auto"/>
                <w:lang w:val="en-US" w:eastAsia="zh-CN"/>
                <w14:textFill>
                  <w14:solidFill>
                    <w14:schemeClr w14:val="tx1"/>
                  </w14:solidFill>
                </w14:textFill>
              </w:rPr>
              <w:t>，本项</w:t>
            </w:r>
            <w:r>
              <w:rPr>
                <w:rFonts w:hint="default" w:ascii="Times New Roman" w:hAnsi="Times New Roman" w:eastAsia="宋体" w:cs="Times New Roman"/>
                <w:color w:val="000000"/>
                <w:kern w:val="0"/>
                <w:sz w:val="24"/>
                <w:szCs w:val="22"/>
                <w:highlight w:val="none"/>
                <w:u w:val="none" w:color="auto"/>
                <w:lang w:val="en-US" w:eastAsia="zh-CN" w:bidi="ar-SA"/>
              </w:rPr>
              <w:t>不属于管理目录中所列石化、化工、煤化工、焦化、钢铁、建材、有色、煤电或涉煤及煤制品、石油焦、渣油、重油等高污染燃料使用工业炉窑、锅炉的</w:t>
            </w:r>
            <w:r>
              <w:rPr>
                <w:rFonts w:hint="default" w:ascii="Times New Roman" w:hAnsi="Times New Roman" w:cs="Times New Roman"/>
                <w:color w:val="000000"/>
                <w:kern w:val="0"/>
                <w:sz w:val="24"/>
                <w:szCs w:val="22"/>
                <w:highlight w:val="none"/>
                <w:u w:val="none" w:color="auto"/>
                <w:lang w:val="en-US" w:eastAsia="zh-CN" w:bidi="ar-SA"/>
              </w:rPr>
              <w:t>“</w:t>
            </w:r>
            <w:r>
              <w:rPr>
                <w:rFonts w:hint="default" w:ascii="Times New Roman" w:hAnsi="Times New Roman" w:eastAsia="宋体" w:cs="Times New Roman"/>
                <w:color w:val="000000"/>
                <w:kern w:val="0"/>
                <w:sz w:val="24"/>
                <w:szCs w:val="22"/>
                <w:highlight w:val="none"/>
                <w:u w:val="none" w:color="auto"/>
                <w:lang w:val="en-US" w:eastAsia="zh-CN" w:bidi="ar-SA"/>
              </w:rPr>
              <w:t>两高</w:t>
            </w:r>
            <w:r>
              <w:rPr>
                <w:rFonts w:hint="default" w:ascii="Times New Roman" w:hAnsi="Times New Roman" w:cs="Times New Roman"/>
                <w:color w:val="000000"/>
                <w:kern w:val="0"/>
                <w:sz w:val="24"/>
                <w:szCs w:val="22"/>
                <w:highlight w:val="none"/>
                <w:u w:val="none" w:color="auto"/>
                <w:lang w:val="en-US" w:eastAsia="zh-CN" w:bidi="ar-SA"/>
              </w:rPr>
              <w:t>”</w:t>
            </w:r>
            <w:r>
              <w:rPr>
                <w:rFonts w:hint="default" w:ascii="Times New Roman" w:hAnsi="Times New Roman" w:eastAsia="宋体" w:cs="Times New Roman"/>
                <w:color w:val="000000"/>
                <w:kern w:val="0"/>
                <w:sz w:val="24"/>
                <w:szCs w:val="22"/>
                <w:highlight w:val="none"/>
                <w:u w:val="none" w:color="auto"/>
                <w:lang w:val="en-US" w:eastAsia="zh-CN" w:bidi="ar-SA"/>
              </w:rPr>
              <w:t>项目</w:t>
            </w:r>
            <w:r>
              <w:rPr>
                <w:rFonts w:hint="default" w:ascii="Times New Roman" w:hAnsi="Times New Roman" w:eastAsia="宋体" w:cs="Times New Roman"/>
                <w:color w:val="000000"/>
                <w:sz w:val="24"/>
                <w:szCs w:val="24"/>
                <w:u w:val="none" w:color="auto"/>
                <w:lang w:val="en-US" w:eastAsia="zh-CN"/>
              </w:rPr>
              <w:t>。</w:t>
            </w:r>
          </w:p>
          <w:p w14:paraId="634188FC">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default" w:ascii="Times New Roman" w:hAnsi="Times New Roman" w:eastAsia="宋体" w:cs="Times New Roman"/>
                <w:b/>
                <w:bCs/>
                <w:snapToGrid w:val="0"/>
                <w:color w:val="000000" w:themeColor="text1"/>
                <w:spacing w:val="0"/>
                <w:position w:val="0"/>
                <w:sz w:val="24"/>
                <w:szCs w:val="24"/>
                <w:u w:val="none" w:color="auto"/>
                <w:vertAlign w:val="baseline"/>
                <w:lang w:val="en-US" w:eastAsia="zh-CN"/>
                <w14:textFill>
                  <w14:solidFill>
                    <w14:schemeClr w14:val="tx1"/>
                  </w14:solidFill>
                </w14:textFill>
              </w:rPr>
            </w:pP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w:t>
            </w:r>
            <w:r>
              <w:rPr>
                <w:rFonts w:hint="default" w:ascii="Times New Roman" w:hAnsi="Times New Roman" w:eastAsia="宋体" w:cs="Times New Roman"/>
                <w:b/>
                <w:bCs/>
                <w:snapToGrid w:val="0"/>
                <w:color w:val="000000" w:themeColor="text1"/>
                <w:spacing w:val="0"/>
                <w:position w:val="0"/>
                <w:sz w:val="24"/>
                <w:szCs w:val="24"/>
                <w:u w:val="none" w:color="auto"/>
                <w:vertAlign w:val="baseline"/>
                <w:lang w:val="en-US" w:eastAsia="zh-CN"/>
                <w14:textFill>
                  <w14:solidFill>
                    <w14:schemeClr w14:val="tx1"/>
                  </w14:solidFill>
                </w14:textFill>
              </w:rPr>
              <w:t>与《湖南省长江经济带发展负面清单实施细则（试行，2022年版）》相符性分析</w:t>
            </w:r>
          </w:p>
          <w:p w14:paraId="57BC966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snapToGrid w:val="0"/>
                <w:color w:val="000000" w:themeColor="text1"/>
                <w:spacing w:val="0"/>
                <w:position w:val="0"/>
                <w:sz w:val="24"/>
                <w:szCs w:val="24"/>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4"/>
                <w:szCs w:val="24"/>
                <w:u w:val="none" w:color="auto"/>
                <w:vertAlign w:val="baseline"/>
                <w:lang w:val="en-US" w:eastAsia="zh-CN"/>
                <w14:textFill>
                  <w14:solidFill>
                    <w14:schemeClr w14:val="tx1"/>
                  </w14:solidFill>
                </w14:textFill>
              </w:rPr>
              <w:t>本项目与《湖南省长江经济带发展负面清单实施细则（试行，2022年版）》中相关要求的符合性分析见下表1-</w:t>
            </w:r>
            <w:r>
              <w:rPr>
                <w:rFonts w:hint="eastAsia" w:ascii="Times New Roman" w:hAnsi="Times New Roman" w:cs="Times New Roman"/>
                <w:snapToGrid w:val="0"/>
                <w:color w:val="000000" w:themeColor="text1"/>
                <w:spacing w:val="0"/>
                <w:position w:val="0"/>
                <w:sz w:val="24"/>
                <w:szCs w:val="24"/>
                <w:u w:val="none" w:color="auto"/>
                <w:vertAlign w:val="baseline"/>
                <w:lang w:val="en-US" w:eastAsia="zh-CN"/>
                <w14:textFill>
                  <w14:solidFill>
                    <w14:schemeClr w14:val="tx1"/>
                  </w14:solidFill>
                </w14:textFill>
              </w:rPr>
              <w:t>9</w:t>
            </w:r>
            <w:r>
              <w:rPr>
                <w:rFonts w:hint="default" w:ascii="Times New Roman" w:hAnsi="Times New Roman" w:eastAsia="宋体" w:cs="Times New Roman"/>
                <w:snapToGrid w:val="0"/>
                <w:color w:val="000000" w:themeColor="text1"/>
                <w:spacing w:val="0"/>
                <w:position w:val="0"/>
                <w:sz w:val="24"/>
                <w:szCs w:val="24"/>
                <w:u w:val="none" w:color="auto"/>
                <w:vertAlign w:val="baseline"/>
                <w:lang w:val="en-US" w:eastAsia="zh-CN"/>
                <w14:textFill>
                  <w14:solidFill>
                    <w14:schemeClr w14:val="tx1"/>
                  </w14:solidFill>
                </w14:textFill>
              </w:rPr>
              <w:t>。</w:t>
            </w:r>
          </w:p>
          <w:p w14:paraId="346ADF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bCs/>
                <w:color w:val="000000" w:themeColor="text1"/>
                <w:spacing w:val="0"/>
                <w:position w:val="0"/>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highlight w:val="none"/>
                <w:u w:val="none" w:color="auto"/>
                <w:lang w:val="en-US" w:eastAsia="zh-CN" w:bidi="ar-SA"/>
                <w14:textFill>
                  <w14:solidFill>
                    <w14:schemeClr w14:val="tx1"/>
                  </w14:solidFill>
                </w14:textFill>
              </w:rPr>
              <w:t>表1-</w:t>
            </w:r>
            <w:r>
              <w:rPr>
                <w:rFonts w:hint="eastAsia" w:cs="Times New Roman"/>
                <w:b/>
                <w:bCs/>
                <w:color w:val="000000" w:themeColor="text1"/>
                <w:spacing w:val="0"/>
                <w:position w:val="0"/>
                <w:sz w:val="24"/>
                <w:szCs w:val="24"/>
                <w:highlight w:val="none"/>
                <w:u w:val="none" w:color="auto"/>
                <w:lang w:val="en-US" w:eastAsia="zh-CN" w:bidi="ar-SA"/>
                <w14:textFill>
                  <w14:solidFill>
                    <w14:schemeClr w14:val="tx1"/>
                  </w14:solidFill>
                </w14:textFill>
              </w:rPr>
              <w:t>9</w:t>
            </w:r>
            <w:r>
              <w:rPr>
                <w:rFonts w:hint="default" w:ascii="Times New Roman" w:hAnsi="Times New Roman" w:eastAsia="宋体" w:cs="Times New Roman"/>
                <w:b/>
                <w:bCs/>
                <w:color w:val="000000" w:themeColor="text1"/>
                <w:spacing w:val="0"/>
                <w:position w:val="0"/>
                <w:sz w:val="24"/>
                <w:szCs w:val="24"/>
                <w:highlight w:val="none"/>
                <w:u w:val="none" w:color="auto"/>
                <w:lang w:val="en-US" w:eastAsia="zh-CN" w:bidi="ar-SA"/>
                <w14:textFill>
                  <w14:solidFill>
                    <w14:schemeClr w14:val="tx1"/>
                  </w14:solidFill>
                </w14:textFill>
              </w:rPr>
              <w:t xml:space="preserve">   与《湖南省长江经济带发展负面清单实施细则》</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的符合性分析</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8"/>
              <w:gridCol w:w="5276"/>
              <w:gridCol w:w="1407"/>
              <w:gridCol w:w="498"/>
            </w:tblGrid>
            <w:tr w14:paraId="4AF95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361F7E9D">
                  <w:pPr>
                    <w:keepNext w:val="0"/>
                    <w:keepLines w:val="0"/>
                    <w:suppressLineNumbers w:val="0"/>
                    <w:bidi w:val="0"/>
                    <w:spacing w:before="0" w:beforeAutospacing="0" w:after="0" w:afterAutospacing="0"/>
                    <w:ind w:left="0" w:right="0"/>
                    <w:rPr>
                      <w:rFonts w:hint="default" w:ascii="Times New Roman" w:hAnsi="Times New Roman" w:eastAsia="宋体" w:cs="Times New Roman"/>
                      <w:b/>
                      <w:bCs/>
                      <w:snapToGrid w:val="0"/>
                      <w:color w:val="000000" w:themeColor="text1"/>
                      <w:spacing w:val="0"/>
                      <w:position w:val="0"/>
                      <w:szCs w:val="21"/>
                      <w:u w:val="none" w:color="auto"/>
                      <w:vertAlign w:val="baseline"/>
                      <w:lang w:val="en-US" w:eastAsia="zh-CN"/>
                      <w14:textFill>
                        <w14:solidFill>
                          <w14:schemeClr w14:val="tx1"/>
                        </w14:solidFill>
                      </w14:textFill>
                    </w:rPr>
                  </w:pPr>
                  <w:r>
                    <w:rPr>
                      <w:rFonts w:hint="default"/>
                      <w:b/>
                      <w:bCs/>
                      <w:lang w:val="en-US" w:eastAsia="zh-CN"/>
                    </w:rPr>
                    <w:t>序号</w:t>
                  </w:r>
                </w:p>
              </w:tc>
              <w:tc>
                <w:tcPr>
                  <w:tcW w:w="5475" w:type="dxa"/>
                  <w:tcBorders>
                    <w:tl2br w:val="nil"/>
                    <w:tr2bl w:val="nil"/>
                  </w:tcBorders>
                  <w:noWrap w:val="0"/>
                  <w:vAlign w:val="center"/>
                </w:tcPr>
                <w:p w14:paraId="747E22F9">
                  <w:pPr>
                    <w:keepNext w:val="0"/>
                    <w:keepLines w:val="0"/>
                    <w:suppressLineNumbers w:val="0"/>
                    <w:bidi w:val="0"/>
                    <w:spacing w:before="0" w:beforeAutospacing="0" w:after="0" w:afterAutospacing="0"/>
                    <w:ind w:left="0" w:right="0"/>
                    <w:jc w:val="center"/>
                    <w:rPr>
                      <w:rFonts w:hint="default"/>
                      <w:b/>
                      <w:bCs/>
                      <w:lang w:val="en-US" w:eastAsia="zh-CN"/>
                    </w:rPr>
                  </w:pPr>
                  <w:r>
                    <w:rPr>
                      <w:rFonts w:hint="default"/>
                      <w:b/>
                      <w:bCs/>
                      <w:lang w:val="en-US" w:eastAsia="zh-CN"/>
                    </w:rPr>
                    <w:t>相关要求</w:t>
                  </w:r>
                </w:p>
              </w:tc>
              <w:tc>
                <w:tcPr>
                  <w:tcW w:w="1452" w:type="dxa"/>
                  <w:tcBorders>
                    <w:tl2br w:val="nil"/>
                    <w:tr2bl w:val="nil"/>
                  </w:tcBorders>
                  <w:noWrap w:val="0"/>
                  <w:vAlign w:val="center"/>
                </w:tcPr>
                <w:p w14:paraId="77F16ECF">
                  <w:pPr>
                    <w:keepNext w:val="0"/>
                    <w:keepLines w:val="0"/>
                    <w:suppressLineNumbers w:val="0"/>
                    <w:bidi w:val="0"/>
                    <w:spacing w:before="0" w:beforeAutospacing="0" w:after="0" w:afterAutospacing="0"/>
                    <w:ind w:left="0" w:right="0"/>
                    <w:jc w:val="center"/>
                    <w:rPr>
                      <w:rFonts w:hint="default"/>
                      <w:b/>
                      <w:bCs/>
                      <w:lang w:val="en-US" w:eastAsia="zh-CN"/>
                    </w:rPr>
                  </w:pPr>
                  <w:r>
                    <w:rPr>
                      <w:rFonts w:hint="default"/>
                      <w:b/>
                      <w:bCs/>
                      <w:lang w:val="en-US" w:eastAsia="zh-CN"/>
                    </w:rPr>
                    <w:t>项目情况</w:t>
                  </w:r>
                </w:p>
              </w:tc>
              <w:tc>
                <w:tcPr>
                  <w:tcW w:w="508" w:type="dxa"/>
                  <w:tcBorders>
                    <w:tl2br w:val="nil"/>
                    <w:tr2bl w:val="nil"/>
                  </w:tcBorders>
                  <w:noWrap w:val="0"/>
                  <w:vAlign w:val="center"/>
                </w:tcPr>
                <w:p w14:paraId="4E7EDB86">
                  <w:pPr>
                    <w:keepNext w:val="0"/>
                    <w:keepLines w:val="0"/>
                    <w:suppressLineNumbers w:val="0"/>
                    <w:bidi w:val="0"/>
                    <w:spacing w:before="0" w:beforeAutospacing="0" w:after="0" w:afterAutospacing="0"/>
                    <w:ind w:left="0" w:right="0"/>
                    <w:jc w:val="center"/>
                    <w:rPr>
                      <w:rFonts w:hint="default"/>
                      <w:b/>
                      <w:bCs/>
                      <w:lang w:val="en-US" w:eastAsia="zh-CN"/>
                    </w:rPr>
                  </w:pPr>
                  <w:r>
                    <w:rPr>
                      <w:rFonts w:hint="default"/>
                      <w:b/>
                      <w:bCs/>
                      <w:lang w:val="en-US" w:eastAsia="zh-CN"/>
                    </w:rPr>
                    <w:t>符合性</w:t>
                  </w:r>
                </w:p>
              </w:tc>
            </w:tr>
            <w:tr w14:paraId="1B520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29AE3D92">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5475" w:type="dxa"/>
                  <w:tcBorders>
                    <w:tl2br w:val="nil"/>
                    <w:tr2bl w:val="nil"/>
                  </w:tcBorders>
                  <w:noWrap w:val="0"/>
                  <w:vAlign w:val="center"/>
                </w:tcPr>
                <w:p w14:paraId="69FF6BD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2020-2035 年）》的过长江通道项目。</w:t>
                  </w:r>
                </w:p>
              </w:tc>
              <w:tc>
                <w:tcPr>
                  <w:tcW w:w="1452" w:type="dxa"/>
                  <w:tcBorders>
                    <w:tl2br w:val="nil"/>
                    <w:tr2bl w:val="nil"/>
                  </w:tcBorders>
                  <w:noWrap w:val="0"/>
                  <w:vAlign w:val="center"/>
                </w:tcPr>
                <w:p w14:paraId="403216F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宋体" w:hAnsi="宋体" w:eastAsia="宋体" w:cs="宋体"/>
                      <w:color w:val="000000"/>
                      <w:kern w:val="0"/>
                      <w:sz w:val="21"/>
                      <w:szCs w:val="21"/>
                      <w:u w:val="none" w:color="auto"/>
                      <w:lang w:val="en-US" w:eastAsia="zh-CN" w:bidi="ar"/>
                    </w:rPr>
                    <w:t>项目不属于码头建设项目</w:t>
                  </w:r>
                </w:p>
              </w:tc>
              <w:tc>
                <w:tcPr>
                  <w:tcW w:w="508" w:type="dxa"/>
                  <w:tcBorders>
                    <w:tl2br w:val="nil"/>
                    <w:tr2bl w:val="nil"/>
                  </w:tcBorders>
                  <w:noWrap w:val="0"/>
                  <w:vAlign w:val="center"/>
                </w:tcPr>
                <w:p w14:paraId="17C4BA1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74636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158A3D62">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w:t>
                  </w:r>
                </w:p>
              </w:tc>
              <w:tc>
                <w:tcPr>
                  <w:tcW w:w="5475" w:type="dxa"/>
                  <w:tcBorders>
                    <w:tl2br w:val="nil"/>
                    <w:tr2bl w:val="nil"/>
                  </w:tcBorders>
                  <w:noWrap w:val="0"/>
                  <w:vAlign w:val="center"/>
                </w:tcPr>
                <w:p w14:paraId="081798E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在自然保护区核心区、缓冲区的岸线和河段范围内投资建设以下旅游和生产经营项目：（1）高尔夫球场开发、房地产开发、索道建设、会所建设等项目；（2）光伏发电、风力发电、火力发电建设项目；（3）社会资金进行商业性探矿勘查，以及不属于国家紧缺矿种资源的基础地质调查和矿产远景调查等公益性工作的设施建设；（4）野生动物驯养繁殖、展览基地建设项目；（5）污染环境、破坏自然资源或自然景观的建设设施；（6）对自然保护区主要保护对象产生重大影响、改变自然生态系统完整性、原真性、破坏自然景观的设施；（7）其他不符合自然保护区主体功能定位和国家禁止的设施。</w:t>
                  </w:r>
                </w:p>
              </w:tc>
              <w:tc>
                <w:tcPr>
                  <w:tcW w:w="1452" w:type="dxa"/>
                  <w:tcBorders>
                    <w:tl2br w:val="nil"/>
                    <w:tr2bl w:val="nil"/>
                  </w:tcBorders>
                  <w:noWrap w:val="0"/>
                  <w:vAlign w:val="center"/>
                </w:tcPr>
                <w:p w14:paraId="7235DC33">
                  <w:pPr>
                    <w:keepNext w:val="0"/>
                    <w:keepLines w:val="0"/>
                    <w:widowControl/>
                    <w:suppressLineNumbers w:val="0"/>
                    <w:spacing w:before="0" w:beforeAutospacing="0" w:after="0" w:afterAutospacing="0"/>
                    <w:ind w:left="0" w:right="0"/>
                    <w:jc w:val="left"/>
                    <w:rPr>
                      <w:rFonts w:hint="default"/>
                      <w:color w:val="000000"/>
                      <w:sz w:val="21"/>
                      <w:szCs w:val="21"/>
                      <w:u w:val="none" w:color="auto"/>
                    </w:rPr>
                  </w:pPr>
                  <w:r>
                    <w:rPr>
                      <w:rFonts w:hint="eastAsia" w:ascii="宋体" w:hAnsi="宋体" w:eastAsia="宋体" w:cs="宋体"/>
                      <w:color w:val="000000"/>
                      <w:kern w:val="0"/>
                      <w:sz w:val="21"/>
                      <w:szCs w:val="21"/>
                      <w:u w:val="none" w:color="auto"/>
                      <w:lang w:val="en-US" w:eastAsia="zh-CN" w:bidi="ar"/>
                    </w:rPr>
                    <w:t>项目位于</w:t>
                  </w:r>
                  <w:r>
                    <w:rPr>
                      <w:rFonts w:hint="eastAsia" w:ascii="宋体" w:hAnsi="宋体" w:cs="宋体"/>
                      <w:color w:val="000000"/>
                      <w:kern w:val="0"/>
                      <w:sz w:val="21"/>
                      <w:szCs w:val="21"/>
                      <w:u w:val="none" w:color="auto"/>
                      <w:lang w:val="en-US" w:eastAsia="zh-CN" w:bidi="ar"/>
                    </w:rPr>
                    <w:t>产</w:t>
                  </w:r>
                  <w:r>
                    <w:rPr>
                      <w:rFonts w:hint="eastAsia" w:ascii="宋体" w:hAnsi="宋体" w:eastAsia="宋体" w:cs="宋体"/>
                      <w:color w:val="000000"/>
                      <w:kern w:val="0"/>
                      <w:sz w:val="21"/>
                      <w:szCs w:val="21"/>
                      <w:u w:val="none" w:color="auto"/>
                      <w:lang w:val="en-US" w:eastAsia="zh-CN" w:bidi="ar"/>
                    </w:rPr>
                    <w:t>业园区，不涉及自然保护区的岸线和河段范围。</w:t>
                  </w:r>
                </w:p>
                <w:p w14:paraId="1D3EABA0">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p>
              </w:tc>
              <w:tc>
                <w:tcPr>
                  <w:tcW w:w="508" w:type="dxa"/>
                  <w:tcBorders>
                    <w:tl2br w:val="nil"/>
                    <w:tr2bl w:val="nil"/>
                  </w:tcBorders>
                  <w:noWrap w:val="0"/>
                  <w:vAlign w:val="center"/>
                </w:tcPr>
                <w:p w14:paraId="3AED196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368ED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7F82F79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3</w:t>
                  </w:r>
                </w:p>
              </w:tc>
              <w:tc>
                <w:tcPr>
                  <w:tcW w:w="5475" w:type="dxa"/>
                  <w:tcBorders>
                    <w:tl2br w:val="nil"/>
                    <w:tr2bl w:val="nil"/>
                  </w:tcBorders>
                  <w:noWrap w:val="0"/>
                  <w:vAlign w:val="center"/>
                </w:tcPr>
                <w:p w14:paraId="20A35AD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机场、铁路、公路、水利、围堰等公益性基础设施的选址选线应多方案优化比选，尽量避让相关自然保护区域、野生动物迁徙徊游通道；无法避让的，应当采取修建野生动物通道、过鱼设施等措施，消除或者减少对野生动物的不利影响。</w:t>
                  </w:r>
                </w:p>
              </w:tc>
              <w:tc>
                <w:tcPr>
                  <w:tcW w:w="1452" w:type="dxa"/>
                  <w:tcBorders>
                    <w:tl2br w:val="nil"/>
                    <w:tr2bl w:val="nil"/>
                  </w:tcBorders>
                  <w:noWrap w:val="0"/>
                  <w:vAlign w:val="center"/>
                </w:tcPr>
                <w:p w14:paraId="39BBBF7D">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本项目不涉及</w:t>
                  </w:r>
                </w:p>
              </w:tc>
              <w:tc>
                <w:tcPr>
                  <w:tcW w:w="508" w:type="dxa"/>
                  <w:tcBorders>
                    <w:tl2br w:val="nil"/>
                    <w:tr2bl w:val="nil"/>
                  </w:tcBorders>
                  <w:noWrap w:val="0"/>
                  <w:vAlign w:val="center"/>
                </w:tcPr>
                <w:p w14:paraId="365F3B1D">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1FD7C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7C06DB6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4</w:t>
                  </w:r>
                </w:p>
              </w:tc>
              <w:tc>
                <w:tcPr>
                  <w:tcW w:w="5475" w:type="dxa"/>
                  <w:tcBorders>
                    <w:tl2br w:val="nil"/>
                    <w:tr2bl w:val="nil"/>
                  </w:tcBorders>
                  <w:noWrap w:val="0"/>
                  <w:vAlign w:val="center"/>
                </w:tcPr>
                <w:p w14:paraId="3C4DFE5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1452" w:type="dxa"/>
                  <w:tcBorders>
                    <w:tl2br w:val="nil"/>
                    <w:tr2bl w:val="nil"/>
                  </w:tcBorders>
                  <w:noWrap w:val="0"/>
                  <w:vAlign w:val="center"/>
                </w:tcPr>
                <w:p w14:paraId="02E67CF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宋体" w:hAnsi="宋体" w:eastAsia="宋体" w:cs="宋体"/>
                      <w:color w:val="000000"/>
                      <w:kern w:val="0"/>
                      <w:sz w:val="21"/>
                      <w:szCs w:val="21"/>
                      <w:u w:val="none" w:color="auto"/>
                      <w:lang w:val="en-US" w:eastAsia="zh-CN" w:bidi="ar"/>
                    </w:rPr>
                    <w:t>项目位于</w:t>
                  </w:r>
                  <w:r>
                    <w:rPr>
                      <w:rFonts w:hint="eastAsia" w:ascii="宋体" w:hAnsi="宋体" w:cs="宋体"/>
                      <w:color w:val="000000"/>
                      <w:kern w:val="0"/>
                      <w:sz w:val="21"/>
                      <w:szCs w:val="21"/>
                      <w:u w:val="none" w:color="auto"/>
                      <w:lang w:val="en-US" w:eastAsia="zh-CN" w:bidi="ar"/>
                    </w:rPr>
                    <w:t>产</w:t>
                  </w:r>
                  <w:r>
                    <w:rPr>
                      <w:rFonts w:hint="eastAsia" w:ascii="宋体" w:hAnsi="宋体" w:eastAsia="宋体" w:cs="宋体"/>
                      <w:color w:val="000000"/>
                      <w:kern w:val="0"/>
                      <w:sz w:val="21"/>
                      <w:szCs w:val="21"/>
                      <w:u w:val="none" w:color="auto"/>
                      <w:lang w:val="en-US" w:eastAsia="zh-CN" w:bidi="ar"/>
                    </w:rPr>
                    <w:t>业园区，不属于风景名胜区范围</w:t>
                  </w:r>
                </w:p>
              </w:tc>
              <w:tc>
                <w:tcPr>
                  <w:tcW w:w="508" w:type="dxa"/>
                  <w:tcBorders>
                    <w:tl2br w:val="nil"/>
                    <w:tr2bl w:val="nil"/>
                  </w:tcBorders>
                  <w:noWrap w:val="0"/>
                  <w:vAlign w:val="center"/>
                </w:tcPr>
                <w:p w14:paraId="091AB3C6">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188E3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3A28B2E5">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5</w:t>
                  </w:r>
                </w:p>
              </w:tc>
              <w:tc>
                <w:tcPr>
                  <w:tcW w:w="5475" w:type="dxa"/>
                  <w:tcBorders>
                    <w:tl2br w:val="nil"/>
                    <w:tr2bl w:val="nil"/>
                  </w:tcBorders>
                  <w:noWrap w:val="0"/>
                  <w:vAlign w:val="center"/>
                </w:tcPr>
                <w:p w14:paraId="66A8F25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和其它废弃物；禁止设置油库；禁止使用含磷洗涤用品。</w:t>
                  </w:r>
                </w:p>
              </w:tc>
              <w:tc>
                <w:tcPr>
                  <w:tcW w:w="1452" w:type="dxa"/>
                  <w:tcBorders>
                    <w:tl2br w:val="nil"/>
                    <w:tr2bl w:val="nil"/>
                  </w:tcBorders>
                  <w:noWrap w:val="0"/>
                  <w:vAlign w:val="center"/>
                </w:tcPr>
                <w:p w14:paraId="2D5908D7">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本项目不涉及</w:t>
                  </w:r>
                  <w:r>
                    <w:rPr>
                      <w:rFonts w:hint="eastAsia" w:ascii="宋体" w:hAnsi="宋体" w:eastAsia="宋体" w:cs="宋体"/>
                      <w:color w:val="000000"/>
                      <w:kern w:val="0"/>
                      <w:sz w:val="21"/>
                      <w:szCs w:val="21"/>
                      <w:u w:val="none" w:color="auto"/>
                      <w:lang w:val="en-US" w:eastAsia="zh-CN" w:bidi="ar"/>
                    </w:rPr>
                    <w:t>饮用水水源保护区</w:t>
                  </w:r>
                </w:p>
              </w:tc>
              <w:tc>
                <w:tcPr>
                  <w:tcW w:w="508" w:type="dxa"/>
                  <w:tcBorders>
                    <w:tl2br w:val="nil"/>
                    <w:tr2bl w:val="nil"/>
                  </w:tcBorders>
                  <w:noWrap w:val="0"/>
                  <w:vAlign w:val="center"/>
                </w:tcPr>
                <w:p w14:paraId="330F7CD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0377B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61D479F7">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6</w:t>
                  </w:r>
                </w:p>
              </w:tc>
              <w:tc>
                <w:tcPr>
                  <w:tcW w:w="5475" w:type="dxa"/>
                  <w:tcBorders>
                    <w:tl2br w:val="nil"/>
                    <w:tr2bl w:val="nil"/>
                  </w:tcBorders>
                  <w:noWrap w:val="0"/>
                  <w:vAlign w:val="center"/>
                </w:tcPr>
                <w:p w14:paraId="5233E81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饮用水水源二级保护区内禁止新建、改建、扩建向水体排放污染物的投资建设项目。原有排污口依法拆除或关闭。禁止设立装卸垃圾、粪便、油类和有毒物品的码头。</w:t>
                  </w:r>
                </w:p>
              </w:tc>
              <w:tc>
                <w:tcPr>
                  <w:tcW w:w="1452" w:type="dxa"/>
                  <w:tcBorders>
                    <w:tl2br w:val="nil"/>
                    <w:tr2bl w:val="nil"/>
                  </w:tcBorders>
                  <w:noWrap w:val="0"/>
                  <w:vAlign w:val="center"/>
                </w:tcPr>
                <w:p w14:paraId="28E701EB">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本项目不涉及</w:t>
                  </w:r>
                  <w:r>
                    <w:rPr>
                      <w:rFonts w:hint="eastAsia" w:ascii="宋体" w:hAnsi="宋体" w:eastAsia="宋体" w:cs="宋体"/>
                      <w:color w:val="000000"/>
                      <w:kern w:val="0"/>
                      <w:sz w:val="21"/>
                      <w:szCs w:val="21"/>
                      <w:u w:val="none" w:color="auto"/>
                      <w:lang w:val="en-US" w:eastAsia="zh-CN" w:bidi="ar"/>
                    </w:rPr>
                    <w:t>饮用水水源保护区</w:t>
                  </w:r>
                </w:p>
              </w:tc>
              <w:tc>
                <w:tcPr>
                  <w:tcW w:w="508" w:type="dxa"/>
                  <w:tcBorders>
                    <w:tl2br w:val="nil"/>
                    <w:tr2bl w:val="nil"/>
                  </w:tcBorders>
                  <w:noWrap w:val="0"/>
                  <w:vAlign w:val="center"/>
                </w:tcPr>
                <w:p w14:paraId="0E9E8732">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4947B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66B1A86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7</w:t>
                  </w:r>
                </w:p>
              </w:tc>
              <w:tc>
                <w:tcPr>
                  <w:tcW w:w="5475" w:type="dxa"/>
                  <w:tcBorders>
                    <w:tl2br w:val="nil"/>
                    <w:tr2bl w:val="nil"/>
                  </w:tcBorders>
                  <w:noWrap w:val="0"/>
                  <w:vAlign w:val="center"/>
                </w:tcPr>
                <w:p w14:paraId="3D8F0587">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禁止在水产种质资源保护区的岸线和河段范围内新建排污口、实施非法围垦河道和围湖造田造地等投资建设项目。</w:t>
                  </w:r>
                </w:p>
              </w:tc>
              <w:tc>
                <w:tcPr>
                  <w:tcW w:w="1452" w:type="dxa"/>
                  <w:tcBorders>
                    <w:tl2br w:val="nil"/>
                    <w:tr2bl w:val="nil"/>
                  </w:tcBorders>
                  <w:noWrap w:val="0"/>
                  <w:vAlign w:val="center"/>
                </w:tcPr>
                <w:p w14:paraId="0DACB2AF">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本项目不涉及</w:t>
                  </w:r>
                  <w:r>
                    <w:rPr>
                      <w:rFonts w:hint="eastAsia" w:cs="Times New Roman"/>
                      <w:color w:val="000000"/>
                      <w:sz w:val="21"/>
                      <w:szCs w:val="21"/>
                      <w:u w:val="none" w:color="auto"/>
                      <w:lang w:eastAsia="zh-CN"/>
                    </w:rPr>
                    <w:t>在</w:t>
                  </w:r>
                  <w:r>
                    <w:rPr>
                      <w:rFonts w:hint="eastAsia" w:ascii="宋体" w:hAnsi="宋体" w:eastAsia="宋体" w:cs="宋体"/>
                      <w:color w:val="000000"/>
                      <w:kern w:val="0"/>
                      <w:sz w:val="21"/>
                      <w:szCs w:val="21"/>
                      <w:u w:val="none" w:color="auto"/>
                      <w:lang w:val="en-US" w:eastAsia="zh-CN" w:bidi="ar"/>
                    </w:rPr>
                    <w:t>水产种质资源保护区</w:t>
                  </w: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的岸线和河段范围内新建排污口、实施非法围垦河道和围湖造田造地</w:t>
                  </w:r>
                  <w:r>
                    <w:rPr>
                      <w:rFonts w:hint="eastAsia" w:ascii="Times New Roman" w:hAnsi="Times New Roman"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w:t>
                  </w:r>
                </w:p>
              </w:tc>
              <w:tc>
                <w:tcPr>
                  <w:tcW w:w="508" w:type="dxa"/>
                  <w:tcBorders>
                    <w:tl2br w:val="nil"/>
                    <w:tr2bl w:val="nil"/>
                  </w:tcBorders>
                  <w:noWrap w:val="0"/>
                  <w:vAlign w:val="center"/>
                </w:tcPr>
                <w:p w14:paraId="3AE6257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4BCC6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417D77A5">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8</w:t>
                  </w:r>
                </w:p>
              </w:tc>
              <w:tc>
                <w:tcPr>
                  <w:tcW w:w="5475" w:type="dxa"/>
                  <w:tcBorders>
                    <w:tl2br w:val="nil"/>
                    <w:tr2bl w:val="nil"/>
                  </w:tcBorders>
                  <w:noWrap w:val="0"/>
                  <w:vAlign w:val="center"/>
                </w:tcPr>
                <w:p w14:paraId="266FE28B">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除《中华人民共和国防洪法》规定的紧急防汛期采取的紧急措施外，禁止在国家湿地公园的岸线和河段范围内挖沙、采矿，以及以下不符合主体功能定位的行为和活动：（1）开（围）垦、填埋或者排干湿地。（2）截断湿地水源。（3）倾倒有毒有害物质、废弃物、垃圾。（4）从事房地产、度假村、高尔夫球场、风力发电、光伏发电等任何不符合主体功能定位的建设项目和开发活动。（5）破坏野生动物栖息地和迁徙通道、鱼类洞游通道，滥采滥捕野生动植物。（6）引入外来物种。（7）擅自放牧、捕捞、取土、取水、排污、放生。（8）其他破坏湿地及其生态功能的活动。</w:t>
                  </w:r>
                </w:p>
              </w:tc>
              <w:tc>
                <w:tcPr>
                  <w:tcW w:w="1452" w:type="dxa"/>
                  <w:tcBorders>
                    <w:tl2br w:val="nil"/>
                    <w:tr2bl w:val="nil"/>
                  </w:tcBorders>
                  <w:noWrap w:val="0"/>
                  <w:vAlign w:val="center"/>
                </w:tcPr>
                <w:p w14:paraId="3B6F6DA6">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本项目不涉及</w:t>
                  </w:r>
                  <w:r>
                    <w:rPr>
                      <w:rFonts w:hint="eastAsia" w:ascii="宋体" w:hAnsi="宋体" w:eastAsia="宋体" w:cs="宋体"/>
                      <w:color w:val="000000"/>
                      <w:kern w:val="0"/>
                      <w:sz w:val="21"/>
                      <w:szCs w:val="21"/>
                      <w:u w:val="none" w:color="auto"/>
                      <w:lang w:val="en-US" w:eastAsia="zh-CN" w:bidi="ar"/>
                    </w:rPr>
                    <w:t>国家湿地公园</w:t>
                  </w:r>
                </w:p>
              </w:tc>
              <w:tc>
                <w:tcPr>
                  <w:tcW w:w="508" w:type="dxa"/>
                  <w:tcBorders>
                    <w:tl2br w:val="nil"/>
                    <w:tr2bl w:val="nil"/>
                  </w:tcBorders>
                  <w:noWrap w:val="0"/>
                  <w:vAlign w:val="center"/>
                </w:tcPr>
                <w:p w14:paraId="663659B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5F47F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286CEDEB">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9</w:t>
                  </w:r>
                </w:p>
              </w:tc>
              <w:tc>
                <w:tcPr>
                  <w:tcW w:w="5475" w:type="dxa"/>
                  <w:tcBorders>
                    <w:tl2br w:val="nil"/>
                    <w:tr2bl w:val="nil"/>
                  </w:tcBorders>
                  <w:noWrap w:val="0"/>
                  <w:vAlign w:val="center"/>
                </w:tcPr>
                <w:p w14:paraId="721AC82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填湖造地、围湖造田及非法围垦河道，禁止非法建设矮围网围、填埋湿地等侵占河湖水域或者违法利用、占用河湖岸线的行为。</w:t>
                  </w:r>
                </w:p>
              </w:tc>
              <w:tc>
                <w:tcPr>
                  <w:tcW w:w="1452" w:type="dxa"/>
                  <w:tcBorders>
                    <w:tl2br w:val="nil"/>
                    <w:tr2bl w:val="nil"/>
                  </w:tcBorders>
                  <w:noWrap w:val="0"/>
                  <w:vAlign w:val="center"/>
                </w:tcPr>
                <w:p w14:paraId="1164EF5C">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本项目不涉及</w:t>
                  </w:r>
                </w:p>
              </w:tc>
              <w:tc>
                <w:tcPr>
                  <w:tcW w:w="508" w:type="dxa"/>
                  <w:tcBorders>
                    <w:tl2br w:val="nil"/>
                    <w:tr2bl w:val="nil"/>
                  </w:tcBorders>
                  <w:noWrap w:val="0"/>
                  <w:vAlign w:val="center"/>
                </w:tcPr>
                <w:p w14:paraId="526402B7">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41B75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57FF1F5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10</w:t>
                  </w:r>
                </w:p>
              </w:tc>
              <w:tc>
                <w:tcPr>
                  <w:tcW w:w="5475" w:type="dxa"/>
                  <w:tcBorders>
                    <w:tl2br w:val="nil"/>
                    <w:tr2bl w:val="nil"/>
                  </w:tcBorders>
                  <w:noWrap w:val="0"/>
                  <w:vAlign w:val="center"/>
                </w:tcPr>
                <w:p w14:paraId="6CBFABC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禁止在《全国重要江河湖泊水功能区划》划定的河段及湖泊保护区、保留区内投资建设不利于水资源及自然生态保护的项目。</w:t>
                  </w:r>
                </w:p>
              </w:tc>
              <w:tc>
                <w:tcPr>
                  <w:tcW w:w="1452" w:type="dxa"/>
                  <w:tcBorders>
                    <w:tl2br w:val="nil"/>
                    <w:tr2bl w:val="nil"/>
                  </w:tcBorders>
                  <w:noWrap w:val="0"/>
                  <w:vAlign w:val="center"/>
                </w:tcPr>
                <w:p w14:paraId="13BDB011">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本项目不涉及</w:t>
                  </w:r>
                </w:p>
              </w:tc>
              <w:tc>
                <w:tcPr>
                  <w:tcW w:w="508" w:type="dxa"/>
                  <w:tcBorders>
                    <w:tl2br w:val="nil"/>
                    <w:tr2bl w:val="nil"/>
                  </w:tcBorders>
                  <w:noWrap w:val="0"/>
                  <w:vAlign w:val="center"/>
                </w:tcPr>
                <w:p w14:paraId="58EC9E8D">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743BE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7F4626CA">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11</w:t>
                  </w:r>
                </w:p>
              </w:tc>
              <w:tc>
                <w:tcPr>
                  <w:tcW w:w="5475" w:type="dxa"/>
                  <w:tcBorders>
                    <w:tl2br w:val="nil"/>
                    <w:tr2bl w:val="nil"/>
                  </w:tcBorders>
                  <w:noWrap w:val="0"/>
                  <w:vAlign w:val="center"/>
                </w:tcPr>
                <w:p w14:paraId="073533E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禁止未经许可在长江干支流及湖泊新设、改设或扩大排污口。</w:t>
                  </w:r>
                </w:p>
              </w:tc>
              <w:tc>
                <w:tcPr>
                  <w:tcW w:w="1452" w:type="dxa"/>
                  <w:tcBorders>
                    <w:tl2br w:val="nil"/>
                    <w:tr2bl w:val="nil"/>
                  </w:tcBorders>
                  <w:noWrap w:val="0"/>
                  <w:vAlign w:val="center"/>
                </w:tcPr>
                <w:p w14:paraId="526EF3A3">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项目不涉及</w:t>
                  </w:r>
                  <w:r>
                    <w:rPr>
                      <w:rFonts w:hint="eastAsia" w:ascii="宋体" w:hAnsi="宋体" w:eastAsia="宋体" w:cs="宋体"/>
                      <w:color w:val="000000"/>
                      <w:kern w:val="0"/>
                      <w:sz w:val="21"/>
                      <w:szCs w:val="21"/>
                      <w:u w:val="none" w:color="auto"/>
                      <w:lang w:val="en-US" w:eastAsia="zh-CN" w:bidi="ar"/>
                    </w:rPr>
                    <w:t>新设、改设或扩大排污口。</w:t>
                  </w:r>
                </w:p>
              </w:tc>
              <w:tc>
                <w:tcPr>
                  <w:tcW w:w="508" w:type="dxa"/>
                  <w:tcBorders>
                    <w:tl2br w:val="nil"/>
                    <w:tr2bl w:val="nil"/>
                  </w:tcBorders>
                  <w:noWrap w:val="0"/>
                  <w:vAlign w:val="center"/>
                </w:tcPr>
                <w:p w14:paraId="119BA9F7">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4274F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5402AE21">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12</w:t>
                  </w:r>
                </w:p>
              </w:tc>
              <w:tc>
                <w:tcPr>
                  <w:tcW w:w="5475" w:type="dxa"/>
                  <w:tcBorders>
                    <w:tl2br w:val="nil"/>
                    <w:tr2bl w:val="nil"/>
                  </w:tcBorders>
                  <w:noWrap w:val="0"/>
                  <w:vAlign w:val="center"/>
                </w:tcPr>
                <w:p w14:paraId="343E961D">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在洞庭湖、湘江、资江、沅江、澧水干流和45个水生生物保护区开展生产性捕捞。在相关自然保护区域和禁猎（渔）区、禁猎（渔）期内，禁止猎捕以及其他妨碍野生动物生息繁衍的活动，但法律法规另有规定的除外。</w:t>
                  </w:r>
                </w:p>
              </w:tc>
              <w:tc>
                <w:tcPr>
                  <w:tcW w:w="1452" w:type="dxa"/>
                  <w:tcBorders>
                    <w:tl2br w:val="nil"/>
                    <w:tr2bl w:val="nil"/>
                  </w:tcBorders>
                  <w:noWrap w:val="0"/>
                  <w:vAlign w:val="center"/>
                </w:tcPr>
                <w:p w14:paraId="2C4367C4">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本项目不涉及</w:t>
                  </w:r>
                </w:p>
              </w:tc>
              <w:tc>
                <w:tcPr>
                  <w:tcW w:w="508" w:type="dxa"/>
                  <w:tcBorders>
                    <w:tl2br w:val="nil"/>
                    <w:tr2bl w:val="nil"/>
                  </w:tcBorders>
                  <w:noWrap w:val="0"/>
                  <w:vAlign w:val="center"/>
                </w:tcPr>
                <w:p w14:paraId="6540E2F6">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4F13B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60FBE002">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13</w:t>
                  </w:r>
                </w:p>
              </w:tc>
              <w:tc>
                <w:tcPr>
                  <w:tcW w:w="5475" w:type="dxa"/>
                  <w:tcBorders>
                    <w:tl2br w:val="nil"/>
                    <w:tr2bl w:val="nil"/>
                  </w:tcBorders>
                  <w:noWrap w:val="0"/>
                  <w:vAlign w:val="center"/>
                </w:tcPr>
                <w:p w14:paraId="4358FE8A">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1452" w:type="dxa"/>
                  <w:tcBorders>
                    <w:tl2br w:val="nil"/>
                    <w:tr2bl w:val="nil"/>
                  </w:tcBorders>
                  <w:noWrap w:val="0"/>
                  <w:vAlign w:val="center"/>
                </w:tcPr>
                <w:p w14:paraId="55F96702">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本项目不属于化工项目、不属于</w:t>
                  </w:r>
                  <w:r>
                    <w:rPr>
                      <w:rFonts w:hint="eastAsia" w:ascii="宋体" w:hAnsi="宋体" w:eastAsia="宋体" w:cs="宋体"/>
                      <w:color w:val="000000"/>
                      <w:kern w:val="0"/>
                      <w:sz w:val="21"/>
                      <w:szCs w:val="21"/>
                      <w:u w:val="none" w:color="auto"/>
                      <w:lang w:val="en-US" w:eastAsia="zh-CN" w:bidi="ar"/>
                    </w:rPr>
                    <w:t>尾矿库、冶炼渣库和磷石膏库。</w:t>
                  </w:r>
                </w:p>
              </w:tc>
              <w:tc>
                <w:tcPr>
                  <w:tcW w:w="508" w:type="dxa"/>
                  <w:tcBorders>
                    <w:tl2br w:val="nil"/>
                    <w:tr2bl w:val="nil"/>
                  </w:tcBorders>
                  <w:noWrap w:val="0"/>
                  <w:vAlign w:val="center"/>
                </w:tcPr>
                <w:p w14:paraId="2994E0F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463D7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55C04F1D">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14</w:t>
                  </w:r>
                </w:p>
              </w:tc>
              <w:tc>
                <w:tcPr>
                  <w:tcW w:w="5475" w:type="dxa"/>
                  <w:tcBorders>
                    <w:tl2br w:val="nil"/>
                    <w:tr2bl w:val="nil"/>
                  </w:tcBorders>
                  <w:noWrap w:val="0"/>
                  <w:vAlign w:val="center"/>
                </w:tcPr>
                <w:p w14:paraId="121EEB4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禁止在合规园区外新建、扩建钢铁、石化、化工、焦化、建材、有色、制浆造纸等高污染项目。高污染项目严格按照生态环境部《环境保护综合名录（ 2021年版）》有关要求执行。</w:t>
                  </w:r>
                </w:p>
              </w:tc>
              <w:tc>
                <w:tcPr>
                  <w:tcW w:w="1452" w:type="dxa"/>
                  <w:tcBorders>
                    <w:tl2br w:val="nil"/>
                    <w:tr2bl w:val="nil"/>
                  </w:tcBorders>
                  <w:noWrap w:val="0"/>
                  <w:vAlign w:val="center"/>
                </w:tcPr>
                <w:p w14:paraId="485F5241">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本项目不属于高污染项目</w:t>
                  </w:r>
                </w:p>
              </w:tc>
              <w:tc>
                <w:tcPr>
                  <w:tcW w:w="508" w:type="dxa"/>
                  <w:tcBorders>
                    <w:tl2br w:val="nil"/>
                    <w:tr2bl w:val="nil"/>
                  </w:tcBorders>
                  <w:noWrap w:val="0"/>
                  <w:vAlign w:val="center"/>
                </w:tcPr>
                <w:p w14:paraId="37D4A79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2F7F4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69C28A26">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15</w:t>
                  </w:r>
                </w:p>
              </w:tc>
              <w:tc>
                <w:tcPr>
                  <w:tcW w:w="5475" w:type="dxa"/>
                  <w:tcBorders>
                    <w:tl2br w:val="nil"/>
                    <w:tr2bl w:val="nil"/>
                  </w:tcBorders>
                  <w:noWrap w:val="0"/>
                  <w:vAlign w:val="center"/>
                </w:tcPr>
                <w:p w14:paraId="00595E0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禁止新建、扩建不符合国家石化、现代煤化工等产业布局规划的项目。未通过认定的化工园区，不得新建、改扩建化工项目（安全、环保、节能和智能化改造项目除外）。</w:t>
                  </w:r>
                </w:p>
              </w:tc>
              <w:tc>
                <w:tcPr>
                  <w:tcW w:w="1452" w:type="dxa"/>
                  <w:tcBorders>
                    <w:tl2br w:val="nil"/>
                    <w:tr2bl w:val="nil"/>
                  </w:tcBorders>
                  <w:noWrap w:val="0"/>
                  <w:vAlign w:val="center"/>
                </w:tcPr>
                <w:p w14:paraId="2432B216">
                  <w:pPr>
                    <w:pStyle w:val="36"/>
                    <w:keepNext w:val="0"/>
                    <w:keepLines w:val="0"/>
                    <w:suppressLineNumbers w:val="0"/>
                    <w:tabs>
                      <w:tab w:val="left" w:pos="1021"/>
                    </w:tabs>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Times New Roman" w:hAnsi="Times New Roman" w:cs="Times New Roman"/>
                      <w:color w:val="000000"/>
                      <w:sz w:val="21"/>
                      <w:szCs w:val="21"/>
                      <w:u w:val="none" w:color="auto"/>
                      <w:lang w:eastAsia="zh-CN"/>
                    </w:rPr>
                    <w:t>本项目不涉及</w:t>
                  </w:r>
                </w:p>
              </w:tc>
              <w:tc>
                <w:tcPr>
                  <w:tcW w:w="508" w:type="dxa"/>
                  <w:tcBorders>
                    <w:tl2br w:val="nil"/>
                    <w:tr2bl w:val="nil"/>
                  </w:tcBorders>
                  <w:noWrap w:val="0"/>
                  <w:vAlign w:val="center"/>
                </w:tcPr>
                <w:p w14:paraId="1DB2C2A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r w14:paraId="299F2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dxa"/>
                  <w:tcBorders>
                    <w:tl2br w:val="nil"/>
                    <w:tr2bl w:val="nil"/>
                  </w:tcBorders>
                  <w:noWrap w:val="0"/>
                  <w:vAlign w:val="center"/>
                </w:tcPr>
                <w:p w14:paraId="03502591">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16</w:t>
                  </w:r>
                </w:p>
              </w:tc>
              <w:tc>
                <w:tcPr>
                  <w:tcW w:w="5475" w:type="dxa"/>
                  <w:tcBorders>
                    <w:tl2br w:val="nil"/>
                    <w:tr2bl w:val="nil"/>
                  </w:tcBorders>
                  <w:noWrap w:val="0"/>
                  <w:vAlign w:val="center"/>
                </w:tcPr>
                <w:p w14:paraId="35FD011A">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452" w:type="dxa"/>
                  <w:tcBorders>
                    <w:tl2br w:val="nil"/>
                    <w:tr2bl w:val="nil"/>
                  </w:tcBorders>
                  <w:noWrap w:val="0"/>
                  <w:vAlign w:val="center"/>
                </w:tcPr>
                <w:p w14:paraId="294EFC2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eastAsia" w:ascii="宋体" w:hAnsi="宋体" w:eastAsia="宋体" w:cs="宋体"/>
                      <w:color w:val="000000"/>
                      <w:kern w:val="0"/>
                      <w:sz w:val="21"/>
                      <w:szCs w:val="21"/>
                      <w:u w:val="none" w:color="auto"/>
                      <w:lang w:val="en-US" w:eastAsia="zh-CN" w:bidi="ar"/>
                    </w:rPr>
                    <w:t>项目不属于产能过剩行业</w:t>
                  </w:r>
                  <w:r>
                    <w:rPr>
                      <w:rFonts w:hint="default" w:ascii="Times New Roman" w:hAnsi="Times New Roman" w:eastAsia="宋体" w:cs="Times New Roman"/>
                      <w:color w:val="000000"/>
                      <w:kern w:val="0"/>
                      <w:sz w:val="21"/>
                      <w:szCs w:val="21"/>
                      <w:u w:val="none" w:color="auto"/>
                      <w:lang w:val="en-US" w:eastAsia="zh-CN" w:bidi="ar"/>
                    </w:rPr>
                    <w:t>(</w:t>
                  </w:r>
                  <w:r>
                    <w:rPr>
                      <w:rFonts w:hint="eastAsia" w:ascii="宋体" w:hAnsi="宋体" w:eastAsia="宋体" w:cs="宋体"/>
                      <w:color w:val="000000"/>
                      <w:kern w:val="0"/>
                      <w:sz w:val="21"/>
                      <w:szCs w:val="21"/>
                      <w:u w:val="none" w:color="auto"/>
                      <w:lang w:val="en-US" w:eastAsia="zh-CN" w:bidi="ar"/>
                    </w:rPr>
                    <w:t>钢铁、水泥、电解铝、平板玻璃、船舶等行业</w:t>
                  </w:r>
                  <w:r>
                    <w:rPr>
                      <w:rFonts w:hint="default" w:ascii="Times New Roman" w:hAnsi="Times New Roman" w:eastAsia="宋体" w:cs="Times New Roman"/>
                      <w:color w:val="000000"/>
                      <w:kern w:val="0"/>
                      <w:sz w:val="21"/>
                      <w:szCs w:val="21"/>
                      <w:u w:val="none" w:color="auto"/>
                      <w:lang w:val="en-US" w:eastAsia="zh-CN" w:bidi="ar"/>
                    </w:rPr>
                    <w:t>)</w:t>
                  </w:r>
                  <w:r>
                    <w:rPr>
                      <w:rFonts w:hint="eastAsia" w:ascii="宋体" w:hAnsi="宋体" w:eastAsia="宋体" w:cs="宋体"/>
                      <w:color w:val="000000"/>
                      <w:kern w:val="0"/>
                      <w:sz w:val="21"/>
                      <w:szCs w:val="21"/>
                      <w:u w:val="none" w:color="auto"/>
                      <w:lang w:val="en-US" w:eastAsia="zh-CN" w:bidi="ar"/>
                    </w:rPr>
                    <w:t>、不属于高耗能高排放项目</w:t>
                  </w:r>
                </w:p>
              </w:tc>
              <w:tc>
                <w:tcPr>
                  <w:tcW w:w="508" w:type="dxa"/>
                  <w:tcBorders>
                    <w:tl2br w:val="nil"/>
                    <w:tr2bl w:val="nil"/>
                  </w:tcBorders>
                  <w:noWrap w:val="0"/>
                  <w:vAlign w:val="center"/>
                </w:tcPr>
                <w:p w14:paraId="7EDE50ED">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1"/>
                      <w:szCs w:val="21"/>
                      <w:u w:val="none" w:color="auto"/>
                      <w:vertAlign w:val="baseline"/>
                      <w:lang w:val="en-US" w:eastAsia="zh-CN"/>
                      <w14:textFill>
                        <w14:solidFill>
                          <w14:schemeClr w14:val="tx1"/>
                        </w14:solidFill>
                      </w14:textFill>
                    </w:rPr>
                    <w:t>符合</w:t>
                  </w:r>
                </w:p>
              </w:tc>
            </w:tr>
          </w:tbl>
          <w:p w14:paraId="4116F18A">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snapToGrid w:val="0"/>
                <w:color w:val="000000" w:themeColor="text1"/>
                <w:spacing w:val="0"/>
                <w:position w:val="0"/>
                <w:sz w:val="24"/>
                <w:szCs w:val="24"/>
                <w:u w:val="none" w:color="auto"/>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position w:val="0"/>
                <w:sz w:val="24"/>
                <w:szCs w:val="24"/>
                <w:u w:val="none" w:color="auto"/>
                <w:vertAlign w:val="baseline"/>
                <w:lang w:val="en-US" w:eastAsia="zh-CN"/>
                <w14:textFill>
                  <w14:solidFill>
                    <w14:schemeClr w14:val="tx1"/>
                  </w14:solidFill>
                </w14:textFill>
              </w:rPr>
              <w:t>由上表可知</w:t>
            </w:r>
            <w:r>
              <w:rPr>
                <w:rFonts w:hint="eastAsia" w:ascii="Times New Roman" w:hAnsi="Times New Roman" w:cs="Times New Roman"/>
                <w:snapToGrid w:val="0"/>
                <w:color w:val="000000" w:themeColor="text1"/>
                <w:spacing w:val="0"/>
                <w:position w:val="0"/>
                <w:sz w:val="24"/>
                <w:szCs w:val="24"/>
                <w:u w:val="none" w:color="auto"/>
                <w:vertAlign w:val="baseli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pacing w:val="0"/>
                <w:position w:val="0"/>
                <w:sz w:val="24"/>
                <w:szCs w:val="24"/>
                <w:u w:val="none" w:color="auto"/>
                <w:vertAlign w:val="baseline"/>
                <w:lang w:val="en-US" w:eastAsia="zh-CN"/>
                <w14:textFill>
                  <w14:solidFill>
                    <w14:schemeClr w14:val="tx1"/>
                  </w14:solidFill>
                </w14:textFill>
              </w:rPr>
              <w:t>本项目符合《湖南省长江经济带发展负面清单实施细则（试行，2022年版）》中相关要求。</w:t>
            </w:r>
          </w:p>
          <w:p w14:paraId="45F6BFF0">
            <w:pPr>
              <w:pStyle w:val="8"/>
              <w:keepNext/>
              <w:keepLines/>
              <w:pageBreakBefore w:val="0"/>
              <w:widowControl w:val="0"/>
              <w:numPr>
                <w:ilvl w:val="1"/>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与《挥发性有机物无组织排放控制标准》（GB37822-2019）相符性分析</w:t>
            </w:r>
          </w:p>
          <w:p w14:paraId="13765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4"/>
                <w:szCs w:val="24"/>
                <w:u w:val="none" w:color="auto"/>
                <w:lang w:val="en-US" w:eastAsia="zh-CN"/>
                <w14:textFill>
                  <w14:solidFill>
                    <w14:schemeClr w14:val="tx1"/>
                  </w14:solidFill>
                </w14:textFill>
              </w:rPr>
              <w:t>根据《挥发性有机物无组织排放控制标准》，本项目与其相符性分析见下表1-</w:t>
            </w:r>
            <w:r>
              <w:rPr>
                <w:rFonts w:hint="eastAsia" w:cs="Times New Roman"/>
                <w:b w:val="0"/>
                <w:bCs/>
                <w:color w:val="000000" w:themeColor="text1"/>
                <w:spacing w:val="0"/>
                <w:position w:val="0"/>
                <w:sz w:val="24"/>
                <w:szCs w:val="24"/>
                <w:u w:val="none" w:color="auto"/>
                <w:lang w:val="en-US" w:eastAsia="zh-CN"/>
                <w14:textFill>
                  <w14:solidFill>
                    <w14:schemeClr w14:val="tx1"/>
                  </w14:solidFill>
                </w14:textFill>
              </w:rPr>
              <w:t>10</w:t>
            </w:r>
            <w:r>
              <w:rPr>
                <w:rFonts w:hint="default" w:ascii="Times New Roman" w:hAnsi="Times New Roman" w:eastAsia="宋体" w:cs="Times New Roman"/>
                <w:b w:val="0"/>
                <w:bCs/>
                <w:color w:val="000000" w:themeColor="text1"/>
                <w:spacing w:val="0"/>
                <w:position w:val="0"/>
                <w:sz w:val="24"/>
                <w:szCs w:val="24"/>
                <w:u w:val="none" w:color="auto"/>
                <w:lang w:val="en-US" w:eastAsia="zh-CN"/>
                <w14:textFill>
                  <w14:solidFill>
                    <w14:schemeClr w14:val="tx1"/>
                  </w14:solidFill>
                </w14:textFill>
              </w:rPr>
              <w:t>。</w:t>
            </w:r>
          </w:p>
          <w:p w14:paraId="03AD6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表1-</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10</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 xml:space="preserve">   与《挥发性有机物无组织排放控制标准》的符合性分析</w:t>
            </w:r>
          </w:p>
          <w:tbl>
            <w:tblPr>
              <w:tblStyle w:val="37"/>
              <w:tblW w:w="4998"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3208"/>
              <w:gridCol w:w="2426"/>
              <w:gridCol w:w="688"/>
            </w:tblGrid>
            <w:tr w14:paraId="0D7C2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0" w:type="pct"/>
                  <w:tcBorders>
                    <w:tl2br w:val="nil"/>
                    <w:tr2bl w:val="nil"/>
                  </w:tcBorders>
                  <w:noWrap w:val="0"/>
                  <w:vAlign w:val="center"/>
                </w:tcPr>
                <w:p w14:paraId="0CEDA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pacing w:val="0"/>
                      <w:w w:val="100"/>
                      <w:sz w:val="21"/>
                      <w:szCs w:val="21"/>
                      <w:u w:val="none" w:color="auto"/>
                      <w:lang w:eastAsia="zh-CN"/>
                    </w:rPr>
                  </w:pPr>
                  <w:r>
                    <w:rPr>
                      <w:rFonts w:hint="default" w:ascii="Times New Roman" w:hAnsi="Times New Roman" w:eastAsia="宋体" w:cs="Times New Roman"/>
                      <w:b/>
                      <w:bCs/>
                      <w:color w:val="auto"/>
                      <w:spacing w:val="0"/>
                      <w:w w:val="100"/>
                      <w:sz w:val="21"/>
                      <w:szCs w:val="21"/>
                      <w:u w:val="none" w:color="auto"/>
                      <w:lang w:eastAsia="zh-CN"/>
                    </w:rPr>
                    <w:t>基本原则</w:t>
                  </w:r>
                </w:p>
              </w:tc>
              <w:tc>
                <w:tcPr>
                  <w:tcW w:w="2100" w:type="pct"/>
                  <w:tcBorders>
                    <w:tl2br w:val="nil"/>
                    <w:tr2bl w:val="nil"/>
                  </w:tcBorders>
                  <w:noWrap w:val="0"/>
                  <w:vAlign w:val="center"/>
                </w:tcPr>
                <w:p w14:paraId="53F48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pacing w:val="0"/>
                      <w:w w:val="100"/>
                      <w:sz w:val="21"/>
                      <w:szCs w:val="21"/>
                      <w:u w:val="none" w:color="auto"/>
                      <w:lang w:eastAsia="zh-CN"/>
                    </w:rPr>
                  </w:pPr>
                  <w:r>
                    <w:rPr>
                      <w:rFonts w:hint="default" w:ascii="Times New Roman" w:hAnsi="Times New Roman" w:eastAsia="宋体" w:cs="Times New Roman"/>
                      <w:b/>
                      <w:bCs/>
                      <w:color w:val="auto"/>
                      <w:spacing w:val="0"/>
                      <w:w w:val="100"/>
                      <w:sz w:val="21"/>
                      <w:szCs w:val="21"/>
                      <w:u w:val="none" w:color="auto"/>
                      <w:lang w:eastAsia="zh-CN"/>
                    </w:rPr>
                    <w:t>（</w:t>
                  </w:r>
                  <w:r>
                    <w:rPr>
                      <w:rFonts w:hint="default" w:ascii="Times New Roman" w:hAnsi="Times New Roman" w:eastAsia="宋体" w:cs="Times New Roman"/>
                      <w:b/>
                      <w:bCs/>
                      <w:color w:val="auto"/>
                      <w:spacing w:val="0"/>
                      <w:w w:val="100"/>
                      <w:sz w:val="21"/>
                      <w:szCs w:val="21"/>
                      <w:u w:val="none" w:color="auto"/>
                      <w:lang w:val="en-US" w:eastAsia="zh-CN"/>
                    </w:rPr>
                    <w:t>GB37822-2019</w:t>
                  </w:r>
                  <w:r>
                    <w:rPr>
                      <w:rFonts w:hint="default" w:ascii="Times New Roman" w:hAnsi="Times New Roman" w:eastAsia="宋体" w:cs="Times New Roman"/>
                      <w:b/>
                      <w:bCs/>
                      <w:color w:val="auto"/>
                      <w:spacing w:val="0"/>
                      <w:w w:val="100"/>
                      <w:sz w:val="21"/>
                      <w:szCs w:val="21"/>
                      <w:u w:val="none" w:color="auto"/>
                      <w:lang w:eastAsia="zh-CN"/>
                    </w:rPr>
                    <w:t>）具体规定</w:t>
                  </w:r>
                </w:p>
              </w:tc>
              <w:tc>
                <w:tcPr>
                  <w:tcW w:w="1588" w:type="pct"/>
                  <w:tcBorders>
                    <w:tl2br w:val="nil"/>
                    <w:tr2bl w:val="nil"/>
                  </w:tcBorders>
                  <w:noWrap w:val="0"/>
                  <w:vAlign w:val="center"/>
                </w:tcPr>
                <w:p w14:paraId="30128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pacing w:val="0"/>
                      <w:w w:val="100"/>
                      <w:sz w:val="21"/>
                      <w:szCs w:val="21"/>
                      <w:u w:val="none" w:color="auto"/>
                      <w:lang w:eastAsia="zh-CN"/>
                    </w:rPr>
                  </w:pPr>
                  <w:r>
                    <w:rPr>
                      <w:rFonts w:hint="default" w:ascii="Times New Roman" w:hAnsi="Times New Roman" w:eastAsia="宋体" w:cs="Times New Roman"/>
                      <w:b/>
                      <w:bCs/>
                      <w:color w:val="auto"/>
                      <w:spacing w:val="0"/>
                      <w:w w:val="100"/>
                      <w:sz w:val="21"/>
                      <w:szCs w:val="21"/>
                      <w:u w:val="none" w:color="auto"/>
                      <w:lang w:eastAsia="zh-CN"/>
                    </w:rPr>
                    <w:t>本项目情况</w:t>
                  </w:r>
                </w:p>
              </w:tc>
              <w:tc>
                <w:tcPr>
                  <w:tcW w:w="450" w:type="pct"/>
                  <w:tcBorders>
                    <w:tl2br w:val="nil"/>
                    <w:tr2bl w:val="nil"/>
                  </w:tcBorders>
                  <w:noWrap w:val="0"/>
                  <w:vAlign w:val="center"/>
                </w:tcPr>
                <w:p w14:paraId="0E818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pacing w:val="0"/>
                      <w:w w:val="100"/>
                      <w:sz w:val="21"/>
                      <w:szCs w:val="21"/>
                      <w:u w:val="none" w:color="auto"/>
                      <w:lang w:eastAsia="zh-CN"/>
                    </w:rPr>
                  </w:pPr>
                  <w:r>
                    <w:rPr>
                      <w:rFonts w:hint="default" w:ascii="Times New Roman" w:hAnsi="Times New Roman" w:eastAsia="宋体" w:cs="Times New Roman"/>
                      <w:b/>
                      <w:bCs/>
                      <w:color w:val="auto"/>
                      <w:spacing w:val="0"/>
                      <w:w w:val="100"/>
                      <w:sz w:val="21"/>
                      <w:szCs w:val="21"/>
                      <w:u w:val="none" w:color="auto"/>
                      <w:lang w:eastAsia="zh-CN"/>
                    </w:rPr>
                    <w:t>符合情况</w:t>
                  </w:r>
                </w:p>
              </w:tc>
            </w:tr>
            <w:tr w14:paraId="56FB0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0" w:type="pct"/>
                  <w:tcBorders>
                    <w:tl2br w:val="nil"/>
                    <w:tr2bl w:val="nil"/>
                  </w:tcBorders>
                  <w:noWrap w:val="0"/>
                  <w:vAlign w:val="center"/>
                </w:tcPr>
                <w:p w14:paraId="223F85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val="en-US" w:eastAsia="zh-CN"/>
                    </w:rPr>
                  </w:pPr>
                  <w:r>
                    <w:rPr>
                      <w:rFonts w:hint="default" w:ascii="Times New Roman" w:hAnsi="Times New Roman" w:eastAsia="宋体" w:cs="Times New Roman"/>
                      <w:color w:val="auto"/>
                      <w:spacing w:val="0"/>
                      <w:w w:val="100"/>
                      <w:sz w:val="21"/>
                      <w:szCs w:val="21"/>
                      <w:u w:val="none" w:color="auto"/>
                      <w:lang w:val="en-US" w:eastAsia="zh-CN"/>
                    </w:rPr>
                    <w:t>VOCs物料储存无组织排放控制要求</w:t>
                  </w:r>
                </w:p>
              </w:tc>
              <w:tc>
                <w:tcPr>
                  <w:tcW w:w="2100" w:type="pct"/>
                  <w:tcBorders>
                    <w:tl2br w:val="nil"/>
                    <w:tr2bl w:val="nil"/>
                  </w:tcBorders>
                  <w:noWrap w:val="0"/>
                  <w:vAlign w:val="center"/>
                </w:tcPr>
                <w:p w14:paraId="0859E4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val="en-US" w:eastAsia="zh-CN"/>
                    </w:rPr>
                    <w:t>1、</w:t>
                  </w:r>
                  <w:r>
                    <w:rPr>
                      <w:rFonts w:hint="default" w:ascii="Times New Roman" w:hAnsi="Times New Roman" w:eastAsia="宋体" w:cs="Times New Roman"/>
                      <w:color w:val="auto"/>
                      <w:spacing w:val="0"/>
                      <w:w w:val="100"/>
                      <w:sz w:val="21"/>
                      <w:szCs w:val="21"/>
                      <w:u w:val="none" w:color="auto"/>
                      <w:lang w:eastAsia="zh-CN"/>
                    </w:rPr>
                    <w:t>VOCs物料应储存于密闭的容器、包装袋、储罐、储库、料仓中。</w:t>
                  </w:r>
                </w:p>
                <w:p w14:paraId="08EBC9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kern w:val="2"/>
                      <w:sz w:val="21"/>
                      <w:szCs w:val="21"/>
                      <w:u w:val="none" w:color="auto"/>
                    </w:rPr>
                  </w:pPr>
                  <w:r>
                    <w:rPr>
                      <w:rFonts w:hint="default" w:ascii="Times New Roman" w:hAnsi="Times New Roman" w:eastAsia="宋体" w:cs="Times New Roman"/>
                      <w:color w:val="auto"/>
                      <w:spacing w:val="0"/>
                      <w:w w:val="100"/>
                      <w:sz w:val="21"/>
                      <w:szCs w:val="21"/>
                      <w:u w:val="none" w:color="auto"/>
                      <w:lang w:eastAsia="zh-CN"/>
                    </w:rPr>
                    <w:t>2、盛装VOCs物料的容器或包装袋应存放于室内，或存放于设置有雨棚、遮阳和防渗设施的专用场地。盛装VOCs物料的容器或包装袋在非取用状态时应加盖、封口，保持密闭。</w:t>
                  </w:r>
                </w:p>
              </w:tc>
              <w:tc>
                <w:tcPr>
                  <w:tcW w:w="1588" w:type="pct"/>
                  <w:tcBorders>
                    <w:tl2br w:val="nil"/>
                    <w:tr2bl w:val="nil"/>
                  </w:tcBorders>
                  <w:noWrap w:val="0"/>
                  <w:vAlign w:val="center"/>
                </w:tcPr>
                <w:p w14:paraId="18762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val="en-US" w:eastAsia="zh-CN"/>
                    </w:rPr>
                    <w:t>1、</w:t>
                  </w:r>
                  <w:r>
                    <w:rPr>
                      <w:rFonts w:hint="default" w:ascii="Times New Roman" w:hAnsi="Times New Roman" w:eastAsia="宋体" w:cs="Times New Roman"/>
                      <w:color w:val="auto"/>
                      <w:spacing w:val="0"/>
                      <w:w w:val="100"/>
                      <w:sz w:val="21"/>
                      <w:szCs w:val="21"/>
                      <w:u w:val="none" w:color="auto"/>
                      <w:lang w:eastAsia="zh-CN"/>
                    </w:rPr>
                    <w:t>本项目涉VOCs物料</w:t>
                  </w:r>
                  <w:r>
                    <w:rPr>
                      <w:rFonts w:hint="eastAsia" w:eastAsia="宋体" w:cs="Times New Roman"/>
                      <w:color w:val="auto"/>
                      <w:spacing w:val="0"/>
                      <w:w w:val="100"/>
                      <w:sz w:val="21"/>
                      <w:szCs w:val="21"/>
                      <w:u w:val="none" w:color="auto"/>
                      <w:lang w:eastAsia="zh-CN"/>
                    </w:rPr>
                    <w:t>如油漆、稀释剂等</w:t>
                  </w:r>
                  <w:r>
                    <w:rPr>
                      <w:rFonts w:hint="default" w:ascii="Times New Roman" w:hAnsi="Times New Roman" w:eastAsia="宋体" w:cs="Times New Roman"/>
                      <w:color w:val="auto"/>
                      <w:spacing w:val="0"/>
                      <w:w w:val="100"/>
                      <w:sz w:val="21"/>
                      <w:szCs w:val="21"/>
                      <w:u w:val="none" w:color="auto"/>
                      <w:lang w:eastAsia="zh-CN"/>
                    </w:rPr>
                    <w:t>均储存于密闭包装容器中。</w:t>
                  </w:r>
                </w:p>
                <w:p w14:paraId="0C61B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2、项目在</w:t>
                  </w:r>
                  <w:r>
                    <w:rPr>
                      <w:rFonts w:hint="default" w:ascii="Times New Roman" w:hAnsi="Times New Roman" w:eastAsia="宋体" w:cs="Times New Roman"/>
                      <w:color w:val="auto"/>
                      <w:spacing w:val="0"/>
                      <w:w w:val="100"/>
                      <w:sz w:val="21"/>
                      <w:szCs w:val="21"/>
                      <w:u w:val="none" w:color="auto"/>
                      <w:lang w:val="en-US" w:eastAsia="zh-CN"/>
                    </w:rPr>
                    <w:t>厂房</w:t>
                  </w:r>
                  <w:r>
                    <w:rPr>
                      <w:rFonts w:hint="eastAsia" w:eastAsia="宋体" w:cs="Times New Roman"/>
                      <w:color w:val="auto"/>
                      <w:spacing w:val="0"/>
                      <w:w w:val="100"/>
                      <w:sz w:val="21"/>
                      <w:szCs w:val="21"/>
                      <w:u w:val="none" w:color="auto"/>
                      <w:lang w:val="en-US" w:eastAsia="zh-CN"/>
                    </w:rPr>
                    <w:t>设有原料区</w:t>
                  </w:r>
                  <w:r>
                    <w:rPr>
                      <w:rFonts w:hint="default" w:ascii="Times New Roman" w:hAnsi="Times New Roman" w:eastAsia="宋体" w:cs="Times New Roman"/>
                      <w:color w:val="auto"/>
                      <w:spacing w:val="0"/>
                      <w:w w:val="100"/>
                      <w:sz w:val="21"/>
                      <w:szCs w:val="21"/>
                      <w:u w:val="none" w:color="auto"/>
                      <w:lang w:eastAsia="zh-CN"/>
                    </w:rPr>
                    <w:t>。盛装VOCs物料的容器在非取用状态时加盖、封口，保持密闭。</w:t>
                  </w:r>
                </w:p>
              </w:tc>
              <w:tc>
                <w:tcPr>
                  <w:tcW w:w="450" w:type="pct"/>
                  <w:tcBorders>
                    <w:tl2br w:val="nil"/>
                    <w:tr2bl w:val="nil"/>
                  </w:tcBorders>
                  <w:noWrap w:val="0"/>
                  <w:vAlign w:val="center"/>
                </w:tcPr>
                <w:p w14:paraId="4CC41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符合</w:t>
                  </w:r>
                </w:p>
              </w:tc>
            </w:tr>
            <w:tr w14:paraId="1F0DE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0" w:type="pct"/>
                  <w:tcBorders>
                    <w:tl2br w:val="nil"/>
                    <w:tr2bl w:val="nil"/>
                  </w:tcBorders>
                  <w:noWrap w:val="0"/>
                  <w:vAlign w:val="center"/>
                </w:tcPr>
                <w:p w14:paraId="5C121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val="en-US" w:eastAsia="zh-CN"/>
                    </w:rPr>
                  </w:pPr>
                  <w:r>
                    <w:rPr>
                      <w:rFonts w:hint="default" w:ascii="Times New Roman" w:hAnsi="Times New Roman" w:eastAsia="宋体" w:cs="Times New Roman"/>
                      <w:color w:val="auto"/>
                      <w:spacing w:val="0"/>
                      <w:w w:val="100"/>
                      <w:sz w:val="21"/>
                      <w:szCs w:val="21"/>
                      <w:u w:val="none" w:color="auto"/>
                      <w:lang w:val="en-US" w:eastAsia="zh-CN"/>
                    </w:rPr>
                    <w:t>VOCs物料转移和输送无组织排放控制要求</w:t>
                  </w:r>
                </w:p>
              </w:tc>
              <w:tc>
                <w:tcPr>
                  <w:tcW w:w="2100" w:type="pct"/>
                  <w:tcBorders>
                    <w:tl2br w:val="nil"/>
                    <w:tr2bl w:val="nil"/>
                  </w:tcBorders>
                  <w:noWrap w:val="0"/>
                  <w:vAlign w:val="center"/>
                </w:tcPr>
                <w:p w14:paraId="3D8324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val="en-US" w:eastAsia="zh-CN"/>
                    </w:rPr>
                  </w:pPr>
                  <w:r>
                    <w:rPr>
                      <w:rFonts w:hint="default" w:ascii="Times New Roman" w:hAnsi="Times New Roman" w:eastAsia="宋体" w:cs="Times New Roman"/>
                      <w:color w:val="auto"/>
                      <w:spacing w:val="0"/>
                      <w:w w:val="100"/>
                      <w:sz w:val="21"/>
                      <w:szCs w:val="21"/>
                      <w:u w:val="none" w:color="auto"/>
                      <w:lang w:val="en-US" w:eastAsia="zh-CN"/>
                    </w:rPr>
                    <w:t>1、液态VOCs物料应采用密闭管道输送。采用非管道输送方式转移液态VOCs物料时，应采用密闭容器、罐车。</w:t>
                  </w:r>
                </w:p>
                <w:p w14:paraId="40B325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val="en-US" w:eastAsia="zh-CN"/>
                    </w:rPr>
                    <w:t>2、</w:t>
                  </w:r>
                  <w:r>
                    <w:rPr>
                      <w:rFonts w:hint="default" w:ascii="Times New Roman" w:hAnsi="Times New Roman" w:eastAsia="宋体" w:cs="Times New Roman"/>
                      <w:color w:val="auto"/>
                      <w:spacing w:val="0"/>
                      <w:w w:val="100"/>
                      <w:sz w:val="21"/>
                      <w:szCs w:val="21"/>
                      <w:u w:val="none" w:color="auto"/>
                      <w:lang w:eastAsia="zh-CN"/>
                    </w:rPr>
                    <w:t>粉状、粒状VOCs物料应采用气力输送设备、管状带式输送机、螺旋输送机等密闭输送方式，或者采用密闭的包装袋、容器或罐车进行物料转移。</w:t>
                  </w:r>
                </w:p>
              </w:tc>
              <w:tc>
                <w:tcPr>
                  <w:tcW w:w="1588" w:type="pct"/>
                  <w:tcBorders>
                    <w:tl2br w:val="nil"/>
                    <w:tr2bl w:val="nil"/>
                  </w:tcBorders>
                  <w:noWrap w:val="0"/>
                  <w:vAlign w:val="center"/>
                </w:tcPr>
                <w:p w14:paraId="734E8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项目不含粉状</w:t>
                  </w:r>
                  <w:r>
                    <w:rPr>
                      <w:rFonts w:hint="eastAsia" w:ascii="Times New Roman" w:hAnsi="Times New Roman" w:eastAsia="宋体" w:cs="Times New Roman"/>
                      <w:color w:val="auto"/>
                      <w:spacing w:val="0"/>
                      <w:w w:val="100"/>
                      <w:sz w:val="21"/>
                      <w:szCs w:val="21"/>
                      <w:u w:val="none" w:color="auto"/>
                      <w:lang w:eastAsia="zh-CN"/>
                    </w:rPr>
                    <w:t>、粒状</w:t>
                  </w:r>
                  <w:r>
                    <w:rPr>
                      <w:rFonts w:hint="default" w:ascii="Times New Roman" w:hAnsi="Times New Roman" w:eastAsia="宋体" w:cs="Times New Roman"/>
                      <w:color w:val="auto"/>
                      <w:spacing w:val="0"/>
                      <w:w w:val="100"/>
                      <w:sz w:val="21"/>
                      <w:szCs w:val="21"/>
                      <w:u w:val="none" w:color="auto"/>
                      <w:lang w:eastAsia="zh-CN"/>
                    </w:rPr>
                    <w:t>VOCs物料，液态VOC</w:t>
                  </w:r>
                  <w:r>
                    <w:rPr>
                      <w:rFonts w:hint="default" w:ascii="Times New Roman" w:hAnsi="Times New Roman" w:eastAsia="宋体" w:cs="Times New Roman"/>
                      <w:color w:val="auto"/>
                      <w:spacing w:val="0"/>
                      <w:w w:val="100"/>
                      <w:sz w:val="21"/>
                      <w:szCs w:val="21"/>
                      <w:u w:val="none" w:color="auto"/>
                      <w:vertAlign w:val="subscript"/>
                      <w:lang w:eastAsia="zh-CN"/>
                    </w:rPr>
                    <w:t>S</w:t>
                  </w:r>
                  <w:r>
                    <w:rPr>
                      <w:rFonts w:hint="default" w:ascii="Times New Roman" w:hAnsi="Times New Roman" w:eastAsia="宋体" w:cs="Times New Roman"/>
                      <w:color w:val="auto"/>
                      <w:spacing w:val="0"/>
                      <w:w w:val="100"/>
                      <w:sz w:val="21"/>
                      <w:szCs w:val="21"/>
                      <w:u w:val="none" w:color="auto"/>
                      <w:lang w:eastAsia="zh-CN"/>
                    </w:rPr>
                    <w:t>物料如</w:t>
                  </w:r>
                  <w:r>
                    <w:rPr>
                      <w:rFonts w:hint="eastAsia" w:ascii="Times New Roman" w:hAnsi="Times New Roman" w:eastAsia="宋体" w:cs="Times New Roman"/>
                      <w:color w:val="auto"/>
                      <w:spacing w:val="0"/>
                      <w:sz w:val="21"/>
                      <w:szCs w:val="21"/>
                      <w:vertAlign w:val="baseline"/>
                      <w:lang w:val="en-US" w:eastAsia="zh-CN"/>
                    </w:rPr>
                    <w:t>油漆、稀释剂、固化</w:t>
                  </w:r>
                  <w:r>
                    <w:rPr>
                      <w:rFonts w:hint="default" w:ascii="Times New Roman" w:hAnsi="Times New Roman" w:eastAsia="宋体" w:cs="Times New Roman"/>
                      <w:color w:val="auto"/>
                      <w:spacing w:val="0"/>
                      <w:sz w:val="21"/>
                      <w:szCs w:val="21"/>
                      <w:vertAlign w:val="baseline"/>
                      <w:lang w:val="en-US" w:eastAsia="zh-CN"/>
                    </w:rPr>
                    <w:t>剂</w:t>
                  </w:r>
                  <w:r>
                    <w:rPr>
                      <w:rFonts w:hint="eastAsia" w:ascii="Times New Roman" w:hAnsi="Times New Roman" w:eastAsia="宋体" w:cs="Times New Roman"/>
                      <w:color w:val="auto"/>
                      <w:spacing w:val="0"/>
                      <w:sz w:val="21"/>
                      <w:szCs w:val="21"/>
                      <w:vertAlign w:val="baseline"/>
                      <w:lang w:val="en-US" w:eastAsia="zh-CN"/>
                    </w:rPr>
                    <w:t>等</w:t>
                  </w:r>
                  <w:r>
                    <w:rPr>
                      <w:rFonts w:hint="default" w:ascii="Times New Roman" w:hAnsi="Times New Roman" w:eastAsia="宋体" w:cs="Times New Roman"/>
                      <w:color w:val="auto"/>
                      <w:spacing w:val="0"/>
                      <w:w w:val="100"/>
                      <w:sz w:val="21"/>
                      <w:szCs w:val="21"/>
                      <w:u w:val="none" w:color="auto"/>
                      <w:lang w:eastAsia="zh-CN"/>
                    </w:rPr>
                    <w:t>采用密闭容器转移。</w:t>
                  </w:r>
                </w:p>
              </w:tc>
              <w:tc>
                <w:tcPr>
                  <w:tcW w:w="450" w:type="pct"/>
                  <w:tcBorders>
                    <w:tl2br w:val="nil"/>
                    <w:tr2bl w:val="nil"/>
                  </w:tcBorders>
                  <w:noWrap w:val="0"/>
                  <w:vAlign w:val="center"/>
                </w:tcPr>
                <w:p w14:paraId="19E02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符合</w:t>
                  </w:r>
                </w:p>
              </w:tc>
            </w:tr>
            <w:tr w14:paraId="4BD42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0" w:type="pct"/>
                  <w:tcBorders>
                    <w:tl2br w:val="nil"/>
                    <w:tr2bl w:val="nil"/>
                  </w:tcBorders>
                  <w:noWrap w:val="0"/>
                  <w:vAlign w:val="center"/>
                </w:tcPr>
                <w:p w14:paraId="25EA91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val="en-US" w:eastAsia="zh-CN"/>
                    </w:rPr>
                  </w:pPr>
                  <w:r>
                    <w:rPr>
                      <w:rFonts w:hint="default" w:ascii="Times New Roman" w:hAnsi="Times New Roman" w:eastAsia="宋体" w:cs="Times New Roman"/>
                      <w:color w:val="auto"/>
                      <w:spacing w:val="0"/>
                      <w:w w:val="100"/>
                      <w:sz w:val="21"/>
                      <w:szCs w:val="21"/>
                      <w:u w:val="none" w:color="auto"/>
                      <w:lang w:val="en-US" w:eastAsia="zh-CN"/>
                    </w:rPr>
                    <w:t>工艺过程VOCs无组织排放控制要求</w:t>
                  </w:r>
                </w:p>
              </w:tc>
              <w:tc>
                <w:tcPr>
                  <w:tcW w:w="2100" w:type="pct"/>
                  <w:tcBorders>
                    <w:tl2br w:val="nil"/>
                    <w:tr2bl w:val="nil"/>
                  </w:tcBorders>
                  <w:noWrap w:val="0"/>
                  <w:vAlign w:val="center"/>
                </w:tcPr>
                <w:p w14:paraId="4CC4C462">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val="en-US" w:eastAsia="zh-CN"/>
                    </w:rPr>
                  </w:pPr>
                  <w:r>
                    <w:rPr>
                      <w:rFonts w:hint="default" w:ascii="Times New Roman" w:hAnsi="Times New Roman" w:eastAsia="宋体" w:cs="Times New Roman"/>
                      <w:color w:val="auto"/>
                      <w:spacing w:val="0"/>
                      <w:w w:val="100"/>
                      <w:sz w:val="21"/>
                      <w:szCs w:val="21"/>
                      <w:u w:val="none" w:color="auto"/>
                      <w:lang w:val="en-US" w:eastAsia="zh-CN"/>
                    </w:rPr>
                    <w:t>VOCs质量占比大于等于10%的含VOCs产品，其使用过程应采用密闭设备或在密闭空间内操作，废气应排至VOCs废气收集处理系统；无法密闭的，应采取局部气体收集措施，废气应排至VOCs废气收集处理系统。</w:t>
                  </w:r>
                </w:p>
                <w:p w14:paraId="692DF2B7">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val="en-US" w:eastAsia="zh-CN"/>
                    </w:rPr>
                  </w:pPr>
                  <w:r>
                    <w:rPr>
                      <w:rFonts w:hint="default" w:ascii="Times New Roman" w:hAnsi="Times New Roman" w:eastAsia="宋体" w:cs="Times New Roman"/>
                      <w:color w:val="auto"/>
                      <w:spacing w:val="0"/>
                      <w:w w:val="100"/>
                      <w:sz w:val="21"/>
                      <w:szCs w:val="21"/>
                      <w:u w:val="none" w:color="auto"/>
                      <w:lang w:val="en-US" w:eastAsia="zh-CN"/>
                    </w:rPr>
                    <w:t>企业应建立台账，记录含VOCs原辅材料和含VOCs产品的名称、使用量、回收量、废弃量、去向以及VOCs含量等信息。台账保存期限不少于3年</w:t>
                  </w:r>
                  <w:r>
                    <w:rPr>
                      <w:rFonts w:hint="eastAsia" w:eastAsia="宋体" w:cs="Times New Roman"/>
                      <w:color w:val="auto"/>
                      <w:spacing w:val="0"/>
                      <w:w w:val="100"/>
                      <w:sz w:val="21"/>
                      <w:szCs w:val="21"/>
                      <w:u w:val="none" w:color="auto"/>
                      <w:lang w:val="en-US" w:eastAsia="zh-CN"/>
                    </w:rPr>
                    <w:t>。</w:t>
                  </w:r>
                </w:p>
              </w:tc>
              <w:tc>
                <w:tcPr>
                  <w:tcW w:w="1588" w:type="pct"/>
                  <w:tcBorders>
                    <w:tl2br w:val="nil"/>
                    <w:tr2bl w:val="nil"/>
                  </w:tcBorders>
                  <w:noWrap w:val="0"/>
                  <w:vAlign w:val="center"/>
                </w:tcPr>
                <w:p w14:paraId="46734472">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项目</w:t>
                  </w:r>
                  <w:r>
                    <w:rPr>
                      <w:rFonts w:hint="eastAsia" w:ascii="Times New Roman" w:hAnsi="Times New Roman" w:eastAsia="宋体" w:cs="Times New Roman"/>
                      <w:color w:val="auto"/>
                      <w:spacing w:val="0"/>
                      <w:sz w:val="21"/>
                      <w:szCs w:val="21"/>
                      <w:vertAlign w:val="baseline"/>
                      <w:lang w:val="en-US" w:eastAsia="zh-CN"/>
                    </w:rPr>
                    <w:t>油漆、稀释剂、固化</w:t>
                  </w:r>
                  <w:r>
                    <w:rPr>
                      <w:rFonts w:hint="default" w:ascii="Times New Roman" w:hAnsi="Times New Roman" w:eastAsia="宋体" w:cs="Times New Roman"/>
                      <w:color w:val="auto"/>
                      <w:spacing w:val="0"/>
                      <w:sz w:val="21"/>
                      <w:szCs w:val="21"/>
                      <w:vertAlign w:val="baseline"/>
                      <w:lang w:val="en-US" w:eastAsia="zh-CN"/>
                    </w:rPr>
                    <w:t>剂</w:t>
                  </w:r>
                  <w:r>
                    <w:rPr>
                      <w:rFonts w:hint="eastAsia" w:ascii="Times New Roman" w:hAnsi="Times New Roman" w:eastAsia="宋体" w:cs="Times New Roman"/>
                      <w:color w:val="auto"/>
                      <w:spacing w:val="0"/>
                      <w:sz w:val="21"/>
                      <w:szCs w:val="21"/>
                      <w:vertAlign w:val="baseline"/>
                      <w:lang w:val="en-US" w:eastAsia="zh-CN"/>
                    </w:rPr>
                    <w:t>等</w:t>
                  </w:r>
                  <w:r>
                    <w:rPr>
                      <w:rFonts w:hint="default" w:ascii="Times New Roman" w:hAnsi="Times New Roman" w:eastAsia="宋体" w:cs="Times New Roman"/>
                      <w:color w:val="auto"/>
                      <w:spacing w:val="0"/>
                      <w:w w:val="100"/>
                      <w:sz w:val="21"/>
                      <w:szCs w:val="21"/>
                      <w:u w:val="none" w:color="auto"/>
                      <w:lang w:eastAsia="zh-CN"/>
                    </w:rPr>
                    <w:t>使用过程均在密闭</w:t>
                  </w:r>
                  <w:r>
                    <w:rPr>
                      <w:rFonts w:hint="eastAsia" w:eastAsia="宋体" w:cs="Times New Roman"/>
                      <w:color w:val="auto"/>
                      <w:spacing w:val="0"/>
                      <w:w w:val="100"/>
                      <w:sz w:val="21"/>
                      <w:szCs w:val="21"/>
                      <w:u w:val="none" w:color="auto"/>
                      <w:lang w:eastAsia="zh-CN"/>
                    </w:rPr>
                    <w:t>油漆房</w:t>
                  </w:r>
                  <w:r>
                    <w:rPr>
                      <w:rFonts w:hint="default" w:ascii="Times New Roman" w:hAnsi="Times New Roman" w:eastAsia="宋体" w:cs="Times New Roman"/>
                      <w:color w:val="auto"/>
                      <w:spacing w:val="0"/>
                      <w:w w:val="100"/>
                      <w:sz w:val="21"/>
                      <w:szCs w:val="21"/>
                      <w:u w:val="none" w:color="auto"/>
                      <w:lang w:eastAsia="zh-CN"/>
                    </w:rPr>
                    <w:t>内进行，同时采取收集措施，将废气收集进废气处理系统进行处理。</w:t>
                  </w:r>
                </w:p>
                <w:p w14:paraId="3E3AB69A">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ind w:left="0" w:leftChars="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000000" w:themeColor="text1"/>
                      <w:spacing w:val="0"/>
                      <w:position w:val="0"/>
                      <w:sz w:val="21"/>
                      <w:szCs w:val="21"/>
                      <w:u w:val="none" w:color="auto"/>
                      <w:lang w:val="en-US" w:eastAsia="zh-CN"/>
                      <w14:textFill>
                        <w14:solidFill>
                          <w14:schemeClr w14:val="tx1"/>
                        </w14:solidFill>
                      </w14:textFill>
                    </w:rPr>
                    <w:t>项目建成后，企业将建立台账记录原辅材料的名称、使用量、废弃量、去向等信息</w:t>
                  </w:r>
                  <w:r>
                    <w:rPr>
                      <w:rFonts w:hint="eastAsia" w:eastAsia="宋体" w:cs="Times New Roman"/>
                      <w:color w:val="000000" w:themeColor="text1"/>
                      <w:spacing w:val="0"/>
                      <w:position w:val="0"/>
                      <w:sz w:val="21"/>
                      <w:szCs w:val="21"/>
                      <w:u w:val="none" w:color="auto"/>
                      <w:lang w:val="en-US" w:eastAsia="zh-CN"/>
                      <w14:textFill>
                        <w14:solidFill>
                          <w14:schemeClr w14:val="tx1"/>
                        </w14:solidFill>
                      </w14:textFill>
                    </w:rPr>
                    <w:t>，</w:t>
                  </w:r>
                  <w:r>
                    <w:rPr>
                      <w:rFonts w:hint="default" w:ascii="Times New Roman" w:hAnsi="Times New Roman" w:eastAsia="宋体" w:cs="Times New Roman"/>
                      <w:color w:val="auto"/>
                      <w:spacing w:val="0"/>
                      <w:w w:val="100"/>
                      <w:sz w:val="21"/>
                      <w:szCs w:val="21"/>
                      <w:u w:val="none" w:color="auto"/>
                      <w:lang w:val="en-US" w:eastAsia="zh-CN"/>
                    </w:rPr>
                    <w:t>台账保存期限不少于3年</w:t>
                  </w:r>
                  <w:r>
                    <w:rPr>
                      <w:rFonts w:hint="eastAsia" w:eastAsia="宋体" w:cs="Times New Roman"/>
                      <w:color w:val="auto"/>
                      <w:spacing w:val="0"/>
                      <w:w w:val="100"/>
                      <w:sz w:val="21"/>
                      <w:szCs w:val="21"/>
                      <w:u w:val="none" w:color="auto"/>
                      <w:lang w:val="en-US" w:eastAsia="zh-CN"/>
                    </w:rPr>
                    <w:t>。</w:t>
                  </w:r>
                </w:p>
              </w:tc>
              <w:tc>
                <w:tcPr>
                  <w:tcW w:w="450" w:type="pct"/>
                  <w:tcBorders>
                    <w:tl2br w:val="nil"/>
                    <w:tr2bl w:val="nil"/>
                  </w:tcBorders>
                  <w:noWrap w:val="0"/>
                  <w:vAlign w:val="center"/>
                </w:tcPr>
                <w:p w14:paraId="7A24DF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pacing w:val="0"/>
                      <w:w w:val="100"/>
                      <w:sz w:val="21"/>
                      <w:szCs w:val="21"/>
                      <w:u w:val="none" w:color="auto"/>
                      <w:lang w:eastAsia="zh-CN"/>
                    </w:rPr>
                  </w:pPr>
                  <w:r>
                    <w:rPr>
                      <w:rFonts w:hint="eastAsia" w:ascii="Times New Roman" w:hAnsi="Times New Roman" w:eastAsia="宋体" w:cs="Times New Roman"/>
                      <w:color w:val="auto"/>
                      <w:spacing w:val="0"/>
                      <w:w w:val="100"/>
                      <w:sz w:val="21"/>
                      <w:szCs w:val="21"/>
                      <w:u w:val="none" w:color="auto"/>
                      <w:lang w:eastAsia="zh-CN"/>
                    </w:rPr>
                    <w:t>符合</w:t>
                  </w:r>
                </w:p>
              </w:tc>
            </w:tr>
            <w:tr w14:paraId="3B2CF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0" w:type="pct"/>
                  <w:tcBorders>
                    <w:tl2br w:val="nil"/>
                    <w:tr2bl w:val="nil"/>
                  </w:tcBorders>
                  <w:noWrap w:val="0"/>
                  <w:vAlign w:val="center"/>
                </w:tcPr>
                <w:p w14:paraId="7AC9E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val="en-US" w:eastAsia="zh-CN"/>
                    </w:rPr>
                  </w:pPr>
                  <w:r>
                    <w:rPr>
                      <w:rFonts w:hint="default" w:ascii="Times New Roman" w:hAnsi="Times New Roman" w:eastAsia="宋体" w:cs="Times New Roman"/>
                      <w:color w:val="auto"/>
                      <w:spacing w:val="0"/>
                      <w:w w:val="100"/>
                      <w:sz w:val="21"/>
                      <w:szCs w:val="21"/>
                      <w:u w:val="none" w:color="auto"/>
                      <w:lang w:val="en-US" w:eastAsia="zh-CN"/>
                    </w:rPr>
                    <w:t>VOCs无组织排放废气收集处理系统要求</w:t>
                  </w:r>
                </w:p>
              </w:tc>
              <w:tc>
                <w:tcPr>
                  <w:tcW w:w="2100" w:type="pct"/>
                  <w:tcBorders>
                    <w:tl2br w:val="nil"/>
                    <w:tr2bl w:val="nil"/>
                  </w:tcBorders>
                  <w:noWrap w:val="0"/>
                  <w:vAlign w:val="center"/>
                </w:tcPr>
                <w:p w14:paraId="28E5F33C">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VOCs废气收集处理系统应与生产工艺设备同步运行。VOCs废气收集处理发生故障或检修时，对应的生产工艺设备应停止运行，待检修完毕后同步投入使用；生产工艺设备不能停止运行或不能及时停止运行的，应设置废气应急处理设施或采取其他替代措施。</w:t>
                  </w:r>
                </w:p>
                <w:p w14:paraId="69635369">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企业应考虑生产工艺、操作方式、废气性质、处理方法等因素，对VOCs废气进行分类收集。废气收集系统排风罩(集气罩)的设置应符合GB/T16758的规定。采用外部排风罩的，应GB/T16758、AQ/T4274-2016规定的方法测量控制风速，测量点应选取在距排风罩开口面最远处的VOCs无组织排放位置，控制风速不应低于0.3m/s（行业相关规范有具体规定的，按相关规定执行）。10.2.3废气收集系统的输送管道应密闭。废气收集系统应在负压下运行，若处于正压状态，应对输送管道组件的密封点进行泄漏检测，泄漏检测值不应超过500μmol/mol，亦不应有感官可察觉泄漏。泄漏检测频次、修复与记录的要求按照第8章规定执行。</w:t>
                  </w:r>
                </w:p>
                <w:p w14:paraId="0C6F638A">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VOCs废气收集处理系统污染物排放应符合GB16297或相关行业排放标准的规定。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排气简高度不低于15m（因安全考虑或有特殊工艺要求的除外），具体高度以及与周围建筑物的相对高度关系应根据环境影响评价文件确定。</w:t>
                  </w:r>
                </w:p>
              </w:tc>
              <w:tc>
                <w:tcPr>
                  <w:tcW w:w="1588" w:type="pct"/>
                  <w:tcBorders>
                    <w:tl2br w:val="nil"/>
                    <w:tr2bl w:val="nil"/>
                  </w:tcBorders>
                  <w:noWrap w:val="0"/>
                  <w:vAlign w:val="center"/>
                </w:tcPr>
                <w:p w14:paraId="01C5C609">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VOCs废气收集处理系统与生产工艺设备同步运行。VOCs废气收集处理系统发生故障或检修时，对应的生产工艺设备应停止运行，待检修完毕后同步投入使用。</w:t>
                  </w:r>
                </w:p>
                <w:p w14:paraId="46C464DC">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本项目</w:t>
                  </w:r>
                  <w:r>
                    <w:rPr>
                      <w:rFonts w:hint="eastAsia" w:ascii="Times New Roman" w:hAnsi="Times New Roman" w:eastAsia="宋体" w:cs="Times New Roman"/>
                      <w:color w:val="auto"/>
                      <w:spacing w:val="0"/>
                      <w:w w:val="100"/>
                      <w:sz w:val="21"/>
                      <w:szCs w:val="21"/>
                      <w:u w:val="none" w:color="auto"/>
                      <w:lang w:eastAsia="zh-CN"/>
                    </w:rPr>
                    <w:t>油漆房产生有机废气通过密闭负压收集，废气收集系统的输送管道密闭</w:t>
                  </w:r>
                  <w:r>
                    <w:rPr>
                      <w:rFonts w:hint="default" w:ascii="Times New Roman" w:hAnsi="Times New Roman" w:eastAsia="宋体" w:cs="Times New Roman"/>
                      <w:color w:val="auto"/>
                      <w:spacing w:val="0"/>
                      <w:w w:val="100"/>
                      <w:sz w:val="21"/>
                      <w:szCs w:val="21"/>
                      <w:u w:val="none" w:color="auto"/>
                      <w:lang w:eastAsia="zh-CN"/>
                    </w:rPr>
                    <w:t>。</w:t>
                  </w:r>
                </w:p>
                <w:p w14:paraId="53F0F48E">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default" w:ascii="Times New Roman" w:hAnsi="Times New Roman" w:eastAsia="宋体" w:cs="Times New Roman"/>
                      <w:color w:val="auto"/>
                      <w:spacing w:val="0"/>
                      <w:w w:val="100"/>
                      <w:sz w:val="21"/>
                      <w:szCs w:val="21"/>
                      <w:u w:val="none" w:color="auto"/>
                      <w:lang w:val="en-US" w:eastAsia="zh-CN"/>
                    </w:rPr>
                  </w:pPr>
                  <w:r>
                    <w:rPr>
                      <w:rFonts w:hint="eastAsia" w:ascii="Times New Roman" w:hAnsi="Times New Roman" w:eastAsia="宋体" w:cs="Times New Roman"/>
                      <w:color w:val="auto"/>
                      <w:spacing w:val="0"/>
                      <w:w w:val="100"/>
                      <w:sz w:val="21"/>
                      <w:szCs w:val="21"/>
                      <w:u w:val="none" w:color="auto"/>
                      <w:lang w:eastAsia="zh-CN"/>
                    </w:rPr>
                    <w:t>项目</w:t>
                  </w:r>
                  <w:r>
                    <w:rPr>
                      <w:rFonts w:hint="default" w:ascii="Times New Roman" w:hAnsi="Times New Roman" w:eastAsia="宋体" w:cs="Times New Roman"/>
                      <w:color w:val="auto"/>
                      <w:spacing w:val="0"/>
                      <w:w w:val="100"/>
                      <w:sz w:val="21"/>
                      <w:szCs w:val="21"/>
                      <w:u w:val="none" w:color="auto"/>
                      <w:lang w:eastAsia="zh-CN"/>
                    </w:rPr>
                    <w:t>收集的废气中NMHC初始排放速率</w:t>
                  </w:r>
                  <w:r>
                    <w:rPr>
                      <w:rFonts w:hint="eastAsia" w:ascii="Times New Roman" w:hAnsi="Times New Roman" w:eastAsia="宋体" w:cs="Times New Roman"/>
                      <w:color w:val="auto"/>
                      <w:spacing w:val="0"/>
                      <w:w w:val="100"/>
                      <w:sz w:val="21"/>
                      <w:szCs w:val="21"/>
                      <w:u w:val="none" w:color="auto"/>
                      <w:lang w:eastAsia="zh-CN"/>
                    </w:rPr>
                    <w:t>不大于</w:t>
                  </w:r>
                  <w:r>
                    <w:rPr>
                      <w:rFonts w:hint="eastAsia" w:ascii="Times New Roman" w:hAnsi="Times New Roman" w:eastAsia="宋体" w:cs="Times New Roman"/>
                      <w:color w:val="auto"/>
                      <w:spacing w:val="0"/>
                      <w:w w:val="100"/>
                      <w:sz w:val="21"/>
                      <w:szCs w:val="21"/>
                      <w:u w:val="none" w:color="auto"/>
                      <w:lang w:val="en-US" w:eastAsia="zh-CN"/>
                    </w:rPr>
                    <w:t>3</w:t>
                  </w:r>
                  <w:r>
                    <w:rPr>
                      <w:rFonts w:hint="default" w:ascii="Times New Roman" w:hAnsi="Times New Roman" w:eastAsia="宋体" w:cs="Times New Roman"/>
                      <w:color w:val="auto"/>
                      <w:spacing w:val="0"/>
                      <w:w w:val="100"/>
                      <w:sz w:val="21"/>
                      <w:szCs w:val="21"/>
                      <w:u w:val="none" w:color="auto"/>
                      <w:lang w:eastAsia="zh-CN"/>
                    </w:rPr>
                    <w:t>kg/h</w:t>
                  </w:r>
                  <w:r>
                    <w:rPr>
                      <w:rFonts w:hint="eastAsia" w:cs="Times New Roman"/>
                      <w:color w:val="auto"/>
                      <w:spacing w:val="0"/>
                      <w:w w:val="100"/>
                      <w:sz w:val="21"/>
                      <w:szCs w:val="21"/>
                      <w:u w:val="none" w:color="auto"/>
                      <w:lang w:eastAsia="zh-CN"/>
                    </w:rPr>
                    <w:t>（本项目</w:t>
                  </w:r>
                  <w:r>
                    <w:rPr>
                      <w:rFonts w:hint="eastAsia" w:cs="Times New Roman"/>
                      <w:color w:val="auto"/>
                      <w:spacing w:val="0"/>
                      <w:w w:val="100"/>
                      <w:sz w:val="21"/>
                      <w:szCs w:val="21"/>
                      <w:u w:val="none" w:color="auto"/>
                      <w:lang w:val="en-US" w:eastAsia="zh-CN"/>
                    </w:rPr>
                    <w:t>0.966</w:t>
                  </w:r>
                  <w:r>
                    <w:rPr>
                      <w:rFonts w:hint="default" w:ascii="Times New Roman" w:hAnsi="Times New Roman" w:eastAsia="宋体" w:cs="Times New Roman"/>
                      <w:color w:val="auto"/>
                      <w:spacing w:val="0"/>
                      <w:w w:val="100"/>
                      <w:sz w:val="21"/>
                      <w:szCs w:val="21"/>
                      <w:u w:val="none" w:color="auto"/>
                      <w:lang w:eastAsia="zh-CN"/>
                    </w:rPr>
                    <w:t>kg/h</w:t>
                  </w:r>
                  <w:r>
                    <w:rPr>
                      <w:rFonts w:hint="eastAsia" w:cs="Times New Roman"/>
                      <w:color w:val="auto"/>
                      <w:spacing w:val="0"/>
                      <w:w w:val="100"/>
                      <w:sz w:val="21"/>
                      <w:szCs w:val="21"/>
                      <w:u w:val="none" w:color="auto"/>
                      <w:lang w:eastAsia="zh-CN"/>
                    </w:rPr>
                    <w:t>）</w:t>
                  </w:r>
                  <w:r>
                    <w:rPr>
                      <w:rFonts w:hint="eastAsia" w:ascii="Times New Roman" w:hAnsi="Times New Roman" w:eastAsia="宋体" w:cs="Times New Roman"/>
                      <w:color w:val="auto"/>
                      <w:spacing w:val="0"/>
                      <w:w w:val="100"/>
                      <w:sz w:val="21"/>
                      <w:szCs w:val="21"/>
                      <w:u w:val="none" w:color="auto"/>
                      <w:lang w:eastAsia="zh-CN"/>
                    </w:rPr>
                    <w:t>，且不属于重点地区，项目有机废气经负压</w:t>
                  </w:r>
                  <w:r>
                    <w:rPr>
                      <w:rFonts w:hint="default" w:ascii="Times New Roman" w:hAnsi="Times New Roman" w:eastAsia="宋体" w:cs="Times New Roman"/>
                      <w:color w:val="auto"/>
                      <w:spacing w:val="0"/>
                      <w:w w:val="100"/>
                      <w:sz w:val="21"/>
                      <w:szCs w:val="21"/>
                      <w:u w:val="none" w:color="auto"/>
                      <w:lang w:eastAsia="zh-CN"/>
                    </w:rPr>
                    <w:t>收集后经管道进入</w:t>
                  </w:r>
                  <w:r>
                    <w:rPr>
                      <w:rFonts w:hint="eastAsia" w:ascii="Times New Roman" w:hAnsi="Times New Roman" w:eastAsia="宋体" w:cs="Times New Roman"/>
                      <w:color w:val="auto"/>
                      <w:spacing w:val="0"/>
                      <w:w w:val="100"/>
                      <w:sz w:val="21"/>
                      <w:szCs w:val="21"/>
                      <w:u w:val="none" w:color="auto"/>
                      <w:lang w:eastAsia="zh-CN"/>
                    </w:rPr>
                    <w:t>“</w:t>
                  </w:r>
                  <w:r>
                    <w:rPr>
                      <w:rFonts w:hint="eastAsia" w:ascii="Times New Roman" w:hAnsi="Times New Roman" w:eastAsia="宋体" w:cs="Times New Roman"/>
                      <w:color w:val="auto"/>
                      <w:spacing w:val="0"/>
                      <w:w w:val="100"/>
                      <w:sz w:val="21"/>
                      <w:szCs w:val="21"/>
                      <w:u w:val="none" w:color="auto"/>
                      <w:lang w:val="en-US" w:eastAsia="zh-CN"/>
                    </w:rPr>
                    <w:t>干式过滤器+两级</w:t>
                  </w:r>
                  <w:r>
                    <w:rPr>
                      <w:rFonts w:hint="default" w:ascii="Times New Roman" w:hAnsi="Times New Roman" w:eastAsia="宋体" w:cs="Times New Roman"/>
                      <w:color w:val="auto"/>
                      <w:spacing w:val="0"/>
                      <w:w w:val="100"/>
                      <w:sz w:val="21"/>
                      <w:szCs w:val="21"/>
                      <w:u w:val="none" w:color="auto"/>
                      <w:lang w:eastAsia="zh-CN"/>
                    </w:rPr>
                    <w:t>活性炭吸附装置</w:t>
                  </w:r>
                  <w:r>
                    <w:rPr>
                      <w:rFonts w:hint="eastAsia" w:ascii="Times New Roman" w:hAnsi="Times New Roman" w:eastAsia="宋体" w:cs="Times New Roman"/>
                      <w:color w:val="auto"/>
                      <w:spacing w:val="0"/>
                      <w:w w:val="100"/>
                      <w:sz w:val="21"/>
                      <w:szCs w:val="21"/>
                      <w:u w:val="none" w:color="auto"/>
                      <w:lang w:eastAsia="zh-CN"/>
                    </w:rPr>
                    <w:t>”</w:t>
                  </w:r>
                  <w:r>
                    <w:rPr>
                      <w:rFonts w:hint="default" w:ascii="Times New Roman" w:hAnsi="Times New Roman" w:eastAsia="宋体" w:cs="Times New Roman"/>
                      <w:color w:val="auto"/>
                      <w:spacing w:val="0"/>
                      <w:w w:val="100"/>
                      <w:sz w:val="21"/>
                      <w:szCs w:val="21"/>
                      <w:u w:val="none" w:color="auto"/>
                      <w:lang w:eastAsia="zh-CN"/>
                    </w:rPr>
                    <w:t>处理</w:t>
                  </w:r>
                  <w:r>
                    <w:rPr>
                      <w:rFonts w:hint="eastAsia" w:ascii="Times New Roman" w:hAnsi="Times New Roman" w:eastAsia="宋体" w:cs="Times New Roman"/>
                      <w:color w:val="auto"/>
                      <w:spacing w:val="0"/>
                      <w:w w:val="100"/>
                      <w:sz w:val="21"/>
                      <w:szCs w:val="21"/>
                      <w:u w:val="none" w:color="auto"/>
                      <w:lang w:eastAsia="zh-CN"/>
                    </w:rPr>
                    <w:t>后</w:t>
                  </w:r>
                  <w:r>
                    <w:rPr>
                      <w:rFonts w:hint="default" w:ascii="Times New Roman" w:hAnsi="Times New Roman" w:eastAsia="宋体" w:cs="Times New Roman"/>
                      <w:color w:val="auto"/>
                      <w:spacing w:val="0"/>
                      <w:w w:val="100"/>
                      <w:sz w:val="21"/>
                      <w:szCs w:val="21"/>
                      <w:u w:val="none" w:color="auto"/>
                      <w:lang w:eastAsia="zh-CN"/>
                    </w:rPr>
                    <w:t>，由1根</w:t>
                  </w:r>
                  <w:r>
                    <w:rPr>
                      <w:rFonts w:hint="eastAsia" w:ascii="Times New Roman" w:hAnsi="Times New Roman" w:eastAsia="宋体" w:cs="Times New Roman"/>
                      <w:color w:val="auto"/>
                      <w:spacing w:val="0"/>
                      <w:w w:val="100"/>
                      <w:sz w:val="21"/>
                      <w:szCs w:val="21"/>
                      <w:u w:val="none" w:color="auto"/>
                      <w:lang w:val="en-US" w:eastAsia="zh-CN"/>
                    </w:rPr>
                    <w:t>15</w:t>
                  </w:r>
                  <w:r>
                    <w:rPr>
                      <w:rFonts w:hint="default" w:ascii="Times New Roman" w:hAnsi="Times New Roman" w:eastAsia="宋体" w:cs="Times New Roman"/>
                      <w:color w:val="auto"/>
                      <w:spacing w:val="0"/>
                      <w:w w:val="100"/>
                      <w:sz w:val="21"/>
                      <w:szCs w:val="21"/>
                      <w:u w:val="none" w:color="auto"/>
                      <w:lang w:eastAsia="zh-CN"/>
                    </w:rPr>
                    <w:t>米排气筒（DA00</w:t>
                  </w:r>
                  <w:r>
                    <w:rPr>
                      <w:rFonts w:hint="eastAsia" w:ascii="Times New Roman" w:hAnsi="Times New Roman" w:eastAsia="宋体" w:cs="Times New Roman"/>
                      <w:color w:val="auto"/>
                      <w:spacing w:val="0"/>
                      <w:w w:val="100"/>
                      <w:sz w:val="21"/>
                      <w:szCs w:val="21"/>
                      <w:u w:val="none" w:color="auto"/>
                      <w:lang w:val="en-US" w:eastAsia="zh-CN"/>
                    </w:rPr>
                    <w:t>2</w:t>
                  </w:r>
                  <w:r>
                    <w:rPr>
                      <w:rFonts w:hint="default" w:ascii="Times New Roman" w:hAnsi="Times New Roman" w:eastAsia="宋体" w:cs="Times New Roman"/>
                      <w:color w:val="auto"/>
                      <w:spacing w:val="0"/>
                      <w:w w:val="100"/>
                      <w:sz w:val="21"/>
                      <w:szCs w:val="21"/>
                      <w:u w:val="none" w:color="auto"/>
                      <w:lang w:eastAsia="zh-CN"/>
                    </w:rPr>
                    <w:t>）</w:t>
                  </w:r>
                  <w:r>
                    <w:rPr>
                      <w:rFonts w:hint="eastAsia" w:ascii="Times New Roman" w:hAnsi="Times New Roman" w:eastAsia="宋体" w:cs="Times New Roman"/>
                      <w:color w:val="auto"/>
                      <w:spacing w:val="0"/>
                      <w:w w:val="100"/>
                      <w:sz w:val="21"/>
                      <w:szCs w:val="21"/>
                      <w:u w:val="none" w:color="auto"/>
                      <w:lang w:eastAsia="zh-CN"/>
                    </w:rPr>
                    <w:t>达标</w:t>
                  </w:r>
                  <w:r>
                    <w:rPr>
                      <w:rFonts w:hint="default" w:ascii="Times New Roman" w:hAnsi="Times New Roman" w:eastAsia="宋体" w:cs="Times New Roman"/>
                      <w:color w:val="auto"/>
                      <w:spacing w:val="0"/>
                      <w:w w:val="100"/>
                      <w:sz w:val="21"/>
                      <w:szCs w:val="21"/>
                      <w:u w:val="none" w:color="auto"/>
                      <w:lang w:eastAsia="zh-CN"/>
                    </w:rPr>
                    <w:t>排放</w:t>
                  </w:r>
                  <w:r>
                    <w:rPr>
                      <w:rFonts w:hint="eastAsia" w:ascii="Times New Roman" w:hAnsi="Times New Roman" w:eastAsia="宋体" w:cs="Times New Roman"/>
                      <w:color w:val="auto"/>
                      <w:spacing w:val="0"/>
                      <w:w w:val="100"/>
                      <w:sz w:val="21"/>
                      <w:szCs w:val="21"/>
                      <w:u w:val="none" w:color="auto"/>
                      <w:lang w:eastAsia="zh-CN"/>
                    </w:rPr>
                    <w:t>。</w:t>
                  </w:r>
                </w:p>
              </w:tc>
              <w:tc>
                <w:tcPr>
                  <w:tcW w:w="450" w:type="pct"/>
                  <w:tcBorders>
                    <w:tl2br w:val="nil"/>
                    <w:tr2bl w:val="nil"/>
                  </w:tcBorders>
                  <w:noWrap w:val="0"/>
                  <w:vAlign w:val="center"/>
                </w:tcPr>
                <w:p w14:paraId="1B4D6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符合</w:t>
                  </w:r>
                </w:p>
              </w:tc>
            </w:tr>
          </w:tbl>
          <w:p w14:paraId="056D7E4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cs="Times New Roman"/>
                <w:b/>
                <w:bCs/>
                <w:color w:val="000000" w:themeColor="text1"/>
                <w:spacing w:val="0"/>
                <w:position w:val="0"/>
                <w:sz w:val="24"/>
                <w:szCs w:val="21"/>
                <w:u w:val="none" w:color="auto"/>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position w:val="0"/>
                <w:sz w:val="24"/>
                <w:szCs w:val="24"/>
                <w:u w:val="none" w:color="auto"/>
                <w:lang w:val="en-US" w:eastAsia="zh-CN"/>
                <w14:textFill>
                  <w14:solidFill>
                    <w14:schemeClr w14:val="tx1"/>
                  </w14:solidFill>
                </w14:textFill>
              </w:rPr>
              <w:t>综上，本项目与</w:t>
            </w:r>
            <w:r>
              <w:rPr>
                <w:rFonts w:hint="default" w:ascii="Times New Roman" w:hAnsi="Times New Roman" w:eastAsia="宋体" w:cs="Times New Roman"/>
                <w:b w:val="0"/>
                <w:bCs/>
                <w:color w:val="000000" w:themeColor="text1"/>
                <w:spacing w:val="0"/>
                <w:position w:val="0"/>
                <w:sz w:val="24"/>
                <w:szCs w:val="24"/>
                <w:u w:val="none" w:color="auto"/>
                <w:lang w:val="en-US" w:eastAsia="zh-CN"/>
                <w14:textFill>
                  <w14:solidFill>
                    <w14:schemeClr w14:val="tx1"/>
                  </w14:solidFill>
                </w14:textFill>
              </w:rPr>
              <w:t>《挥发性有机物无组织排放控制标准》</w:t>
            </w:r>
            <w:r>
              <w:rPr>
                <w:rFonts w:hint="eastAsia" w:cs="Times New Roman"/>
                <w:b w:val="0"/>
                <w:bCs/>
                <w:color w:val="000000" w:themeColor="text1"/>
                <w:spacing w:val="0"/>
                <w:position w:val="0"/>
                <w:sz w:val="24"/>
                <w:szCs w:val="24"/>
                <w:u w:val="none" w:color="auto"/>
                <w:lang w:val="en-US" w:eastAsia="zh-CN"/>
                <w14:textFill>
                  <w14:solidFill>
                    <w14:schemeClr w14:val="tx1"/>
                  </w14:solidFill>
                </w14:textFill>
              </w:rPr>
              <w:t>相关要求相符。</w:t>
            </w:r>
          </w:p>
          <w:p w14:paraId="5A91263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pacing w:val="0"/>
                <w:position w:val="0"/>
                <w:sz w:val="24"/>
                <w:szCs w:val="21"/>
                <w:u w:val="none" w:color="auto"/>
                <w14:textFill>
                  <w14:solidFill>
                    <w14:schemeClr w14:val="tx1"/>
                  </w14:solidFill>
                </w14:textFill>
              </w:rPr>
            </w:pPr>
            <w:r>
              <w:rPr>
                <w:rFonts w:hint="eastAsia" w:cs="Times New Roman"/>
                <w:b/>
                <w:bCs/>
                <w:color w:val="000000" w:themeColor="text1"/>
                <w:spacing w:val="0"/>
                <w:position w:val="0"/>
                <w:sz w:val="24"/>
                <w:szCs w:val="21"/>
                <w:u w:val="none" w:color="auto"/>
                <w:lang w:val="en-US" w:eastAsia="zh-CN"/>
                <w14:textFill>
                  <w14:solidFill>
                    <w14:schemeClr w14:val="tx1"/>
                  </w14:solidFill>
                </w14:textFill>
              </w:rPr>
              <w:t>6</w:t>
            </w:r>
            <w:r>
              <w:rPr>
                <w:rFonts w:hint="default" w:ascii="Times New Roman" w:hAnsi="Times New Roman" w:eastAsia="宋体" w:cs="Times New Roman"/>
                <w:b/>
                <w:bCs/>
                <w:color w:val="000000" w:themeColor="text1"/>
                <w:spacing w:val="0"/>
                <w:position w:val="0"/>
                <w:sz w:val="24"/>
                <w:szCs w:val="21"/>
                <w:u w:val="none" w:color="auto"/>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position w:val="0"/>
                <w:sz w:val="24"/>
                <w:szCs w:val="21"/>
                <w:u w:val="none" w:color="auto"/>
                <w14:textFill>
                  <w14:solidFill>
                    <w14:schemeClr w14:val="tx1"/>
                  </w14:solidFill>
                </w14:textFill>
              </w:rPr>
              <w:t>与《挥发性有机物（VOCs）污染防治技术政策》符合性分析</w:t>
            </w:r>
          </w:p>
          <w:p w14:paraId="186861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0"/>
                <w:position w:val="0"/>
                <w:sz w:val="24"/>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1"/>
                <w:u w:val="none" w:color="auto"/>
                <w14:textFill>
                  <w14:solidFill>
                    <w14:schemeClr w14:val="tx1"/>
                  </w14:solidFill>
                </w14:textFill>
              </w:rPr>
              <w:t>根据《挥发性有机物（VOCs）污染防治技术政策》，本项目与其相符性分析</w:t>
            </w:r>
            <w:r>
              <w:rPr>
                <w:rFonts w:hint="default" w:ascii="Times New Roman" w:hAnsi="Times New Roman" w:eastAsia="宋体" w:cs="Times New Roman"/>
                <w:color w:val="000000" w:themeColor="text1"/>
                <w:spacing w:val="0"/>
                <w:position w:val="0"/>
                <w:sz w:val="24"/>
                <w:szCs w:val="21"/>
                <w:u w:val="none" w:color="auto"/>
                <w:lang w:eastAsia="zh-CN"/>
                <w14:textFill>
                  <w14:solidFill>
                    <w14:schemeClr w14:val="tx1"/>
                  </w14:solidFill>
                </w14:textFill>
              </w:rPr>
              <w:t>见表</w:t>
            </w:r>
            <w:r>
              <w:rPr>
                <w:rFonts w:hint="default" w:ascii="Times New Roman" w:hAnsi="Times New Roman" w:eastAsia="宋体" w:cs="Times New Roman"/>
                <w:color w:val="000000" w:themeColor="text1"/>
                <w:spacing w:val="0"/>
                <w:position w:val="0"/>
                <w:sz w:val="24"/>
                <w:szCs w:val="21"/>
                <w:u w:val="none" w:color="auto"/>
                <w:lang w:val="en-US" w:eastAsia="zh-CN"/>
                <w14:textFill>
                  <w14:solidFill>
                    <w14:schemeClr w14:val="tx1"/>
                  </w14:solidFill>
                </w14:textFill>
              </w:rPr>
              <w:t>1-</w:t>
            </w:r>
            <w:r>
              <w:rPr>
                <w:rFonts w:hint="eastAsia" w:cs="Times New Roman"/>
                <w:color w:val="000000" w:themeColor="text1"/>
                <w:spacing w:val="0"/>
                <w:position w:val="0"/>
                <w:sz w:val="24"/>
                <w:szCs w:val="21"/>
                <w:u w:val="none" w:color="auto"/>
                <w:lang w:val="en-US" w:eastAsia="zh-CN"/>
                <w14:textFill>
                  <w14:solidFill>
                    <w14:schemeClr w14:val="tx1"/>
                  </w14:solidFill>
                </w14:textFill>
              </w:rPr>
              <w:t>11</w:t>
            </w:r>
            <w:r>
              <w:rPr>
                <w:rFonts w:hint="default" w:ascii="Times New Roman" w:hAnsi="Times New Roman" w:eastAsia="宋体" w:cs="Times New Roman"/>
                <w:color w:val="000000" w:themeColor="text1"/>
                <w:spacing w:val="0"/>
                <w:position w:val="0"/>
                <w:sz w:val="24"/>
                <w:szCs w:val="21"/>
                <w:u w:val="none" w:color="auto"/>
                <w14:textFill>
                  <w14:solidFill>
                    <w14:schemeClr w14:val="tx1"/>
                  </w14:solidFill>
                </w14:textFill>
              </w:rPr>
              <w:t>。</w:t>
            </w:r>
          </w:p>
          <w:p w14:paraId="21FCAA2B">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表1-</w:t>
            </w:r>
            <w:r>
              <w:rPr>
                <w:rFonts w:hint="eastAsia" w:cs="Times New Roman"/>
                <w:color w:val="000000" w:themeColor="text1"/>
                <w:spacing w:val="0"/>
                <w:position w:val="0"/>
                <w:sz w:val="24"/>
                <w:szCs w:val="24"/>
                <w:u w:val="none" w:color="auto"/>
                <w:lang w:val="en-US" w:eastAsia="zh-CN"/>
                <w14:textFill>
                  <w14:solidFill>
                    <w14:schemeClr w14:val="tx1"/>
                  </w14:solidFill>
                </w14:textFill>
              </w:rPr>
              <w:t>11</w:t>
            </w:r>
            <w:r>
              <w:rPr>
                <w:rFonts w:hint="default" w:ascii="Times New Roman" w:hAnsi="Times New Roman" w:eastAsia="宋体" w:cs="Times New Roman"/>
                <w:color w:val="000000" w:themeColor="text1"/>
                <w:spacing w:val="0"/>
                <w:position w:val="0"/>
                <w:sz w:val="24"/>
                <w:szCs w:val="24"/>
                <w:u w:val="none" w:color="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与</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挥发性有机物（VOCs）污染防治技术政策</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的符合性分析</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2"/>
              <w:gridCol w:w="283"/>
              <w:gridCol w:w="3486"/>
              <w:gridCol w:w="2840"/>
              <w:gridCol w:w="495"/>
            </w:tblGrid>
            <w:tr w14:paraId="73C4D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348" w:type="pct"/>
                  <w:tcBorders>
                    <w:tl2br w:val="nil"/>
                    <w:tr2bl w:val="nil"/>
                  </w:tcBorders>
                  <w:shd w:val="clear" w:color="auto" w:fill="auto"/>
                  <w:vAlign w:val="center"/>
                </w:tcPr>
                <w:p w14:paraId="1E4C46CA">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序号</w:t>
                  </w:r>
                </w:p>
              </w:tc>
              <w:tc>
                <w:tcPr>
                  <w:tcW w:w="2467" w:type="pct"/>
                  <w:gridSpan w:val="2"/>
                  <w:tcBorders>
                    <w:tl2br w:val="nil"/>
                    <w:tr2bl w:val="nil"/>
                  </w:tcBorders>
                  <w:shd w:val="clear" w:color="auto" w:fill="auto"/>
                  <w:vAlign w:val="center"/>
                </w:tcPr>
                <w:p w14:paraId="0B8D3F60">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防治技术政策要求</w:t>
                  </w:r>
                </w:p>
              </w:tc>
              <w:tc>
                <w:tcPr>
                  <w:tcW w:w="1859" w:type="pct"/>
                  <w:tcBorders>
                    <w:tl2br w:val="nil"/>
                    <w:tr2bl w:val="nil"/>
                  </w:tcBorders>
                  <w:shd w:val="clear" w:color="auto" w:fill="auto"/>
                  <w:vAlign w:val="center"/>
                </w:tcPr>
                <w:p w14:paraId="55862C7F">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项目</w:t>
                  </w:r>
                  <w:r>
                    <w:rPr>
                      <w:rFonts w:hint="default" w:ascii="Times New Roman" w:hAnsi="Times New Roman" w:eastAsia="宋体" w:cs="Times New Roman"/>
                      <w:b/>
                      <w:bCs/>
                      <w:color w:val="000000" w:themeColor="text1"/>
                      <w:spacing w:val="0"/>
                      <w:position w:val="0"/>
                      <w:sz w:val="21"/>
                      <w:szCs w:val="21"/>
                      <w:u w:val="none" w:color="auto"/>
                      <w:lang w:eastAsia="zh-CN"/>
                      <w14:textFill>
                        <w14:solidFill>
                          <w14:schemeClr w14:val="tx1"/>
                        </w14:solidFill>
                      </w14:textFill>
                    </w:rPr>
                    <w:t>情况</w:t>
                  </w:r>
                </w:p>
              </w:tc>
              <w:tc>
                <w:tcPr>
                  <w:tcW w:w="324" w:type="pct"/>
                  <w:tcBorders>
                    <w:tl2br w:val="nil"/>
                    <w:tr2bl w:val="nil"/>
                  </w:tcBorders>
                  <w:shd w:val="clear" w:color="auto" w:fill="auto"/>
                  <w:vAlign w:val="center"/>
                </w:tcPr>
                <w:p w14:paraId="25DB863A">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符</w:t>
                  </w:r>
                  <w:r>
                    <w:rPr>
                      <w:rFonts w:hint="default" w:ascii="Times New Roman" w:hAnsi="Times New Roman" w:eastAsia="宋体" w:cs="Times New Roman"/>
                      <w:b/>
                      <w:bCs/>
                      <w:color w:val="000000" w:themeColor="text1"/>
                      <w:spacing w:val="0"/>
                      <w:position w:val="0"/>
                      <w:sz w:val="21"/>
                      <w:szCs w:val="21"/>
                      <w:u w:val="none" w:color="auto"/>
                      <w:lang w:eastAsia="zh-CN"/>
                      <w14:textFill>
                        <w14:solidFill>
                          <w14:schemeClr w14:val="tx1"/>
                        </w14:solidFill>
                      </w14:textFill>
                    </w:rPr>
                    <w:t>合</w:t>
                  </w: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性</w:t>
                  </w:r>
                </w:p>
              </w:tc>
            </w:tr>
            <w:tr w14:paraId="1AD48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06" w:hRule="atLeast"/>
                <w:jc w:val="center"/>
              </w:trPr>
              <w:tc>
                <w:tcPr>
                  <w:tcW w:w="348" w:type="pct"/>
                  <w:tcBorders>
                    <w:tl2br w:val="nil"/>
                    <w:tr2bl w:val="nil"/>
                  </w:tcBorders>
                  <w:shd w:val="clear" w:color="auto" w:fill="auto"/>
                  <w:vAlign w:val="center"/>
                </w:tcPr>
                <w:p w14:paraId="432E44FA">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u w:val="none" w:color="auto"/>
                    </w:rPr>
                  </w:pPr>
                  <w:r>
                    <w:rPr>
                      <w:rFonts w:hint="default" w:ascii="Times New Roman" w:hAnsi="Times New Roman" w:eastAsia="宋体" w:cs="Times New Roman"/>
                      <w:b w:val="0"/>
                      <w:bCs/>
                      <w:color w:val="auto"/>
                      <w:spacing w:val="0"/>
                      <w:position w:val="0"/>
                      <w:sz w:val="21"/>
                      <w:szCs w:val="21"/>
                      <w:u w:val="none" w:color="auto"/>
                    </w:rPr>
                    <w:t>1</w:t>
                  </w:r>
                </w:p>
              </w:tc>
              <w:tc>
                <w:tcPr>
                  <w:tcW w:w="185" w:type="pct"/>
                  <w:vMerge w:val="restart"/>
                  <w:tcBorders>
                    <w:tl2br w:val="nil"/>
                    <w:tr2bl w:val="nil"/>
                  </w:tcBorders>
                  <w:shd w:val="clear" w:color="auto" w:fill="auto"/>
                  <w:vAlign w:val="center"/>
                </w:tcPr>
                <w:p w14:paraId="27E8CB58">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u w:val="none" w:color="auto"/>
                    </w:rPr>
                  </w:pPr>
                  <w:r>
                    <w:rPr>
                      <w:rFonts w:hint="default" w:ascii="Times New Roman" w:hAnsi="Times New Roman" w:eastAsia="宋体" w:cs="Times New Roman"/>
                      <w:b w:val="0"/>
                      <w:bCs/>
                      <w:color w:val="auto"/>
                      <w:spacing w:val="0"/>
                      <w:position w:val="0"/>
                      <w:sz w:val="21"/>
                      <w:szCs w:val="21"/>
                      <w:u w:val="none" w:color="auto"/>
                    </w:rPr>
                    <w:t>源头和过程控制</w:t>
                  </w:r>
                </w:p>
              </w:tc>
              <w:tc>
                <w:tcPr>
                  <w:tcW w:w="2282" w:type="pct"/>
                  <w:vMerge w:val="restart"/>
                  <w:tcBorders>
                    <w:tl2br w:val="nil"/>
                    <w:tr2bl w:val="nil"/>
                  </w:tcBorders>
                  <w:shd w:val="clear" w:color="auto" w:fill="auto"/>
                  <w:vAlign w:val="center"/>
                </w:tcPr>
                <w:p w14:paraId="227FC80E">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color w:val="auto"/>
                      <w:spacing w:val="0"/>
                      <w:kern w:val="0"/>
                      <w:position w:val="0"/>
                      <w:sz w:val="21"/>
                      <w:szCs w:val="21"/>
                      <w:u w:val="none" w:color="auto"/>
                      <w:lang w:val="en-US" w:eastAsia="zh-CN" w:bidi="ar-SA"/>
                    </w:rPr>
                  </w:pPr>
                  <w:r>
                    <w:rPr>
                      <w:rFonts w:hint="default" w:ascii="Times New Roman" w:hAnsi="Times New Roman" w:eastAsia="宋体" w:cs="Times New Roman"/>
                      <w:b w:val="0"/>
                      <w:bCs/>
                      <w:color w:val="auto"/>
                      <w:spacing w:val="0"/>
                      <w:position w:val="0"/>
                      <w:sz w:val="21"/>
                      <w:szCs w:val="21"/>
                      <w:u w:val="none" w:color="auto"/>
                    </w:rPr>
                    <w:t>含VOCs产品的使用过程中，应采取废气收集措施，提高废气收集效率，减少废气的无组织排放与逸散，并对收集后的废气进行回收或处理后达标排放</w:t>
                  </w:r>
                </w:p>
              </w:tc>
              <w:tc>
                <w:tcPr>
                  <w:tcW w:w="1859" w:type="pct"/>
                  <w:vMerge w:val="restart"/>
                  <w:tcBorders>
                    <w:tl2br w:val="nil"/>
                    <w:tr2bl w:val="nil"/>
                  </w:tcBorders>
                  <w:shd w:val="clear" w:color="auto" w:fill="auto"/>
                  <w:vAlign w:val="center"/>
                </w:tcPr>
                <w:p w14:paraId="181DB22E">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color w:val="auto"/>
                      <w:spacing w:val="0"/>
                      <w:kern w:val="0"/>
                      <w:position w:val="0"/>
                      <w:sz w:val="21"/>
                      <w:szCs w:val="21"/>
                      <w:u w:val="none" w:color="auto"/>
                      <w:lang w:val="en-US" w:eastAsia="zh-CN" w:bidi="ar-SA"/>
                    </w:rPr>
                  </w:pPr>
                  <w:r>
                    <w:rPr>
                      <w:rFonts w:hint="default" w:ascii="Times New Roman" w:hAnsi="Times New Roman" w:eastAsia="宋体" w:cs="Times New Roman"/>
                      <w:b w:val="0"/>
                      <w:bCs/>
                      <w:color w:val="auto"/>
                      <w:spacing w:val="0"/>
                      <w:position w:val="0"/>
                      <w:sz w:val="21"/>
                      <w:szCs w:val="21"/>
                      <w:u w:val="none" w:color="auto"/>
                    </w:rPr>
                    <w:t>本项目</w:t>
                  </w:r>
                  <w:r>
                    <w:rPr>
                      <w:rFonts w:hint="eastAsia" w:ascii="Times New Roman" w:cs="Times New Roman"/>
                      <w:b w:val="0"/>
                      <w:bCs/>
                      <w:color w:val="auto"/>
                      <w:spacing w:val="0"/>
                      <w:position w:val="0"/>
                      <w:sz w:val="21"/>
                      <w:szCs w:val="21"/>
                      <w:u w:val="none" w:color="auto"/>
                      <w:lang w:eastAsia="zh-CN"/>
                    </w:rPr>
                    <w:t>产生的</w:t>
                  </w:r>
                  <w:r>
                    <w:rPr>
                      <w:rFonts w:hint="default" w:ascii="Times New Roman" w:hAnsi="Times New Roman" w:eastAsia="宋体" w:cs="Times New Roman"/>
                      <w:b w:val="0"/>
                      <w:bCs/>
                      <w:color w:val="auto"/>
                      <w:spacing w:val="0"/>
                      <w:position w:val="0"/>
                      <w:sz w:val="21"/>
                      <w:szCs w:val="21"/>
                      <w:u w:val="none" w:color="auto"/>
                    </w:rPr>
                    <w:t>有机废气</w:t>
                  </w:r>
                  <w:r>
                    <w:rPr>
                      <w:rFonts w:hint="eastAsia" w:ascii="Times New Roman" w:cs="Times New Roman"/>
                      <w:b w:val="0"/>
                      <w:bCs/>
                      <w:color w:val="auto"/>
                      <w:spacing w:val="0"/>
                      <w:position w:val="0"/>
                      <w:sz w:val="21"/>
                      <w:szCs w:val="21"/>
                      <w:u w:val="none" w:color="auto"/>
                      <w:lang w:eastAsia="zh-CN"/>
                    </w:rPr>
                    <w:t>通过采用负压收集，提高</w:t>
                  </w:r>
                  <w:r>
                    <w:rPr>
                      <w:rFonts w:hint="default" w:ascii="Times New Roman" w:hAnsi="Times New Roman" w:eastAsia="宋体" w:cs="Times New Roman"/>
                      <w:b w:val="0"/>
                      <w:bCs/>
                      <w:color w:val="auto"/>
                      <w:spacing w:val="0"/>
                      <w:position w:val="0"/>
                      <w:sz w:val="21"/>
                      <w:szCs w:val="21"/>
                      <w:u w:val="none" w:color="auto"/>
                    </w:rPr>
                    <w:t>废气收集效率，减少废气的无组织排放与逸散</w:t>
                  </w:r>
                  <w:r>
                    <w:rPr>
                      <w:rFonts w:hint="eastAsia" w:ascii="Times New Roman" w:cs="Times New Roman"/>
                      <w:b w:val="0"/>
                      <w:bCs/>
                      <w:color w:val="auto"/>
                      <w:spacing w:val="0"/>
                      <w:position w:val="0"/>
                      <w:sz w:val="21"/>
                      <w:szCs w:val="21"/>
                      <w:u w:val="none" w:color="auto"/>
                      <w:lang w:eastAsia="zh-CN"/>
                    </w:rPr>
                    <w:t>。</w:t>
                  </w:r>
                  <w:r>
                    <w:rPr>
                      <w:rFonts w:hint="default" w:ascii="Times New Roman" w:hAnsi="Times New Roman" w:eastAsia="宋体" w:cs="Times New Roman"/>
                      <w:b w:val="0"/>
                      <w:bCs/>
                      <w:color w:val="auto"/>
                      <w:spacing w:val="0"/>
                      <w:position w:val="0"/>
                      <w:sz w:val="21"/>
                      <w:szCs w:val="21"/>
                      <w:u w:val="none" w:color="auto"/>
                    </w:rPr>
                    <w:t>收集的废气</w:t>
                  </w:r>
                  <w:r>
                    <w:rPr>
                      <w:rFonts w:hint="eastAsia" w:ascii="Times New Roman" w:eastAsia="宋体" w:cs="Times New Roman"/>
                      <w:b w:val="0"/>
                      <w:bCs/>
                      <w:color w:val="auto"/>
                      <w:spacing w:val="0"/>
                      <w:position w:val="0"/>
                      <w:sz w:val="21"/>
                      <w:szCs w:val="21"/>
                      <w:u w:val="none" w:color="auto"/>
                      <w:lang w:eastAsia="zh-CN"/>
                    </w:rPr>
                    <w:t>利用</w:t>
                  </w:r>
                  <w:r>
                    <w:rPr>
                      <w:rFonts w:hint="default" w:ascii="Times New Roman" w:hAnsi="Times New Roman" w:eastAsia="宋体" w:cs="Times New Roman"/>
                      <w:b w:val="0"/>
                      <w:bCs/>
                      <w:color w:val="auto"/>
                      <w:spacing w:val="0"/>
                      <w:position w:val="0"/>
                      <w:sz w:val="21"/>
                      <w:szCs w:val="21"/>
                      <w:u w:val="none" w:color="auto"/>
                    </w:rPr>
                    <w:t>废气处理系统处理达标后排放。</w:t>
                  </w:r>
                </w:p>
              </w:tc>
              <w:tc>
                <w:tcPr>
                  <w:tcW w:w="324" w:type="pct"/>
                  <w:vMerge w:val="restart"/>
                  <w:tcBorders>
                    <w:tl2br w:val="nil"/>
                    <w:tr2bl w:val="nil"/>
                  </w:tcBorders>
                  <w:shd w:val="clear" w:color="auto" w:fill="auto"/>
                  <w:vAlign w:val="center"/>
                </w:tcPr>
                <w:p w14:paraId="613D4946">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u w:val="none" w:color="auto"/>
                      <w:lang w:val="en-US" w:eastAsia="zh-CN"/>
                      <w14:textFill>
                        <w14:solidFill>
                          <w14:schemeClr w14:val="tx1"/>
                        </w14:solidFill>
                      </w14:textFill>
                    </w:rPr>
                    <w:t>符合</w:t>
                  </w:r>
                </w:p>
              </w:tc>
            </w:tr>
            <w:tr w14:paraId="5723B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36" w:hRule="atLeast"/>
                <w:jc w:val="center"/>
              </w:trPr>
              <w:tc>
                <w:tcPr>
                  <w:tcW w:w="348" w:type="pct"/>
                  <w:tcBorders>
                    <w:tl2br w:val="nil"/>
                    <w:tr2bl w:val="nil"/>
                  </w:tcBorders>
                  <w:shd w:val="clear" w:color="auto" w:fill="auto"/>
                  <w:vAlign w:val="center"/>
                </w:tcPr>
                <w:p w14:paraId="6AD764FB">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val="0"/>
                      <w:bCs/>
                      <w:color w:val="auto"/>
                      <w:spacing w:val="0"/>
                      <w:position w:val="0"/>
                      <w:sz w:val="21"/>
                      <w:szCs w:val="21"/>
                      <w:u w:val="none" w:color="auto"/>
                      <w:lang w:val="en-US" w:eastAsia="zh-CN"/>
                    </w:rPr>
                  </w:pPr>
                  <w:r>
                    <w:rPr>
                      <w:rFonts w:hint="eastAsia" w:ascii="Times New Roman" w:cs="Times New Roman"/>
                      <w:b w:val="0"/>
                      <w:bCs/>
                      <w:color w:val="auto"/>
                      <w:spacing w:val="0"/>
                      <w:position w:val="0"/>
                      <w:sz w:val="21"/>
                      <w:szCs w:val="21"/>
                      <w:u w:val="none" w:color="auto"/>
                      <w:lang w:val="en-US" w:eastAsia="zh-CN"/>
                    </w:rPr>
                    <w:t>2</w:t>
                  </w:r>
                </w:p>
              </w:tc>
              <w:tc>
                <w:tcPr>
                  <w:tcW w:w="185" w:type="pct"/>
                  <w:vMerge w:val="continue"/>
                  <w:tcBorders>
                    <w:tl2br w:val="nil"/>
                    <w:tr2bl w:val="nil"/>
                  </w:tcBorders>
                  <w:shd w:val="clear" w:color="auto" w:fill="auto"/>
                  <w:vAlign w:val="center"/>
                </w:tcPr>
                <w:p w14:paraId="55982C01">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u w:val="none" w:color="auto"/>
                    </w:rPr>
                  </w:pPr>
                </w:p>
              </w:tc>
              <w:tc>
                <w:tcPr>
                  <w:tcW w:w="2282" w:type="pct"/>
                  <w:vMerge w:val="continue"/>
                  <w:tcBorders>
                    <w:tl2br w:val="nil"/>
                    <w:tr2bl w:val="nil"/>
                  </w:tcBorders>
                  <w:shd w:val="clear" w:color="auto" w:fill="auto"/>
                  <w:vAlign w:val="center"/>
                </w:tcPr>
                <w:p w14:paraId="4A1DD0B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color w:val="auto"/>
                      <w:spacing w:val="0"/>
                      <w:kern w:val="0"/>
                      <w:position w:val="0"/>
                      <w:sz w:val="21"/>
                      <w:szCs w:val="21"/>
                      <w:u w:val="none" w:color="auto"/>
                      <w:lang w:val="en-US" w:eastAsia="zh-CN" w:bidi="ar-SA"/>
                    </w:rPr>
                  </w:pPr>
                </w:p>
              </w:tc>
              <w:tc>
                <w:tcPr>
                  <w:tcW w:w="1859" w:type="pct"/>
                  <w:vMerge w:val="continue"/>
                  <w:tcBorders>
                    <w:tl2br w:val="nil"/>
                    <w:tr2bl w:val="nil"/>
                  </w:tcBorders>
                  <w:shd w:val="clear" w:color="auto" w:fill="auto"/>
                  <w:vAlign w:val="center"/>
                </w:tcPr>
                <w:p w14:paraId="19A9453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color w:val="auto"/>
                      <w:spacing w:val="0"/>
                      <w:kern w:val="0"/>
                      <w:position w:val="0"/>
                      <w:sz w:val="21"/>
                      <w:szCs w:val="21"/>
                      <w:u w:val="none" w:color="auto"/>
                      <w:lang w:val="en-US" w:eastAsia="zh-CN" w:bidi="ar-SA"/>
                    </w:rPr>
                  </w:pPr>
                </w:p>
              </w:tc>
              <w:tc>
                <w:tcPr>
                  <w:tcW w:w="324" w:type="pct"/>
                  <w:vMerge w:val="continue"/>
                  <w:tcBorders>
                    <w:tl2br w:val="nil"/>
                    <w:tr2bl w:val="nil"/>
                  </w:tcBorders>
                  <w:shd w:val="clear" w:color="auto" w:fill="auto"/>
                  <w:vAlign w:val="center"/>
                </w:tcPr>
                <w:p w14:paraId="030917D1">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kern w:val="2"/>
                      <w:position w:val="0"/>
                      <w:sz w:val="21"/>
                      <w:szCs w:val="21"/>
                      <w:u w:val="none" w:color="auto"/>
                      <w:lang w:val="en-US" w:eastAsia="zh-CN" w:bidi="ar-SA"/>
                      <w14:textFill>
                        <w14:solidFill>
                          <w14:schemeClr w14:val="tx1"/>
                        </w14:solidFill>
                      </w14:textFill>
                    </w:rPr>
                  </w:pPr>
                </w:p>
              </w:tc>
            </w:tr>
            <w:tr w14:paraId="6EBA6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348" w:type="pct"/>
                  <w:tcBorders>
                    <w:tl2br w:val="nil"/>
                    <w:tr2bl w:val="nil"/>
                  </w:tcBorders>
                  <w:shd w:val="clear" w:color="auto" w:fill="auto"/>
                  <w:vAlign w:val="center"/>
                </w:tcPr>
                <w:p w14:paraId="3F0D2A94">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val="0"/>
                      <w:bCs/>
                      <w:color w:val="000000" w:themeColor="text1"/>
                      <w:spacing w:val="0"/>
                      <w:position w:val="0"/>
                      <w:sz w:val="21"/>
                      <w:szCs w:val="21"/>
                      <w:u w:val="none" w:color="auto"/>
                      <w:lang w:eastAsia="zh-CN"/>
                      <w14:textFill>
                        <w14:solidFill>
                          <w14:schemeClr w14:val="tx1"/>
                        </w14:solidFill>
                      </w14:textFill>
                    </w:rPr>
                  </w:pPr>
                  <w:r>
                    <w:rPr>
                      <w:rFonts w:hint="eastAsia" w:ascii="Times New Roman" w:cs="Times New Roman"/>
                      <w:b w:val="0"/>
                      <w:bCs/>
                      <w:color w:val="000000" w:themeColor="text1"/>
                      <w:spacing w:val="0"/>
                      <w:position w:val="0"/>
                      <w:sz w:val="21"/>
                      <w:szCs w:val="21"/>
                      <w:u w:val="none" w:color="auto"/>
                      <w:lang w:val="en-US" w:eastAsia="zh-CN"/>
                      <w14:textFill>
                        <w14:solidFill>
                          <w14:schemeClr w14:val="tx1"/>
                        </w14:solidFill>
                      </w14:textFill>
                    </w:rPr>
                    <w:t>3</w:t>
                  </w:r>
                </w:p>
              </w:tc>
              <w:tc>
                <w:tcPr>
                  <w:tcW w:w="185" w:type="pct"/>
                  <w:vMerge w:val="restart"/>
                  <w:tcBorders>
                    <w:tl2br w:val="nil"/>
                    <w:tr2bl w:val="nil"/>
                  </w:tcBorders>
                  <w:shd w:val="clear" w:color="auto" w:fill="auto"/>
                  <w:vAlign w:val="center"/>
                </w:tcPr>
                <w:p w14:paraId="76292B72">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t>末端治理与综合利用</w:t>
                  </w:r>
                </w:p>
              </w:tc>
              <w:tc>
                <w:tcPr>
                  <w:tcW w:w="2282" w:type="pct"/>
                  <w:tcBorders>
                    <w:tl2br w:val="nil"/>
                    <w:tr2bl w:val="nil"/>
                  </w:tcBorders>
                  <w:shd w:val="clear" w:color="auto" w:fill="auto"/>
                  <w:vAlign w:val="center"/>
                </w:tcPr>
                <w:p w14:paraId="1FFE3627">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color w:val="auto"/>
                      <w:spacing w:val="0"/>
                      <w:position w:val="0"/>
                      <w:sz w:val="21"/>
                      <w:szCs w:val="21"/>
                      <w:u w:val="none" w:color="auto"/>
                    </w:rPr>
                  </w:pPr>
                  <w:r>
                    <w:rPr>
                      <w:rFonts w:hint="default" w:ascii="Times New Roman" w:hAnsi="Times New Roman" w:eastAsia="宋体" w:cs="Times New Roman"/>
                      <w:b w:val="0"/>
                      <w:bCs/>
                      <w:color w:val="auto"/>
                      <w:spacing w:val="0"/>
                      <w:position w:val="0"/>
                      <w:sz w:val="21"/>
                      <w:szCs w:val="21"/>
                      <w:u w:val="none" w:color="auto"/>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859" w:type="pct"/>
                  <w:tcBorders>
                    <w:tl2br w:val="nil"/>
                    <w:tr2bl w:val="nil"/>
                  </w:tcBorders>
                  <w:shd w:val="clear" w:color="auto" w:fill="auto"/>
                  <w:vAlign w:val="center"/>
                </w:tcPr>
                <w:p w14:paraId="5798296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color w:val="auto"/>
                      <w:spacing w:val="0"/>
                      <w:position w:val="0"/>
                      <w:sz w:val="21"/>
                      <w:szCs w:val="21"/>
                      <w:u w:val="none" w:color="auto"/>
                      <w:lang w:eastAsia="zh-CN"/>
                    </w:rPr>
                  </w:pPr>
                  <w:r>
                    <w:rPr>
                      <w:rFonts w:hint="eastAsia"/>
                      <w:b w:val="0"/>
                      <w:bCs/>
                      <w:color w:val="auto"/>
                      <w:sz w:val="21"/>
                      <w:szCs w:val="21"/>
                      <w:lang w:eastAsia="zh-CN"/>
                    </w:rPr>
                    <w:t>本项目有机废气为低浓度有机废气，回收利用价值不大，</w:t>
                  </w:r>
                  <w:r>
                    <w:rPr>
                      <w:rFonts w:hint="default" w:ascii="Times New Roman" w:hAnsi="Times New Roman" w:eastAsia="宋体" w:cs="Times New Roman"/>
                      <w:b w:val="0"/>
                      <w:bCs/>
                      <w:color w:val="auto"/>
                      <w:spacing w:val="0"/>
                      <w:position w:val="0"/>
                      <w:sz w:val="21"/>
                      <w:szCs w:val="21"/>
                      <w:u w:val="none" w:color="auto"/>
                    </w:rPr>
                    <w:t>项目含VOCs的废气经过</w:t>
                  </w:r>
                  <w:r>
                    <w:rPr>
                      <w:rFonts w:hint="eastAsia" w:ascii="Times New Roman" w:cs="Times New Roman"/>
                      <w:b w:val="0"/>
                      <w:bCs/>
                      <w:color w:val="auto"/>
                      <w:spacing w:val="0"/>
                      <w:position w:val="0"/>
                      <w:sz w:val="21"/>
                      <w:szCs w:val="21"/>
                      <w:u w:val="none" w:color="auto"/>
                      <w:lang w:eastAsia="zh-CN"/>
                    </w:rPr>
                    <w:t>吸附</w:t>
                  </w:r>
                  <w:r>
                    <w:rPr>
                      <w:rFonts w:hint="default" w:ascii="Times New Roman" w:hAnsi="Times New Roman" w:eastAsia="宋体" w:cs="Times New Roman"/>
                      <w:b w:val="0"/>
                      <w:bCs/>
                      <w:color w:val="auto"/>
                      <w:spacing w:val="0"/>
                      <w:position w:val="0"/>
                      <w:sz w:val="21"/>
                      <w:szCs w:val="21"/>
                      <w:u w:val="none" w:color="auto"/>
                    </w:rPr>
                    <w:t>处理后达标排放</w:t>
                  </w:r>
                  <w:r>
                    <w:rPr>
                      <w:rFonts w:hint="default" w:ascii="Times New Roman" w:hAnsi="Times New Roman" w:cs="Times New Roman"/>
                      <w:b w:val="0"/>
                      <w:bCs/>
                      <w:color w:val="auto"/>
                      <w:spacing w:val="0"/>
                      <w:position w:val="0"/>
                      <w:sz w:val="21"/>
                      <w:szCs w:val="21"/>
                      <w:u w:val="none" w:color="auto"/>
                      <w:lang w:eastAsia="zh-CN"/>
                    </w:rPr>
                    <w:t>。</w:t>
                  </w:r>
                </w:p>
              </w:tc>
              <w:tc>
                <w:tcPr>
                  <w:tcW w:w="324" w:type="pct"/>
                  <w:tcBorders>
                    <w:tl2br w:val="nil"/>
                    <w:tr2bl w:val="nil"/>
                  </w:tcBorders>
                  <w:shd w:val="clear" w:color="auto" w:fill="auto"/>
                  <w:vAlign w:val="center"/>
                </w:tcPr>
                <w:p w14:paraId="0B06836D">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u w:val="none" w:color="auto"/>
                    </w:rPr>
                  </w:pPr>
                  <w:r>
                    <w:rPr>
                      <w:rFonts w:hint="default" w:ascii="Times New Roman" w:hAnsi="Times New Roman" w:eastAsia="宋体" w:cs="Times New Roman"/>
                      <w:b w:val="0"/>
                      <w:bCs/>
                      <w:color w:val="auto"/>
                      <w:spacing w:val="0"/>
                      <w:position w:val="0"/>
                      <w:sz w:val="21"/>
                      <w:szCs w:val="21"/>
                      <w:u w:val="none" w:color="auto"/>
                      <w:lang w:val="en-US" w:eastAsia="zh-CN"/>
                    </w:rPr>
                    <w:t>符合</w:t>
                  </w:r>
                </w:p>
              </w:tc>
            </w:tr>
            <w:tr w14:paraId="6A44C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48" w:type="pct"/>
                  <w:tcBorders>
                    <w:tl2br w:val="nil"/>
                    <w:tr2bl w:val="nil"/>
                  </w:tcBorders>
                  <w:shd w:val="clear" w:color="auto" w:fill="auto"/>
                  <w:vAlign w:val="center"/>
                </w:tcPr>
                <w:p w14:paraId="277876BC">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val="0"/>
                      <w:bCs/>
                      <w:color w:val="000000" w:themeColor="text1"/>
                      <w:spacing w:val="0"/>
                      <w:position w:val="0"/>
                      <w:sz w:val="21"/>
                      <w:szCs w:val="21"/>
                      <w:u w:val="none" w:color="auto"/>
                      <w:lang w:eastAsia="zh-CN"/>
                      <w14:textFill>
                        <w14:solidFill>
                          <w14:schemeClr w14:val="tx1"/>
                        </w14:solidFill>
                      </w14:textFill>
                    </w:rPr>
                  </w:pPr>
                  <w:r>
                    <w:rPr>
                      <w:rFonts w:hint="eastAsia" w:ascii="Times New Roman" w:cs="Times New Roman"/>
                      <w:b w:val="0"/>
                      <w:bCs/>
                      <w:color w:val="000000" w:themeColor="text1"/>
                      <w:spacing w:val="0"/>
                      <w:position w:val="0"/>
                      <w:sz w:val="21"/>
                      <w:szCs w:val="21"/>
                      <w:u w:val="none" w:color="auto"/>
                      <w:lang w:val="en-US" w:eastAsia="zh-CN"/>
                      <w14:textFill>
                        <w14:solidFill>
                          <w14:schemeClr w14:val="tx1"/>
                        </w14:solidFill>
                      </w14:textFill>
                    </w:rPr>
                    <w:t>4</w:t>
                  </w:r>
                </w:p>
              </w:tc>
              <w:tc>
                <w:tcPr>
                  <w:tcW w:w="185" w:type="pct"/>
                  <w:vMerge w:val="continue"/>
                  <w:tcBorders>
                    <w:tl2br w:val="nil"/>
                    <w:tr2bl w:val="nil"/>
                  </w:tcBorders>
                  <w:shd w:val="clear" w:color="auto" w:fill="auto"/>
                  <w:vAlign w:val="center"/>
                </w:tcPr>
                <w:p w14:paraId="36E330A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p>
              </w:tc>
              <w:tc>
                <w:tcPr>
                  <w:tcW w:w="2282" w:type="pct"/>
                  <w:tcBorders>
                    <w:tl2br w:val="nil"/>
                    <w:tr2bl w:val="nil"/>
                  </w:tcBorders>
                  <w:shd w:val="clear" w:color="auto" w:fill="auto"/>
                  <w:vAlign w:val="center"/>
                </w:tcPr>
                <w:p w14:paraId="70E5EFBA">
                  <w:pPr>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r>
                    <w:rPr>
                      <w:rFonts w:hint="default"/>
                      <w:color w:val="000000"/>
                      <w:sz w:val="21"/>
                      <w:szCs w:val="21"/>
                      <w:lang w:val="en-US" w:eastAsia="zh-CN"/>
                    </w:rPr>
                    <w:t>严格控制VOCs处理过程中产生的二次污染，对于催化燃烧和热力焚烧过程中产生的含硫、氮、氯等无机废气，以及吸附、吸收、冷凝、生物等治理过程中所产生的含有机物废水，应处理后达标排放。</w:t>
                  </w:r>
                </w:p>
              </w:tc>
              <w:tc>
                <w:tcPr>
                  <w:tcW w:w="1859" w:type="pct"/>
                  <w:tcBorders>
                    <w:tl2br w:val="nil"/>
                    <w:tr2bl w:val="nil"/>
                  </w:tcBorders>
                  <w:shd w:val="clear" w:color="auto" w:fill="auto"/>
                  <w:vAlign w:val="center"/>
                </w:tcPr>
                <w:p w14:paraId="17F909F1">
                  <w:pPr>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项目运营期</w:t>
                  </w:r>
                  <w:r>
                    <w:rPr>
                      <w:rFonts w:hint="default" w:ascii="Times New Roman" w:hAnsi="Times New Roman" w:eastAsia="宋体" w:cs="Times New Roman"/>
                      <w:b w:val="0"/>
                      <w:bCs w:val="0"/>
                      <w:color w:val="000000"/>
                      <w:kern w:val="2"/>
                      <w:sz w:val="21"/>
                      <w:szCs w:val="21"/>
                      <w:lang w:val="en-US" w:eastAsia="zh-CN" w:bidi="ar-SA"/>
                    </w:rPr>
                    <w:t>VOCs处理</w:t>
                  </w:r>
                  <w:r>
                    <w:rPr>
                      <w:rFonts w:hint="eastAsia" w:ascii="Times New Roman" w:hAnsi="Times New Roman" w:eastAsia="宋体" w:cs="Times New Roman"/>
                      <w:b w:val="0"/>
                      <w:bCs w:val="0"/>
                      <w:color w:val="000000"/>
                      <w:kern w:val="2"/>
                      <w:sz w:val="21"/>
                      <w:szCs w:val="21"/>
                      <w:lang w:val="en-US" w:eastAsia="zh-CN" w:bidi="ar-SA"/>
                    </w:rPr>
                    <w:t>采用活性炭吸附，不产生含有机物废水，废活性炭交由资质的单位合理处理处置，不会造成二次污染。</w:t>
                  </w:r>
                </w:p>
                <w:p w14:paraId="214567D6">
                  <w:pPr>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000000"/>
                      <w:kern w:val="2"/>
                      <w:sz w:val="21"/>
                      <w:szCs w:val="21"/>
                      <w:lang w:val="en-US" w:eastAsia="zh-CN" w:bidi="ar-SA"/>
                    </w:rPr>
                  </w:pPr>
                </w:p>
              </w:tc>
              <w:tc>
                <w:tcPr>
                  <w:tcW w:w="324" w:type="pct"/>
                  <w:tcBorders>
                    <w:tl2br w:val="nil"/>
                    <w:tr2bl w:val="nil"/>
                  </w:tcBorders>
                  <w:shd w:val="clear" w:color="auto" w:fill="auto"/>
                  <w:vAlign w:val="center"/>
                </w:tcPr>
                <w:p w14:paraId="433ADE6F">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p>
              </w:tc>
            </w:tr>
            <w:tr w14:paraId="73E5D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48" w:type="pct"/>
                  <w:tcBorders>
                    <w:tl2br w:val="nil"/>
                    <w:tr2bl w:val="nil"/>
                  </w:tcBorders>
                  <w:shd w:val="clear" w:color="auto" w:fill="auto"/>
                  <w:vAlign w:val="center"/>
                </w:tcPr>
                <w:p w14:paraId="5D43719F">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val="0"/>
                      <w:bCs/>
                      <w:color w:val="000000" w:themeColor="text1"/>
                      <w:spacing w:val="0"/>
                      <w:position w:val="0"/>
                      <w:sz w:val="21"/>
                      <w:szCs w:val="21"/>
                      <w:u w:val="none" w:color="auto"/>
                      <w:lang w:val="en-US" w:eastAsia="zh-CN"/>
                      <w14:textFill>
                        <w14:solidFill>
                          <w14:schemeClr w14:val="tx1"/>
                        </w14:solidFill>
                      </w14:textFill>
                    </w:rPr>
                  </w:pPr>
                  <w:r>
                    <w:rPr>
                      <w:rFonts w:hint="eastAsia" w:ascii="Times New Roman" w:cs="Times New Roman"/>
                      <w:b w:val="0"/>
                      <w:bCs/>
                      <w:color w:val="000000" w:themeColor="text1"/>
                      <w:spacing w:val="0"/>
                      <w:position w:val="0"/>
                      <w:sz w:val="21"/>
                      <w:szCs w:val="21"/>
                      <w:u w:val="none" w:color="auto"/>
                      <w:lang w:val="en-US" w:eastAsia="zh-CN"/>
                      <w14:textFill>
                        <w14:solidFill>
                          <w14:schemeClr w14:val="tx1"/>
                        </w14:solidFill>
                      </w14:textFill>
                    </w:rPr>
                    <w:t>5</w:t>
                  </w:r>
                </w:p>
              </w:tc>
              <w:tc>
                <w:tcPr>
                  <w:tcW w:w="185" w:type="pct"/>
                  <w:vMerge w:val="continue"/>
                  <w:tcBorders>
                    <w:tl2br w:val="nil"/>
                    <w:tr2bl w:val="nil"/>
                  </w:tcBorders>
                  <w:shd w:val="clear" w:color="auto" w:fill="auto"/>
                  <w:vAlign w:val="center"/>
                </w:tcPr>
                <w:p w14:paraId="313FB37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p>
              </w:tc>
              <w:tc>
                <w:tcPr>
                  <w:tcW w:w="2282" w:type="pct"/>
                  <w:tcBorders>
                    <w:tl2br w:val="nil"/>
                    <w:tr2bl w:val="nil"/>
                  </w:tcBorders>
                  <w:shd w:val="clear" w:color="auto" w:fill="auto"/>
                  <w:vAlign w:val="center"/>
                </w:tcPr>
                <w:p w14:paraId="21EFB394">
                  <w:pPr>
                    <w:keepNext w:val="0"/>
                    <w:keepLines w:val="0"/>
                    <w:suppressLineNumbers w:val="0"/>
                    <w:bidi w:val="0"/>
                    <w:spacing w:before="0" w:beforeAutospacing="0" w:after="0" w:afterAutospacing="0"/>
                    <w:ind w:left="0" w:right="0"/>
                    <w:rPr>
                      <w:rFonts w:hint="default"/>
                      <w:color w:val="000000"/>
                      <w:sz w:val="21"/>
                      <w:szCs w:val="21"/>
                      <w:lang w:val="en-US" w:eastAsia="zh-CN"/>
                    </w:rPr>
                  </w:pPr>
                  <w:r>
                    <w:rPr>
                      <w:rFonts w:hint="default"/>
                      <w:color w:val="000000"/>
                      <w:sz w:val="21"/>
                      <w:szCs w:val="21"/>
                      <w:lang w:eastAsia="zh-CN"/>
                    </w:rPr>
                    <w:t>对于不能再生的过滤材料、吸附剂及催化剂等净化材料，应按照国家固体废物管理的相关规定处理处置。</w:t>
                  </w:r>
                </w:p>
              </w:tc>
              <w:tc>
                <w:tcPr>
                  <w:tcW w:w="1859" w:type="pct"/>
                  <w:tcBorders>
                    <w:tl2br w:val="nil"/>
                    <w:tr2bl w:val="nil"/>
                  </w:tcBorders>
                  <w:shd w:val="clear" w:color="auto" w:fill="auto"/>
                  <w:vAlign w:val="center"/>
                </w:tcPr>
                <w:p w14:paraId="41910DD8">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项目产生的废活性炭等危险废物暂存后交由相关资质单位处理处置。</w:t>
                  </w:r>
                </w:p>
              </w:tc>
              <w:tc>
                <w:tcPr>
                  <w:tcW w:w="324" w:type="pct"/>
                  <w:tcBorders>
                    <w:tl2br w:val="nil"/>
                    <w:tr2bl w:val="nil"/>
                  </w:tcBorders>
                  <w:shd w:val="clear" w:color="auto" w:fill="auto"/>
                  <w:vAlign w:val="center"/>
                </w:tcPr>
                <w:p w14:paraId="6978CFF4">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p>
              </w:tc>
            </w:tr>
            <w:tr w14:paraId="6815C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48" w:type="pct"/>
                  <w:tcBorders>
                    <w:tl2br w:val="nil"/>
                    <w:tr2bl w:val="nil"/>
                  </w:tcBorders>
                  <w:shd w:val="clear" w:color="auto" w:fill="auto"/>
                  <w:vAlign w:val="center"/>
                </w:tcPr>
                <w:p w14:paraId="088F474D">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val="0"/>
                      <w:bCs/>
                      <w:color w:val="000000" w:themeColor="text1"/>
                      <w:spacing w:val="0"/>
                      <w:position w:val="0"/>
                      <w:sz w:val="21"/>
                      <w:szCs w:val="21"/>
                      <w:u w:val="none" w:color="auto"/>
                      <w:lang w:eastAsia="zh-CN"/>
                      <w14:textFill>
                        <w14:solidFill>
                          <w14:schemeClr w14:val="tx1"/>
                        </w14:solidFill>
                      </w14:textFill>
                    </w:rPr>
                  </w:pPr>
                  <w:r>
                    <w:rPr>
                      <w:rFonts w:hint="eastAsia" w:ascii="Times New Roman" w:cs="Times New Roman"/>
                      <w:b w:val="0"/>
                      <w:bCs/>
                      <w:color w:val="000000" w:themeColor="text1"/>
                      <w:spacing w:val="0"/>
                      <w:position w:val="0"/>
                      <w:sz w:val="21"/>
                      <w:szCs w:val="21"/>
                      <w:u w:val="none" w:color="auto"/>
                      <w:lang w:val="en-US" w:eastAsia="zh-CN"/>
                      <w14:textFill>
                        <w14:solidFill>
                          <w14:schemeClr w14:val="tx1"/>
                        </w14:solidFill>
                      </w14:textFill>
                    </w:rPr>
                    <w:t>6</w:t>
                  </w:r>
                </w:p>
              </w:tc>
              <w:tc>
                <w:tcPr>
                  <w:tcW w:w="185" w:type="pct"/>
                  <w:vMerge w:val="restart"/>
                  <w:tcBorders>
                    <w:tl2br w:val="nil"/>
                    <w:tr2bl w:val="nil"/>
                  </w:tcBorders>
                  <w:shd w:val="clear" w:color="auto" w:fill="auto"/>
                  <w:vAlign w:val="center"/>
                </w:tcPr>
                <w:p w14:paraId="6B1EC6FC">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t>运行与监测</w:t>
                  </w:r>
                </w:p>
              </w:tc>
              <w:tc>
                <w:tcPr>
                  <w:tcW w:w="2282" w:type="pct"/>
                  <w:tcBorders>
                    <w:tl2br w:val="nil"/>
                    <w:tr2bl w:val="nil"/>
                  </w:tcBorders>
                  <w:shd w:val="clear" w:color="auto" w:fill="auto"/>
                  <w:vAlign w:val="center"/>
                </w:tcPr>
                <w:p w14:paraId="65E67F5F">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t>鼓励企业自行开展VOCs监测，并及时主动向当地环保行政主管部门报送监测结果</w:t>
                  </w:r>
                </w:p>
              </w:tc>
              <w:tc>
                <w:tcPr>
                  <w:tcW w:w="1859" w:type="pct"/>
                  <w:tcBorders>
                    <w:tl2br w:val="nil"/>
                    <w:tr2bl w:val="nil"/>
                  </w:tcBorders>
                  <w:shd w:val="clear" w:color="auto" w:fill="auto"/>
                  <w:vAlign w:val="center"/>
                </w:tcPr>
                <w:p w14:paraId="2291F60C">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本评价根据要求制定了VOCs自行监测计划</w:t>
                  </w:r>
                  <w:r>
                    <w:rPr>
                      <w:rFonts w:hint="eastAsia" w:ascii="Times New Roman" w:hAnsi="Times New Roman" w:eastAsia="宋体" w:cs="Times New Roman"/>
                      <w:b w:val="0"/>
                      <w:bCs w:val="0"/>
                      <w:color w:val="000000"/>
                      <w:kern w:val="2"/>
                      <w:sz w:val="21"/>
                      <w:szCs w:val="21"/>
                      <w:lang w:val="en-US" w:eastAsia="zh-CN" w:bidi="ar-SA"/>
                    </w:rPr>
                    <w:t>，并按计划开展</w:t>
                  </w:r>
                  <w:r>
                    <w:rPr>
                      <w:rFonts w:hint="default" w:ascii="Times New Roman" w:hAnsi="Times New Roman" w:eastAsia="宋体" w:cs="Times New Roman"/>
                      <w:b w:val="0"/>
                      <w:bCs w:val="0"/>
                      <w:color w:val="000000"/>
                      <w:kern w:val="2"/>
                      <w:sz w:val="21"/>
                      <w:szCs w:val="21"/>
                      <w:lang w:val="en-US" w:eastAsia="zh-CN" w:bidi="ar-SA"/>
                    </w:rPr>
                    <w:t>VOCs监测。</w:t>
                  </w:r>
                </w:p>
              </w:tc>
              <w:tc>
                <w:tcPr>
                  <w:tcW w:w="324" w:type="pct"/>
                  <w:tcBorders>
                    <w:tl2br w:val="nil"/>
                    <w:tr2bl w:val="nil"/>
                  </w:tcBorders>
                  <w:shd w:val="clear" w:color="auto" w:fill="auto"/>
                  <w:vAlign w:val="center"/>
                </w:tcPr>
                <w:p w14:paraId="41B915E6">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u w:val="none" w:color="auto"/>
                      <w:lang w:val="en-US" w:eastAsia="zh-CN"/>
                      <w14:textFill>
                        <w14:solidFill>
                          <w14:schemeClr w14:val="tx1"/>
                        </w14:solidFill>
                      </w14:textFill>
                    </w:rPr>
                    <w:t>符合</w:t>
                  </w:r>
                </w:p>
              </w:tc>
            </w:tr>
            <w:tr w14:paraId="788D7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48" w:type="pct"/>
                  <w:tcBorders>
                    <w:tl2br w:val="nil"/>
                    <w:tr2bl w:val="nil"/>
                  </w:tcBorders>
                  <w:shd w:val="clear" w:color="auto" w:fill="auto"/>
                  <w:vAlign w:val="center"/>
                </w:tcPr>
                <w:p w14:paraId="4EAD05C7">
                  <w:pPr>
                    <w:pStyle w:val="17"/>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val="0"/>
                      <w:bCs/>
                      <w:color w:val="000000" w:themeColor="text1"/>
                      <w:spacing w:val="0"/>
                      <w:position w:val="0"/>
                      <w:sz w:val="21"/>
                      <w:szCs w:val="21"/>
                      <w:u w:val="none" w:color="auto"/>
                      <w:lang w:eastAsia="zh-CN"/>
                      <w14:textFill>
                        <w14:solidFill>
                          <w14:schemeClr w14:val="tx1"/>
                        </w14:solidFill>
                      </w14:textFill>
                    </w:rPr>
                  </w:pPr>
                  <w:r>
                    <w:rPr>
                      <w:rFonts w:hint="eastAsia" w:ascii="Times New Roman" w:cs="Times New Roman"/>
                      <w:b w:val="0"/>
                      <w:bCs/>
                      <w:color w:val="000000" w:themeColor="text1"/>
                      <w:spacing w:val="0"/>
                      <w:position w:val="0"/>
                      <w:sz w:val="21"/>
                      <w:szCs w:val="21"/>
                      <w:u w:val="none" w:color="auto"/>
                      <w:lang w:val="en-US" w:eastAsia="zh-CN"/>
                      <w14:textFill>
                        <w14:solidFill>
                          <w14:schemeClr w14:val="tx1"/>
                        </w14:solidFill>
                      </w14:textFill>
                    </w:rPr>
                    <w:t>7</w:t>
                  </w:r>
                </w:p>
              </w:tc>
              <w:tc>
                <w:tcPr>
                  <w:tcW w:w="185" w:type="pct"/>
                  <w:vMerge w:val="continue"/>
                  <w:tcBorders>
                    <w:tl2br w:val="nil"/>
                    <w:tr2bl w:val="nil"/>
                  </w:tcBorders>
                  <w:shd w:val="clear" w:color="auto" w:fill="auto"/>
                  <w:vAlign w:val="center"/>
                </w:tcPr>
                <w:p w14:paraId="716630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p>
              </w:tc>
              <w:tc>
                <w:tcPr>
                  <w:tcW w:w="2282" w:type="pct"/>
                  <w:tcBorders>
                    <w:tl2br w:val="nil"/>
                    <w:tr2bl w:val="nil"/>
                  </w:tcBorders>
                  <w:shd w:val="clear" w:color="auto" w:fill="auto"/>
                  <w:vAlign w:val="center"/>
                </w:tcPr>
                <w:p w14:paraId="1FD6B0F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t>企业应建立健全VOCs治理设施的运行维护规程和台帐等日常管理制度，并根据工艺要求定期对各类设备、电气、自控仪表等进行检修维护，确保设施的稳定运行</w:t>
                  </w:r>
                </w:p>
              </w:tc>
              <w:tc>
                <w:tcPr>
                  <w:tcW w:w="1859" w:type="pct"/>
                  <w:tcBorders>
                    <w:tl2br w:val="nil"/>
                    <w:tr2bl w:val="nil"/>
                  </w:tcBorders>
                  <w:shd w:val="clear" w:color="auto" w:fill="auto"/>
                  <w:vAlign w:val="center"/>
                </w:tcPr>
                <w:p w14:paraId="28DF055A">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2"/>
                      <w:sz w:val="21"/>
                      <w:szCs w:val="21"/>
                      <w:lang w:val="en-US" w:eastAsia="zh-CN" w:bidi="ar-SA"/>
                    </w:rPr>
                    <w:t>项目投产运营后，建设单位将建立健全VOCs治理设施的运行维护规程和台帐等日常管理制度，定期进行检修维护，确保设施的稳定运行。</w:t>
                  </w:r>
                </w:p>
              </w:tc>
              <w:tc>
                <w:tcPr>
                  <w:tcW w:w="324" w:type="pct"/>
                  <w:tcBorders>
                    <w:tl2br w:val="nil"/>
                    <w:tr2bl w:val="nil"/>
                  </w:tcBorders>
                  <w:shd w:val="clear" w:color="auto" w:fill="auto"/>
                  <w:vAlign w:val="center"/>
                </w:tcPr>
                <w:p w14:paraId="7634F75B">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position w:val="0"/>
                      <w:sz w:val="21"/>
                      <w:szCs w:val="21"/>
                      <w:u w:val="none" w:color="auto"/>
                      <w:lang w:val="en-US" w:eastAsia="zh-CN"/>
                      <w14:textFill>
                        <w14:solidFill>
                          <w14:schemeClr w14:val="tx1"/>
                        </w14:solidFill>
                      </w14:textFill>
                    </w:rPr>
                    <w:t>符合</w:t>
                  </w:r>
                </w:p>
              </w:tc>
            </w:tr>
          </w:tbl>
          <w:p w14:paraId="69A0780A">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cs="Times New Roman"/>
                <w:b/>
                <w:bCs/>
                <w:color w:val="000000" w:themeColor="text1"/>
                <w:spacing w:val="0"/>
                <w:kern w:val="0"/>
                <w:position w:val="0"/>
                <w:sz w:val="24"/>
                <w:szCs w:val="24"/>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val="0"/>
                <w:color w:val="000000"/>
                <w:spacing w:val="0"/>
                <w:sz w:val="24"/>
                <w:szCs w:val="24"/>
                <w:u w:val="none"/>
                <w:lang w:val="en-US" w:eastAsia="zh-CN"/>
              </w:rPr>
              <w:t>由上表可知，本项目采取的挥发性有机物污染防治措施符合《挥发性有机物VOCs污染防治技术政策》的要求。</w:t>
            </w:r>
          </w:p>
          <w:p w14:paraId="33B334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、选址</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合理性</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分析</w:t>
            </w:r>
          </w:p>
          <w:p w14:paraId="174F7E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eastAsia="宋体" w:cs="Times New Roman"/>
                <w:color w:val="000000" w:themeColor="text1"/>
                <w:spacing w:val="0"/>
                <w:kern w:val="0"/>
                <w:position w:val="0"/>
                <w:sz w:val="24"/>
                <w:szCs w:val="24"/>
                <w:highlight w:val="none"/>
                <w:u w:val="none" w:color="auto"/>
                <w:lang w:eastAsia="zh-CN"/>
                <w14:textFill>
                  <w14:solidFill>
                    <w14:schemeClr w14:val="tx1"/>
                  </w14:solidFill>
                </w14:textFill>
              </w:rPr>
            </w:pPr>
            <w:r>
              <w:rPr>
                <w:rFonts w:hint="eastAsia" w:cs="Times New Roman"/>
                <w:color w:val="000000" w:themeColor="text1"/>
                <w:spacing w:val="0"/>
                <w:position w:val="0"/>
                <w:sz w:val="24"/>
                <w:szCs w:val="24"/>
                <w:u w:val="none" w:color="auto"/>
                <w:lang w:eastAsia="zh-CN"/>
                <w14:textFill>
                  <w14:solidFill>
                    <w14:schemeClr w14:val="tx1"/>
                  </w14:solidFill>
                </w14:textFill>
              </w:rPr>
              <w:t>本项目在现有厂房</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内</w:t>
            </w:r>
            <w:r>
              <w:rPr>
                <w:rFonts w:hint="eastAsia" w:cs="Times New Roman"/>
                <w:color w:val="000000" w:themeColor="text1"/>
                <w:spacing w:val="0"/>
                <w:position w:val="0"/>
                <w:sz w:val="24"/>
                <w:szCs w:val="24"/>
                <w:u w:val="none" w:color="auto"/>
                <w:lang w:eastAsia="zh-CN"/>
                <w14:textFill>
                  <w14:solidFill>
                    <w14:schemeClr w14:val="tx1"/>
                  </w14:solidFill>
                </w14:textFill>
              </w:rPr>
              <w:t>进行扩建生产，</w:t>
            </w:r>
            <w:r>
              <w:rPr>
                <w:rFonts w:hint="default" w:ascii="Times New Roman" w:hAnsi="Times New Roman" w:eastAsia="宋体" w:cs="Times New Roman"/>
                <w:color w:val="000000" w:themeColor="text1"/>
                <w:spacing w:val="0"/>
                <w:kern w:val="0"/>
                <w:position w:val="0"/>
                <w:sz w:val="24"/>
                <w:szCs w:val="24"/>
                <w:highlight w:val="none"/>
                <w:u w:val="none" w:color="auto"/>
                <w:lang w:eastAsia="zh-CN"/>
                <w14:textFill>
                  <w14:solidFill>
                    <w14:schemeClr w14:val="tx1"/>
                  </w14:solidFill>
                </w14:textFill>
              </w:rPr>
              <w:t>本项目</w:t>
            </w:r>
            <w:r>
              <w:rPr>
                <w:rFonts w:hint="default" w:ascii="Times New Roman" w:hAnsi="Times New Roman" w:eastAsia="宋体" w:cs="Times New Roman"/>
                <w:b w:val="0"/>
                <w:bCs w:val="0"/>
                <w:color w:val="auto"/>
                <w:spacing w:val="0"/>
                <w:w w:val="100"/>
                <w:sz w:val="24"/>
                <w:szCs w:val="24"/>
                <w:u w:val="none" w:color="auto"/>
                <w:lang w:val="en-US" w:eastAsia="zh-CN"/>
              </w:rPr>
              <w:t>位于岳阳临港高新技术产业开发区范围内</w:t>
            </w:r>
            <w:r>
              <w:rPr>
                <w:rFonts w:hint="default" w:ascii="Times New Roman" w:hAnsi="Times New Roman" w:eastAsia="宋体" w:cs="Times New Roman"/>
                <w:color w:val="000000" w:themeColor="text1"/>
                <w:spacing w:val="0"/>
                <w:kern w:val="0"/>
                <w:position w:val="0"/>
                <w:sz w:val="24"/>
                <w:szCs w:val="24"/>
                <w:highlight w:val="none"/>
                <w:u w:val="none" w:color="auto"/>
                <w:lang w:eastAsia="zh-CN"/>
                <w14:textFill>
                  <w14:solidFill>
                    <w14:schemeClr w14:val="tx1"/>
                  </w14:solidFill>
                </w14:textFill>
              </w:rPr>
              <w:t>，其用地属于工业用地</w:t>
            </w:r>
            <w:r>
              <w:rPr>
                <w:rFonts w:hint="eastAsia" w:cs="Times New Roman"/>
                <w:color w:val="000000" w:themeColor="text1"/>
                <w:spacing w:val="0"/>
                <w:kern w:val="0"/>
                <w:position w:val="0"/>
                <w:sz w:val="24"/>
                <w:szCs w:val="24"/>
                <w:highlight w:val="none"/>
                <w:u w:val="none" w:color="auto"/>
                <w:lang w:eastAsia="zh-CN"/>
                <w14:textFill>
                  <w14:solidFill>
                    <w14:schemeClr w14:val="tx1"/>
                  </w14:solidFill>
                </w14:textFill>
              </w:rPr>
              <w:t>，符合土地利用规划，</w:t>
            </w:r>
            <w:r>
              <w:rPr>
                <w:rFonts w:hint="default" w:ascii="Times New Roman" w:hAnsi="Times New Roman" w:eastAsia="宋体" w:cs="Times New Roman"/>
                <w:color w:val="000000" w:themeColor="text1"/>
                <w:spacing w:val="0"/>
                <w:position w:val="0"/>
                <w:sz w:val="24"/>
                <w:u w:val="none" w:color="auto"/>
                <w14:textFill>
                  <w14:solidFill>
                    <w14:schemeClr w14:val="tx1"/>
                  </w14:solidFill>
                </w14:textFill>
              </w:rPr>
              <w:t>符合</w:t>
            </w:r>
            <w:r>
              <w:rPr>
                <w:rFonts w:hint="default" w:ascii="Times New Roman" w:hAnsi="Times New Roman" w:eastAsia="宋体" w:cs="Times New Roman"/>
                <w:b w:val="0"/>
                <w:bCs w:val="0"/>
                <w:color w:val="auto"/>
                <w:spacing w:val="0"/>
                <w:w w:val="100"/>
                <w:sz w:val="24"/>
                <w:szCs w:val="24"/>
                <w:u w:val="none" w:color="auto"/>
                <w:lang w:val="en-US" w:eastAsia="zh-CN"/>
              </w:rPr>
              <w:t>岳阳临港高新技术产业开发区</w:t>
            </w:r>
            <w:r>
              <w:rPr>
                <w:rFonts w:hint="default" w:ascii="Times New Roman" w:hAnsi="Times New Roman" w:eastAsia="宋体" w:cs="Times New Roman"/>
                <w:color w:val="000000" w:themeColor="text1"/>
                <w:spacing w:val="0"/>
                <w:position w:val="0"/>
                <w:sz w:val="24"/>
                <w:u w:val="none" w:color="auto"/>
                <w14:textFill>
                  <w14:solidFill>
                    <w14:schemeClr w14:val="tx1"/>
                  </w14:solidFill>
                </w14:textFill>
              </w:rPr>
              <w:t>产业定位</w:t>
            </w:r>
            <w:r>
              <w:rPr>
                <w:rFonts w:hint="eastAsia" w:cs="Times New Roman"/>
                <w:color w:val="000000" w:themeColor="text1"/>
                <w:spacing w:val="0"/>
                <w:position w:val="0"/>
                <w:sz w:val="24"/>
                <w:u w:val="none" w:color="auto"/>
                <w:lang w:eastAsia="zh-CN"/>
                <w14:textFill>
                  <w14:solidFill>
                    <w14:schemeClr w14:val="tx1"/>
                  </w14:solidFill>
                </w14:textFill>
              </w:rPr>
              <w:t>。</w:t>
            </w:r>
            <w:r>
              <w:rPr>
                <w:rFonts w:hint="eastAsia"/>
                <w:color w:val="000000"/>
                <w:sz w:val="24"/>
                <w:szCs w:val="24"/>
                <w:u w:val="none"/>
                <w:lang w:eastAsia="zh-CN"/>
              </w:rPr>
              <w:t>项目所在地基础设施运行良好，供水、供电等设施完善，项目依托现有厂区基础设施可行。</w:t>
            </w:r>
          </w:p>
          <w:p w14:paraId="2051B0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pacing w:val="0"/>
                <w:kern w:val="0"/>
                <w:position w:val="0"/>
                <w:sz w:val="24"/>
                <w:szCs w:val="24"/>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u w:val="none" w:color="auto"/>
                <w14:textFill>
                  <w14:solidFill>
                    <w14:schemeClr w14:val="tx1"/>
                  </w14:solidFill>
                </w14:textFill>
              </w:rPr>
              <w:t>本项目所在地不属于自然保护区、风景名胜区、森林公园、饮用水水源保护区、重要湖泊周边、文物古迹所在地、地质遗迹保护区、基本农田保护区等</w:t>
            </w:r>
            <w:r>
              <w:rPr>
                <w:rFonts w:hint="eastAsia" w:cs="Times New Roman"/>
                <w:color w:val="000000" w:themeColor="text1"/>
                <w:spacing w:val="0"/>
                <w:position w:val="0"/>
                <w:sz w:val="24"/>
                <w:u w:val="none" w:color="auto"/>
                <w:lang w:eastAsia="zh-CN"/>
                <w14:textFill>
                  <w14:solidFill>
                    <w14:schemeClr w14:val="tx1"/>
                  </w14:solidFill>
                </w14:textFill>
              </w:rPr>
              <w:t>敏感</w:t>
            </w:r>
            <w:r>
              <w:rPr>
                <w:rFonts w:hint="default" w:ascii="Times New Roman" w:hAnsi="Times New Roman" w:eastAsia="宋体" w:cs="Times New Roman"/>
                <w:color w:val="000000" w:themeColor="text1"/>
                <w:spacing w:val="0"/>
                <w:position w:val="0"/>
                <w:sz w:val="24"/>
                <w:u w:val="none" w:color="auto"/>
                <w14:textFill>
                  <w14:solidFill>
                    <w14:schemeClr w14:val="tx1"/>
                  </w14:solidFill>
                </w14:textFill>
              </w:rPr>
              <w:t>区域。</w:t>
            </w:r>
          </w:p>
          <w:p w14:paraId="5851301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kern w:val="0"/>
                <w:position w:val="0"/>
                <w:sz w:val="24"/>
                <w:szCs w:val="24"/>
                <w:highlight w:val="none"/>
                <w:u w:val="none" w:color="auto"/>
                <w:lang w:eastAsia="zh-CN"/>
              </w:rPr>
              <w:t>据现场踏勘，项目周边</w:t>
            </w:r>
            <w:r>
              <w:rPr>
                <w:rFonts w:hint="eastAsia" w:cs="Times New Roman"/>
                <w:color w:val="auto"/>
                <w:spacing w:val="0"/>
                <w:kern w:val="0"/>
                <w:position w:val="0"/>
                <w:sz w:val="24"/>
                <w:szCs w:val="24"/>
                <w:highlight w:val="none"/>
                <w:u w:val="none" w:color="auto"/>
                <w:lang w:val="en-US" w:eastAsia="zh-CN"/>
              </w:rPr>
              <w:t>100m范围内无居民点。</w:t>
            </w:r>
            <w:r>
              <w:rPr>
                <w:rFonts w:hint="default" w:ascii="Times New Roman" w:hAnsi="Times New Roman" w:eastAsia="宋体" w:cs="Times New Roman"/>
                <w:color w:val="auto"/>
                <w:sz w:val="24"/>
                <w:szCs w:val="24"/>
              </w:rPr>
              <w:t>项目生产过程中产生的污染物较少，废水、废气、</w:t>
            </w:r>
            <w:r>
              <w:rPr>
                <w:rFonts w:hint="eastAsia" w:cs="Times New Roman"/>
                <w:color w:val="auto"/>
                <w:sz w:val="24"/>
                <w:szCs w:val="24"/>
                <w:lang w:eastAsia="zh-CN"/>
              </w:rPr>
              <w:t>噪声等</w:t>
            </w:r>
            <w:r>
              <w:rPr>
                <w:rFonts w:hint="default" w:ascii="Times New Roman" w:hAnsi="Times New Roman" w:eastAsia="宋体" w:cs="Times New Roman"/>
                <w:color w:val="auto"/>
                <w:sz w:val="24"/>
                <w:szCs w:val="24"/>
              </w:rPr>
              <w:t>经相应的治理措施处理后可达标排放，固体废物可得到妥善处置。本项目在运营期通过采取相应的污染治理措施，各项污染物均可达标排放，</w:t>
            </w:r>
            <w:r>
              <w:rPr>
                <w:rFonts w:hint="eastAsia" w:cs="Times New Roman"/>
                <w:color w:val="auto"/>
                <w:sz w:val="24"/>
                <w:szCs w:val="24"/>
                <w:u w:val="none"/>
                <w:lang w:val="en-US" w:eastAsia="zh-CN"/>
              </w:rPr>
              <w:t>不会改变区域环境功能区划，</w:t>
            </w:r>
            <w:r>
              <w:rPr>
                <w:rFonts w:hint="default" w:ascii="Times New Roman" w:hAnsi="Times New Roman" w:eastAsia="宋体" w:cs="Times New Roman"/>
                <w:color w:val="auto"/>
                <w:sz w:val="24"/>
                <w:szCs w:val="24"/>
              </w:rPr>
              <w:t>不会对周边环境产生明显影响。</w:t>
            </w:r>
          </w:p>
          <w:p w14:paraId="2CF853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cs="宋体"/>
                <w:b/>
                <w:bCs/>
                <w:color w:val="000000"/>
                <w:sz w:val="24"/>
                <w:szCs w:val="24"/>
                <w:lang w:val="en-US" w:eastAsia="zh-CN"/>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综上所述，项目所在区域无重大环境制约因素，对环境产生的影响较小，</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与当地</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布局不冲突</w:t>
            </w:r>
            <w:r>
              <w:rPr>
                <w:rFonts w:hint="eastAsia"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故</w:t>
            </w:r>
            <w:r>
              <w:rPr>
                <w:rFonts w:hint="eastAsia" w:cs="Times New Roman"/>
                <w:color w:val="000000" w:themeColor="text1"/>
                <w:spacing w:val="0"/>
                <w:position w:val="0"/>
                <w:sz w:val="24"/>
                <w:szCs w:val="24"/>
                <w:u w:val="none" w:color="auto"/>
                <w:lang w:eastAsia="zh-CN"/>
                <w14:textFill>
                  <w14:solidFill>
                    <w14:schemeClr w14:val="tx1"/>
                  </w14:solidFill>
                </w14:textFill>
              </w:rPr>
              <w:t>本</w:t>
            </w:r>
            <w:r>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t>项目选址可行。</w:t>
            </w:r>
          </w:p>
        </w:tc>
      </w:tr>
    </w:tbl>
    <w:p w14:paraId="1B8BA43C">
      <w:pPr>
        <w:pStyle w:val="7"/>
        <w:bidi w:val="0"/>
        <w:jc w:val="center"/>
        <w:outlineLvl w:val="9"/>
        <w:rPr>
          <w:rFonts w:hint="default" w:ascii="Times New Roman" w:hAnsi="Times New Roman" w:eastAsia="宋体" w:cs="Times New Roman"/>
          <w:color w:val="000000" w:themeColor="text1"/>
          <w:spacing w:val="0"/>
          <w:position w:val="0"/>
          <w:u w:val="none" w:color="auto"/>
          <w14:textFill>
            <w14:solidFill>
              <w14:schemeClr w14:val="tx1"/>
            </w14:solidFill>
          </w14:textFill>
        </w:rPr>
        <w:sectPr>
          <w:footerReference r:id="rId6" w:type="default"/>
          <w:pgSz w:w="11906" w:h="16838"/>
          <w:pgMar w:top="1440" w:right="1440" w:bottom="144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0C18A37">
      <w:pPr>
        <w:pStyle w:val="6"/>
        <w:bidi w:val="0"/>
        <w:rPr>
          <w:rFonts w:hint="default"/>
          <w:lang w:val="en-US" w:eastAsia="zh-CN"/>
        </w:rPr>
      </w:pPr>
      <w:bookmarkStart w:id="10" w:name="_Toc17130"/>
      <w:r>
        <w:rPr>
          <w:rFonts w:hint="default"/>
        </w:rPr>
        <w:t>二、建设项目工程分析</w:t>
      </w:r>
      <w:bookmarkEnd w:id="10"/>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822"/>
      </w:tblGrid>
      <w:tr w14:paraId="15BCF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227" w:type="pct"/>
            <w:noWrap w:val="0"/>
            <w:vAlign w:val="center"/>
          </w:tcPr>
          <w:p w14:paraId="69525C81">
            <w:pPr>
              <w:pStyle w:val="34"/>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建设内容</w:t>
            </w:r>
          </w:p>
        </w:tc>
        <w:tc>
          <w:tcPr>
            <w:tcW w:w="4772" w:type="pct"/>
            <w:noWrap w:val="0"/>
            <w:vAlign w:val="top"/>
          </w:tcPr>
          <w:p w14:paraId="128A7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default" w:ascii="Times New Roman" w:hAnsi="Times New Roman" w:eastAsia="宋体" w:cs="Times New Roman"/>
                <w:b/>
                <w:bCs/>
                <w:color w:val="auto"/>
                <w:spacing w:val="0"/>
                <w:position w:val="0"/>
                <w:sz w:val="24"/>
                <w:szCs w:val="24"/>
                <w:u w:val="none" w:color="auto"/>
                <w:lang w:val="en-US" w:eastAsia="zh-CN"/>
              </w:rPr>
              <w:t>1、项目由来</w:t>
            </w:r>
          </w:p>
          <w:p w14:paraId="7C4D74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FF0000"/>
                <w:sz w:val="24"/>
                <w:highlight w:val="none"/>
                <w:u w:val="none" w:color="auto"/>
                <w:lang w:val="en-US" w:eastAsia="zh-CN"/>
              </w:rPr>
            </w:pPr>
            <w:r>
              <w:rPr>
                <w:rFonts w:hint="eastAsia" w:eastAsia="宋体"/>
                <w:color w:val="auto"/>
                <w:sz w:val="24"/>
                <w:szCs w:val="24"/>
                <w:u w:val="none" w:color="auto"/>
                <w:lang w:val="en-US" w:eastAsia="zh-CN"/>
              </w:rPr>
              <w:t>湖南众联智能机械设备制造有限公司（</w:t>
            </w:r>
            <w:r>
              <w:rPr>
                <w:rFonts w:hint="eastAsia"/>
                <w:color w:val="auto"/>
                <w:sz w:val="24"/>
                <w:szCs w:val="24"/>
                <w:u w:val="none" w:color="auto"/>
                <w:lang w:val="en-US" w:eastAsia="zh-CN"/>
              </w:rPr>
              <w:t>以下简称“</w:t>
            </w:r>
            <w:r>
              <w:rPr>
                <w:rFonts w:hint="eastAsia" w:eastAsia="宋体"/>
                <w:color w:val="auto"/>
                <w:sz w:val="24"/>
                <w:szCs w:val="24"/>
                <w:u w:val="none" w:color="auto"/>
                <w:lang w:val="en-US" w:eastAsia="zh-CN"/>
              </w:rPr>
              <w:t>建设单位</w:t>
            </w:r>
            <w:r>
              <w:rPr>
                <w:rFonts w:hint="eastAsia"/>
                <w:color w:val="auto"/>
                <w:sz w:val="24"/>
                <w:szCs w:val="24"/>
                <w:u w:val="none" w:color="auto"/>
                <w:lang w:val="en-US" w:eastAsia="zh-CN"/>
              </w:rPr>
              <w:t>”</w:t>
            </w:r>
            <w:r>
              <w:rPr>
                <w:rFonts w:hint="eastAsia" w:eastAsia="宋体"/>
                <w:color w:val="auto"/>
                <w:sz w:val="24"/>
                <w:szCs w:val="24"/>
                <w:u w:val="none" w:color="auto"/>
                <w:lang w:val="en-US" w:eastAsia="zh-CN"/>
              </w:rPr>
              <w:t>）成立于2022年9月26日</w:t>
            </w:r>
            <w:r>
              <w:rPr>
                <w:rFonts w:hint="default" w:ascii="Times New Roman" w:hAnsi="Times New Roman" w:eastAsia="宋体"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是一家从事新能源设备制造</w:t>
            </w:r>
            <w:r>
              <w:rPr>
                <w:rFonts w:hint="eastAsia" w:eastAsia="宋体"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金属结构制造</w:t>
            </w:r>
            <w:r>
              <w:rPr>
                <w:rFonts w:hint="eastAsia" w:eastAsia="宋体"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通用设备制造等业务的公司</w:t>
            </w:r>
            <w:r>
              <w:rPr>
                <w:rFonts w:hint="default" w:ascii="Times New Roman" w:hAnsi="Times New Roman" w:eastAsia="宋体" w:cs="Times New Roman"/>
                <w:color w:val="auto"/>
                <w:sz w:val="24"/>
                <w:highlight w:val="none"/>
                <w:u w:val="none" w:color="auto"/>
                <w:lang w:val="en-US" w:eastAsia="zh-CN"/>
              </w:rPr>
              <w:t>。</w:t>
            </w:r>
            <w:r>
              <w:rPr>
                <w:rFonts w:hint="eastAsia" w:cs="Times New Roman"/>
                <w:color w:val="auto"/>
                <w:sz w:val="24"/>
                <w:highlight w:val="none"/>
                <w:u w:val="none" w:color="auto"/>
                <w:lang w:val="en-US" w:eastAsia="zh-CN"/>
              </w:rPr>
              <w:t>建设单位于2022年投资建设</w:t>
            </w:r>
            <w:r>
              <w:rPr>
                <w:rFonts w:hint="eastAsia" w:eastAsia="宋体" w:cs="Times New Roman"/>
                <w:color w:val="auto"/>
                <w:sz w:val="24"/>
                <w:highlight w:val="none"/>
                <w:u w:val="none" w:color="auto"/>
                <w:lang w:val="en-US" w:eastAsia="zh-CN"/>
              </w:rPr>
              <w:t>“</w:t>
            </w:r>
            <w:r>
              <w:rPr>
                <w:rFonts w:hint="eastAsia" w:ascii="Times New Roman" w:hAnsi="Times New Roman" w:eastAsia="宋体" w:cs="Times New Roman"/>
                <w:color w:val="000000"/>
                <w:kern w:val="0"/>
                <w:sz w:val="24"/>
                <w:szCs w:val="24"/>
                <w:u w:val="none" w:color="auto"/>
                <w:lang w:val="en-US" w:eastAsia="zh-CN" w:bidi="ar"/>
              </w:rPr>
              <w:t>湖南众联设备智能制造产业园</w:t>
            </w:r>
            <w:r>
              <w:rPr>
                <w:rFonts w:hint="default" w:ascii="Times New Roman" w:hAnsi="Times New Roman" w:eastAsia="宋体" w:cs="Times New Roman"/>
                <w:color w:val="000000"/>
                <w:kern w:val="0"/>
                <w:sz w:val="24"/>
                <w:szCs w:val="24"/>
                <w:u w:val="none" w:color="auto"/>
                <w:lang w:val="en-US" w:eastAsia="zh-CN" w:bidi="ar"/>
              </w:rPr>
              <w:t>建设项目</w:t>
            </w:r>
            <w:r>
              <w:rPr>
                <w:rFonts w:hint="eastAsia" w:ascii="Times New Roman" w:hAnsi="Times New Roman" w:eastAsia="宋体" w:cs="Times New Roman"/>
                <w:color w:val="auto"/>
                <w:sz w:val="24"/>
                <w:highlight w:val="none"/>
                <w:u w:val="none" w:color="auto"/>
                <w:lang w:val="en-US" w:eastAsia="zh-CN"/>
              </w:rPr>
              <w:t>”，</w:t>
            </w:r>
            <w:r>
              <w:rPr>
                <w:rFonts w:hint="eastAsia" w:ascii="Times New Roman" w:hAnsi="Times New Roman" w:cs="Times New Roman" w:eastAsiaTheme="minorEastAsia"/>
                <w:sz w:val="24"/>
                <w:szCs w:val="24"/>
                <w:lang w:eastAsia="zh-CN"/>
              </w:rPr>
              <w:t>该项目已</w:t>
            </w:r>
            <w:r>
              <w:rPr>
                <w:rFonts w:hint="default" w:ascii="Times New Roman" w:hAnsi="Times New Roman" w:cs="Times New Roman" w:eastAsiaTheme="minorEastAsia"/>
                <w:sz w:val="24"/>
                <w:szCs w:val="24"/>
              </w:rPr>
              <w:t>于20</w:t>
            </w:r>
            <w:r>
              <w:rPr>
                <w:rFonts w:hint="eastAsia" w:ascii="Times New Roman" w:hAnsi="Times New Roman" w:cs="Times New Roman" w:eastAsiaTheme="minorEastAsia"/>
                <w:sz w:val="24"/>
                <w:szCs w:val="24"/>
                <w:lang w:val="en-US" w:eastAsia="zh-CN"/>
              </w:rPr>
              <w:t>22</w:t>
            </w:r>
            <w:r>
              <w:rPr>
                <w:rFonts w:hint="default"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11</w:t>
            </w:r>
            <w:r>
              <w:rPr>
                <w:rFonts w:hint="default"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30</w:t>
            </w:r>
            <w:r>
              <w:rPr>
                <w:rFonts w:hint="default" w:ascii="Times New Roman" w:hAnsi="Times New Roman" w:cs="Times New Roman" w:eastAsiaTheme="minorEastAsia"/>
                <w:sz w:val="24"/>
                <w:szCs w:val="24"/>
              </w:rPr>
              <w:t>日取得岳阳市</w:t>
            </w:r>
            <w:r>
              <w:rPr>
                <w:rFonts w:hint="eastAsia" w:ascii="Times New Roman" w:hAnsi="Times New Roman" w:cs="Times New Roman" w:eastAsiaTheme="minorEastAsia"/>
                <w:sz w:val="24"/>
                <w:szCs w:val="24"/>
              </w:rPr>
              <w:t>生态环境局</w:t>
            </w:r>
            <w:r>
              <w:rPr>
                <w:rFonts w:hint="eastAsia" w:ascii="Times New Roman" w:hAnsi="Times New Roman" w:cs="Times New Roman" w:eastAsiaTheme="minorEastAsia"/>
                <w:sz w:val="24"/>
                <w:szCs w:val="24"/>
                <w:lang w:eastAsia="zh-CN"/>
              </w:rPr>
              <w:t>城陵矶新港区分局</w:t>
            </w:r>
            <w:r>
              <w:rPr>
                <w:rFonts w:hint="default" w:ascii="Times New Roman" w:hAnsi="Times New Roman" w:cs="Times New Roman" w:eastAsiaTheme="minorEastAsia"/>
                <w:sz w:val="24"/>
                <w:szCs w:val="24"/>
              </w:rPr>
              <w:t>出具的</w:t>
            </w:r>
            <w:r>
              <w:rPr>
                <w:rFonts w:hint="default"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eastAsia="zh-CN"/>
              </w:rPr>
              <w:t>湖南众联设备智能制造产业园项目环境影响评价文件告知承诺制审批表</w:t>
            </w:r>
            <w:r>
              <w:rPr>
                <w:rFonts w:hint="default"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eastAsia="zh-CN"/>
              </w:rPr>
              <w:t>审批号：</w:t>
            </w:r>
            <w:r>
              <w:rPr>
                <w:rFonts w:hint="eastAsia" w:ascii="Times New Roman" w:hAnsi="Times New Roman" w:cs="Times New Roman" w:eastAsiaTheme="minorEastAsia"/>
                <w:sz w:val="24"/>
                <w:szCs w:val="24"/>
                <w:lang w:val="en-US" w:eastAsia="zh-CN"/>
              </w:rPr>
              <w:t>岳港环评【2022】19号，附件4</w:t>
            </w:r>
            <w:r>
              <w:rPr>
                <w:rFonts w:hint="default" w:ascii="Times New Roman" w:hAnsi="Times New Roman" w:cs="Times New Roman" w:eastAsiaTheme="minorEastAsia"/>
                <w:sz w:val="24"/>
                <w:szCs w:val="24"/>
                <w:lang w:eastAsia="zh-CN"/>
              </w:rPr>
              <w:t>）</w:t>
            </w:r>
            <w:r>
              <w:rPr>
                <w:rFonts w:hint="eastAsia" w:ascii="Times New Roman" w:hAnsi="Times New Roman" w:cs="Times New Roman" w:eastAsiaTheme="minorEastAsia"/>
                <w:sz w:val="24"/>
                <w:szCs w:val="24"/>
                <w:lang w:eastAsia="zh-CN"/>
              </w:rPr>
              <w:t>，</w:t>
            </w:r>
            <w:r>
              <w:rPr>
                <w:rFonts w:hint="eastAsia" w:ascii="Times New Roman" w:hAnsi="Times New Roman" w:eastAsia="宋体" w:cs="Times New Roman"/>
                <w:color w:val="000000"/>
                <w:kern w:val="0"/>
                <w:sz w:val="24"/>
                <w:szCs w:val="24"/>
                <w:lang w:val="en-US" w:eastAsia="zh-CN" w:bidi="ar"/>
              </w:rPr>
              <w:t>设计生产规模为年产3000t压力容器。</w:t>
            </w:r>
          </w:p>
          <w:p w14:paraId="503DD1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color w:val="auto"/>
                <w:u w:val="none" w:color="auto"/>
                <w:lang w:val="en-US" w:eastAsia="zh-CN"/>
              </w:rPr>
            </w:pPr>
            <w:r>
              <w:rPr>
                <w:rFonts w:hint="default" w:ascii="Times New Roman" w:hAnsi="Times New Roman" w:cs="Times New Roman" w:eastAsiaTheme="minorEastAsia"/>
                <w:sz w:val="24"/>
                <w:szCs w:val="24"/>
              </w:rPr>
              <w:t>202</w:t>
            </w: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日</w:t>
            </w:r>
            <w:r>
              <w:rPr>
                <w:rFonts w:hint="eastAsia" w:ascii="Times New Roman" w:hAnsi="Times New Roman" w:cs="Times New Roman" w:eastAsiaTheme="minorEastAsia"/>
                <w:sz w:val="24"/>
                <w:szCs w:val="24"/>
                <w:lang w:eastAsia="zh-CN"/>
              </w:rPr>
              <w:t>，建设单位</w:t>
            </w:r>
            <w:r>
              <w:rPr>
                <w:rFonts w:hint="default" w:ascii="Times New Roman" w:hAnsi="Times New Roman" w:cs="Times New Roman" w:eastAsiaTheme="minorEastAsia"/>
                <w:sz w:val="24"/>
                <w:szCs w:val="24"/>
              </w:rPr>
              <w:t>取得</w:t>
            </w:r>
            <w:r>
              <w:rPr>
                <w:rFonts w:hint="eastAsia" w:ascii="Times New Roman" w:hAnsi="Times New Roman" w:cs="Times New Roman" w:eastAsiaTheme="minorEastAsia"/>
                <w:sz w:val="24"/>
                <w:szCs w:val="24"/>
                <w:lang w:eastAsia="zh-CN"/>
              </w:rPr>
              <w:t>固定污染源</w:t>
            </w:r>
            <w:r>
              <w:rPr>
                <w:rFonts w:hint="default" w:ascii="Times New Roman" w:hAnsi="Times New Roman" w:cs="Times New Roman" w:eastAsiaTheme="minorEastAsia"/>
                <w:sz w:val="24"/>
                <w:szCs w:val="24"/>
              </w:rPr>
              <w:t>排污</w:t>
            </w:r>
            <w:r>
              <w:rPr>
                <w:rFonts w:hint="eastAsia" w:ascii="Times New Roman" w:hAnsi="Times New Roman" w:cs="Times New Roman" w:eastAsiaTheme="minorEastAsia"/>
                <w:sz w:val="24"/>
                <w:szCs w:val="24"/>
                <w:lang w:eastAsia="zh-CN"/>
              </w:rPr>
              <w:t>登记回执</w:t>
            </w:r>
            <w:r>
              <w:rPr>
                <w:rFonts w:hint="default" w:ascii="Times New Roman" w:hAnsi="Times New Roman" w:cs="Times New Roman" w:eastAsiaTheme="minorEastAsia"/>
                <w:sz w:val="24"/>
                <w:szCs w:val="24"/>
              </w:rPr>
              <w:t>（</w:t>
            </w:r>
            <w:r>
              <w:rPr>
                <w:rFonts w:hint="eastAsia" w:ascii="Times New Roman" w:hAnsi="Times New Roman" w:cs="Times New Roman" w:eastAsiaTheme="minorEastAsia"/>
                <w:sz w:val="24"/>
                <w:szCs w:val="24"/>
                <w:lang w:eastAsia="zh-CN"/>
              </w:rPr>
              <w:t>登记</w:t>
            </w:r>
            <w:r>
              <w:rPr>
                <w:rFonts w:hint="default" w:ascii="Times New Roman" w:hAnsi="Times New Roman" w:cs="Times New Roman" w:eastAsiaTheme="minorEastAsia"/>
                <w:sz w:val="24"/>
                <w:szCs w:val="24"/>
              </w:rPr>
              <w:t>编号：</w:t>
            </w:r>
            <w:r>
              <w:rPr>
                <w:rFonts w:hint="eastAsia" w:ascii="Times New Roman" w:hAnsi="Times New Roman" w:cs="Times New Roman" w:eastAsiaTheme="minorEastAsia"/>
                <w:sz w:val="24"/>
                <w:szCs w:val="24"/>
                <w:lang w:val="en-US" w:eastAsia="zh-CN"/>
              </w:rPr>
              <w:t>91430600MABYWFER36001Z，附件5</w:t>
            </w:r>
            <w:r>
              <w:rPr>
                <w:rFonts w:hint="default" w:ascii="Times New Roman" w:hAnsi="Times New Roman" w:eastAsiaTheme="minorEastAsia"/>
                <w:color w:val="auto"/>
                <w:sz w:val="24"/>
                <w:szCs w:val="24"/>
                <w:highlight w:val="none"/>
              </w:rPr>
              <w:t>)</w:t>
            </w:r>
            <w:r>
              <w:rPr>
                <w:rFonts w:hint="eastAsia" w:ascii="Times New Roman" w:hAnsi="Times New Roman" w:eastAsia="宋体" w:cs="Times New Roman"/>
                <w:color w:val="auto"/>
                <w:spacing w:val="0"/>
                <w:position w:val="0"/>
                <w:sz w:val="24"/>
                <w:highlight w:val="none"/>
                <w:u w:val="none" w:color="auto"/>
                <w:lang w:val="en-US" w:eastAsia="zh-CN"/>
              </w:rPr>
              <w:t>。</w:t>
            </w:r>
            <w:r>
              <w:rPr>
                <w:rFonts w:hint="eastAsia" w:ascii="Times New Roman" w:hAnsi="Times New Roman" w:cs="Times New Roman"/>
                <w:color w:val="auto"/>
                <w:spacing w:val="0"/>
                <w:position w:val="0"/>
                <w:sz w:val="24"/>
                <w:highlight w:val="none"/>
                <w:u w:val="none" w:color="auto"/>
                <w:lang w:val="en-US" w:eastAsia="zh-CN"/>
              </w:rPr>
              <w:t>2024年4月，</w:t>
            </w:r>
            <w:r>
              <w:rPr>
                <w:rFonts w:hint="eastAsia" w:ascii="Times New Roman" w:hAnsi="Times New Roman" w:cs="Times New Roman" w:eastAsiaTheme="minorEastAsia"/>
                <w:sz w:val="24"/>
                <w:szCs w:val="24"/>
                <w:lang w:eastAsia="zh-CN"/>
              </w:rPr>
              <w:t>建设单位</w:t>
            </w:r>
            <w:r>
              <w:rPr>
                <w:rFonts w:hint="eastAsia" w:ascii="Times New Roman" w:hAnsi="Times New Roman" w:cs="Times New Roman"/>
                <w:color w:val="auto"/>
                <w:spacing w:val="0"/>
                <w:position w:val="0"/>
                <w:sz w:val="24"/>
                <w:highlight w:val="none"/>
                <w:u w:val="none" w:color="auto"/>
                <w:lang w:val="en-US" w:eastAsia="zh-CN"/>
              </w:rPr>
              <w:t>完成突发环境事件应急预案，并取得企业事业单位突发环境事件应急预案备案表（备案编号：43060</w:t>
            </w:r>
            <w:r>
              <w:rPr>
                <w:rFonts w:hint="eastAsia" w:cs="Times New Roman"/>
                <w:color w:val="auto"/>
                <w:spacing w:val="0"/>
                <w:position w:val="0"/>
                <w:sz w:val="24"/>
                <w:highlight w:val="none"/>
                <w:u w:val="none" w:color="auto"/>
                <w:lang w:val="en-US" w:eastAsia="zh-CN"/>
              </w:rPr>
              <w:t>3</w:t>
            </w:r>
            <w:r>
              <w:rPr>
                <w:rFonts w:hint="eastAsia" w:ascii="Times New Roman" w:hAnsi="Times New Roman" w:cs="Times New Roman"/>
                <w:color w:val="auto"/>
                <w:spacing w:val="0"/>
                <w:position w:val="0"/>
                <w:sz w:val="24"/>
                <w:highlight w:val="none"/>
                <w:u w:val="none" w:color="auto"/>
                <w:lang w:val="en-US" w:eastAsia="zh-CN"/>
              </w:rPr>
              <w:t>-2024-0</w:t>
            </w:r>
            <w:r>
              <w:rPr>
                <w:rFonts w:hint="eastAsia" w:cs="Times New Roman"/>
                <w:color w:val="auto"/>
                <w:spacing w:val="0"/>
                <w:position w:val="0"/>
                <w:sz w:val="24"/>
                <w:highlight w:val="none"/>
                <w:u w:val="none" w:color="auto"/>
                <w:lang w:val="en-US" w:eastAsia="zh-CN"/>
              </w:rPr>
              <w:t>28</w:t>
            </w:r>
            <w:r>
              <w:rPr>
                <w:rFonts w:hint="eastAsia" w:ascii="Times New Roman" w:hAnsi="Times New Roman" w:cs="Times New Roman"/>
                <w:color w:val="auto"/>
                <w:spacing w:val="0"/>
                <w:position w:val="0"/>
                <w:sz w:val="24"/>
                <w:highlight w:val="none"/>
                <w:u w:val="none" w:color="auto"/>
                <w:lang w:val="en-US" w:eastAsia="zh-CN"/>
              </w:rPr>
              <w:t>-L，附件</w:t>
            </w:r>
            <w:r>
              <w:rPr>
                <w:rFonts w:hint="eastAsia" w:cs="Times New Roman"/>
                <w:color w:val="auto"/>
                <w:spacing w:val="0"/>
                <w:position w:val="0"/>
                <w:sz w:val="24"/>
                <w:highlight w:val="none"/>
                <w:u w:val="none" w:color="auto"/>
                <w:lang w:val="en-US" w:eastAsia="zh-CN"/>
              </w:rPr>
              <w:t>6</w:t>
            </w:r>
            <w:r>
              <w:rPr>
                <w:rFonts w:hint="eastAsia" w:ascii="Times New Roman" w:hAnsi="Times New Roman" w:cs="Times New Roman"/>
                <w:color w:val="auto"/>
                <w:spacing w:val="0"/>
                <w:position w:val="0"/>
                <w:sz w:val="24"/>
                <w:highlight w:val="none"/>
                <w:u w:val="none" w:color="auto"/>
                <w:lang w:val="en-US" w:eastAsia="zh-CN"/>
              </w:rPr>
              <w:t>）。</w:t>
            </w:r>
          </w:p>
          <w:p w14:paraId="21B7EE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“湖南众联设备智能制造产业园</w:t>
            </w:r>
            <w:r>
              <w:rPr>
                <w:rFonts w:hint="default" w:ascii="Times New Roman" w:hAnsi="Times New Roman" w:eastAsia="宋体" w:cs="Times New Roman"/>
                <w:color w:val="auto"/>
                <w:sz w:val="24"/>
                <w:szCs w:val="24"/>
                <w:u w:val="none" w:color="auto"/>
                <w:lang w:val="en-US" w:eastAsia="zh-CN"/>
              </w:rPr>
              <w:t>建设项目</w:t>
            </w:r>
            <w:r>
              <w:rPr>
                <w:rFonts w:hint="eastAsia"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color="auto"/>
                <w:lang w:val="en-US" w:eastAsia="zh-CN"/>
              </w:rPr>
              <w:t>分两阶段建设，目前</w:t>
            </w:r>
            <w:r>
              <w:rPr>
                <w:rFonts w:hint="eastAsia" w:ascii="Times New Roman" w:hAnsi="Times New Roman" w:eastAsia="宋体" w:cs="Times New Roman"/>
                <w:color w:val="auto"/>
                <w:sz w:val="24"/>
                <w:szCs w:val="24"/>
                <w:u w:val="none" w:color="auto"/>
                <w:lang w:val="en-US" w:eastAsia="zh-CN"/>
              </w:rPr>
              <w:t>已完成一</w:t>
            </w:r>
            <w:r>
              <w:rPr>
                <w:rFonts w:hint="eastAsia" w:cs="Times New Roman"/>
                <w:color w:val="auto"/>
                <w:sz w:val="24"/>
                <w:szCs w:val="24"/>
                <w:u w:val="none" w:color="auto"/>
                <w:lang w:val="en-US" w:eastAsia="zh-CN"/>
              </w:rPr>
              <w:t>阶段</w:t>
            </w:r>
            <w:r>
              <w:rPr>
                <w:rFonts w:hint="eastAsia" w:ascii="Times New Roman" w:hAnsi="Times New Roman" w:eastAsia="宋体" w:cs="Times New Roman"/>
                <w:color w:val="auto"/>
                <w:sz w:val="24"/>
                <w:szCs w:val="24"/>
                <w:u w:val="none" w:color="auto"/>
                <w:lang w:val="en-US" w:eastAsia="zh-CN"/>
              </w:rPr>
              <w:t>建设，主要建设内容包括1栋单层生产厂房，建筑面积</w:t>
            </w:r>
            <w:r>
              <w:rPr>
                <w:rFonts w:hint="eastAsia" w:cs="Times New Roman"/>
                <w:color w:val="auto"/>
                <w:sz w:val="24"/>
                <w:szCs w:val="24"/>
                <w:u w:val="none" w:color="auto"/>
                <w:lang w:val="en-US" w:eastAsia="zh-CN"/>
              </w:rPr>
              <w:t>9352.25</w:t>
            </w:r>
            <w:r>
              <w:rPr>
                <w:rFonts w:hint="default" w:ascii="Times New Roman" w:hAnsi="Times New Roman" w:eastAsia="宋体" w:cs="Times New Roman"/>
                <w:color w:val="auto"/>
                <w:sz w:val="24"/>
                <w:szCs w:val="24"/>
                <w:u w:val="none" w:color="auto"/>
                <w:lang w:val="en-US" w:eastAsia="zh-CN"/>
              </w:rPr>
              <w:t>m</w:t>
            </w:r>
            <w:r>
              <w:rPr>
                <w:rFonts w:hint="default" w:ascii="Times New Roman" w:hAnsi="Times New Roman" w:eastAsia="宋体" w:cs="Times New Roman"/>
                <w:color w:val="auto"/>
                <w:sz w:val="24"/>
                <w:szCs w:val="24"/>
                <w:u w:val="none" w:color="auto"/>
                <w:vertAlign w:val="superscript"/>
                <w:lang w:val="en-US" w:eastAsia="zh-CN"/>
              </w:rPr>
              <w:t>2</w:t>
            </w:r>
            <w:r>
              <w:rPr>
                <w:rFonts w:hint="eastAsia" w:ascii="Times New Roman" w:hAnsi="Times New Roman" w:eastAsia="宋体" w:cs="Times New Roman"/>
                <w:color w:val="auto"/>
                <w:sz w:val="24"/>
                <w:szCs w:val="24"/>
                <w:u w:val="none" w:color="auto"/>
                <w:lang w:val="en-US" w:eastAsia="zh-CN"/>
              </w:rPr>
              <w:t>，生产工艺主要包括切割、焊接等机加工，以及压力容器试压，少部分需抛丸及喷漆的产品均外委进行抛丸和喷漆</w:t>
            </w:r>
            <w:r>
              <w:rPr>
                <w:rFonts w:hint="eastAsia" w:ascii="Times New Roman" w:hAnsi="Times New Roman" w:cs="Times New Roman"/>
                <w:color w:val="auto"/>
                <w:sz w:val="24"/>
                <w:szCs w:val="24"/>
                <w:u w:val="none" w:color="auto"/>
                <w:lang w:val="en-US" w:eastAsia="zh-CN"/>
              </w:rPr>
              <w:t>。</w:t>
            </w:r>
            <w:r>
              <w:rPr>
                <w:rFonts w:hint="eastAsia" w:ascii="Times New Roman" w:hAnsi="Times New Roman" w:eastAsia="宋体" w:cs="Times New Roman"/>
                <w:color w:val="auto"/>
                <w:sz w:val="24"/>
                <w:szCs w:val="24"/>
                <w:u w:val="none" w:color="auto"/>
                <w:lang w:val="en-US" w:eastAsia="zh-CN"/>
              </w:rPr>
              <w:t>一</w:t>
            </w:r>
            <w:r>
              <w:rPr>
                <w:rFonts w:hint="eastAsia" w:cs="Times New Roman"/>
                <w:color w:val="auto"/>
                <w:sz w:val="24"/>
                <w:szCs w:val="24"/>
                <w:u w:val="none" w:color="auto"/>
                <w:lang w:val="en-US" w:eastAsia="zh-CN"/>
              </w:rPr>
              <w:t>阶段</w:t>
            </w:r>
            <w:r>
              <w:rPr>
                <w:rFonts w:hint="eastAsia" w:ascii="Times New Roman" w:hAnsi="Times New Roman" w:eastAsia="宋体" w:cs="Times New Roman"/>
                <w:color w:val="auto"/>
                <w:sz w:val="24"/>
                <w:szCs w:val="24"/>
                <w:u w:val="none" w:color="auto"/>
                <w:lang w:val="en-US" w:eastAsia="zh-CN"/>
              </w:rPr>
              <w:t>已建工程生产能力约为年产1000t压力容器。2024年4月，“湖南众联设备智能制造产业园</w:t>
            </w:r>
            <w:r>
              <w:rPr>
                <w:rFonts w:hint="default" w:ascii="Times New Roman" w:hAnsi="Times New Roman" w:eastAsia="宋体" w:cs="Times New Roman"/>
                <w:color w:val="auto"/>
                <w:sz w:val="24"/>
                <w:szCs w:val="24"/>
                <w:u w:val="none" w:color="auto"/>
                <w:lang w:val="en-US" w:eastAsia="zh-CN"/>
              </w:rPr>
              <w:t>建设项目</w:t>
            </w:r>
            <w:r>
              <w:rPr>
                <w:rFonts w:hint="eastAsia" w:ascii="Times New Roman" w:hAnsi="Times New Roman" w:eastAsia="宋体" w:cs="Times New Roman"/>
                <w:color w:val="auto"/>
                <w:sz w:val="24"/>
                <w:szCs w:val="24"/>
                <w:u w:val="none" w:color="auto"/>
                <w:lang w:val="en-US" w:eastAsia="zh-CN"/>
              </w:rPr>
              <w:t>”完成第一阶段竣工环保验收，并取得建设项目竣工环保</w:t>
            </w:r>
            <w:r>
              <w:rPr>
                <w:rFonts w:hint="eastAsia" w:cs="Times New Roman"/>
                <w:color w:val="auto"/>
                <w:sz w:val="24"/>
                <w:szCs w:val="24"/>
                <w:u w:val="none" w:color="auto"/>
                <w:lang w:val="en-US" w:eastAsia="zh-CN"/>
              </w:rPr>
              <w:t>阶段</w:t>
            </w:r>
            <w:r>
              <w:rPr>
                <w:rFonts w:hint="eastAsia" w:ascii="Times New Roman" w:hAnsi="Times New Roman" w:eastAsia="宋体" w:cs="Times New Roman"/>
                <w:color w:val="auto"/>
                <w:sz w:val="24"/>
                <w:szCs w:val="24"/>
                <w:u w:val="none" w:color="auto"/>
                <w:lang w:val="en-US" w:eastAsia="zh-CN"/>
              </w:rPr>
              <w:t>验收备案登记表（岳港环验备【2024】4号，附件7）。</w:t>
            </w:r>
          </w:p>
          <w:p w14:paraId="7D96B6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“湖南众联设备智能制造产业园</w:t>
            </w:r>
            <w:r>
              <w:rPr>
                <w:rFonts w:hint="default" w:ascii="Times New Roman" w:hAnsi="Times New Roman" w:eastAsia="宋体" w:cs="Times New Roman"/>
                <w:color w:val="auto"/>
                <w:sz w:val="24"/>
                <w:szCs w:val="24"/>
                <w:u w:val="none" w:color="auto"/>
                <w:lang w:val="en-US" w:eastAsia="zh-CN"/>
              </w:rPr>
              <w:t>建设项目</w:t>
            </w:r>
            <w:r>
              <w:rPr>
                <w:rFonts w:hint="eastAsia" w:ascii="Times New Roman" w:hAnsi="Times New Roman" w:eastAsia="宋体" w:cs="Times New Roman"/>
                <w:color w:val="auto"/>
                <w:sz w:val="24"/>
                <w:szCs w:val="24"/>
                <w:u w:val="none" w:color="auto"/>
                <w:lang w:val="en-US" w:eastAsia="zh-CN"/>
              </w:rPr>
              <w:t>”二阶段正在建设中，主要包括</w:t>
            </w:r>
            <w:r>
              <w:rPr>
                <w:rFonts w:hint="eastAsia" w:ascii="Times New Roman" w:hAnsi="Times New Roman" w:cs="Times New Roman"/>
                <w:color w:val="auto"/>
                <w:sz w:val="24"/>
                <w:szCs w:val="24"/>
                <w:u w:val="none" w:color="auto"/>
                <w:lang w:val="en-US" w:eastAsia="zh-CN"/>
              </w:rPr>
              <w:t>一</w:t>
            </w:r>
            <w:r>
              <w:rPr>
                <w:rFonts w:hint="eastAsia" w:ascii="Times New Roman" w:hAnsi="Times New Roman" w:eastAsia="宋体" w:cs="Times New Roman"/>
                <w:color w:val="auto"/>
                <w:sz w:val="24"/>
                <w:szCs w:val="24"/>
                <w:u w:val="none" w:color="auto"/>
                <w:lang w:val="en-US" w:eastAsia="zh-CN"/>
              </w:rPr>
              <w:t>阶段尚未建成</w:t>
            </w:r>
            <w:r>
              <w:rPr>
                <w:rFonts w:hint="eastAsia" w:ascii="Times New Roman" w:hAnsi="Times New Roman" w:cs="Times New Roman"/>
                <w:color w:val="auto"/>
                <w:sz w:val="24"/>
                <w:szCs w:val="24"/>
                <w:u w:val="none" w:color="auto"/>
                <w:lang w:val="en-US" w:eastAsia="zh-CN"/>
              </w:rPr>
              <w:t>的</w:t>
            </w:r>
            <w:r>
              <w:rPr>
                <w:rFonts w:hint="eastAsia" w:ascii="Times New Roman" w:hAnsi="Times New Roman" w:eastAsia="宋体" w:cs="Times New Roman"/>
                <w:color w:val="auto"/>
                <w:sz w:val="24"/>
                <w:szCs w:val="24"/>
                <w:u w:val="none" w:color="auto"/>
                <w:lang w:val="en-US" w:eastAsia="zh-CN"/>
              </w:rPr>
              <w:t>抛丸和喷漆作业，</w:t>
            </w:r>
            <w:r>
              <w:rPr>
                <w:rFonts w:hint="eastAsia" w:ascii="Times New Roman" w:hAnsi="Times New Roman" w:cs="Times New Roman"/>
                <w:color w:val="auto"/>
                <w:sz w:val="24"/>
                <w:szCs w:val="24"/>
                <w:u w:val="none" w:color="auto"/>
                <w:lang w:val="en-US" w:eastAsia="zh-CN"/>
              </w:rPr>
              <w:t>以及研发楼和食堂，</w:t>
            </w:r>
            <w:r>
              <w:rPr>
                <w:rFonts w:hint="eastAsia" w:ascii="Times New Roman" w:hAnsi="Times New Roman" w:eastAsia="宋体" w:cs="Times New Roman"/>
                <w:color w:val="auto"/>
                <w:sz w:val="24"/>
                <w:szCs w:val="24"/>
                <w:u w:val="none" w:color="auto"/>
                <w:lang w:val="en-US" w:eastAsia="zh-CN"/>
              </w:rPr>
              <w:t>二阶段</w:t>
            </w:r>
            <w:r>
              <w:rPr>
                <w:rFonts w:hint="eastAsia" w:ascii="Times New Roman" w:hAnsi="Times New Roman" w:cs="Times New Roman"/>
                <w:color w:val="auto"/>
                <w:sz w:val="24"/>
                <w:szCs w:val="24"/>
                <w:u w:val="none" w:color="auto"/>
                <w:lang w:val="en-US" w:eastAsia="zh-CN"/>
              </w:rPr>
              <w:t>在</w:t>
            </w:r>
            <w:r>
              <w:rPr>
                <w:rFonts w:hint="eastAsia" w:ascii="Times New Roman" w:hAnsi="Times New Roman" w:eastAsia="宋体" w:cs="Times New Roman"/>
                <w:color w:val="auto"/>
                <w:sz w:val="24"/>
                <w:szCs w:val="24"/>
                <w:u w:val="none" w:color="auto"/>
                <w:lang w:val="en-US" w:eastAsia="zh-CN"/>
              </w:rPr>
              <w:t>建工程生产能力约为年产</w:t>
            </w:r>
            <w:r>
              <w:rPr>
                <w:rFonts w:hint="eastAsia" w:ascii="Times New Roman" w:hAnsi="Times New Roman" w:cs="Times New Roman"/>
                <w:color w:val="auto"/>
                <w:sz w:val="24"/>
                <w:szCs w:val="24"/>
                <w:u w:val="none" w:color="auto"/>
                <w:lang w:val="en-US" w:eastAsia="zh-CN"/>
              </w:rPr>
              <w:t>2</w:t>
            </w:r>
            <w:r>
              <w:rPr>
                <w:rFonts w:hint="eastAsia" w:ascii="Times New Roman" w:hAnsi="Times New Roman" w:eastAsia="宋体" w:cs="Times New Roman"/>
                <w:color w:val="auto"/>
                <w:sz w:val="24"/>
                <w:szCs w:val="24"/>
                <w:u w:val="none" w:color="auto"/>
                <w:lang w:val="en-US" w:eastAsia="zh-CN"/>
              </w:rPr>
              <w:t>000t压力容器。</w:t>
            </w:r>
          </w:p>
          <w:p w14:paraId="4FDAD2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为长远发展，迎合市场需求，</w:t>
            </w:r>
            <w:r>
              <w:rPr>
                <w:rFonts w:hint="eastAsia" w:ascii="Times New Roman" w:hAnsi="Times New Roman" w:eastAsia="宋体" w:cs="Times New Roman"/>
                <w:color w:val="auto"/>
                <w:sz w:val="24"/>
                <w:szCs w:val="24"/>
                <w:u w:val="none" w:color="auto"/>
                <w:lang w:val="en-US" w:eastAsia="zh-CN"/>
              </w:rPr>
              <w:t>湖南众联智能机械设备制造有限公司拟新增产品方案，</w:t>
            </w:r>
            <w:r>
              <w:rPr>
                <w:rFonts w:hint="eastAsia" w:cs="Times New Roman"/>
                <w:color w:val="auto"/>
                <w:sz w:val="24"/>
                <w:szCs w:val="24"/>
                <w:u w:val="none" w:color="auto"/>
                <w:lang w:val="en-US" w:eastAsia="zh-CN"/>
              </w:rPr>
              <w:t>部分利用现有工程生产设备，</w:t>
            </w:r>
            <w:r>
              <w:rPr>
                <w:rFonts w:hint="eastAsia" w:ascii="Times New Roman" w:hAnsi="Times New Roman" w:eastAsia="宋体" w:cs="Times New Roman"/>
                <w:color w:val="auto"/>
                <w:sz w:val="24"/>
                <w:szCs w:val="24"/>
                <w:u w:val="none" w:color="auto"/>
                <w:lang w:val="en-US" w:eastAsia="zh-CN"/>
              </w:rPr>
              <w:t>在现有生产厂房内进行扩建</w:t>
            </w:r>
            <w:r>
              <w:rPr>
                <w:rFonts w:hint="eastAsia" w:cs="Times New Roman"/>
                <w:color w:val="auto"/>
                <w:sz w:val="24"/>
                <w:szCs w:val="24"/>
                <w:u w:val="none" w:color="auto"/>
                <w:lang w:val="en-US" w:eastAsia="zh-CN"/>
              </w:rPr>
              <w:t>，</w:t>
            </w:r>
            <w:r>
              <w:rPr>
                <w:rFonts w:hint="eastAsia" w:ascii="Times New Roman" w:hAnsi="Times New Roman" w:eastAsia="宋体" w:cs="Times New Roman"/>
                <w:color w:val="auto"/>
                <w:sz w:val="24"/>
                <w:szCs w:val="24"/>
                <w:u w:val="none" w:color="auto"/>
                <w:lang w:val="en-US" w:eastAsia="zh-CN"/>
              </w:rPr>
              <w:t>建设“湖南众联设备智能制造产业园扩建</w:t>
            </w:r>
            <w:r>
              <w:rPr>
                <w:rFonts w:hint="default" w:ascii="Times New Roman" w:hAnsi="Times New Roman" w:eastAsia="宋体" w:cs="Times New Roman"/>
                <w:color w:val="auto"/>
                <w:sz w:val="24"/>
                <w:szCs w:val="24"/>
                <w:u w:val="none" w:color="auto"/>
                <w:lang w:val="en-US" w:eastAsia="zh-CN"/>
              </w:rPr>
              <w:t>项目</w:t>
            </w:r>
            <w:r>
              <w:rPr>
                <w:rFonts w:hint="eastAsia" w:ascii="Times New Roman" w:hAnsi="Times New Roman" w:eastAsia="宋体" w:cs="Times New Roman"/>
                <w:color w:val="auto"/>
                <w:sz w:val="24"/>
                <w:szCs w:val="24"/>
                <w:u w:val="none" w:color="auto"/>
                <w:lang w:val="en-US" w:eastAsia="zh-CN"/>
              </w:rPr>
              <w:t>”（以下简称“本项目”）。本项目建成后新增产能为：年产</w:t>
            </w:r>
            <w:r>
              <w:rPr>
                <w:rFonts w:hint="eastAsia" w:cs="Times New Roman"/>
                <w:color w:val="auto"/>
                <w:sz w:val="24"/>
                <w:szCs w:val="24"/>
                <w:u w:val="none" w:color="auto"/>
                <w:lang w:val="en-US" w:eastAsia="zh-CN"/>
              </w:rPr>
              <w:t>2</w:t>
            </w:r>
            <w:r>
              <w:rPr>
                <w:rFonts w:hint="eastAsia" w:ascii="Times New Roman" w:hAnsi="Times New Roman" w:eastAsia="宋体" w:cs="Times New Roman"/>
                <w:color w:val="auto"/>
                <w:sz w:val="24"/>
                <w:szCs w:val="24"/>
                <w:u w:val="none" w:color="auto"/>
                <w:lang w:val="en-US" w:eastAsia="zh-CN"/>
              </w:rPr>
              <w:t>000台水冷散热器、年产2000t钢结构。</w:t>
            </w:r>
          </w:p>
          <w:p w14:paraId="751242B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left"/>
              <w:outlineLvl w:val="9"/>
              <w:rPr>
                <w:rFonts w:hint="default" w:ascii="Times New Roman" w:hAnsi="Times New Roman" w:eastAsia="宋体" w:cs="Times New Roman"/>
                <w:color w:val="auto"/>
                <w:spacing w:val="0"/>
                <w:kern w:val="0"/>
                <w:position w:val="0"/>
                <w:sz w:val="24"/>
                <w:szCs w:val="24"/>
                <w:u w:val="none" w:color="auto"/>
              </w:rPr>
            </w:pPr>
            <w:r>
              <w:rPr>
                <w:rFonts w:hint="default" w:ascii="Times New Roman" w:hAnsi="Times New Roman" w:eastAsia="宋体" w:cs="Times New Roman"/>
                <w:color w:val="auto"/>
                <w:spacing w:val="0"/>
                <w:kern w:val="0"/>
                <w:position w:val="0"/>
                <w:sz w:val="24"/>
                <w:szCs w:val="24"/>
                <w:u w:val="none" w:color="auto"/>
              </w:rPr>
              <w:t>根据《中华人民共和国环境保护法》、《中华人民共和国环境影响评价法》、《建设项目环境保护管理条例》中华人民共和国国务院第253号令的有关规定，《建设项目环境影响评价分类管理名录》（2021本），项目属于</w:t>
            </w:r>
            <w:r>
              <w:rPr>
                <w:rFonts w:hint="default" w:ascii="Times New Roman" w:hAnsi="Times New Roman" w:cs="Times New Roman"/>
                <w:color w:val="auto"/>
                <w:spacing w:val="0"/>
                <w:kern w:val="0"/>
                <w:position w:val="0"/>
                <w:sz w:val="24"/>
                <w:szCs w:val="24"/>
                <w:u w:val="none" w:color="auto"/>
                <w:lang w:eastAsia="zh-CN"/>
              </w:rPr>
              <w:t>“</w:t>
            </w:r>
            <w:r>
              <w:rPr>
                <w:rFonts w:hint="default" w:ascii="Times New Roman" w:hAnsi="Times New Roman" w:cs="Times New Roman"/>
                <w:color w:val="000000"/>
                <w:sz w:val="24"/>
                <w:szCs w:val="32"/>
                <w:lang w:val="en-US" w:eastAsia="zh-CN"/>
              </w:rPr>
              <w:t>三十</w:t>
            </w:r>
            <w:r>
              <w:rPr>
                <w:rFonts w:hint="default" w:ascii="Times New Roman" w:hAnsi="Times New Roman" w:cs="Times New Roman"/>
                <w:color w:val="000000"/>
                <w:sz w:val="24"/>
                <w:szCs w:val="32"/>
              </w:rPr>
              <w:t>、</w:t>
            </w:r>
            <w:r>
              <w:rPr>
                <w:rFonts w:hint="default" w:ascii="Times New Roman" w:hAnsi="Times New Roman" w:cs="Times New Roman"/>
                <w:color w:val="000000"/>
                <w:sz w:val="24"/>
                <w:szCs w:val="32"/>
                <w:lang w:val="en-US" w:eastAsia="zh-CN"/>
              </w:rPr>
              <w:t>金属制造业</w:t>
            </w:r>
            <w:r>
              <w:rPr>
                <w:rFonts w:hint="eastAsia" w:cs="Times New Roman"/>
                <w:color w:val="auto"/>
                <w:spacing w:val="0"/>
                <w:position w:val="0"/>
                <w:sz w:val="24"/>
                <w:szCs w:val="24"/>
                <w:u w:val="none" w:color="auto"/>
                <w:lang w:val="en-US" w:eastAsia="zh-CN"/>
              </w:rPr>
              <w:t>3</w:t>
            </w:r>
            <w:r>
              <w:rPr>
                <w:rFonts w:hint="default" w:ascii="Times New Roman" w:hAnsi="Times New Roman" w:eastAsia="宋体" w:cs="Times New Roman"/>
                <w:color w:val="auto"/>
                <w:spacing w:val="0"/>
                <w:position w:val="0"/>
                <w:sz w:val="24"/>
                <w:szCs w:val="24"/>
                <w:u w:val="none" w:color="auto"/>
              </w:rPr>
              <w:t>3</w:t>
            </w:r>
            <w:r>
              <w:rPr>
                <w:rFonts w:hint="eastAsia" w:cs="Times New Roman"/>
                <w:color w:val="auto"/>
                <w:spacing w:val="0"/>
                <w:position w:val="0"/>
                <w:sz w:val="24"/>
                <w:szCs w:val="24"/>
                <w:u w:val="none" w:color="auto"/>
                <w:lang w:val="en-US" w:eastAsia="zh-CN"/>
              </w:rPr>
              <w:t>-66</w:t>
            </w:r>
            <w:r>
              <w:rPr>
                <w:rFonts w:hint="eastAsia" w:cs="Times New Roman"/>
                <w:color w:val="auto"/>
                <w:spacing w:val="0"/>
                <w:position w:val="0"/>
                <w:sz w:val="24"/>
                <w:szCs w:val="24"/>
                <w:u w:val="none" w:color="auto"/>
                <w:lang w:eastAsia="zh-CN"/>
              </w:rPr>
              <w:t>结构性金属制品制造</w:t>
            </w:r>
            <w:r>
              <w:rPr>
                <w:rFonts w:hint="eastAsia" w:cs="Times New Roman"/>
                <w:color w:val="auto"/>
                <w:spacing w:val="0"/>
                <w:position w:val="0"/>
                <w:sz w:val="24"/>
                <w:szCs w:val="24"/>
                <w:u w:val="none" w:color="auto"/>
                <w:lang w:val="en-US" w:eastAsia="zh-CN"/>
              </w:rPr>
              <w:t>331”以及“三十一、通用设备制造业34-69烘炉、风机、包装等设备制造346”中“其他</w:t>
            </w:r>
            <w:r>
              <w:rPr>
                <w:rFonts w:hint="default" w:ascii="Times New Roman" w:hAnsi="Times New Roman" w:cs="Times New Roman"/>
                <w:color w:val="auto"/>
                <w:spacing w:val="0"/>
                <w:kern w:val="0"/>
                <w:position w:val="0"/>
                <w:sz w:val="24"/>
                <w:szCs w:val="24"/>
                <w:u w:val="none" w:color="auto"/>
                <w:lang w:eastAsia="zh-CN"/>
              </w:rPr>
              <w:t>”</w:t>
            </w:r>
            <w:r>
              <w:rPr>
                <w:rFonts w:hint="default" w:ascii="Times New Roman" w:hAnsi="Times New Roman" w:eastAsia="宋体" w:cs="Times New Roman"/>
                <w:color w:val="auto"/>
                <w:spacing w:val="0"/>
                <w:kern w:val="0"/>
                <w:position w:val="0"/>
                <w:sz w:val="24"/>
                <w:szCs w:val="24"/>
                <w:u w:val="none" w:color="auto"/>
              </w:rPr>
              <w:t>，应编制环境影响评价报告表。</w:t>
            </w:r>
            <w:r>
              <w:rPr>
                <w:rFonts w:hint="default" w:ascii="Times New Roman" w:hAnsi="Times New Roman" w:eastAsia="宋体" w:cs="Times New Roman"/>
                <w:b w:val="0"/>
                <w:bCs w:val="0"/>
                <w:color w:val="000000"/>
                <w:kern w:val="0"/>
                <w:sz w:val="24"/>
                <w:szCs w:val="24"/>
                <w:lang w:val="en-US" w:eastAsia="zh-CN"/>
              </w:rPr>
              <w:t>评价单位接受委托后，组织技术人员对项目进行了现场调查、资料收集与整理等工作，</w:t>
            </w:r>
            <w:r>
              <w:rPr>
                <w:rFonts w:hint="default" w:ascii="Times New Roman" w:hAnsi="Times New Roman" w:eastAsia="宋体" w:cs="Times New Roman"/>
                <w:color w:val="auto"/>
                <w:spacing w:val="0"/>
                <w:kern w:val="0"/>
                <w:position w:val="0"/>
                <w:sz w:val="24"/>
                <w:szCs w:val="24"/>
                <w:u w:val="none" w:color="auto"/>
              </w:rPr>
              <w:t>并在此基础上依据国家法律法规和建设项目环境影响评价的相关规定和导则、标准，编制完成了本</w:t>
            </w:r>
            <w:r>
              <w:rPr>
                <w:rFonts w:hint="eastAsia" w:cs="Times New Roman"/>
                <w:color w:val="auto"/>
                <w:spacing w:val="0"/>
                <w:kern w:val="0"/>
                <w:position w:val="0"/>
                <w:sz w:val="24"/>
                <w:szCs w:val="24"/>
                <w:u w:val="none" w:color="auto"/>
                <w:lang w:eastAsia="zh-CN"/>
              </w:rPr>
              <w:t>项目</w:t>
            </w:r>
            <w:r>
              <w:rPr>
                <w:rFonts w:hint="default" w:ascii="Times New Roman" w:hAnsi="Times New Roman" w:eastAsia="宋体" w:cs="Times New Roman"/>
                <w:color w:val="auto"/>
                <w:spacing w:val="0"/>
                <w:kern w:val="0"/>
                <w:position w:val="0"/>
                <w:sz w:val="24"/>
                <w:szCs w:val="24"/>
                <w:u w:val="none" w:color="auto"/>
              </w:rPr>
              <w:t>环境影响报告表。</w:t>
            </w:r>
          </w:p>
          <w:p w14:paraId="658F1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default" w:ascii="Times New Roman" w:hAnsi="Times New Roman" w:eastAsia="宋体" w:cs="Times New Roman"/>
                <w:b/>
                <w:bCs/>
                <w:color w:val="auto"/>
                <w:spacing w:val="0"/>
                <w:position w:val="0"/>
                <w:sz w:val="24"/>
                <w:szCs w:val="24"/>
                <w:u w:val="none" w:color="auto"/>
                <w:lang w:val="en-US" w:eastAsia="zh-CN"/>
              </w:rPr>
              <w:t>2、项目概况</w:t>
            </w:r>
          </w:p>
          <w:p w14:paraId="6722A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kern w:val="0"/>
                <w:position w:val="0"/>
                <w:sz w:val="24"/>
                <w:szCs w:val="24"/>
                <w:u w:val="none" w:color="auto"/>
              </w:rPr>
            </w:pPr>
            <w:r>
              <w:rPr>
                <w:rFonts w:hint="default" w:ascii="Times New Roman" w:hAnsi="Times New Roman" w:eastAsia="宋体" w:cs="Times New Roman"/>
                <w:color w:val="auto"/>
                <w:spacing w:val="0"/>
                <w:kern w:val="0"/>
                <w:position w:val="0"/>
                <w:sz w:val="24"/>
                <w:szCs w:val="24"/>
                <w:u w:val="none" w:color="auto"/>
              </w:rPr>
              <w:t>项目名称：</w:t>
            </w:r>
            <w:r>
              <w:rPr>
                <w:rFonts w:hint="eastAsia" w:cs="Times New Roman"/>
                <w:color w:val="auto"/>
                <w:spacing w:val="0"/>
                <w:kern w:val="0"/>
                <w:position w:val="0"/>
                <w:sz w:val="24"/>
                <w:szCs w:val="24"/>
                <w:u w:val="none" w:color="auto"/>
                <w:lang w:eastAsia="zh-CN"/>
              </w:rPr>
              <w:t>湖南众联设备智能制造产业园扩建项目</w:t>
            </w:r>
            <w:r>
              <w:rPr>
                <w:rFonts w:hint="default" w:ascii="Times New Roman" w:hAnsi="Times New Roman" w:eastAsia="宋体" w:cs="Times New Roman"/>
                <w:color w:val="auto"/>
                <w:spacing w:val="0"/>
                <w:position w:val="0"/>
                <w:sz w:val="24"/>
                <w:szCs w:val="24"/>
                <w:u w:val="none" w:color="auto"/>
                <w:lang w:val="en-US" w:eastAsia="zh-CN"/>
              </w:rPr>
              <w:t>；</w:t>
            </w:r>
          </w:p>
          <w:p w14:paraId="54126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kern w:val="0"/>
                <w:position w:val="0"/>
                <w:sz w:val="24"/>
                <w:szCs w:val="24"/>
                <w:u w:val="none" w:color="auto"/>
                <w:lang w:eastAsia="zh-CN"/>
              </w:rPr>
            </w:pPr>
            <w:r>
              <w:rPr>
                <w:rFonts w:hint="default" w:ascii="Times New Roman" w:hAnsi="Times New Roman" w:eastAsia="宋体" w:cs="Times New Roman"/>
                <w:color w:val="auto"/>
                <w:spacing w:val="0"/>
                <w:kern w:val="0"/>
                <w:position w:val="0"/>
                <w:sz w:val="24"/>
                <w:szCs w:val="24"/>
                <w:u w:val="none" w:color="auto"/>
              </w:rPr>
              <w:t>建设单位：</w:t>
            </w:r>
            <w:r>
              <w:rPr>
                <w:rFonts w:hint="eastAsia" w:cs="Times New Roman"/>
                <w:color w:val="auto"/>
                <w:spacing w:val="0"/>
                <w:position w:val="0"/>
                <w:sz w:val="24"/>
                <w:szCs w:val="24"/>
                <w:u w:val="none" w:color="auto"/>
                <w:lang w:eastAsia="zh-CN"/>
              </w:rPr>
              <w:t>湖南众联智能机械设备制造有限公司</w:t>
            </w:r>
            <w:r>
              <w:rPr>
                <w:rFonts w:hint="default" w:ascii="Times New Roman" w:hAnsi="Times New Roman" w:eastAsia="宋体" w:cs="Times New Roman"/>
                <w:color w:val="auto"/>
                <w:spacing w:val="0"/>
                <w:kern w:val="0"/>
                <w:position w:val="0"/>
                <w:sz w:val="24"/>
                <w:szCs w:val="24"/>
                <w:u w:val="none" w:color="auto"/>
                <w:lang w:eastAsia="zh-CN"/>
              </w:rPr>
              <w:t>；</w:t>
            </w:r>
          </w:p>
          <w:p w14:paraId="45292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kern w:val="0"/>
                <w:position w:val="0"/>
                <w:sz w:val="24"/>
                <w:szCs w:val="24"/>
                <w:u w:val="none" w:color="auto"/>
                <w:lang w:eastAsia="zh-CN"/>
              </w:rPr>
            </w:pPr>
            <w:r>
              <w:rPr>
                <w:rFonts w:hint="default" w:ascii="Times New Roman" w:hAnsi="Times New Roman" w:eastAsia="宋体" w:cs="Times New Roman"/>
                <w:color w:val="auto"/>
                <w:spacing w:val="0"/>
                <w:kern w:val="0"/>
                <w:position w:val="0"/>
                <w:sz w:val="24"/>
                <w:szCs w:val="24"/>
                <w:u w:val="none" w:color="auto"/>
              </w:rPr>
              <w:t>建设地点：</w:t>
            </w:r>
            <w:r>
              <w:rPr>
                <w:rFonts w:hint="default" w:ascii="Times New Roman" w:hAnsi="Times New Roman" w:eastAsia="宋体" w:cs="Times New Roman"/>
                <w:b w:val="0"/>
                <w:bCs w:val="0"/>
                <w:color w:val="auto"/>
                <w:spacing w:val="0"/>
                <w:w w:val="100"/>
                <w:sz w:val="24"/>
                <w:szCs w:val="24"/>
                <w:u w:val="none" w:color="auto"/>
                <w:lang w:val="en-US" w:eastAsia="zh-CN"/>
              </w:rPr>
              <w:t>岳阳临港高新技术产业开发区</w:t>
            </w:r>
            <w:r>
              <w:rPr>
                <w:rFonts w:hint="eastAsia" w:ascii="Times New Roman" w:hAnsi="Times New Roman" w:eastAsia="宋体" w:cs="Times New Roman"/>
                <w:color w:val="auto"/>
                <w:sz w:val="24"/>
                <w:szCs w:val="24"/>
                <w:u w:val="none" w:color="auto"/>
                <w:lang w:val="en-US" w:eastAsia="zh-CN"/>
              </w:rPr>
              <w:t>（</w:t>
            </w:r>
            <w:r>
              <w:rPr>
                <w:rFonts w:hint="eastAsia" w:cs="Times New Roman"/>
                <w:color w:val="auto"/>
                <w:sz w:val="24"/>
                <w:szCs w:val="24"/>
                <w:u w:val="none"/>
                <w:lang w:eastAsia="zh-CN"/>
              </w:rPr>
              <w:t>东欣路与东风大道交汇处，敖家垄路北侧，</w:t>
            </w:r>
            <w:r>
              <w:rPr>
                <w:rFonts w:hint="eastAsia" w:ascii="Times New Roman" w:hAnsi="Times New Roman" w:eastAsia="宋体" w:cs="Times New Roman"/>
                <w:color w:val="auto"/>
                <w:sz w:val="24"/>
                <w:szCs w:val="24"/>
                <w:u w:val="none" w:color="auto"/>
                <w:lang w:val="en-US" w:eastAsia="zh-CN"/>
              </w:rPr>
              <w:t>6906临港北斗产业园以南）</w:t>
            </w:r>
            <w:r>
              <w:rPr>
                <w:rFonts w:hint="default" w:ascii="Times New Roman" w:hAnsi="Times New Roman" w:eastAsia="宋体" w:cs="Times New Roman"/>
                <w:color w:val="auto"/>
                <w:spacing w:val="0"/>
                <w:kern w:val="0"/>
                <w:position w:val="0"/>
                <w:sz w:val="24"/>
                <w:szCs w:val="24"/>
                <w:u w:val="none" w:color="auto"/>
                <w:lang w:eastAsia="zh-CN"/>
              </w:rPr>
              <w:t>；</w:t>
            </w:r>
          </w:p>
          <w:p w14:paraId="66C2A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kern w:val="0"/>
                <w:position w:val="0"/>
                <w:sz w:val="24"/>
                <w:szCs w:val="24"/>
                <w:u w:val="none" w:color="auto"/>
                <w:lang w:eastAsia="zh-CN"/>
              </w:rPr>
            </w:pPr>
            <w:r>
              <w:rPr>
                <w:rFonts w:hint="default" w:ascii="Times New Roman" w:hAnsi="Times New Roman" w:eastAsia="宋体" w:cs="Times New Roman"/>
                <w:color w:val="auto"/>
                <w:spacing w:val="0"/>
                <w:kern w:val="0"/>
                <w:position w:val="0"/>
                <w:sz w:val="24"/>
                <w:szCs w:val="24"/>
                <w:u w:val="none" w:color="auto"/>
              </w:rPr>
              <w:t>建设性质：</w:t>
            </w:r>
            <w:r>
              <w:rPr>
                <w:rFonts w:hint="default" w:ascii="Times New Roman" w:hAnsi="Times New Roman" w:eastAsia="宋体" w:cs="Times New Roman"/>
                <w:color w:val="auto"/>
                <w:spacing w:val="0"/>
                <w:kern w:val="0"/>
                <w:position w:val="0"/>
                <w:sz w:val="24"/>
                <w:szCs w:val="24"/>
                <w:u w:val="none" w:color="auto"/>
                <w:lang w:eastAsia="zh-CN"/>
              </w:rPr>
              <w:t>扩</w:t>
            </w:r>
            <w:r>
              <w:rPr>
                <w:rFonts w:hint="default" w:ascii="Times New Roman" w:hAnsi="Times New Roman" w:eastAsia="宋体" w:cs="Times New Roman"/>
                <w:color w:val="auto"/>
                <w:spacing w:val="0"/>
                <w:kern w:val="0"/>
                <w:position w:val="0"/>
                <w:sz w:val="24"/>
                <w:szCs w:val="24"/>
                <w:u w:val="none" w:color="auto"/>
              </w:rPr>
              <w:t>建</w:t>
            </w:r>
            <w:r>
              <w:rPr>
                <w:rFonts w:hint="default" w:ascii="Times New Roman" w:hAnsi="Times New Roman" w:eastAsia="宋体" w:cs="Times New Roman"/>
                <w:color w:val="auto"/>
                <w:spacing w:val="0"/>
                <w:kern w:val="0"/>
                <w:position w:val="0"/>
                <w:sz w:val="24"/>
                <w:szCs w:val="24"/>
                <w:u w:val="none" w:color="auto"/>
                <w:lang w:eastAsia="zh-CN"/>
              </w:rPr>
              <w:t>；</w:t>
            </w:r>
          </w:p>
          <w:p w14:paraId="1671D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kern w:val="0"/>
                <w:position w:val="0"/>
                <w:sz w:val="24"/>
                <w:szCs w:val="24"/>
                <w:u w:val="none" w:color="auto"/>
                <w:lang w:val="en-US" w:eastAsia="zh-CN"/>
              </w:rPr>
            </w:pPr>
            <w:r>
              <w:rPr>
                <w:rFonts w:hint="default" w:ascii="Times New Roman" w:hAnsi="Times New Roman" w:eastAsia="宋体" w:cs="Times New Roman"/>
                <w:color w:val="auto"/>
                <w:spacing w:val="0"/>
                <w:kern w:val="0"/>
                <w:position w:val="0"/>
                <w:sz w:val="24"/>
                <w:szCs w:val="24"/>
                <w:u w:val="none" w:color="auto"/>
              </w:rPr>
              <w:t>项目投资：</w:t>
            </w:r>
            <w:r>
              <w:rPr>
                <w:rFonts w:hint="default" w:ascii="Times New Roman" w:hAnsi="Times New Roman" w:eastAsia="宋体" w:cs="Times New Roman"/>
                <w:color w:val="auto"/>
                <w:spacing w:val="0"/>
                <w:position w:val="0"/>
                <w:sz w:val="24"/>
                <w:szCs w:val="24"/>
                <w:u w:val="none" w:color="auto"/>
                <w:lang w:eastAsia="zh-CN"/>
              </w:rPr>
              <w:t>总投资</w:t>
            </w:r>
            <w:r>
              <w:rPr>
                <w:rFonts w:hint="eastAsia" w:ascii="Times New Roman" w:hAnsi="Times New Roman" w:eastAsia="宋体" w:cs="Times New Roman"/>
                <w:color w:val="auto"/>
                <w:spacing w:val="0"/>
                <w:position w:val="0"/>
                <w:sz w:val="24"/>
                <w:szCs w:val="24"/>
                <w:u w:val="none" w:color="auto"/>
                <w:lang w:val="en-US" w:eastAsia="zh-CN"/>
              </w:rPr>
              <w:t>6</w:t>
            </w:r>
            <w:r>
              <w:rPr>
                <w:rFonts w:hint="default" w:ascii="Times New Roman" w:hAnsi="Times New Roman" w:eastAsia="宋体" w:cs="Times New Roman"/>
                <w:color w:val="auto"/>
                <w:spacing w:val="0"/>
                <w:position w:val="0"/>
                <w:sz w:val="24"/>
                <w:szCs w:val="24"/>
                <w:u w:val="none" w:color="auto"/>
                <w:lang w:val="en-US" w:eastAsia="zh-CN"/>
              </w:rPr>
              <w:t>00</w:t>
            </w:r>
            <w:r>
              <w:rPr>
                <w:rFonts w:hint="default" w:ascii="Times New Roman" w:hAnsi="Times New Roman" w:eastAsia="宋体" w:cs="Times New Roman"/>
                <w:color w:val="auto"/>
                <w:spacing w:val="0"/>
                <w:position w:val="0"/>
                <w:sz w:val="24"/>
                <w:szCs w:val="24"/>
                <w:u w:val="none" w:color="auto"/>
                <w:lang w:eastAsia="zh-CN"/>
              </w:rPr>
              <w:t>万元，其中环保投资约</w:t>
            </w:r>
            <w:r>
              <w:rPr>
                <w:rFonts w:hint="eastAsia" w:ascii="Times New Roman" w:hAnsi="Times New Roman" w:eastAsia="宋体" w:cs="Times New Roman"/>
                <w:color w:val="auto"/>
                <w:spacing w:val="0"/>
                <w:position w:val="0"/>
                <w:sz w:val="24"/>
                <w:szCs w:val="24"/>
                <w:u w:val="none" w:color="auto"/>
                <w:lang w:val="en-US" w:eastAsia="zh-CN"/>
              </w:rPr>
              <w:t>8</w:t>
            </w:r>
            <w:r>
              <w:rPr>
                <w:rFonts w:hint="default" w:ascii="Times New Roman" w:hAnsi="Times New Roman" w:eastAsia="宋体" w:cs="Times New Roman"/>
                <w:color w:val="auto"/>
                <w:spacing w:val="0"/>
                <w:position w:val="0"/>
                <w:sz w:val="24"/>
                <w:szCs w:val="24"/>
                <w:u w:val="none" w:color="auto"/>
                <w:lang w:val="en-US" w:eastAsia="zh-CN"/>
              </w:rPr>
              <w:t>万元；</w:t>
            </w:r>
          </w:p>
          <w:p w14:paraId="64FAC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kern w:val="0"/>
                <w:position w:val="0"/>
                <w:sz w:val="24"/>
                <w:szCs w:val="24"/>
                <w:highlight w:val="none"/>
                <w:u w:val="none" w:color="auto"/>
                <w:lang w:eastAsia="zh-CN"/>
              </w:rPr>
            </w:pPr>
            <w:r>
              <w:rPr>
                <w:rFonts w:hint="default" w:ascii="Times New Roman" w:hAnsi="Times New Roman" w:eastAsia="宋体" w:cs="Times New Roman"/>
                <w:color w:val="auto"/>
                <w:spacing w:val="0"/>
                <w:kern w:val="0"/>
                <w:position w:val="0"/>
                <w:sz w:val="24"/>
                <w:szCs w:val="24"/>
                <w:u w:val="none" w:color="auto"/>
              </w:rPr>
              <w:t>生产规模</w:t>
            </w:r>
            <w:r>
              <w:rPr>
                <w:rFonts w:hint="eastAsia" w:cs="Times New Roman"/>
                <w:color w:val="auto"/>
                <w:spacing w:val="0"/>
                <w:kern w:val="0"/>
                <w:position w:val="0"/>
                <w:sz w:val="24"/>
                <w:szCs w:val="24"/>
                <w:u w:val="none" w:color="auto"/>
                <w:lang w:eastAsia="zh-CN"/>
              </w:rPr>
              <w:t>：此次扩建新增产能</w:t>
            </w:r>
            <w:r>
              <w:rPr>
                <w:rFonts w:hint="eastAsia" w:cs="Times New Roman"/>
                <w:color w:val="auto"/>
                <w:spacing w:val="0"/>
                <w:position w:val="0"/>
                <w:sz w:val="24"/>
                <w:szCs w:val="24"/>
                <w:u w:val="none" w:color="auto"/>
                <w:lang w:eastAsia="zh-CN"/>
              </w:rPr>
              <w:t>年产</w:t>
            </w:r>
            <w:r>
              <w:rPr>
                <w:rFonts w:hint="eastAsia" w:cs="Times New Roman"/>
                <w:color w:val="auto"/>
                <w:spacing w:val="0"/>
                <w:position w:val="0"/>
                <w:sz w:val="24"/>
                <w:szCs w:val="24"/>
                <w:u w:val="none" w:color="auto"/>
                <w:lang w:val="en-US" w:eastAsia="zh-CN"/>
              </w:rPr>
              <w:t>2000台水冷散热器、年产2000t钢结构</w:t>
            </w:r>
            <w:r>
              <w:rPr>
                <w:rFonts w:hint="default" w:ascii="Times New Roman" w:hAnsi="Times New Roman" w:eastAsia="宋体" w:cs="Times New Roman"/>
                <w:color w:val="auto"/>
                <w:spacing w:val="0"/>
                <w:kern w:val="0"/>
                <w:position w:val="0"/>
                <w:sz w:val="24"/>
                <w:szCs w:val="24"/>
                <w:highlight w:val="none"/>
                <w:u w:val="none" w:color="auto"/>
                <w:lang w:eastAsia="zh-CN"/>
              </w:rPr>
              <w:t>；</w:t>
            </w:r>
          </w:p>
          <w:p w14:paraId="2899AD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kern w:val="0"/>
                <w:position w:val="0"/>
                <w:sz w:val="24"/>
                <w:szCs w:val="24"/>
                <w:u w:val="none" w:color="auto"/>
                <w:lang w:eastAsia="zh-CN"/>
              </w:rPr>
            </w:pPr>
            <w:r>
              <w:rPr>
                <w:rFonts w:hint="default" w:ascii="Times New Roman" w:hAnsi="Times New Roman" w:eastAsia="宋体" w:cs="Times New Roman"/>
                <w:color w:val="auto"/>
                <w:spacing w:val="0"/>
                <w:kern w:val="0"/>
                <w:position w:val="0"/>
                <w:sz w:val="24"/>
                <w:szCs w:val="24"/>
                <w:u w:val="none" w:color="auto"/>
                <w:lang w:eastAsia="zh-CN"/>
              </w:rPr>
              <w:t>劳动定员及工作制度：新增</w:t>
            </w:r>
            <w:r>
              <w:rPr>
                <w:rFonts w:hint="eastAsia" w:cs="Times New Roman"/>
                <w:color w:val="auto"/>
                <w:spacing w:val="0"/>
                <w:kern w:val="0"/>
                <w:position w:val="0"/>
                <w:sz w:val="24"/>
                <w:szCs w:val="24"/>
                <w:u w:val="none" w:color="auto"/>
                <w:lang w:val="en-US" w:eastAsia="zh-CN"/>
              </w:rPr>
              <w:t>10</w:t>
            </w:r>
            <w:r>
              <w:rPr>
                <w:rFonts w:hint="default" w:ascii="Times New Roman" w:hAnsi="Times New Roman" w:cs="Times New Roman"/>
                <w:color w:val="auto"/>
                <w:spacing w:val="0"/>
                <w:kern w:val="0"/>
                <w:position w:val="0"/>
                <w:sz w:val="24"/>
                <w:szCs w:val="24"/>
                <w:u w:val="none" w:color="auto"/>
                <w:lang w:val="en-US" w:eastAsia="zh-CN"/>
              </w:rPr>
              <w:t>人</w:t>
            </w:r>
            <w:r>
              <w:rPr>
                <w:rFonts w:hint="default" w:ascii="Times New Roman" w:hAnsi="Times New Roman" w:eastAsia="宋体" w:cs="Times New Roman"/>
                <w:color w:val="auto"/>
                <w:spacing w:val="0"/>
                <w:kern w:val="0"/>
                <w:position w:val="0"/>
                <w:sz w:val="24"/>
                <w:szCs w:val="24"/>
                <w:u w:val="none" w:color="auto"/>
                <w:lang w:val="en-US" w:eastAsia="zh-CN"/>
              </w:rPr>
              <w:t>，年工作</w:t>
            </w:r>
            <w:r>
              <w:rPr>
                <w:rFonts w:hint="eastAsia" w:cs="Times New Roman"/>
                <w:color w:val="auto"/>
                <w:spacing w:val="0"/>
                <w:kern w:val="0"/>
                <w:position w:val="0"/>
                <w:sz w:val="24"/>
                <w:szCs w:val="24"/>
                <w:u w:val="none" w:color="auto"/>
                <w:lang w:val="en-US" w:eastAsia="zh-CN"/>
              </w:rPr>
              <w:t>28</w:t>
            </w:r>
            <w:r>
              <w:rPr>
                <w:rFonts w:hint="default" w:ascii="Times New Roman" w:hAnsi="Times New Roman" w:eastAsia="宋体" w:cs="Times New Roman"/>
                <w:color w:val="auto"/>
                <w:spacing w:val="0"/>
                <w:kern w:val="0"/>
                <w:position w:val="0"/>
                <w:sz w:val="24"/>
                <w:szCs w:val="24"/>
                <w:u w:val="none" w:color="auto"/>
                <w:lang w:val="en-US" w:eastAsia="zh-CN"/>
              </w:rPr>
              <w:t>0d，采用</w:t>
            </w:r>
            <w:r>
              <w:rPr>
                <w:rFonts w:hint="eastAsia" w:cs="Times New Roman"/>
                <w:color w:val="auto"/>
                <w:spacing w:val="0"/>
                <w:kern w:val="0"/>
                <w:position w:val="0"/>
                <w:sz w:val="24"/>
                <w:szCs w:val="24"/>
                <w:u w:val="none" w:color="auto"/>
                <w:lang w:val="en-US" w:eastAsia="zh-CN"/>
              </w:rPr>
              <w:t>1</w:t>
            </w:r>
            <w:r>
              <w:rPr>
                <w:rFonts w:hint="default" w:ascii="Times New Roman" w:hAnsi="Times New Roman" w:eastAsia="宋体" w:cs="Times New Roman"/>
                <w:color w:val="auto"/>
                <w:spacing w:val="0"/>
                <w:kern w:val="0"/>
                <w:position w:val="0"/>
                <w:sz w:val="24"/>
                <w:szCs w:val="24"/>
                <w:u w:val="none" w:color="auto"/>
                <w:lang w:val="en-US" w:eastAsia="zh-CN"/>
              </w:rPr>
              <w:t>班制</w:t>
            </w:r>
            <w:r>
              <w:rPr>
                <w:rFonts w:hint="eastAsia" w:cs="Times New Roman"/>
                <w:color w:val="auto"/>
                <w:spacing w:val="0"/>
                <w:kern w:val="0"/>
                <w:position w:val="0"/>
                <w:sz w:val="24"/>
                <w:szCs w:val="24"/>
                <w:u w:val="none" w:color="auto"/>
                <w:lang w:val="en-US" w:eastAsia="zh-CN"/>
              </w:rPr>
              <w:t>，</w:t>
            </w:r>
            <w:r>
              <w:rPr>
                <w:rFonts w:hint="default" w:ascii="Times New Roman" w:hAnsi="Times New Roman" w:eastAsia="宋体" w:cs="Times New Roman"/>
                <w:color w:val="auto"/>
                <w:spacing w:val="0"/>
                <w:kern w:val="0"/>
                <w:position w:val="0"/>
                <w:sz w:val="24"/>
                <w:szCs w:val="24"/>
                <w:u w:val="none" w:color="auto"/>
                <w:lang w:val="en-US" w:eastAsia="zh-CN"/>
              </w:rPr>
              <w:t>每班工作8h</w:t>
            </w:r>
            <w:r>
              <w:rPr>
                <w:rFonts w:hint="eastAsia" w:cs="Times New Roman"/>
                <w:color w:val="auto"/>
                <w:spacing w:val="0"/>
                <w:kern w:val="0"/>
                <w:position w:val="0"/>
                <w:sz w:val="24"/>
                <w:szCs w:val="24"/>
                <w:u w:val="none" w:color="auto"/>
                <w:lang w:val="en-US" w:eastAsia="zh-CN"/>
              </w:rPr>
              <w:t>。</w:t>
            </w:r>
          </w:p>
          <w:p w14:paraId="1E952A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default" w:ascii="Times New Roman" w:hAnsi="Times New Roman" w:cs="Times New Roman"/>
                <w:b/>
                <w:bCs/>
                <w:color w:val="auto"/>
                <w:spacing w:val="0"/>
                <w:position w:val="0"/>
                <w:sz w:val="24"/>
                <w:szCs w:val="24"/>
                <w:u w:val="none" w:color="auto"/>
                <w:lang w:val="en-US" w:eastAsia="zh-CN"/>
              </w:rPr>
              <w:t>3</w:t>
            </w:r>
            <w:r>
              <w:rPr>
                <w:rFonts w:hint="default" w:ascii="Times New Roman" w:hAnsi="Times New Roman" w:eastAsia="宋体" w:cs="Times New Roman"/>
                <w:b/>
                <w:bCs/>
                <w:color w:val="auto"/>
                <w:spacing w:val="0"/>
                <w:position w:val="0"/>
                <w:sz w:val="24"/>
                <w:szCs w:val="24"/>
                <w:u w:val="none" w:color="auto"/>
                <w:lang w:val="en-US" w:eastAsia="zh-CN"/>
              </w:rPr>
              <w:t>、建设内容和规模</w:t>
            </w:r>
          </w:p>
          <w:p w14:paraId="3D50FA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position w:val="0"/>
                <w:sz w:val="24"/>
                <w:szCs w:val="24"/>
                <w:u w:val="none" w:color="auto"/>
                <w:lang w:eastAsia="zh-CN"/>
              </w:rPr>
            </w:pPr>
            <w:r>
              <w:rPr>
                <w:rFonts w:hint="default" w:ascii="Times New Roman" w:hAnsi="Times New Roman" w:eastAsia="宋体" w:cs="Times New Roman"/>
                <w:color w:val="auto"/>
                <w:spacing w:val="0"/>
                <w:position w:val="0"/>
                <w:sz w:val="24"/>
                <w:szCs w:val="24"/>
                <w:u w:val="none" w:color="auto"/>
                <w:lang w:val="en-US" w:eastAsia="zh-CN"/>
              </w:rPr>
              <w:t>本</w:t>
            </w:r>
            <w:r>
              <w:rPr>
                <w:rFonts w:hint="default" w:ascii="Times New Roman" w:hAnsi="Times New Roman" w:eastAsia="宋体" w:cs="Times New Roman"/>
                <w:color w:val="auto"/>
                <w:spacing w:val="0"/>
                <w:position w:val="0"/>
                <w:sz w:val="24"/>
                <w:szCs w:val="24"/>
                <w:u w:val="none" w:color="auto"/>
                <w:lang w:eastAsia="zh-CN"/>
              </w:rPr>
              <w:t>项目为扩建工程，</w:t>
            </w:r>
            <w:r>
              <w:rPr>
                <w:rFonts w:hint="eastAsia" w:cs="Times New Roman"/>
                <w:color w:val="auto"/>
                <w:spacing w:val="0"/>
                <w:position w:val="0"/>
                <w:sz w:val="24"/>
                <w:szCs w:val="24"/>
                <w:u w:val="none" w:color="auto"/>
                <w:lang w:eastAsia="zh-CN"/>
              </w:rPr>
              <w:t>通过调整生产</w:t>
            </w:r>
            <w:r>
              <w:rPr>
                <w:rFonts w:hint="eastAsia" w:ascii="Times New Roman" w:hAnsi="Times New Roman" w:eastAsia="宋体" w:cs="Times New Roman"/>
                <w:color w:val="auto"/>
                <w:spacing w:val="0"/>
                <w:position w:val="0"/>
                <w:sz w:val="24"/>
                <w:szCs w:val="24"/>
                <w:u w:val="none" w:color="auto"/>
                <w:lang w:eastAsia="zh-CN"/>
              </w:rPr>
              <w:t>厂房</w:t>
            </w:r>
            <w:r>
              <w:rPr>
                <w:rFonts w:hint="eastAsia" w:cs="Times New Roman"/>
                <w:color w:val="auto"/>
                <w:spacing w:val="0"/>
                <w:position w:val="0"/>
                <w:sz w:val="24"/>
                <w:szCs w:val="24"/>
                <w:u w:val="none" w:color="auto"/>
                <w:lang w:eastAsia="zh-CN"/>
              </w:rPr>
              <w:t>平面布局，在现有厂房内</w:t>
            </w:r>
            <w:r>
              <w:rPr>
                <w:rFonts w:hint="eastAsia" w:ascii="Times New Roman" w:hAnsi="Times New Roman" w:eastAsia="宋体" w:cs="Times New Roman"/>
                <w:color w:val="auto"/>
                <w:spacing w:val="0"/>
                <w:position w:val="0"/>
                <w:sz w:val="24"/>
                <w:szCs w:val="24"/>
                <w:u w:val="none" w:color="auto"/>
                <w:lang w:eastAsia="zh-CN"/>
              </w:rPr>
              <w:t>新建</w:t>
            </w:r>
            <w:r>
              <w:rPr>
                <w:rFonts w:hint="eastAsia" w:cs="Times New Roman"/>
                <w:color w:val="auto"/>
                <w:spacing w:val="0"/>
                <w:position w:val="0"/>
                <w:sz w:val="24"/>
                <w:szCs w:val="24"/>
                <w:u w:val="none" w:color="auto"/>
                <w:lang w:val="en-US" w:eastAsia="zh-CN"/>
              </w:rPr>
              <w:t>1</w:t>
            </w:r>
            <w:r>
              <w:rPr>
                <w:rFonts w:hint="default" w:ascii="Times New Roman" w:hAnsi="Times New Roman" w:eastAsia="宋体" w:cs="Times New Roman"/>
                <w:color w:val="auto"/>
                <w:spacing w:val="0"/>
                <w:position w:val="0"/>
                <w:sz w:val="24"/>
                <w:szCs w:val="24"/>
                <w:u w:val="none" w:color="auto"/>
                <w:lang w:val="en-US" w:eastAsia="zh-CN"/>
              </w:rPr>
              <w:t>条</w:t>
            </w:r>
            <w:r>
              <w:rPr>
                <w:rFonts w:hint="eastAsia" w:cs="Times New Roman"/>
                <w:color w:val="auto"/>
                <w:spacing w:val="0"/>
                <w:position w:val="0"/>
                <w:sz w:val="24"/>
                <w:szCs w:val="24"/>
                <w:u w:val="none" w:color="auto"/>
                <w:lang w:val="en-US" w:eastAsia="zh-CN"/>
              </w:rPr>
              <w:t>水冷散热器</w:t>
            </w:r>
            <w:r>
              <w:rPr>
                <w:rFonts w:hint="eastAsia" w:ascii="Times New Roman" w:hAnsi="Times New Roman" w:eastAsia="宋体" w:cs="Times New Roman"/>
                <w:color w:val="auto"/>
                <w:spacing w:val="0"/>
                <w:position w:val="0"/>
                <w:sz w:val="24"/>
                <w:szCs w:val="24"/>
                <w:u w:val="none" w:color="auto"/>
                <w:lang w:eastAsia="zh-CN"/>
              </w:rPr>
              <w:t>生产线、</w:t>
            </w:r>
            <w:r>
              <w:rPr>
                <w:rFonts w:hint="eastAsia" w:cs="Times New Roman"/>
                <w:color w:val="auto"/>
                <w:spacing w:val="0"/>
                <w:position w:val="0"/>
                <w:sz w:val="24"/>
                <w:szCs w:val="24"/>
                <w:u w:val="none" w:color="auto"/>
                <w:lang w:val="en-US" w:eastAsia="zh-CN"/>
              </w:rPr>
              <w:t>1</w:t>
            </w:r>
            <w:r>
              <w:rPr>
                <w:rFonts w:hint="eastAsia" w:ascii="Times New Roman" w:hAnsi="Times New Roman" w:eastAsia="宋体" w:cs="Times New Roman"/>
                <w:color w:val="auto"/>
                <w:spacing w:val="0"/>
                <w:position w:val="0"/>
                <w:sz w:val="24"/>
                <w:szCs w:val="24"/>
                <w:u w:val="none" w:color="auto"/>
                <w:lang w:val="en-US" w:eastAsia="zh-CN"/>
              </w:rPr>
              <w:t>条</w:t>
            </w:r>
            <w:r>
              <w:rPr>
                <w:rFonts w:hint="eastAsia" w:cs="Times New Roman"/>
                <w:color w:val="auto"/>
                <w:spacing w:val="0"/>
                <w:position w:val="0"/>
                <w:sz w:val="24"/>
                <w:szCs w:val="24"/>
                <w:u w:val="none" w:color="auto"/>
                <w:lang w:val="en-US" w:eastAsia="zh-CN"/>
              </w:rPr>
              <w:t>钢结构</w:t>
            </w:r>
            <w:r>
              <w:rPr>
                <w:rFonts w:hint="eastAsia" w:ascii="Times New Roman" w:hAnsi="Times New Roman" w:eastAsia="宋体" w:cs="Times New Roman"/>
                <w:color w:val="auto"/>
                <w:spacing w:val="0"/>
                <w:position w:val="0"/>
                <w:sz w:val="24"/>
                <w:szCs w:val="24"/>
                <w:u w:val="none" w:color="auto"/>
                <w:lang w:eastAsia="zh-CN"/>
              </w:rPr>
              <w:t>生产线</w:t>
            </w:r>
            <w:r>
              <w:rPr>
                <w:rFonts w:hint="eastAsia" w:cs="Times New Roman"/>
                <w:color w:val="auto"/>
                <w:spacing w:val="0"/>
                <w:position w:val="0"/>
                <w:sz w:val="24"/>
                <w:szCs w:val="24"/>
                <w:u w:val="none" w:color="auto"/>
                <w:lang w:eastAsia="zh-CN"/>
              </w:rPr>
              <w:t>。本项目依托现有厂房和部分生产设备，</w:t>
            </w:r>
            <w:r>
              <w:rPr>
                <w:rFonts w:hint="default" w:ascii="Times New Roman" w:hAnsi="Times New Roman" w:cs="Times New Roman"/>
                <w:color w:val="auto"/>
                <w:sz w:val="24"/>
                <w:szCs w:val="24"/>
                <w:highlight w:val="none"/>
                <w:u w:val="none" w:color="auto"/>
              </w:rPr>
              <w:t>无新增用地区域</w:t>
            </w:r>
            <w:r>
              <w:rPr>
                <w:rFonts w:hint="default" w:ascii="Times New Roman" w:hAnsi="Times New Roman" w:cs="Times New Roman"/>
                <w:color w:val="auto"/>
                <w:sz w:val="24"/>
                <w:szCs w:val="24"/>
                <w:highlight w:val="none"/>
                <w:u w:val="none" w:color="auto"/>
                <w:lang w:eastAsia="zh-CN"/>
              </w:rPr>
              <w:t>和新建建筑物</w:t>
            </w:r>
            <w:r>
              <w:rPr>
                <w:rFonts w:hint="eastAsia" w:cs="Times New Roman"/>
                <w:color w:val="auto"/>
                <w:sz w:val="24"/>
                <w:szCs w:val="24"/>
                <w:highlight w:val="none"/>
                <w:u w:val="none" w:color="auto"/>
                <w:lang w:eastAsia="zh-CN"/>
              </w:rPr>
              <w:t>。本项目</w:t>
            </w:r>
            <w:r>
              <w:rPr>
                <w:rFonts w:hint="eastAsia" w:ascii="Times New Roman" w:hAnsi="Times New Roman" w:eastAsia="宋体" w:cs="Times New Roman"/>
                <w:color w:val="auto"/>
                <w:spacing w:val="0"/>
                <w:position w:val="0"/>
                <w:sz w:val="24"/>
                <w:szCs w:val="24"/>
                <w:u w:val="none" w:color="auto"/>
                <w:lang w:eastAsia="zh-CN"/>
              </w:rPr>
              <w:t>辅助工程、储运工程、公用工程等，均依托现有项目</w:t>
            </w:r>
            <w:r>
              <w:rPr>
                <w:rFonts w:hint="eastAsia" w:cs="Times New Roman"/>
                <w:b w:val="0"/>
                <w:bCs/>
                <w:color w:val="auto"/>
                <w:spacing w:val="0"/>
                <w:position w:val="0"/>
                <w:sz w:val="24"/>
                <w:u w:val="none" w:color="auto"/>
                <w:lang w:val="en-US" w:eastAsia="zh-CN"/>
              </w:rPr>
              <w:t>。</w:t>
            </w:r>
            <w:r>
              <w:rPr>
                <w:rFonts w:hint="eastAsia" w:cs="Times New Roman"/>
                <w:color w:val="auto"/>
                <w:spacing w:val="0"/>
                <w:position w:val="0"/>
                <w:sz w:val="24"/>
                <w:szCs w:val="24"/>
                <w:u w:val="none" w:color="auto"/>
                <w:lang w:eastAsia="zh-CN"/>
              </w:rPr>
              <w:t>本</w:t>
            </w:r>
            <w:r>
              <w:rPr>
                <w:rFonts w:hint="default" w:ascii="Times New Roman" w:hAnsi="Times New Roman" w:eastAsia="宋体" w:cs="Times New Roman"/>
                <w:color w:val="auto"/>
                <w:spacing w:val="0"/>
                <w:position w:val="0"/>
                <w:sz w:val="24"/>
                <w:szCs w:val="24"/>
                <w:u w:val="none" w:color="auto"/>
                <w:lang w:eastAsia="zh-CN"/>
              </w:rPr>
              <w:t>项目具体</w:t>
            </w:r>
            <w:r>
              <w:rPr>
                <w:rFonts w:hint="eastAsia" w:cs="Times New Roman"/>
                <w:color w:val="auto"/>
                <w:spacing w:val="0"/>
                <w:position w:val="0"/>
                <w:sz w:val="24"/>
                <w:szCs w:val="24"/>
                <w:u w:val="none" w:color="auto"/>
                <w:lang w:eastAsia="zh-CN"/>
              </w:rPr>
              <w:t>建设</w:t>
            </w:r>
            <w:r>
              <w:rPr>
                <w:rFonts w:hint="default" w:ascii="Times New Roman" w:hAnsi="Times New Roman" w:eastAsia="宋体" w:cs="Times New Roman"/>
                <w:color w:val="auto"/>
                <w:spacing w:val="0"/>
                <w:position w:val="0"/>
                <w:sz w:val="24"/>
                <w:szCs w:val="24"/>
                <w:u w:val="none" w:color="auto"/>
                <w:lang w:eastAsia="zh-CN"/>
              </w:rPr>
              <w:t>情况</w:t>
            </w:r>
            <w:r>
              <w:rPr>
                <w:rFonts w:hint="default" w:ascii="Times New Roman" w:hAnsi="Times New Roman" w:cs="Times New Roman"/>
                <w:color w:val="auto"/>
                <w:spacing w:val="0"/>
                <w:position w:val="0"/>
                <w:sz w:val="24"/>
                <w:szCs w:val="24"/>
                <w:u w:val="none" w:color="auto"/>
                <w:lang w:eastAsia="zh-CN"/>
              </w:rPr>
              <w:t>详见表</w:t>
            </w:r>
            <w:r>
              <w:rPr>
                <w:rFonts w:hint="default" w:ascii="Times New Roman" w:hAnsi="Times New Roman" w:cs="Times New Roman"/>
                <w:color w:val="auto"/>
                <w:spacing w:val="0"/>
                <w:position w:val="0"/>
                <w:sz w:val="24"/>
                <w:szCs w:val="24"/>
                <w:u w:val="none" w:color="auto"/>
                <w:lang w:val="en-US" w:eastAsia="zh-CN"/>
              </w:rPr>
              <w:t>2-1</w:t>
            </w:r>
            <w:r>
              <w:rPr>
                <w:rFonts w:hint="eastAsia" w:cs="Times New Roman"/>
                <w:color w:val="auto"/>
                <w:spacing w:val="0"/>
                <w:position w:val="0"/>
                <w:sz w:val="24"/>
                <w:szCs w:val="24"/>
                <w:u w:val="none" w:color="auto"/>
                <w:lang w:val="en-US" w:eastAsia="zh-CN"/>
              </w:rPr>
              <w:t>：</w:t>
            </w:r>
          </w:p>
          <w:p w14:paraId="475F90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outlineLvl w:val="9"/>
              <w:rPr>
                <w:rFonts w:hint="default" w:ascii="Times New Roman" w:hAnsi="Times New Roman" w:eastAsia="宋体" w:cs="Times New Roman"/>
                <w:b/>
                <w:bCs w:val="0"/>
                <w:color w:val="auto"/>
                <w:spacing w:val="0"/>
                <w:position w:val="0"/>
                <w:sz w:val="24"/>
                <w:szCs w:val="24"/>
                <w:u w:val="none" w:color="auto"/>
                <w:lang w:eastAsia="zh-CN"/>
              </w:rPr>
            </w:pPr>
            <w:r>
              <w:rPr>
                <w:rFonts w:hint="default" w:ascii="Times New Roman" w:hAnsi="Times New Roman" w:eastAsia="宋体" w:cs="Times New Roman"/>
                <w:b/>
                <w:bCs w:val="0"/>
                <w:color w:val="auto"/>
                <w:spacing w:val="0"/>
                <w:position w:val="0"/>
                <w:sz w:val="24"/>
                <w:szCs w:val="24"/>
                <w:u w:val="none" w:color="auto"/>
                <w:lang w:eastAsia="zh-CN"/>
              </w:rPr>
              <w:t>表</w:t>
            </w:r>
            <w:r>
              <w:rPr>
                <w:rFonts w:hint="default" w:ascii="Times New Roman" w:hAnsi="Times New Roman" w:eastAsia="宋体" w:cs="Times New Roman"/>
                <w:b/>
                <w:bCs w:val="0"/>
                <w:color w:val="auto"/>
                <w:spacing w:val="0"/>
                <w:position w:val="0"/>
                <w:sz w:val="24"/>
                <w:szCs w:val="24"/>
                <w:u w:val="none" w:color="auto"/>
                <w:lang w:val="en-US" w:eastAsia="zh-CN"/>
              </w:rPr>
              <w:t>2</w:t>
            </w:r>
            <w:r>
              <w:rPr>
                <w:rFonts w:hint="default" w:ascii="Times New Roman" w:hAnsi="Times New Roman" w:eastAsia="宋体" w:cs="Times New Roman"/>
                <w:b/>
                <w:bCs w:val="0"/>
                <w:color w:val="auto"/>
                <w:spacing w:val="0"/>
                <w:position w:val="0"/>
                <w:sz w:val="24"/>
                <w:szCs w:val="24"/>
                <w:u w:val="none" w:color="auto"/>
                <w:lang w:eastAsia="zh-CN"/>
              </w:rPr>
              <w:t>-1  工程建设内容一览表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291"/>
              <w:gridCol w:w="5074"/>
              <w:gridCol w:w="1463"/>
            </w:tblGrid>
            <w:tr w14:paraId="2A96B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noWrap w:val="0"/>
                  <w:vAlign w:val="center"/>
                </w:tcPr>
                <w:p w14:paraId="7233D2D9">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pacing w:val="0"/>
                      <w:position w:val="0"/>
                      <w:sz w:val="21"/>
                      <w:szCs w:val="21"/>
                      <w:u w:val="none" w:color="auto"/>
                      <w:lang w:eastAsia="zh-CN"/>
                    </w:rPr>
                  </w:pPr>
                  <w:r>
                    <w:rPr>
                      <w:rFonts w:hint="default" w:ascii="Times New Roman" w:hAnsi="Times New Roman" w:eastAsia="宋体" w:cs="Times New Roman"/>
                      <w:b/>
                      <w:bCs/>
                      <w:color w:val="auto"/>
                      <w:spacing w:val="0"/>
                      <w:position w:val="0"/>
                      <w:sz w:val="21"/>
                      <w:szCs w:val="21"/>
                      <w:u w:val="none" w:color="auto"/>
                      <w:lang w:eastAsia="zh-CN"/>
                    </w:rPr>
                    <w:t>类别</w:t>
                  </w:r>
                </w:p>
              </w:tc>
              <w:tc>
                <w:tcPr>
                  <w:tcW w:w="750" w:type="pct"/>
                  <w:tcBorders>
                    <w:tl2br w:val="nil"/>
                    <w:tr2bl w:val="nil"/>
                  </w:tcBorders>
                  <w:noWrap w:val="0"/>
                  <w:vAlign w:val="center"/>
                </w:tcPr>
                <w:p w14:paraId="0ADABC4F">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pacing w:val="0"/>
                      <w:position w:val="0"/>
                      <w:sz w:val="21"/>
                      <w:szCs w:val="21"/>
                      <w:u w:val="none" w:color="auto"/>
                    </w:rPr>
                  </w:pPr>
                  <w:r>
                    <w:rPr>
                      <w:rFonts w:hint="default" w:ascii="Times New Roman" w:hAnsi="Times New Roman" w:eastAsia="宋体" w:cs="Times New Roman"/>
                      <w:b/>
                      <w:bCs/>
                      <w:color w:val="auto"/>
                      <w:spacing w:val="0"/>
                      <w:position w:val="0"/>
                      <w:sz w:val="21"/>
                      <w:szCs w:val="21"/>
                      <w:u w:val="none" w:color="auto"/>
                    </w:rPr>
                    <w:t>名称</w:t>
                  </w:r>
                </w:p>
              </w:tc>
              <w:tc>
                <w:tcPr>
                  <w:tcW w:w="2948" w:type="pct"/>
                  <w:tcBorders>
                    <w:tl2br w:val="nil"/>
                    <w:tr2bl w:val="nil"/>
                  </w:tcBorders>
                  <w:noWrap w:val="0"/>
                  <w:vAlign w:val="center"/>
                </w:tcPr>
                <w:p w14:paraId="6AB2A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pacing w:val="0"/>
                      <w:position w:val="0"/>
                      <w:sz w:val="21"/>
                      <w:szCs w:val="21"/>
                      <w:u w:val="none" w:color="auto"/>
                      <w:lang w:eastAsia="zh-CN"/>
                    </w:rPr>
                  </w:pPr>
                  <w:r>
                    <w:rPr>
                      <w:rFonts w:hint="default" w:ascii="Times New Roman" w:hAnsi="Times New Roman" w:eastAsia="宋体" w:cs="Times New Roman"/>
                      <w:b/>
                      <w:bCs/>
                      <w:color w:val="auto"/>
                      <w:spacing w:val="0"/>
                      <w:position w:val="0"/>
                      <w:sz w:val="21"/>
                      <w:szCs w:val="21"/>
                      <w:u w:val="none" w:color="auto"/>
                      <w:lang w:eastAsia="zh-CN"/>
                    </w:rPr>
                    <w:t>建设</w:t>
                  </w:r>
                  <w:r>
                    <w:rPr>
                      <w:rFonts w:hint="default" w:ascii="Times New Roman" w:hAnsi="Times New Roman" w:eastAsia="宋体" w:cs="Times New Roman"/>
                      <w:b/>
                      <w:bCs/>
                      <w:color w:val="auto"/>
                      <w:spacing w:val="0"/>
                      <w:position w:val="0"/>
                      <w:sz w:val="21"/>
                      <w:szCs w:val="21"/>
                      <w:u w:val="none" w:color="auto"/>
                    </w:rPr>
                    <w:t>内容及规模</w:t>
                  </w:r>
                </w:p>
              </w:tc>
              <w:tc>
                <w:tcPr>
                  <w:tcW w:w="850" w:type="pct"/>
                  <w:tcBorders>
                    <w:tl2br w:val="nil"/>
                    <w:tr2bl w:val="nil"/>
                  </w:tcBorders>
                  <w:noWrap w:val="0"/>
                  <w:vAlign w:val="center"/>
                </w:tcPr>
                <w:p w14:paraId="2A95D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pacing w:val="0"/>
                      <w:position w:val="0"/>
                      <w:sz w:val="21"/>
                      <w:szCs w:val="21"/>
                      <w:u w:val="none" w:color="auto"/>
                      <w:lang w:eastAsia="zh-CN"/>
                    </w:rPr>
                  </w:pPr>
                  <w:r>
                    <w:rPr>
                      <w:rFonts w:hint="default" w:ascii="Times New Roman" w:hAnsi="Times New Roman" w:eastAsia="宋体" w:cs="Times New Roman"/>
                      <w:b/>
                      <w:bCs/>
                      <w:color w:val="auto"/>
                      <w:spacing w:val="0"/>
                      <w:position w:val="0"/>
                      <w:sz w:val="21"/>
                      <w:szCs w:val="21"/>
                      <w:u w:val="none" w:color="auto"/>
                      <w:lang w:eastAsia="zh-CN"/>
                    </w:rPr>
                    <w:t>备注</w:t>
                  </w:r>
                </w:p>
              </w:tc>
            </w:tr>
            <w:tr w14:paraId="66DF7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restart"/>
                  <w:tcBorders>
                    <w:tl2br w:val="nil"/>
                    <w:tr2bl w:val="nil"/>
                  </w:tcBorders>
                  <w:noWrap w:val="0"/>
                  <w:vAlign w:val="center"/>
                </w:tcPr>
                <w:p w14:paraId="7E171E34">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主体工程</w:t>
                  </w:r>
                </w:p>
              </w:tc>
              <w:tc>
                <w:tcPr>
                  <w:tcW w:w="750" w:type="pct"/>
                  <w:tcBorders>
                    <w:tl2br w:val="nil"/>
                    <w:tr2bl w:val="nil"/>
                  </w:tcBorders>
                  <w:noWrap w:val="0"/>
                  <w:vAlign w:val="center"/>
                </w:tcPr>
                <w:p w14:paraId="77217949">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hAnsi="Times New Roman" w:cs="Times New Roman"/>
                      <w:color w:val="auto"/>
                      <w:spacing w:val="0"/>
                      <w:position w:val="0"/>
                      <w:sz w:val="21"/>
                      <w:szCs w:val="21"/>
                      <w:u w:val="none" w:color="auto"/>
                      <w:lang w:val="en-US" w:eastAsia="zh-CN"/>
                    </w:rPr>
                  </w:pPr>
                  <w:r>
                    <w:rPr>
                      <w:rFonts w:hint="eastAsia" w:cs="Times New Roman"/>
                      <w:b w:val="0"/>
                      <w:bCs w:val="0"/>
                      <w:color w:val="auto"/>
                      <w:sz w:val="21"/>
                      <w:szCs w:val="21"/>
                      <w:highlight w:val="none"/>
                      <w:u w:val="none"/>
                      <w:vertAlign w:val="baseline"/>
                      <w:lang w:val="en-US" w:eastAsia="zh-CN"/>
                    </w:rPr>
                    <w:t>散热器制造区</w:t>
                  </w:r>
                </w:p>
              </w:tc>
              <w:tc>
                <w:tcPr>
                  <w:tcW w:w="2948" w:type="pct"/>
                  <w:tcBorders>
                    <w:tl2br w:val="nil"/>
                    <w:tr2bl w:val="nil"/>
                  </w:tcBorders>
                  <w:noWrap w:val="0"/>
                  <w:vAlign w:val="center"/>
                </w:tcPr>
                <w:p w14:paraId="43E9C8D0">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rPr>
                  </w:pPr>
                  <w:r>
                    <w:rPr>
                      <w:rFonts w:hint="eastAsia" w:cs="Times New Roman"/>
                      <w:b w:val="0"/>
                      <w:bCs w:val="0"/>
                      <w:color w:val="auto"/>
                      <w:sz w:val="21"/>
                      <w:szCs w:val="21"/>
                      <w:highlight w:val="none"/>
                      <w:u w:val="none"/>
                      <w:vertAlign w:val="baseline"/>
                      <w:lang w:val="en-US" w:eastAsia="zh-CN"/>
                    </w:rPr>
                    <w:t>位于现有生产厂房东南侧，用于水冷散热器生产。建筑面积约1600m</w:t>
                  </w:r>
                  <w:r>
                    <w:rPr>
                      <w:rFonts w:hint="eastAsia" w:cs="Times New Roman"/>
                      <w:b w:val="0"/>
                      <w:bCs w:val="0"/>
                      <w:color w:val="auto"/>
                      <w:sz w:val="21"/>
                      <w:szCs w:val="21"/>
                      <w:highlight w:val="none"/>
                      <w:u w:val="none"/>
                      <w:vertAlign w:val="superscript"/>
                      <w:lang w:val="en-US" w:eastAsia="zh-CN"/>
                    </w:rPr>
                    <w:t>2</w:t>
                  </w:r>
                  <w:r>
                    <w:rPr>
                      <w:rFonts w:hint="eastAsia" w:cs="Times New Roman"/>
                      <w:b w:val="0"/>
                      <w:bCs w:val="0"/>
                      <w:color w:val="auto"/>
                      <w:sz w:val="21"/>
                      <w:szCs w:val="21"/>
                      <w:highlight w:val="none"/>
                      <w:u w:val="none"/>
                      <w:vertAlign w:val="baseline"/>
                      <w:lang w:val="en-US" w:eastAsia="zh-CN"/>
                    </w:rPr>
                    <w:t>，主要包括激光切割机下料区、翅片加工区、折弯冲孔区、组装区等，主要布置激光切割机、</w:t>
                  </w:r>
                  <w:r>
                    <w:rPr>
                      <w:rFonts w:hint="eastAsia" w:ascii="Times New Roman" w:hAnsi="Times New Roman" w:eastAsia="宋体" w:cs="Times New Roman"/>
                      <w:i w:val="0"/>
                      <w:iCs w:val="0"/>
                      <w:color w:val="auto"/>
                      <w:kern w:val="0"/>
                      <w:sz w:val="21"/>
                      <w:szCs w:val="21"/>
                      <w:u w:val="none"/>
                      <w:lang w:val="en-US" w:eastAsia="zh-CN" w:bidi="ar"/>
                    </w:rPr>
                    <w:t>校直切断机、手动长U弯管机、胀管机、翅片冲床、机械冲床、钻床、联合冲剪机、智能氩弧焊、双丝激光焊机等。</w:t>
                  </w:r>
                </w:p>
              </w:tc>
              <w:tc>
                <w:tcPr>
                  <w:tcW w:w="850" w:type="pct"/>
                  <w:tcBorders>
                    <w:tl2br w:val="nil"/>
                    <w:tr2bl w:val="nil"/>
                  </w:tcBorders>
                  <w:noWrap w:val="0"/>
                  <w:vAlign w:val="center"/>
                </w:tcPr>
                <w:p w14:paraId="6BF99605">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hAnsi="Times New Roman" w:cs="Times New Roman"/>
                      <w:color w:val="auto"/>
                      <w:spacing w:val="0"/>
                      <w:position w:val="0"/>
                      <w:sz w:val="21"/>
                      <w:szCs w:val="21"/>
                      <w:u w:val="none" w:color="auto"/>
                      <w:lang w:val="en-US" w:eastAsia="zh-CN"/>
                    </w:rPr>
                    <w:t>厂房已建，部分设备依托现有工程</w:t>
                  </w:r>
                </w:p>
              </w:tc>
            </w:tr>
            <w:tr w14:paraId="58285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6F7463F8">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66C84EAE">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pacing w:val="0"/>
                      <w:position w:val="0"/>
                      <w:sz w:val="21"/>
                      <w:szCs w:val="21"/>
                      <w:u w:val="none" w:color="auto"/>
                      <w:lang w:val="en-US" w:eastAsia="zh-CN"/>
                    </w:rPr>
                  </w:pPr>
                  <w:r>
                    <w:rPr>
                      <w:rFonts w:hint="eastAsia" w:ascii="Times New Roman" w:hAnsi="Times New Roman" w:cs="Times New Roman"/>
                      <w:i w:val="0"/>
                      <w:iCs w:val="0"/>
                      <w:color w:val="auto"/>
                      <w:kern w:val="0"/>
                      <w:sz w:val="21"/>
                      <w:szCs w:val="21"/>
                      <w:u w:val="none"/>
                      <w:lang w:val="en-US" w:eastAsia="zh-CN" w:bidi="ar"/>
                    </w:rPr>
                    <w:t>智能</w:t>
                  </w:r>
                  <w:r>
                    <w:rPr>
                      <w:rFonts w:hint="eastAsia" w:ascii="Times New Roman" w:hAnsi="Times New Roman" w:eastAsia="宋体" w:cs="Times New Roman"/>
                      <w:i w:val="0"/>
                      <w:iCs w:val="0"/>
                      <w:color w:val="auto"/>
                      <w:kern w:val="0"/>
                      <w:sz w:val="21"/>
                      <w:szCs w:val="21"/>
                      <w:u w:val="none"/>
                      <w:lang w:val="en-US" w:eastAsia="zh-CN" w:bidi="ar"/>
                    </w:rPr>
                    <w:t>制造区</w:t>
                  </w:r>
                </w:p>
              </w:tc>
              <w:tc>
                <w:tcPr>
                  <w:tcW w:w="2948" w:type="pct"/>
                  <w:tcBorders>
                    <w:tl2br w:val="nil"/>
                    <w:tr2bl w:val="nil"/>
                  </w:tcBorders>
                  <w:noWrap w:val="0"/>
                  <w:vAlign w:val="center"/>
                </w:tcPr>
                <w:p w14:paraId="6FB216D8">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r>
                    <w:rPr>
                      <w:rFonts w:hint="eastAsia" w:ascii="Times New Roman" w:hAnsi="Times New Roman" w:eastAsia="宋体" w:cs="Times New Roman"/>
                      <w:i w:val="0"/>
                      <w:iCs w:val="0"/>
                      <w:color w:val="auto"/>
                      <w:kern w:val="0"/>
                      <w:sz w:val="21"/>
                      <w:szCs w:val="21"/>
                      <w:u w:val="none"/>
                      <w:lang w:val="en-US" w:eastAsia="zh-CN" w:bidi="ar"/>
                    </w:rPr>
                    <w:t>位于</w:t>
                  </w:r>
                  <w:r>
                    <w:rPr>
                      <w:rFonts w:hint="eastAsia" w:ascii="Times New Roman" w:hAnsi="Times New Roman" w:cs="Times New Roman"/>
                      <w:i w:val="0"/>
                      <w:iCs w:val="0"/>
                      <w:color w:val="auto"/>
                      <w:kern w:val="0"/>
                      <w:sz w:val="21"/>
                      <w:szCs w:val="21"/>
                      <w:u w:val="none"/>
                      <w:lang w:val="en-US" w:eastAsia="zh-CN" w:bidi="ar"/>
                    </w:rPr>
                    <w:t>现有</w:t>
                  </w:r>
                  <w:r>
                    <w:rPr>
                      <w:rFonts w:hint="eastAsia" w:ascii="Times New Roman" w:hAnsi="Times New Roman" w:eastAsia="宋体" w:cs="Times New Roman"/>
                      <w:i w:val="0"/>
                      <w:iCs w:val="0"/>
                      <w:color w:val="auto"/>
                      <w:kern w:val="0"/>
                      <w:sz w:val="21"/>
                      <w:szCs w:val="21"/>
                      <w:u w:val="none"/>
                      <w:lang w:val="en-US" w:eastAsia="zh-CN" w:bidi="ar"/>
                    </w:rPr>
                    <w:t>生产厂房西</w:t>
                  </w:r>
                  <w:r>
                    <w:rPr>
                      <w:rFonts w:hint="eastAsia" w:hAnsi="Times New Roman"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南侧</w:t>
                  </w:r>
                  <w:r>
                    <w:rPr>
                      <w:rFonts w:hint="eastAsia" w:ascii="Times New Roman" w:hAnsi="Times New Roman" w:cs="Times New Roman"/>
                      <w:i w:val="0"/>
                      <w:iCs w:val="0"/>
                      <w:color w:val="auto"/>
                      <w:kern w:val="0"/>
                      <w:sz w:val="21"/>
                      <w:szCs w:val="21"/>
                      <w:u w:val="none"/>
                      <w:lang w:val="en-US" w:eastAsia="zh-CN" w:bidi="ar"/>
                    </w:rPr>
                    <w:t>，主要用于钢结构和压力容器生产。</w:t>
                  </w:r>
                  <w:r>
                    <w:rPr>
                      <w:rFonts w:hint="eastAsia" w:cs="Times New Roman"/>
                      <w:b w:val="0"/>
                      <w:bCs w:val="0"/>
                      <w:color w:val="auto"/>
                      <w:sz w:val="21"/>
                      <w:szCs w:val="21"/>
                      <w:highlight w:val="none"/>
                      <w:u w:val="none"/>
                      <w:vertAlign w:val="baseline"/>
                      <w:lang w:val="en-US" w:eastAsia="zh-CN"/>
                    </w:rPr>
                    <w:t>建筑面积约3510m</w:t>
                  </w:r>
                  <w:r>
                    <w:rPr>
                      <w:rFonts w:hint="eastAsia" w:cs="Times New Roman"/>
                      <w:b w:val="0"/>
                      <w:bCs w:val="0"/>
                      <w:color w:val="auto"/>
                      <w:sz w:val="21"/>
                      <w:szCs w:val="21"/>
                      <w:highlight w:val="none"/>
                      <w:u w:val="none"/>
                      <w:vertAlign w:val="superscript"/>
                      <w:lang w:val="en-US" w:eastAsia="zh-CN"/>
                    </w:rPr>
                    <w:t>2</w:t>
                  </w:r>
                  <w:r>
                    <w:rPr>
                      <w:rFonts w:hint="eastAsia" w:cs="Times New Roman"/>
                      <w:b w:val="0"/>
                      <w:bCs w:val="0"/>
                      <w:color w:val="auto"/>
                      <w:sz w:val="21"/>
                      <w:szCs w:val="21"/>
                      <w:highlight w:val="none"/>
                      <w:u w:val="none"/>
                      <w:vertAlign w:val="baseline"/>
                      <w:lang w:val="en-US" w:eastAsia="zh-CN"/>
                    </w:rPr>
                    <w:t>，主要包括抛丸区、组装区、油漆房等，主要布置抛丸机、卷板机、气体保护焊机、组装平台、喷漆房、轨道平板车等。</w:t>
                  </w:r>
                </w:p>
              </w:tc>
              <w:tc>
                <w:tcPr>
                  <w:tcW w:w="850" w:type="pct"/>
                  <w:tcBorders>
                    <w:tl2br w:val="nil"/>
                    <w:tr2bl w:val="nil"/>
                  </w:tcBorders>
                  <w:noWrap w:val="0"/>
                  <w:vAlign w:val="center"/>
                </w:tcPr>
                <w:p w14:paraId="2961B5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hAnsi="Times New Roman" w:cs="Times New Roman"/>
                      <w:color w:val="auto"/>
                      <w:spacing w:val="0"/>
                      <w:position w:val="0"/>
                      <w:sz w:val="21"/>
                      <w:szCs w:val="21"/>
                      <w:u w:val="none" w:color="auto"/>
                      <w:lang w:val="en-US" w:eastAsia="zh-CN"/>
                    </w:rPr>
                    <w:t>厂房已建，部分设备依托现有工程</w:t>
                  </w:r>
                </w:p>
              </w:tc>
            </w:tr>
            <w:tr w14:paraId="5B19B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restart"/>
                  <w:tcBorders>
                    <w:tl2br w:val="nil"/>
                    <w:tr2bl w:val="nil"/>
                  </w:tcBorders>
                  <w:noWrap w:val="0"/>
                  <w:vAlign w:val="center"/>
                </w:tcPr>
                <w:p w14:paraId="5629F90D">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储运工程</w:t>
                  </w:r>
                </w:p>
              </w:tc>
              <w:tc>
                <w:tcPr>
                  <w:tcW w:w="750" w:type="pct"/>
                  <w:tcBorders>
                    <w:tl2br w:val="nil"/>
                    <w:tr2bl w:val="nil"/>
                  </w:tcBorders>
                  <w:shd w:val="clear" w:color="auto" w:fill="auto"/>
                  <w:noWrap w:val="0"/>
                  <w:vAlign w:val="center"/>
                </w:tcPr>
                <w:p w14:paraId="23DD34C3">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kern w:val="2"/>
                      <w:position w:val="0"/>
                      <w:sz w:val="21"/>
                      <w:szCs w:val="21"/>
                      <w:u w:val="none" w:color="auto"/>
                      <w:lang w:val="en-US" w:eastAsia="zh-CN" w:bidi="ar-SA"/>
                    </w:rPr>
                  </w:pPr>
                  <w:r>
                    <w:rPr>
                      <w:rFonts w:hint="eastAsia"/>
                      <w:color w:val="auto"/>
                      <w:u w:val="none"/>
                      <w:lang w:val="en-US" w:eastAsia="zh-CN"/>
                    </w:rPr>
                    <w:t>大件原料堆放区</w:t>
                  </w:r>
                </w:p>
              </w:tc>
              <w:tc>
                <w:tcPr>
                  <w:tcW w:w="2948" w:type="pct"/>
                  <w:tcBorders>
                    <w:tl2br w:val="nil"/>
                    <w:tr2bl w:val="nil"/>
                  </w:tcBorders>
                  <w:shd w:val="clear" w:color="auto" w:fill="auto"/>
                  <w:noWrap w:val="0"/>
                  <w:vAlign w:val="center"/>
                </w:tcPr>
                <w:p w14:paraId="189B9AD5">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kern w:val="2"/>
                      <w:position w:val="0"/>
                      <w:sz w:val="21"/>
                      <w:szCs w:val="21"/>
                      <w:u w:val="none" w:color="auto"/>
                      <w:lang w:val="en-US" w:eastAsia="zh-CN" w:bidi="ar-SA"/>
                    </w:rPr>
                  </w:pPr>
                  <w:r>
                    <w:rPr>
                      <w:rFonts w:hint="eastAsia"/>
                      <w:color w:val="auto"/>
                      <w:sz w:val="21"/>
                      <w:szCs w:val="21"/>
                      <w:u w:val="none"/>
                      <w:lang w:val="en-US" w:eastAsia="zh-CN"/>
                    </w:rPr>
                    <w:t>位于生产厂房北侧，建筑面积约为200m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，主要用于存放大件管材、型材</w:t>
                  </w:r>
                </w:p>
              </w:tc>
              <w:tc>
                <w:tcPr>
                  <w:tcW w:w="850" w:type="pct"/>
                  <w:tcBorders>
                    <w:tl2br w:val="nil"/>
                    <w:tr2bl w:val="nil"/>
                  </w:tcBorders>
                  <w:noWrap w:val="0"/>
                  <w:vAlign w:val="center"/>
                </w:tcPr>
                <w:p w14:paraId="6960EC05">
                  <w:pPr>
                    <w:pStyle w:val="33"/>
                    <w:keepNext w:val="0"/>
                    <w:keepLines w:val="0"/>
                    <w:suppressLineNumbers w:val="0"/>
                    <w:spacing w:before="0" w:beforeAutospacing="0" w:after="0" w:afterAutospacing="0" w:line="240" w:lineRule="auto"/>
                    <w:ind w:left="0" w:leftChars="0" w:right="0" w:firstLine="0" w:firstLineChars="0"/>
                    <w:jc w:val="center"/>
                    <w:rPr>
                      <w:rFonts w:hint="default"/>
                      <w:lang w:val="en-US" w:eastAsia="zh-CN"/>
                    </w:rPr>
                  </w:pPr>
                  <w:r>
                    <w:rPr>
                      <w:rFonts w:hint="eastAsia"/>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68DB2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1608E74A">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2FD9E037">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position w:val="0"/>
                      <w:sz w:val="21"/>
                      <w:szCs w:val="21"/>
                      <w:u w:val="none" w:color="auto"/>
                      <w:lang w:eastAsia="zh-CN"/>
                    </w:rPr>
                  </w:pPr>
                  <w:r>
                    <w:rPr>
                      <w:rFonts w:hint="eastAsia" w:cs="Times New Roman"/>
                      <w:color w:val="auto"/>
                      <w:spacing w:val="0"/>
                      <w:position w:val="0"/>
                      <w:sz w:val="21"/>
                      <w:szCs w:val="21"/>
                      <w:u w:val="none" w:color="auto"/>
                      <w:lang w:eastAsia="zh-CN"/>
                    </w:rPr>
                    <w:t>板材库</w:t>
                  </w:r>
                </w:p>
              </w:tc>
              <w:tc>
                <w:tcPr>
                  <w:tcW w:w="2948" w:type="pct"/>
                  <w:tcBorders>
                    <w:tl2br w:val="nil"/>
                    <w:tr2bl w:val="nil"/>
                  </w:tcBorders>
                  <w:noWrap w:val="0"/>
                  <w:vAlign w:val="center"/>
                </w:tcPr>
                <w:p w14:paraId="33D09642">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position w:val="0"/>
                      <w:sz w:val="21"/>
                      <w:szCs w:val="21"/>
                      <w:u w:val="none" w:color="auto"/>
                      <w:lang w:val="en-US" w:eastAsia="zh-CN"/>
                    </w:rPr>
                  </w:pPr>
                  <w:r>
                    <w:rPr>
                      <w:rFonts w:hint="eastAsia"/>
                      <w:color w:val="auto"/>
                      <w:sz w:val="21"/>
                      <w:szCs w:val="21"/>
                      <w:u w:val="none"/>
                      <w:lang w:val="en-US" w:eastAsia="zh-CN"/>
                    </w:rPr>
                    <w:t>位于生产厂房东侧，建筑面积约为20m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，主要用于存放小件板材</w:t>
                  </w:r>
                </w:p>
              </w:tc>
              <w:tc>
                <w:tcPr>
                  <w:tcW w:w="850" w:type="pct"/>
                  <w:tcBorders>
                    <w:tl2br w:val="nil"/>
                    <w:tr2bl w:val="nil"/>
                  </w:tcBorders>
                  <w:noWrap w:val="0"/>
                  <w:vAlign w:val="center"/>
                </w:tcPr>
                <w:p w14:paraId="64A6B3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新建</w:t>
                  </w:r>
                </w:p>
              </w:tc>
            </w:tr>
            <w:tr w14:paraId="1E361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0C3FEFBD">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091070C5">
                  <w:pPr>
                    <w:keepNext w:val="0"/>
                    <w:keepLines w:val="0"/>
                    <w:suppressLineNumbers w:val="0"/>
                    <w:adjustRightInd w:val="0"/>
                    <w:snapToGrid w:val="0"/>
                    <w:spacing w:before="0" w:beforeAutospacing="0" w:after="0" w:afterAutospacing="0"/>
                    <w:ind w:left="0" w:right="0"/>
                    <w:jc w:val="center"/>
                    <w:outlineLvl w:val="1"/>
                    <w:rPr>
                      <w:rFonts w:hint="eastAsia" w:cs="Times New Roman"/>
                      <w:color w:val="auto"/>
                      <w:spacing w:val="0"/>
                      <w:position w:val="0"/>
                      <w:sz w:val="21"/>
                      <w:szCs w:val="21"/>
                      <w:u w:val="none" w:color="auto"/>
                      <w:lang w:eastAsia="zh-CN"/>
                    </w:rPr>
                  </w:pPr>
                  <w:r>
                    <w:rPr>
                      <w:rFonts w:hint="eastAsia" w:cs="Times New Roman"/>
                      <w:color w:val="auto"/>
                      <w:spacing w:val="0"/>
                      <w:position w:val="0"/>
                      <w:sz w:val="21"/>
                      <w:szCs w:val="21"/>
                      <w:u w:val="none" w:color="auto"/>
                      <w:lang w:eastAsia="zh-CN"/>
                    </w:rPr>
                    <w:t>型材库</w:t>
                  </w:r>
                </w:p>
              </w:tc>
              <w:tc>
                <w:tcPr>
                  <w:tcW w:w="2948" w:type="pct"/>
                  <w:tcBorders>
                    <w:tl2br w:val="nil"/>
                    <w:tr2bl w:val="nil"/>
                  </w:tcBorders>
                  <w:noWrap w:val="0"/>
                  <w:vAlign w:val="center"/>
                </w:tcPr>
                <w:p w14:paraId="2BF50E88">
                  <w:pPr>
                    <w:keepNext w:val="0"/>
                    <w:keepLines w:val="0"/>
                    <w:suppressLineNumbers w:val="0"/>
                    <w:adjustRightInd w:val="0"/>
                    <w:snapToGrid w:val="0"/>
                    <w:spacing w:before="0" w:beforeAutospacing="0" w:after="0" w:afterAutospacing="0"/>
                    <w:ind w:left="0" w:right="0"/>
                    <w:jc w:val="center"/>
                    <w:outlineLvl w:val="1"/>
                    <w:rPr>
                      <w:rFonts w:hint="eastAsia"/>
                      <w:color w:val="auto"/>
                      <w:sz w:val="21"/>
                      <w:szCs w:val="21"/>
                      <w:u w:val="none"/>
                      <w:lang w:val="en-US" w:eastAsia="zh-CN"/>
                    </w:rPr>
                  </w:pPr>
                  <w:r>
                    <w:rPr>
                      <w:rFonts w:hint="eastAsia"/>
                      <w:color w:val="auto"/>
                      <w:sz w:val="21"/>
                      <w:szCs w:val="21"/>
                      <w:u w:val="none"/>
                      <w:lang w:val="en-US" w:eastAsia="zh-CN"/>
                    </w:rPr>
                    <w:t>位于生产厂房东侧，建筑面积约为20m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，主要用于存放小件型材</w:t>
                  </w:r>
                </w:p>
              </w:tc>
              <w:tc>
                <w:tcPr>
                  <w:tcW w:w="850" w:type="pct"/>
                  <w:tcBorders>
                    <w:tl2br w:val="nil"/>
                    <w:tr2bl w:val="nil"/>
                  </w:tcBorders>
                  <w:noWrap w:val="0"/>
                  <w:vAlign w:val="center"/>
                </w:tcPr>
                <w:p w14:paraId="56522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新建</w:t>
                  </w:r>
                </w:p>
              </w:tc>
            </w:tr>
            <w:tr w14:paraId="05268B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3B416533">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282C6E81">
                  <w:pPr>
                    <w:keepNext w:val="0"/>
                    <w:keepLines w:val="0"/>
                    <w:suppressLineNumbers w:val="0"/>
                    <w:adjustRightInd w:val="0"/>
                    <w:snapToGrid w:val="0"/>
                    <w:spacing w:before="0" w:beforeAutospacing="0" w:after="0" w:afterAutospacing="0"/>
                    <w:ind w:left="0" w:right="0"/>
                    <w:jc w:val="center"/>
                    <w:outlineLvl w:val="1"/>
                    <w:rPr>
                      <w:rFonts w:hint="eastAsia" w:cs="Times New Roman"/>
                      <w:color w:val="auto"/>
                      <w:spacing w:val="0"/>
                      <w:position w:val="0"/>
                      <w:sz w:val="21"/>
                      <w:szCs w:val="21"/>
                      <w:u w:val="none" w:color="auto"/>
                      <w:lang w:eastAsia="zh-CN"/>
                    </w:rPr>
                  </w:pPr>
                  <w:r>
                    <w:rPr>
                      <w:rFonts w:hint="eastAsia" w:cs="Times New Roman"/>
                      <w:color w:val="auto"/>
                      <w:spacing w:val="0"/>
                      <w:position w:val="0"/>
                      <w:sz w:val="21"/>
                      <w:szCs w:val="21"/>
                      <w:u w:val="none" w:color="auto"/>
                      <w:lang w:eastAsia="zh-CN"/>
                    </w:rPr>
                    <w:t>管材库</w:t>
                  </w:r>
                </w:p>
              </w:tc>
              <w:tc>
                <w:tcPr>
                  <w:tcW w:w="2948" w:type="pct"/>
                  <w:tcBorders>
                    <w:tl2br w:val="nil"/>
                    <w:tr2bl w:val="nil"/>
                  </w:tcBorders>
                  <w:noWrap w:val="0"/>
                  <w:vAlign w:val="center"/>
                </w:tcPr>
                <w:p w14:paraId="2A80757B">
                  <w:pPr>
                    <w:keepNext w:val="0"/>
                    <w:keepLines w:val="0"/>
                    <w:suppressLineNumbers w:val="0"/>
                    <w:adjustRightInd w:val="0"/>
                    <w:snapToGrid w:val="0"/>
                    <w:spacing w:before="0" w:beforeAutospacing="0" w:after="0" w:afterAutospacing="0"/>
                    <w:ind w:left="0" w:right="0"/>
                    <w:jc w:val="center"/>
                    <w:outlineLvl w:val="1"/>
                    <w:rPr>
                      <w:rFonts w:hint="eastAsia"/>
                      <w:color w:val="auto"/>
                      <w:sz w:val="21"/>
                      <w:szCs w:val="21"/>
                      <w:u w:val="none"/>
                      <w:lang w:val="en-US" w:eastAsia="zh-CN"/>
                    </w:rPr>
                  </w:pPr>
                  <w:r>
                    <w:rPr>
                      <w:rFonts w:hint="eastAsia"/>
                      <w:color w:val="auto"/>
                      <w:sz w:val="21"/>
                      <w:szCs w:val="21"/>
                      <w:u w:val="none"/>
                      <w:lang w:val="en-US" w:eastAsia="zh-CN"/>
                    </w:rPr>
                    <w:t>位于生产厂房东北侧，建筑面积约为18m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，主要用于存放小件管材</w:t>
                  </w:r>
                </w:p>
              </w:tc>
              <w:tc>
                <w:tcPr>
                  <w:tcW w:w="850" w:type="pct"/>
                  <w:tcBorders>
                    <w:tl2br w:val="nil"/>
                    <w:tr2bl w:val="nil"/>
                  </w:tcBorders>
                  <w:noWrap w:val="0"/>
                  <w:vAlign w:val="center"/>
                </w:tcPr>
                <w:p w14:paraId="412A6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新建</w:t>
                  </w:r>
                </w:p>
              </w:tc>
            </w:tr>
            <w:tr w14:paraId="7C26A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0CC44605">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6C658F0E">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position w:val="0"/>
                      <w:sz w:val="21"/>
                      <w:szCs w:val="21"/>
                      <w:u w:val="none" w:color="auto"/>
                      <w:lang w:eastAsia="zh-CN"/>
                    </w:rPr>
                  </w:pPr>
                  <w:r>
                    <w:rPr>
                      <w:rFonts w:hint="eastAsia"/>
                      <w:color w:val="auto"/>
                      <w:u w:val="none"/>
                      <w:lang w:val="en-US" w:eastAsia="zh-CN"/>
                    </w:rPr>
                    <w:t>配件库</w:t>
                  </w:r>
                </w:p>
              </w:tc>
              <w:tc>
                <w:tcPr>
                  <w:tcW w:w="2948" w:type="pct"/>
                  <w:tcBorders>
                    <w:tl2br w:val="nil"/>
                    <w:tr2bl w:val="nil"/>
                  </w:tcBorders>
                  <w:noWrap w:val="0"/>
                  <w:vAlign w:val="center"/>
                </w:tcPr>
                <w:p w14:paraId="680A0B10">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position w:val="0"/>
                      <w:sz w:val="21"/>
                      <w:szCs w:val="21"/>
                      <w:u w:val="none" w:color="auto"/>
                    </w:rPr>
                  </w:pPr>
                  <w:r>
                    <w:rPr>
                      <w:rFonts w:hint="eastAsia"/>
                      <w:color w:val="auto"/>
                      <w:sz w:val="21"/>
                      <w:szCs w:val="21"/>
                      <w:u w:val="none"/>
                      <w:vertAlign w:val="baseline"/>
                      <w:lang w:val="en-US" w:eastAsia="zh-CN"/>
                    </w:rPr>
                    <w:t>位于</w:t>
                  </w:r>
                  <w:r>
                    <w:rPr>
                      <w:rFonts w:hint="eastAsia"/>
                      <w:color w:val="auto"/>
                      <w:sz w:val="21"/>
                      <w:szCs w:val="21"/>
                      <w:u w:val="none"/>
                      <w:lang w:val="en-US" w:eastAsia="zh-CN"/>
                    </w:rPr>
                    <w:t>生产厂房东北侧</w:t>
                  </w:r>
                  <w:r>
                    <w:rPr>
                      <w:rFonts w:hint="eastAsia"/>
                      <w:color w:val="auto"/>
                      <w:sz w:val="21"/>
                      <w:szCs w:val="21"/>
                      <w:u w:val="none"/>
                      <w:vertAlign w:val="baseline"/>
                      <w:lang w:val="en-US" w:eastAsia="zh-CN"/>
                    </w:rPr>
                    <w:t>，</w:t>
                  </w:r>
                  <w:r>
                    <w:rPr>
                      <w:rFonts w:hint="eastAsia"/>
                      <w:color w:val="auto"/>
                      <w:sz w:val="21"/>
                      <w:szCs w:val="21"/>
                      <w:u w:val="none"/>
                      <w:lang w:val="en-US" w:eastAsia="zh-CN"/>
                    </w:rPr>
                    <w:t>面积约为22m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，主要用于存放配件</w:t>
                  </w:r>
                </w:p>
              </w:tc>
              <w:tc>
                <w:tcPr>
                  <w:tcW w:w="850" w:type="pct"/>
                  <w:tcBorders>
                    <w:tl2br w:val="nil"/>
                    <w:tr2bl w:val="nil"/>
                  </w:tcBorders>
                  <w:noWrap w:val="0"/>
                  <w:vAlign w:val="center"/>
                </w:tcPr>
                <w:p w14:paraId="4C772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77400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3AE17133">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3E0095A0">
                  <w:pPr>
                    <w:keepNext w:val="0"/>
                    <w:keepLines w:val="0"/>
                    <w:suppressLineNumbers w:val="0"/>
                    <w:adjustRightInd w:val="0"/>
                    <w:snapToGrid w:val="0"/>
                    <w:spacing w:before="0" w:beforeAutospacing="0" w:after="0" w:afterAutospacing="0"/>
                    <w:ind w:left="0" w:right="0"/>
                    <w:jc w:val="center"/>
                    <w:outlineLvl w:val="1"/>
                    <w:rPr>
                      <w:rFonts w:hint="eastAsia"/>
                      <w:color w:val="auto"/>
                      <w:u w:val="none"/>
                      <w:lang w:val="en-US" w:eastAsia="zh-CN"/>
                    </w:rPr>
                  </w:pPr>
                  <w:r>
                    <w:rPr>
                      <w:rFonts w:hint="eastAsia"/>
                      <w:color w:val="auto"/>
                      <w:u w:val="none"/>
                      <w:lang w:val="en-US" w:eastAsia="zh-CN"/>
                    </w:rPr>
                    <w:t>工具库</w:t>
                  </w:r>
                </w:p>
              </w:tc>
              <w:tc>
                <w:tcPr>
                  <w:tcW w:w="2948" w:type="pct"/>
                  <w:tcBorders>
                    <w:tl2br w:val="nil"/>
                    <w:tr2bl w:val="nil"/>
                  </w:tcBorders>
                  <w:noWrap w:val="0"/>
                  <w:vAlign w:val="center"/>
                </w:tcPr>
                <w:p w14:paraId="0F1396ED">
                  <w:pPr>
                    <w:keepNext w:val="0"/>
                    <w:keepLines w:val="0"/>
                    <w:suppressLineNumbers w:val="0"/>
                    <w:adjustRightInd w:val="0"/>
                    <w:snapToGrid w:val="0"/>
                    <w:spacing w:before="0" w:beforeAutospacing="0" w:after="0" w:afterAutospacing="0"/>
                    <w:ind w:left="0" w:right="0"/>
                    <w:jc w:val="center"/>
                    <w:outlineLvl w:val="1"/>
                    <w:rPr>
                      <w:rFonts w:hint="eastAsia"/>
                      <w:color w:val="auto"/>
                      <w:sz w:val="21"/>
                      <w:szCs w:val="21"/>
                      <w:u w:val="none"/>
                      <w:vertAlign w:val="baseline"/>
                      <w:lang w:val="en-US" w:eastAsia="zh-CN"/>
                    </w:rPr>
                  </w:pPr>
                  <w:r>
                    <w:rPr>
                      <w:rFonts w:hint="eastAsia"/>
                      <w:color w:val="auto"/>
                      <w:sz w:val="21"/>
                      <w:szCs w:val="21"/>
                      <w:u w:val="none"/>
                      <w:vertAlign w:val="baseline"/>
                      <w:lang w:val="en-US" w:eastAsia="zh-CN"/>
                    </w:rPr>
                    <w:t>位于</w:t>
                  </w:r>
                  <w:r>
                    <w:rPr>
                      <w:rFonts w:hint="eastAsia"/>
                      <w:color w:val="auto"/>
                      <w:sz w:val="21"/>
                      <w:szCs w:val="21"/>
                      <w:u w:val="none"/>
                      <w:lang w:val="en-US" w:eastAsia="zh-CN"/>
                    </w:rPr>
                    <w:t>生产厂房东北侧</w:t>
                  </w:r>
                  <w:r>
                    <w:rPr>
                      <w:rFonts w:hint="eastAsia"/>
                      <w:color w:val="auto"/>
                      <w:sz w:val="21"/>
                      <w:szCs w:val="21"/>
                      <w:u w:val="none"/>
                      <w:vertAlign w:val="baseline"/>
                      <w:lang w:val="en-US" w:eastAsia="zh-CN"/>
                    </w:rPr>
                    <w:t>，</w:t>
                  </w:r>
                  <w:r>
                    <w:rPr>
                      <w:rFonts w:hint="eastAsia"/>
                      <w:color w:val="auto"/>
                      <w:sz w:val="21"/>
                      <w:szCs w:val="21"/>
                      <w:u w:val="none"/>
                      <w:lang w:val="en-US" w:eastAsia="zh-CN"/>
                    </w:rPr>
                    <w:t>面积约为22m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，主要用于存放小型工具</w:t>
                  </w:r>
                </w:p>
              </w:tc>
              <w:tc>
                <w:tcPr>
                  <w:tcW w:w="850" w:type="pct"/>
                  <w:tcBorders>
                    <w:tl2br w:val="nil"/>
                    <w:tr2bl w:val="nil"/>
                  </w:tcBorders>
                  <w:noWrap w:val="0"/>
                  <w:vAlign w:val="center"/>
                </w:tcPr>
                <w:p w14:paraId="2A408B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新建</w:t>
                  </w:r>
                </w:p>
              </w:tc>
            </w:tr>
            <w:tr w14:paraId="425B6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2B577443">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64CA9FC8">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position w:val="0"/>
                      <w:sz w:val="21"/>
                      <w:szCs w:val="21"/>
                      <w:u w:val="none" w:color="auto"/>
                      <w:lang w:eastAsia="zh-CN"/>
                    </w:rPr>
                  </w:pPr>
                  <w:r>
                    <w:rPr>
                      <w:rFonts w:hint="eastAsia"/>
                      <w:color w:val="auto"/>
                      <w:u w:val="none"/>
                      <w:lang w:val="en-US" w:eastAsia="zh-CN"/>
                    </w:rPr>
                    <w:t>焊材库</w:t>
                  </w:r>
                </w:p>
              </w:tc>
              <w:tc>
                <w:tcPr>
                  <w:tcW w:w="2948" w:type="pct"/>
                  <w:tcBorders>
                    <w:tl2br w:val="nil"/>
                    <w:tr2bl w:val="nil"/>
                  </w:tcBorders>
                  <w:noWrap w:val="0"/>
                  <w:vAlign w:val="center"/>
                </w:tcPr>
                <w:p w14:paraId="420B8115">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position w:val="0"/>
                      <w:sz w:val="21"/>
                      <w:szCs w:val="21"/>
                      <w:u w:val="none" w:color="auto"/>
                    </w:rPr>
                  </w:pPr>
                  <w:r>
                    <w:rPr>
                      <w:rFonts w:hint="eastAsia"/>
                      <w:color w:val="auto"/>
                      <w:sz w:val="21"/>
                      <w:szCs w:val="21"/>
                      <w:u w:val="none"/>
                      <w:vertAlign w:val="baseline"/>
                      <w:lang w:val="en-US" w:eastAsia="zh-CN"/>
                    </w:rPr>
                    <w:t>位于</w:t>
                  </w:r>
                  <w:r>
                    <w:rPr>
                      <w:rFonts w:hint="eastAsia"/>
                      <w:color w:val="auto"/>
                      <w:sz w:val="21"/>
                      <w:szCs w:val="21"/>
                      <w:u w:val="none"/>
                      <w:lang w:val="en-US" w:eastAsia="zh-CN"/>
                    </w:rPr>
                    <w:t>生产厂房东北侧</w:t>
                  </w:r>
                  <w:r>
                    <w:rPr>
                      <w:rFonts w:hint="eastAsia"/>
                      <w:color w:val="auto"/>
                      <w:sz w:val="21"/>
                      <w:szCs w:val="21"/>
                      <w:u w:val="none"/>
                      <w:vertAlign w:val="baseline"/>
                      <w:lang w:val="en-US" w:eastAsia="zh-CN"/>
                    </w:rPr>
                    <w:t>，</w:t>
                  </w:r>
                  <w:r>
                    <w:rPr>
                      <w:rFonts w:hint="eastAsia"/>
                      <w:color w:val="auto"/>
                      <w:sz w:val="21"/>
                      <w:szCs w:val="21"/>
                      <w:u w:val="none"/>
                      <w:lang w:val="en-US" w:eastAsia="zh-CN"/>
                    </w:rPr>
                    <w:t>面积约为36m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，主要用于存放焊条、焊丝、焊剂等</w:t>
                  </w:r>
                </w:p>
              </w:tc>
              <w:tc>
                <w:tcPr>
                  <w:tcW w:w="850" w:type="pct"/>
                  <w:tcBorders>
                    <w:tl2br w:val="nil"/>
                    <w:tr2bl w:val="nil"/>
                  </w:tcBorders>
                  <w:noWrap w:val="0"/>
                  <w:vAlign w:val="center"/>
                </w:tcPr>
                <w:p w14:paraId="60D207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5939D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6EB9365D">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6AB9814A">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position w:val="0"/>
                      <w:sz w:val="21"/>
                      <w:szCs w:val="21"/>
                      <w:u w:val="none" w:color="auto"/>
                      <w:lang w:eastAsia="zh-CN"/>
                    </w:rPr>
                  </w:pPr>
                  <w:r>
                    <w:rPr>
                      <w:rFonts w:hint="eastAsia"/>
                      <w:color w:val="auto"/>
                      <w:u w:val="none"/>
                      <w:lang w:val="en-US" w:eastAsia="zh-CN"/>
                    </w:rPr>
                    <w:t>危化库</w:t>
                  </w:r>
                </w:p>
              </w:tc>
              <w:tc>
                <w:tcPr>
                  <w:tcW w:w="2948" w:type="pct"/>
                  <w:tcBorders>
                    <w:tl2br w:val="nil"/>
                    <w:tr2bl w:val="nil"/>
                  </w:tcBorders>
                  <w:noWrap w:val="0"/>
                  <w:vAlign w:val="center"/>
                </w:tcPr>
                <w:p w14:paraId="29A3FFA7">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position w:val="0"/>
                      <w:sz w:val="21"/>
                      <w:szCs w:val="21"/>
                      <w:u w:val="none" w:color="auto"/>
                    </w:rPr>
                  </w:pPr>
                  <w:r>
                    <w:rPr>
                      <w:rFonts w:hint="eastAsia"/>
                      <w:color w:val="auto"/>
                      <w:sz w:val="21"/>
                      <w:szCs w:val="21"/>
                      <w:u w:val="none"/>
                      <w:vertAlign w:val="baseline"/>
                      <w:lang w:val="en-US" w:eastAsia="zh-CN"/>
                    </w:rPr>
                    <w:t>位于</w:t>
                  </w:r>
                  <w:r>
                    <w:rPr>
                      <w:rFonts w:hint="eastAsia"/>
                      <w:color w:val="auto"/>
                      <w:sz w:val="21"/>
                      <w:szCs w:val="21"/>
                      <w:u w:val="none"/>
                      <w:lang w:val="en-US" w:eastAsia="zh-CN"/>
                    </w:rPr>
                    <w:t>生产厂房北侧</w:t>
                  </w:r>
                  <w:r>
                    <w:rPr>
                      <w:rFonts w:hint="eastAsia"/>
                      <w:color w:val="auto"/>
                      <w:sz w:val="21"/>
                      <w:szCs w:val="21"/>
                      <w:u w:val="none"/>
                      <w:vertAlign w:val="baseline"/>
                      <w:lang w:val="en-US" w:eastAsia="zh-CN"/>
                    </w:rPr>
                    <w:t>，</w:t>
                  </w:r>
                  <w:r>
                    <w:rPr>
                      <w:rFonts w:hint="eastAsia"/>
                      <w:color w:val="auto"/>
                      <w:sz w:val="21"/>
                      <w:szCs w:val="21"/>
                      <w:u w:val="none"/>
                      <w:lang w:val="en-US" w:eastAsia="zh-CN"/>
                    </w:rPr>
                    <w:t>面积约为40m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，主要用于存放油漆、稀释剂、固化剂、钝化膏等</w:t>
                  </w:r>
                </w:p>
              </w:tc>
              <w:tc>
                <w:tcPr>
                  <w:tcW w:w="850" w:type="pct"/>
                  <w:tcBorders>
                    <w:tl2br w:val="nil"/>
                    <w:tr2bl w:val="nil"/>
                  </w:tcBorders>
                  <w:noWrap w:val="0"/>
                  <w:vAlign w:val="center"/>
                </w:tcPr>
                <w:p w14:paraId="30F83E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140BF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3527E24B">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5810EFDC">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position w:val="0"/>
                      <w:sz w:val="21"/>
                      <w:szCs w:val="21"/>
                      <w:u w:val="none" w:color="auto"/>
                      <w:lang w:eastAsia="zh-CN"/>
                    </w:rPr>
                  </w:pPr>
                  <w:r>
                    <w:rPr>
                      <w:rFonts w:hint="eastAsia"/>
                      <w:color w:val="auto"/>
                      <w:u w:val="none"/>
                      <w:lang w:val="en-US" w:eastAsia="zh-CN"/>
                    </w:rPr>
                    <w:t>气体库</w:t>
                  </w:r>
                </w:p>
              </w:tc>
              <w:tc>
                <w:tcPr>
                  <w:tcW w:w="2948" w:type="pct"/>
                  <w:tcBorders>
                    <w:tl2br w:val="nil"/>
                    <w:tr2bl w:val="nil"/>
                  </w:tcBorders>
                  <w:noWrap w:val="0"/>
                  <w:vAlign w:val="center"/>
                </w:tcPr>
                <w:p w14:paraId="14656761">
                  <w:pPr>
                    <w:keepNext w:val="0"/>
                    <w:keepLines w:val="0"/>
                    <w:suppressLineNumbers w:val="0"/>
                    <w:adjustRightInd w:val="0"/>
                    <w:snapToGrid w:val="0"/>
                    <w:spacing w:before="0" w:beforeAutospacing="0" w:after="0" w:afterAutospacing="0"/>
                    <w:ind w:left="0" w:right="0"/>
                    <w:jc w:val="center"/>
                    <w:outlineLvl w:val="1"/>
                    <w:rPr>
                      <w:rFonts w:hint="default" w:ascii="Times New Roman" w:hAnsi="Times New Roman" w:eastAsia="宋体" w:cs="Times New Roman"/>
                      <w:color w:val="auto"/>
                      <w:spacing w:val="0"/>
                      <w:position w:val="0"/>
                      <w:sz w:val="21"/>
                      <w:szCs w:val="21"/>
                      <w:u w:val="none" w:color="auto"/>
                      <w:lang w:eastAsia="zh-CN"/>
                    </w:rPr>
                  </w:pPr>
                  <w:r>
                    <w:rPr>
                      <w:rFonts w:hint="eastAsia"/>
                      <w:color w:val="auto"/>
                      <w:sz w:val="21"/>
                      <w:szCs w:val="21"/>
                      <w:u w:val="none"/>
                      <w:vertAlign w:val="baseline"/>
                      <w:lang w:val="en-US" w:eastAsia="zh-CN"/>
                    </w:rPr>
                    <w:t>位于</w:t>
                  </w:r>
                  <w:r>
                    <w:rPr>
                      <w:rFonts w:hint="eastAsia"/>
                      <w:color w:val="auto"/>
                      <w:sz w:val="21"/>
                      <w:szCs w:val="21"/>
                      <w:u w:val="none"/>
                      <w:lang w:val="en-US" w:eastAsia="zh-CN"/>
                    </w:rPr>
                    <w:t>生产厂房东北侧</w:t>
                  </w:r>
                  <w:r>
                    <w:rPr>
                      <w:rFonts w:hint="eastAsia"/>
                      <w:color w:val="auto"/>
                      <w:sz w:val="21"/>
                      <w:szCs w:val="21"/>
                      <w:u w:val="none"/>
                      <w:vertAlign w:val="baseline"/>
                      <w:lang w:val="en-US" w:eastAsia="zh-CN"/>
                    </w:rPr>
                    <w:t>，</w:t>
                  </w:r>
                  <w:r>
                    <w:rPr>
                      <w:rFonts w:hint="eastAsia"/>
                      <w:color w:val="auto"/>
                      <w:sz w:val="21"/>
                      <w:szCs w:val="21"/>
                      <w:u w:val="none"/>
                      <w:lang w:val="en-US" w:eastAsia="zh-CN"/>
                    </w:rPr>
                    <w:t>面积约为36m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，主要用于存放氧气、二氧化碳、氩气、混合气体等工业气体</w:t>
                  </w:r>
                </w:p>
              </w:tc>
              <w:tc>
                <w:tcPr>
                  <w:tcW w:w="850" w:type="pct"/>
                  <w:tcBorders>
                    <w:tl2br w:val="nil"/>
                    <w:tr2bl w:val="nil"/>
                  </w:tcBorders>
                  <w:noWrap w:val="0"/>
                  <w:vAlign w:val="center"/>
                </w:tcPr>
                <w:p w14:paraId="520892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2F474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5C592508">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5F6434BD">
                  <w:pPr>
                    <w:keepNext w:val="0"/>
                    <w:keepLines w:val="0"/>
                    <w:suppressLineNumbers w:val="0"/>
                    <w:adjustRightInd w:val="0"/>
                    <w:snapToGrid w:val="0"/>
                    <w:spacing w:before="0" w:beforeAutospacing="0" w:after="0" w:afterAutospacing="0"/>
                    <w:ind w:left="0" w:right="0"/>
                    <w:jc w:val="center"/>
                    <w:outlineLvl w:val="1"/>
                    <w:rPr>
                      <w:rFonts w:hint="eastAsia"/>
                      <w:color w:val="auto"/>
                      <w:u w:val="none"/>
                      <w:lang w:val="en-US" w:eastAsia="zh-CN"/>
                    </w:rPr>
                  </w:pPr>
                  <w:r>
                    <w:rPr>
                      <w:rFonts w:hint="eastAsia"/>
                      <w:color w:val="auto"/>
                      <w:u w:val="none"/>
                      <w:lang w:val="en-US" w:eastAsia="zh-CN"/>
                    </w:rPr>
                    <w:t>乙炔库</w:t>
                  </w:r>
                </w:p>
              </w:tc>
              <w:tc>
                <w:tcPr>
                  <w:tcW w:w="2948" w:type="pct"/>
                  <w:tcBorders>
                    <w:tl2br w:val="nil"/>
                    <w:tr2bl w:val="nil"/>
                  </w:tcBorders>
                  <w:noWrap w:val="0"/>
                  <w:vAlign w:val="center"/>
                </w:tcPr>
                <w:p w14:paraId="6D05C891">
                  <w:pPr>
                    <w:keepNext w:val="0"/>
                    <w:keepLines w:val="0"/>
                    <w:suppressLineNumbers w:val="0"/>
                    <w:adjustRightInd w:val="0"/>
                    <w:snapToGrid w:val="0"/>
                    <w:spacing w:before="0" w:beforeAutospacing="0" w:after="0" w:afterAutospacing="0"/>
                    <w:ind w:left="0" w:right="0"/>
                    <w:jc w:val="center"/>
                    <w:outlineLvl w:val="1"/>
                    <w:rPr>
                      <w:rFonts w:hint="eastAsia"/>
                      <w:color w:val="auto"/>
                      <w:sz w:val="21"/>
                      <w:szCs w:val="21"/>
                      <w:u w:val="none"/>
                      <w:vertAlign w:val="baseline"/>
                      <w:lang w:val="en-US" w:eastAsia="zh-CN"/>
                    </w:rPr>
                  </w:pPr>
                  <w:r>
                    <w:rPr>
                      <w:rFonts w:hint="eastAsia"/>
                      <w:color w:val="auto"/>
                      <w:sz w:val="21"/>
                      <w:szCs w:val="21"/>
                      <w:u w:val="none"/>
                      <w:vertAlign w:val="baseline"/>
                      <w:lang w:val="en-US" w:eastAsia="zh-CN"/>
                    </w:rPr>
                    <w:t>位于生产厂房东北角（外部），面积约</w:t>
                  </w:r>
                  <w:r>
                    <w:rPr>
                      <w:rFonts w:hint="eastAsia"/>
                      <w:color w:val="auto"/>
                      <w:sz w:val="21"/>
                      <w:szCs w:val="21"/>
                      <w:u w:val="none"/>
                      <w:lang w:val="en-US" w:eastAsia="zh-CN"/>
                    </w:rPr>
                    <w:t>36m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，主要用于存放乙炔</w:t>
                  </w:r>
                </w:p>
              </w:tc>
              <w:tc>
                <w:tcPr>
                  <w:tcW w:w="850" w:type="pct"/>
                  <w:tcBorders>
                    <w:tl2br w:val="nil"/>
                    <w:tr2bl w:val="nil"/>
                  </w:tcBorders>
                  <w:noWrap w:val="0"/>
                  <w:vAlign w:val="center"/>
                </w:tcPr>
                <w:p w14:paraId="5C8D5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61728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41AAF0B6">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shd w:val="clear" w:color="auto" w:fill="auto"/>
                  <w:noWrap w:val="0"/>
                  <w:vAlign w:val="center"/>
                </w:tcPr>
                <w:p w14:paraId="4ADDC90D">
                  <w:pPr>
                    <w:keepNext w:val="0"/>
                    <w:keepLines w:val="0"/>
                    <w:suppressLineNumbers w:val="0"/>
                    <w:adjustRightInd w:val="0"/>
                    <w:snapToGrid w:val="0"/>
                    <w:spacing w:before="0" w:beforeAutospacing="0" w:after="0" w:afterAutospacing="0"/>
                    <w:ind w:left="0" w:right="0"/>
                    <w:jc w:val="center"/>
                    <w:outlineLvl w:val="1"/>
                    <w:rPr>
                      <w:rFonts w:hint="eastAsia" w:ascii="Times New Roman" w:hAnsi="Times New Roman" w:eastAsia="宋体" w:cs="Times New Roman"/>
                      <w:color w:val="auto"/>
                      <w:spacing w:val="0"/>
                      <w:kern w:val="2"/>
                      <w:position w:val="0"/>
                      <w:sz w:val="21"/>
                      <w:szCs w:val="21"/>
                      <w:u w:val="none" w:color="auto"/>
                      <w:lang w:val="en-US" w:eastAsia="zh-CN" w:bidi="ar-SA"/>
                    </w:rPr>
                  </w:pPr>
                  <w:r>
                    <w:rPr>
                      <w:rFonts w:hint="eastAsia"/>
                      <w:color w:val="auto"/>
                      <w:u w:val="none"/>
                      <w:lang w:val="en-US" w:eastAsia="zh-CN"/>
                    </w:rPr>
                    <w:t>研发实验区</w:t>
                  </w:r>
                </w:p>
              </w:tc>
              <w:tc>
                <w:tcPr>
                  <w:tcW w:w="2948" w:type="pct"/>
                  <w:tcBorders>
                    <w:tl2br w:val="nil"/>
                    <w:tr2bl w:val="nil"/>
                  </w:tcBorders>
                  <w:shd w:val="clear" w:color="auto" w:fill="auto"/>
                  <w:noWrap w:val="0"/>
                  <w:vAlign w:val="center"/>
                </w:tcPr>
                <w:p w14:paraId="154835C1">
                  <w:pPr>
                    <w:keepNext w:val="0"/>
                    <w:keepLines w:val="0"/>
                    <w:suppressLineNumbers w:val="0"/>
                    <w:adjustRightInd w:val="0"/>
                    <w:snapToGrid w:val="0"/>
                    <w:spacing w:before="0" w:beforeAutospacing="0" w:after="0" w:afterAutospacing="0"/>
                    <w:ind w:left="0" w:right="0"/>
                    <w:jc w:val="center"/>
                    <w:outlineLvl w:val="1"/>
                    <w:rPr>
                      <w:rFonts w:hint="eastAsia" w:ascii="Times New Roman" w:hAnsi="Times New Roman" w:eastAsia="宋体" w:cs="Times New Roman"/>
                      <w:color w:val="auto"/>
                      <w:spacing w:val="0"/>
                      <w:kern w:val="2"/>
                      <w:position w:val="0"/>
                      <w:sz w:val="21"/>
                      <w:szCs w:val="21"/>
                      <w:u w:val="none" w:color="auto"/>
                      <w:lang w:val="en-US" w:eastAsia="zh-CN" w:bidi="ar-SA"/>
                    </w:rPr>
                  </w:pPr>
                  <w:r>
                    <w:rPr>
                      <w:rFonts w:hint="eastAsia"/>
                      <w:color w:val="auto"/>
                      <w:sz w:val="21"/>
                      <w:szCs w:val="21"/>
                      <w:u w:val="none"/>
                      <w:lang w:val="en-US" w:eastAsia="zh-CN"/>
                    </w:rPr>
                    <w:t>位于生产厂房中部，建筑面积为700m</w:t>
                  </w:r>
                  <w:r>
                    <w:rPr>
                      <w:rFonts w:hint="eastAsia"/>
                      <w:color w:val="auto"/>
                      <w:sz w:val="21"/>
                      <w:szCs w:val="21"/>
                      <w:u w:val="none"/>
                      <w:vertAlign w:val="superscript"/>
                      <w:lang w:val="en-US" w:eastAsia="zh-CN"/>
                    </w:rPr>
                    <w:t>2</w:t>
                  </w:r>
                  <w:r>
                    <w:rPr>
                      <w:rFonts w:hint="eastAsia"/>
                      <w:color w:val="auto"/>
                      <w:sz w:val="21"/>
                      <w:szCs w:val="21"/>
                      <w:u w:val="none"/>
                      <w:vertAlign w:val="baseline"/>
                      <w:lang w:val="en-US" w:eastAsia="zh-CN"/>
                    </w:rPr>
                    <w:t>，主要用于存放成品检验和成品堆放。</w:t>
                  </w:r>
                </w:p>
              </w:tc>
              <w:tc>
                <w:tcPr>
                  <w:tcW w:w="850" w:type="pct"/>
                  <w:tcBorders>
                    <w:tl2br w:val="nil"/>
                    <w:tr2bl w:val="nil"/>
                  </w:tcBorders>
                  <w:noWrap w:val="0"/>
                  <w:vAlign w:val="center"/>
                </w:tcPr>
                <w:p w14:paraId="6B526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新建</w:t>
                  </w:r>
                </w:p>
              </w:tc>
            </w:tr>
            <w:tr w14:paraId="30ED2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l2br w:val="nil"/>
                    <w:tr2bl w:val="nil"/>
                  </w:tcBorders>
                  <w:noWrap w:val="0"/>
                  <w:vAlign w:val="center"/>
                </w:tcPr>
                <w:p w14:paraId="7AA5E415">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辅助工程</w:t>
                  </w:r>
                </w:p>
              </w:tc>
              <w:tc>
                <w:tcPr>
                  <w:tcW w:w="750" w:type="pct"/>
                  <w:tcBorders>
                    <w:tl2br w:val="nil"/>
                    <w:tr2bl w:val="nil"/>
                  </w:tcBorders>
                  <w:noWrap w:val="0"/>
                  <w:vAlign w:val="center"/>
                </w:tcPr>
                <w:p w14:paraId="2D190297">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1"/>
                    <w:rPr>
                      <w:rFonts w:hint="default" w:ascii="Times New Roman" w:hAnsi="Times New Roman" w:eastAsia="宋体" w:cs="Times New Roman"/>
                      <w:color w:val="auto"/>
                      <w:spacing w:val="0"/>
                      <w:position w:val="0"/>
                      <w:sz w:val="21"/>
                      <w:szCs w:val="21"/>
                      <w:u w:val="none" w:color="auto"/>
                      <w:lang w:eastAsia="zh-CN"/>
                    </w:rPr>
                  </w:pPr>
                  <w:r>
                    <w:rPr>
                      <w:rFonts w:hint="default" w:ascii="Times New Roman" w:hAnsi="Times New Roman" w:cs="Times New Roman" w:eastAsiaTheme="minorEastAsia"/>
                      <w:color w:val="auto"/>
                      <w:sz w:val="21"/>
                      <w:szCs w:val="21"/>
                      <w:u w:val="none"/>
                      <w:lang w:val="en-US" w:eastAsia="zh-CN"/>
                    </w:rPr>
                    <w:t>1#研发楼</w:t>
                  </w:r>
                </w:p>
              </w:tc>
              <w:tc>
                <w:tcPr>
                  <w:tcW w:w="2948" w:type="pct"/>
                  <w:tcBorders>
                    <w:tl2br w:val="nil"/>
                    <w:tr2bl w:val="nil"/>
                  </w:tcBorders>
                  <w:noWrap w:val="0"/>
                  <w:vAlign w:val="center"/>
                </w:tcPr>
                <w:p w14:paraId="7CE1CE2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1"/>
                    <w:rPr>
                      <w:rFonts w:hint="default" w:ascii="Times New Roman" w:hAnsi="Times New Roman" w:eastAsia="宋体" w:cs="Times New Roman"/>
                      <w:color w:val="auto"/>
                      <w:spacing w:val="0"/>
                      <w:position w:val="0"/>
                      <w:sz w:val="21"/>
                      <w:szCs w:val="21"/>
                      <w:u w:val="none" w:color="auto"/>
                      <w:lang w:eastAsia="zh-CN"/>
                    </w:rPr>
                  </w:pPr>
                  <w:r>
                    <w:rPr>
                      <w:rFonts w:hint="default" w:ascii="Times New Roman" w:hAnsi="Times New Roman" w:cs="Times New Roman" w:eastAsiaTheme="minorEastAsia"/>
                      <w:color w:val="auto"/>
                      <w:sz w:val="21"/>
                      <w:szCs w:val="21"/>
                      <w:u w:val="none"/>
                      <w:lang w:val="en-US" w:eastAsia="zh-CN"/>
                    </w:rPr>
                    <w:t>位于厂区南侧，6F，H=23.7m。一楼布置展厅、办公室、值班室、消防控制室、弱电机房等；二楼布置值班室；三楼布置办公室、会议室、接待室、档案室；四到六楼布置办公室、会议室和档案室。研发楼主要用于员工办公休息。</w:t>
                  </w:r>
                </w:p>
              </w:tc>
              <w:tc>
                <w:tcPr>
                  <w:tcW w:w="850" w:type="pct"/>
                  <w:tcBorders>
                    <w:tl2br w:val="nil"/>
                    <w:tr2bl w:val="nil"/>
                  </w:tcBorders>
                  <w:noWrap w:val="0"/>
                  <w:vAlign w:val="center"/>
                </w:tcPr>
                <w:p w14:paraId="1B073E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hAnsi="Times New Roman" w:cs="Times New Roman"/>
                      <w:color w:val="auto"/>
                      <w:spacing w:val="0"/>
                      <w:position w:val="0"/>
                      <w:sz w:val="21"/>
                      <w:szCs w:val="21"/>
                      <w:u w:val="none" w:color="auto"/>
                      <w:lang w:val="en-US" w:eastAsia="zh-CN"/>
                    </w:rPr>
                    <w:t>依托，在建</w:t>
                  </w:r>
                </w:p>
              </w:tc>
            </w:tr>
            <w:tr w14:paraId="1E0CA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restart"/>
                  <w:tcBorders>
                    <w:tl2br w:val="nil"/>
                    <w:tr2bl w:val="nil"/>
                  </w:tcBorders>
                  <w:noWrap w:val="0"/>
                  <w:vAlign w:val="center"/>
                </w:tcPr>
                <w:p w14:paraId="25530F1A">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公用工程</w:t>
                  </w:r>
                </w:p>
              </w:tc>
              <w:tc>
                <w:tcPr>
                  <w:tcW w:w="750" w:type="pct"/>
                  <w:tcBorders>
                    <w:tl2br w:val="nil"/>
                    <w:tr2bl w:val="nil"/>
                  </w:tcBorders>
                  <w:noWrap w:val="0"/>
                  <w:vAlign w:val="center"/>
                </w:tcPr>
                <w:p w14:paraId="2CD8D2E6">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供</w:t>
                  </w:r>
                  <w:r>
                    <w:rPr>
                      <w:rFonts w:hint="default" w:ascii="Times New Roman" w:hAnsi="Times New Roman" w:cs="Times New Roman"/>
                      <w:color w:val="auto"/>
                      <w:spacing w:val="0"/>
                      <w:position w:val="0"/>
                      <w:sz w:val="21"/>
                      <w:szCs w:val="21"/>
                      <w:u w:val="none" w:color="auto"/>
                      <w:lang w:eastAsia="zh-CN"/>
                    </w:rPr>
                    <w:t>排</w:t>
                  </w:r>
                  <w:r>
                    <w:rPr>
                      <w:rFonts w:hint="default" w:ascii="Times New Roman" w:hAnsi="Times New Roman" w:eastAsia="宋体" w:cs="Times New Roman"/>
                      <w:color w:val="auto"/>
                      <w:spacing w:val="0"/>
                      <w:position w:val="0"/>
                      <w:sz w:val="21"/>
                      <w:szCs w:val="21"/>
                      <w:u w:val="none" w:color="auto"/>
                    </w:rPr>
                    <w:t>水</w:t>
                  </w:r>
                </w:p>
              </w:tc>
              <w:tc>
                <w:tcPr>
                  <w:tcW w:w="2948" w:type="pct"/>
                  <w:tcBorders>
                    <w:tl2br w:val="nil"/>
                    <w:tr2bl w:val="nil"/>
                  </w:tcBorders>
                  <w:noWrap w:val="0"/>
                  <w:vAlign w:val="center"/>
                </w:tcPr>
                <w:p w14:paraId="1B377650">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outlineLvl w:val="9"/>
                    <w:rPr>
                      <w:rFonts w:hint="default" w:ascii="Times New Roman" w:hAnsi="Times New Roman" w:eastAsia="宋体" w:cs="Times New Roman"/>
                      <w:b w:val="0"/>
                      <w:bCs/>
                      <w:color w:val="auto"/>
                      <w:spacing w:val="0"/>
                      <w:position w:val="0"/>
                      <w:sz w:val="21"/>
                      <w:szCs w:val="21"/>
                      <w:u w:val="none" w:color="auto"/>
                      <w:lang w:eastAsia="zh-CN"/>
                    </w:rPr>
                  </w:pPr>
                  <w:r>
                    <w:rPr>
                      <w:rFonts w:hint="default" w:ascii="Times New Roman" w:hAnsi="Times New Roman" w:cs="Times New Roman"/>
                      <w:b w:val="0"/>
                      <w:bCs/>
                      <w:color w:val="auto"/>
                      <w:spacing w:val="0"/>
                      <w:position w:val="0"/>
                      <w:sz w:val="21"/>
                      <w:szCs w:val="21"/>
                      <w:u w:val="none" w:color="auto"/>
                    </w:rPr>
                    <w:t>由</w:t>
                  </w:r>
                  <w:r>
                    <w:rPr>
                      <w:rFonts w:hint="eastAsia" w:ascii="Times New Roman" w:cs="Times New Roman"/>
                      <w:b w:val="0"/>
                      <w:bCs/>
                      <w:color w:val="auto"/>
                      <w:spacing w:val="0"/>
                      <w:position w:val="0"/>
                      <w:sz w:val="21"/>
                      <w:szCs w:val="21"/>
                      <w:u w:val="none" w:color="auto"/>
                      <w:lang w:eastAsia="zh-CN"/>
                    </w:rPr>
                    <w:t>市政</w:t>
                  </w:r>
                  <w:r>
                    <w:rPr>
                      <w:rFonts w:hint="default" w:ascii="Times New Roman" w:hAnsi="Times New Roman" w:cs="Times New Roman"/>
                      <w:b w:val="0"/>
                      <w:bCs/>
                      <w:color w:val="auto"/>
                      <w:spacing w:val="0"/>
                      <w:position w:val="0"/>
                      <w:sz w:val="21"/>
                      <w:szCs w:val="21"/>
                      <w:u w:val="none" w:color="auto"/>
                      <w:lang w:eastAsia="zh-CN"/>
                    </w:rPr>
                    <w:t>供排水</w:t>
                  </w:r>
                  <w:r>
                    <w:rPr>
                      <w:rFonts w:hint="default" w:ascii="Times New Roman" w:hAnsi="Times New Roman" w:cs="Times New Roman"/>
                      <w:b w:val="0"/>
                      <w:bCs/>
                      <w:color w:val="auto"/>
                      <w:spacing w:val="0"/>
                      <w:position w:val="0"/>
                      <w:sz w:val="21"/>
                      <w:szCs w:val="21"/>
                      <w:u w:val="none" w:color="auto"/>
                    </w:rPr>
                    <w:t>供给</w:t>
                  </w:r>
                  <w:r>
                    <w:rPr>
                      <w:rFonts w:hint="default" w:ascii="Times New Roman" w:hAnsi="Times New Roman" w:cs="Times New Roman"/>
                      <w:b w:val="0"/>
                      <w:bCs/>
                      <w:color w:val="auto"/>
                      <w:spacing w:val="0"/>
                      <w:position w:val="0"/>
                      <w:sz w:val="21"/>
                      <w:szCs w:val="21"/>
                      <w:u w:val="none" w:color="auto"/>
                      <w:lang w:eastAsia="zh-CN"/>
                    </w:rPr>
                    <w:t>，排水采用雨污分流、</w:t>
                  </w:r>
                  <w:r>
                    <w:rPr>
                      <w:rFonts w:hint="eastAsia" w:ascii="Times New Roman" w:cs="Times New Roman"/>
                      <w:b w:val="0"/>
                      <w:bCs/>
                      <w:color w:val="auto"/>
                      <w:spacing w:val="0"/>
                      <w:position w:val="0"/>
                      <w:sz w:val="21"/>
                      <w:szCs w:val="21"/>
                      <w:u w:val="none" w:color="auto"/>
                      <w:lang w:eastAsia="zh-CN"/>
                    </w:rPr>
                    <w:t>清</w:t>
                  </w:r>
                  <w:r>
                    <w:rPr>
                      <w:rFonts w:hint="default" w:ascii="Times New Roman" w:hAnsi="Times New Roman" w:cs="Times New Roman"/>
                      <w:b w:val="0"/>
                      <w:bCs/>
                      <w:color w:val="auto"/>
                      <w:spacing w:val="0"/>
                      <w:position w:val="0"/>
                      <w:sz w:val="21"/>
                      <w:szCs w:val="21"/>
                      <w:u w:val="none" w:color="auto"/>
                      <w:lang w:eastAsia="zh-CN"/>
                    </w:rPr>
                    <w:t>污分流制</w:t>
                  </w:r>
                </w:p>
              </w:tc>
              <w:tc>
                <w:tcPr>
                  <w:tcW w:w="850" w:type="pct"/>
                  <w:tcBorders>
                    <w:tl2br w:val="nil"/>
                    <w:tr2bl w:val="nil"/>
                  </w:tcBorders>
                  <w:noWrap w:val="0"/>
                  <w:vAlign w:val="center"/>
                </w:tcPr>
                <w:p w14:paraId="0D7F68DD">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outlineLvl w:val="9"/>
                    <w:rPr>
                      <w:rFonts w:hint="default" w:ascii="Times New Roman" w:hAnsi="Times New Roman" w:eastAsia="宋体" w:cs="Times New Roman"/>
                      <w:b w:val="0"/>
                      <w:bCs/>
                      <w:color w:val="auto"/>
                      <w:spacing w:val="0"/>
                      <w:position w:val="0"/>
                      <w:sz w:val="21"/>
                      <w:szCs w:val="21"/>
                      <w:u w:val="none" w:color="auto"/>
                      <w:lang w:val="en-US" w:eastAsia="zh-CN"/>
                    </w:rPr>
                  </w:pPr>
                  <w:r>
                    <w:rPr>
                      <w:rFonts w:hint="default" w:ascii="Times New Roman" w:hAnsi="Times New Roman" w:cs="Times New Roman"/>
                      <w:b w:val="0"/>
                      <w:bCs/>
                      <w:color w:val="auto"/>
                      <w:spacing w:val="0"/>
                      <w:position w:val="0"/>
                      <w:sz w:val="21"/>
                      <w:szCs w:val="21"/>
                      <w:u w:val="none" w:color="auto"/>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3A6EA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145B0BD7">
                  <w:pPr>
                    <w:pStyle w:val="58"/>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p>
              </w:tc>
              <w:tc>
                <w:tcPr>
                  <w:tcW w:w="750" w:type="pct"/>
                  <w:tcBorders>
                    <w:tl2br w:val="nil"/>
                    <w:tr2bl w:val="nil"/>
                  </w:tcBorders>
                  <w:noWrap w:val="0"/>
                  <w:vAlign w:val="center"/>
                </w:tcPr>
                <w:p w14:paraId="1819B7C1">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供电</w:t>
                  </w:r>
                </w:p>
              </w:tc>
              <w:tc>
                <w:tcPr>
                  <w:tcW w:w="2948" w:type="pct"/>
                  <w:tcBorders>
                    <w:tl2br w:val="nil"/>
                    <w:tr2bl w:val="nil"/>
                  </w:tcBorders>
                  <w:noWrap w:val="0"/>
                  <w:vAlign w:val="center"/>
                </w:tcPr>
                <w:p w14:paraId="07E7A869">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outlineLvl w:val="9"/>
                    <w:rPr>
                      <w:rFonts w:hint="default" w:ascii="Times New Roman" w:hAnsi="Times New Roman" w:eastAsia="宋体" w:cs="Times New Roman"/>
                      <w:b w:val="0"/>
                      <w:bCs/>
                      <w:color w:val="auto"/>
                      <w:spacing w:val="0"/>
                      <w:position w:val="0"/>
                      <w:sz w:val="21"/>
                      <w:szCs w:val="21"/>
                      <w:u w:val="none" w:color="auto"/>
                      <w:lang w:eastAsia="zh-CN"/>
                    </w:rPr>
                  </w:pPr>
                  <w:r>
                    <w:rPr>
                      <w:rFonts w:hint="default" w:ascii="Times New Roman" w:hAnsi="Times New Roman" w:cs="Times New Roman"/>
                      <w:b w:val="0"/>
                      <w:bCs/>
                      <w:color w:val="auto"/>
                      <w:spacing w:val="0"/>
                      <w:position w:val="0"/>
                      <w:sz w:val="21"/>
                      <w:szCs w:val="21"/>
                      <w:u w:val="none" w:color="auto"/>
                    </w:rPr>
                    <w:t>由</w:t>
                  </w:r>
                  <w:r>
                    <w:rPr>
                      <w:rFonts w:hint="eastAsia" w:ascii="Times New Roman" w:cs="Times New Roman"/>
                      <w:b w:val="0"/>
                      <w:bCs/>
                      <w:color w:val="auto"/>
                      <w:spacing w:val="0"/>
                      <w:position w:val="0"/>
                      <w:sz w:val="21"/>
                      <w:szCs w:val="21"/>
                      <w:u w:val="none" w:color="auto"/>
                      <w:lang w:eastAsia="zh-CN"/>
                    </w:rPr>
                    <w:t>市政</w:t>
                  </w:r>
                  <w:r>
                    <w:rPr>
                      <w:rFonts w:hint="default" w:ascii="Times New Roman" w:hAnsi="Times New Roman" w:cs="Times New Roman"/>
                      <w:b w:val="0"/>
                      <w:bCs/>
                      <w:color w:val="auto"/>
                      <w:spacing w:val="0"/>
                      <w:position w:val="0"/>
                      <w:sz w:val="21"/>
                      <w:szCs w:val="21"/>
                      <w:u w:val="none" w:color="auto"/>
                    </w:rPr>
                    <w:t>供电电</w:t>
                  </w:r>
                  <w:r>
                    <w:rPr>
                      <w:rFonts w:hint="default" w:ascii="Times New Roman" w:hAnsi="Times New Roman" w:cs="Times New Roman"/>
                      <w:b w:val="0"/>
                      <w:bCs/>
                      <w:color w:val="auto"/>
                      <w:spacing w:val="0"/>
                      <w:position w:val="0"/>
                      <w:sz w:val="21"/>
                      <w:szCs w:val="21"/>
                      <w:u w:val="none" w:color="auto"/>
                      <w:lang w:eastAsia="zh-CN"/>
                    </w:rPr>
                    <w:t>网供给</w:t>
                  </w:r>
                </w:p>
              </w:tc>
              <w:tc>
                <w:tcPr>
                  <w:tcW w:w="850" w:type="pct"/>
                  <w:tcBorders>
                    <w:tl2br w:val="nil"/>
                    <w:tr2bl w:val="nil"/>
                  </w:tcBorders>
                  <w:noWrap w:val="0"/>
                  <w:vAlign w:val="center"/>
                </w:tcPr>
                <w:p w14:paraId="5E2BA37C">
                  <w:pPr>
                    <w:pStyle w:val="16"/>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textAlignment w:val="auto"/>
                    <w:outlineLvl w:val="9"/>
                    <w:rPr>
                      <w:rFonts w:hint="default" w:ascii="Times New Roman" w:hAnsi="Times New Roman" w:eastAsia="宋体" w:cs="Times New Roman"/>
                      <w:b w:val="0"/>
                      <w:bCs/>
                      <w:color w:val="auto"/>
                      <w:spacing w:val="0"/>
                      <w:position w:val="0"/>
                      <w:sz w:val="21"/>
                      <w:szCs w:val="21"/>
                      <w:u w:val="none" w:color="auto"/>
                      <w:lang w:val="en-US" w:eastAsia="zh-CN"/>
                    </w:rPr>
                  </w:pPr>
                  <w:r>
                    <w:rPr>
                      <w:rFonts w:hint="default" w:ascii="Times New Roman" w:hAnsi="Times New Roman" w:cs="Times New Roman"/>
                      <w:b w:val="0"/>
                      <w:bCs/>
                      <w:color w:val="auto"/>
                      <w:spacing w:val="0"/>
                      <w:position w:val="0"/>
                      <w:sz w:val="21"/>
                      <w:szCs w:val="21"/>
                      <w:u w:val="none" w:color="auto"/>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0449F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restart"/>
                  <w:tcBorders>
                    <w:tl2br w:val="nil"/>
                    <w:tr2bl w:val="nil"/>
                  </w:tcBorders>
                  <w:noWrap w:val="0"/>
                  <w:vAlign w:val="center"/>
                </w:tcPr>
                <w:p w14:paraId="5E074A62">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r>
                    <w:rPr>
                      <w:rFonts w:hint="default" w:ascii="Times New Roman" w:hAnsi="Times New Roman" w:eastAsia="宋体" w:cs="Times New Roman"/>
                      <w:color w:val="auto"/>
                      <w:spacing w:val="0"/>
                      <w:position w:val="0"/>
                      <w:sz w:val="21"/>
                      <w:szCs w:val="21"/>
                      <w:u w:val="none" w:color="auto"/>
                      <w:lang w:eastAsia="zh-CN"/>
                    </w:rPr>
                    <w:t>环保工程</w:t>
                  </w:r>
                </w:p>
              </w:tc>
              <w:tc>
                <w:tcPr>
                  <w:tcW w:w="750" w:type="pct"/>
                  <w:tcBorders>
                    <w:tl2br w:val="nil"/>
                    <w:tr2bl w:val="nil"/>
                  </w:tcBorders>
                  <w:noWrap w:val="0"/>
                  <w:vAlign w:val="center"/>
                </w:tcPr>
                <w:p w14:paraId="7EC09920">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r>
                    <w:rPr>
                      <w:rFonts w:hint="default" w:ascii="Times New Roman" w:hAnsi="Times New Roman" w:eastAsia="宋体" w:cs="Times New Roman"/>
                      <w:color w:val="auto"/>
                      <w:spacing w:val="0"/>
                      <w:position w:val="0"/>
                      <w:sz w:val="21"/>
                      <w:szCs w:val="21"/>
                      <w:u w:val="none" w:color="auto"/>
                      <w:lang w:eastAsia="zh-CN"/>
                    </w:rPr>
                    <w:t>废水</w:t>
                  </w:r>
                </w:p>
              </w:tc>
              <w:tc>
                <w:tcPr>
                  <w:tcW w:w="2948" w:type="pct"/>
                  <w:tcBorders>
                    <w:tl2br w:val="nil"/>
                    <w:tr2bl w:val="nil"/>
                  </w:tcBorders>
                  <w:noWrap w:val="0"/>
                  <w:vAlign w:val="center"/>
                </w:tcPr>
                <w:p w14:paraId="6B3A51C1">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r>
                    <w:rPr>
                      <w:rFonts w:hint="default" w:ascii="Times New Roman" w:hAnsi="Times New Roman" w:eastAsia="宋体" w:cs="Times New Roman"/>
                      <w:color w:val="auto"/>
                      <w:spacing w:val="0"/>
                      <w:position w:val="0"/>
                      <w:sz w:val="21"/>
                      <w:szCs w:val="21"/>
                      <w:u w:val="none" w:color="auto"/>
                      <w:lang w:eastAsia="zh-CN"/>
                    </w:rPr>
                    <w:t>生活污水依托现有</w:t>
                  </w:r>
                  <w:r>
                    <w:rPr>
                      <w:rFonts w:hint="eastAsia"/>
                      <w:lang w:val="en-US" w:eastAsia="zh-CN"/>
                    </w:rPr>
                    <w:t>隔油化粪池处理后由污水管网进入湖南城陵</w:t>
                  </w:r>
                  <w:r>
                    <w:rPr>
                      <w:rFonts w:hint="eastAsia"/>
                      <w:sz w:val="21"/>
                      <w:szCs w:val="21"/>
                      <w:lang w:val="en-US" w:eastAsia="zh-CN"/>
                    </w:rPr>
                    <w:t>矶临港产业新区污水处理厂</w:t>
                  </w:r>
                </w:p>
              </w:tc>
              <w:tc>
                <w:tcPr>
                  <w:tcW w:w="850" w:type="pct"/>
                  <w:tcBorders>
                    <w:tl2br w:val="nil"/>
                    <w:tr2bl w:val="nil"/>
                  </w:tcBorders>
                  <w:noWrap w:val="0"/>
                  <w:vAlign w:val="center"/>
                </w:tcPr>
                <w:p w14:paraId="443601ED">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cs="Times New Roman"/>
                      <w:color w:val="auto"/>
                      <w:spacing w:val="0"/>
                      <w:position w:val="0"/>
                      <w:sz w:val="21"/>
                      <w:szCs w:val="21"/>
                      <w:u w:val="none" w:color="auto"/>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4B53E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57EC262A">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750" w:type="pct"/>
                  <w:vMerge w:val="restart"/>
                  <w:tcBorders>
                    <w:tl2br w:val="nil"/>
                    <w:tr2bl w:val="nil"/>
                  </w:tcBorders>
                  <w:noWrap w:val="0"/>
                  <w:vAlign w:val="center"/>
                </w:tcPr>
                <w:p w14:paraId="3FF6D0D9">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r>
                    <w:rPr>
                      <w:rFonts w:hint="default" w:ascii="Times New Roman" w:hAnsi="Times New Roman" w:eastAsia="宋体" w:cs="Times New Roman"/>
                      <w:color w:val="auto"/>
                      <w:spacing w:val="0"/>
                      <w:position w:val="0"/>
                      <w:sz w:val="21"/>
                      <w:szCs w:val="21"/>
                      <w:u w:val="none" w:color="auto"/>
                      <w:lang w:eastAsia="zh-CN"/>
                    </w:rPr>
                    <w:t>废气</w:t>
                  </w:r>
                </w:p>
              </w:tc>
              <w:tc>
                <w:tcPr>
                  <w:tcW w:w="2948" w:type="pct"/>
                  <w:tcBorders>
                    <w:tl2br w:val="nil"/>
                    <w:tr2bl w:val="nil"/>
                  </w:tcBorders>
                  <w:shd w:val="clear" w:color="auto" w:fill="auto"/>
                  <w:noWrap w:val="0"/>
                  <w:vAlign w:val="center"/>
                </w:tcPr>
                <w:p w14:paraId="1E115FA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4"/>
                      <w:u w:val="none"/>
                      <w:lang w:val="en-US" w:eastAsia="zh-CN" w:bidi="ar-SA"/>
                    </w:rPr>
                  </w:pPr>
                  <w:r>
                    <w:rPr>
                      <w:rFonts w:hint="eastAsia" w:ascii="宋体" w:hAnsi="宋体" w:eastAsia="宋体" w:cs="宋体"/>
                      <w:b/>
                      <w:bCs/>
                      <w:color w:val="000000"/>
                      <w:kern w:val="0"/>
                      <w:sz w:val="21"/>
                      <w:szCs w:val="21"/>
                      <w:lang w:val="en-US" w:eastAsia="zh-CN" w:bidi="ar"/>
                    </w:rPr>
                    <w:t>下料、机加工粉尘：</w:t>
                  </w:r>
                  <w:r>
                    <w:rPr>
                      <w:rFonts w:hint="eastAsia" w:ascii="宋体" w:hAnsi="宋体" w:eastAsia="宋体" w:cs="宋体"/>
                      <w:b w:val="0"/>
                      <w:bCs w:val="0"/>
                      <w:color w:val="000000"/>
                      <w:kern w:val="0"/>
                      <w:sz w:val="21"/>
                      <w:szCs w:val="21"/>
                      <w:lang w:val="en-US" w:eastAsia="zh-CN" w:bidi="ar"/>
                    </w:rPr>
                    <w:t>自然沉降，定期清扫，呈无组织排放；</w:t>
                  </w:r>
                </w:p>
              </w:tc>
              <w:tc>
                <w:tcPr>
                  <w:tcW w:w="850" w:type="pct"/>
                  <w:tcBorders>
                    <w:tl2br w:val="nil"/>
                    <w:tr2bl w:val="nil"/>
                  </w:tcBorders>
                  <w:noWrap w:val="0"/>
                  <w:vAlign w:val="center"/>
                </w:tcPr>
                <w:p w14:paraId="089767B5">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ascii="Times New Roman" w:hAnsi="Times New Roman" w:cs="Times New Roman"/>
                      <w:color w:val="auto"/>
                      <w:spacing w:val="0"/>
                      <w:position w:val="0"/>
                      <w:sz w:val="21"/>
                      <w:szCs w:val="21"/>
                      <w:u w:val="none" w:color="auto"/>
                      <w:lang w:val="en-US" w:eastAsia="zh-CN"/>
                    </w:rPr>
                    <w:t>新</w:t>
                  </w:r>
                  <w:r>
                    <w:rPr>
                      <w:rFonts w:hint="default" w:ascii="Times New Roman" w:hAnsi="Times New Roman" w:cs="Times New Roman"/>
                      <w:b w:val="0"/>
                      <w:bCs/>
                      <w:color w:val="auto"/>
                      <w:spacing w:val="0"/>
                      <w:position w:val="0"/>
                      <w:sz w:val="21"/>
                      <w:szCs w:val="21"/>
                      <w:u w:val="none" w:color="auto"/>
                      <w:lang w:val="en-US" w:eastAsia="zh-CN"/>
                    </w:rPr>
                    <w:t>建</w:t>
                  </w:r>
                </w:p>
              </w:tc>
            </w:tr>
            <w:tr w14:paraId="2F948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66E8443B">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750" w:type="pct"/>
                  <w:vMerge w:val="continue"/>
                  <w:tcBorders>
                    <w:tl2br w:val="nil"/>
                    <w:tr2bl w:val="nil"/>
                  </w:tcBorders>
                  <w:noWrap w:val="0"/>
                  <w:vAlign w:val="center"/>
                </w:tcPr>
                <w:p w14:paraId="227EB15D">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2948" w:type="pct"/>
                  <w:tcBorders>
                    <w:tl2br w:val="nil"/>
                    <w:tr2bl w:val="nil"/>
                  </w:tcBorders>
                  <w:shd w:val="clear" w:color="auto" w:fill="auto"/>
                  <w:noWrap w:val="0"/>
                  <w:vAlign w:val="center"/>
                </w:tcPr>
                <w:p w14:paraId="71C5CFC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4"/>
                      <w:u w:val="none"/>
                      <w:lang w:val="en-US" w:eastAsia="zh-CN" w:bidi="ar-SA"/>
                    </w:rPr>
                  </w:pPr>
                  <w:r>
                    <w:rPr>
                      <w:rFonts w:hint="eastAsia" w:ascii="宋体" w:hAnsi="宋体" w:eastAsia="宋体" w:cs="宋体"/>
                      <w:b/>
                      <w:bCs/>
                      <w:color w:val="000000"/>
                      <w:kern w:val="0"/>
                      <w:sz w:val="21"/>
                      <w:szCs w:val="21"/>
                      <w:lang w:val="en-US" w:eastAsia="zh-CN" w:bidi="ar"/>
                    </w:rPr>
                    <w:t>焊接烟尘：</w:t>
                  </w:r>
                  <w:r>
                    <w:rPr>
                      <w:rFonts w:hint="eastAsia" w:ascii="宋体" w:hAnsi="宋体" w:eastAsia="宋体" w:cs="宋体"/>
                      <w:color w:val="000000"/>
                      <w:kern w:val="0"/>
                      <w:sz w:val="21"/>
                      <w:szCs w:val="21"/>
                      <w:lang w:val="en-US" w:eastAsia="zh-CN" w:bidi="ar"/>
                    </w:rPr>
                    <w:t>经可移动焊烟净化器处理后无组织排放；</w:t>
                  </w:r>
                </w:p>
              </w:tc>
              <w:tc>
                <w:tcPr>
                  <w:tcW w:w="850" w:type="pct"/>
                  <w:tcBorders>
                    <w:tl2br w:val="nil"/>
                    <w:tr2bl w:val="nil"/>
                  </w:tcBorders>
                  <w:noWrap w:val="0"/>
                  <w:vAlign w:val="center"/>
                </w:tcPr>
                <w:p w14:paraId="0A29B067">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pacing w:val="0"/>
                      <w:position w:val="0"/>
                      <w:sz w:val="21"/>
                      <w:szCs w:val="21"/>
                      <w:u w:val="none" w:color="auto"/>
                      <w:lang w:val="en-US" w:eastAsia="zh-CN"/>
                    </w:rPr>
                  </w:pPr>
                  <w:r>
                    <w:rPr>
                      <w:rFonts w:hint="eastAsia" w:ascii="Times New Roman" w:hAnsi="Times New Roman" w:cs="Times New Roman"/>
                      <w:color w:val="auto"/>
                      <w:spacing w:val="0"/>
                      <w:position w:val="0"/>
                      <w:sz w:val="21"/>
                      <w:szCs w:val="21"/>
                      <w:u w:val="none" w:color="auto"/>
                      <w:lang w:val="en-US" w:eastAsia="zh-CN"/>
                    </w:rPr>
                    <w:t>新建</w:t>
                  </w:r>
                </w:p>
              </w:tc>
            </w:tr>
            <w:tr w14:paraId="196AB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5B1B6B4C">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750" w:type="pct"/>
                  <w:vMerge w:val="continue"/>
                  <w:tcBorders>
                    <w:tl2br w:val="nil"/>
                    <w:tr2bl w:val="nil"/>
                  </w:tcBorders>
                  <w:noWrap w:val="0"/>
                  <w:vAlign w:val="center"/>
                </w:tcPr>
                <w:p w14:paraId="3DF2B689">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2948" w:type="pct"/>
                  <w:tcBorders>
                    <w:tl2br w:val="nil"/>
                    <w:tr2bl w:val="nil"/>
                  </w:tcBorders>
                  <w:shd w:val="clear" w:color="auto" w:fill="auto"/>
                  <w:noWrap w:val="0"/>
                  <w:vAlign w:val="center"/>
                </w:tcPr>
                <w:p w14:paraId="201FF4D3">
                  <w:pPr>
                    <w:keepNext w:val="0"/>
                    <w:keepLines w:val="0"/>
                    <w:widowControl/>
                    <w:suppressLineNumbers w:val="0"/>
                    <w:spacing w:before="0" w:beforeAutospacing="0" w:after="0" w:afterAutospacing="0"/>
                    <w:ind w:left="0" w:right="0"/>
                    <w:jc w:val="left"/>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auto"/>
                      <w:kern w:val="0"/>
                      <w:sz w:val="21"/>
                      <w:szCs w:val="21"/>
                      <w:lang w:val="en-US" w:eastAsia="zh-CN" w:bidi="ar"/>
                    </w:rPr>
                    <w:t>抛丸粉尘：</w:t>
                  </w:r>
                  <w:r>
                    <w:rPr>
                      <w:rFonts w:hint="eastAsia" w:ascii="宋体" w:hAnsi="宋体" w:eastAsia="宋体" w:cs="宋体"/>
                      <w:color w:val="auto"/>
                      <w:kern w:val="0"/>
                      <w:sz w:val="21"/>
                      <w:szCs w:val="21"/>
                      <w:lang w:val="en-US" w:eastAsia="zh-CN" w:bidi="ar"/>
                    </w:rPr>
                    <w:t>经</w:t>
                  </w:r>
                  <w:r>
                    <w:rPr>
                      <w:rFonts w:hint="eastAsia" w:ascii="宋体" w:hAnsi="宋体" w:cs="宋体"/>
                      <w:color w:val="auto"/>
                      <w:kern w:val="0"/>
                      <w:sz w:val="21"/>
                      <w:szCs w:val="21"/>
                      <w:lang w:val="en-US" w:eastAsia="zh-CN" w:bidi="ar"/>
                    </w:rPr>
                    <w:t>现有滤筒除尘器</w:t>
                  </w:r>
                  <w:r>
                    <w:rPr>
                      <w:rFonts w:hint="eastAsia" w:ascii="Times New Roman" w:hAnsi="Times New Roman" w:eastAsia="宋体" w:cs="Times New Roman"/>
                      <w:color w:val="auto"/>
                      <w:kern w:val="0"/>
                      <w:sz w:val="21"/>
                      <w:szCs w:val="21"/>
                      <w:lang w:val="en-US" w:eastAsia="zh-CN" w:bidi="ar"/>
                    </w:rPr>
                    <w:t>（TA00</w:t>
                  </w:r>
                  <w:r>
                    <w:rPr>
                      <w:rFonts w:hint="eastAsia" w:cs="Times New Roman"/>
                      <w:color w:val="auto"/>
                      <w:kern w:val="0"/>
                      <w:sz w:val="21"/>
                      <w:szCs w:val="21"/>
                      <w:lang w:val="en-US" w:eastAsia="zh-CN" w:bidi="ar"/>
                    </w:rPr>
                    <w:t>3</w:t>
                  </w:r>
                  <w:r>
                    <w:rPr>
                      <w:rFonts w:hint="eastAsia"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处理后经</w:t>
                  </w:r>
                  <w:r>
                    <w:rPr>
                      <w:rFonts w:hint="eastAsia" w:ascii="宋体" w:hAnsi="宋体" w:cs="宋体"/>
                      <w:color w:val="auto"/>
                      <w:kern w:val="0"/>
                      <w:sz w:val="21"/>
                      <w:szCs w:val="21"/>
                      <w:lang w:val="en-US" w:eastAsia="zh-CN" w:bidi="ar"/>
                    </w:rPr>
                    <w:t>现有</w:t>
                  </w:r>
                  <w:r>
                    <w:rPr>
                      <w:rFonts w:hint="default" w:ascii="Times New Roman" w:hAnsi="Times New Roman" w:eastAsia="宋体" w:cs="Times New Roman"/>
                      <w:color w:val="auto"/>
                      <w:kern w:val="0"/>
                      <w:sz w:val="21"/>
                      <w:szCs w:val="21"/>
                      <w:lang w:val="en-US" w:eastAsia="zh-CN" w:bidi="ar"/>
                    </w:rPr>
                    <w:t>15m</w:t>
                  </w:r>
                  <w:r>
                    <w:rPr>
                      <w:rFonts w:hint="eastAsia" w:ascii="Times New Roman" w:hAnsi="Times New Roman" w:eastAsia="宋体" w:cs="Times New Roman"/>
                      <w:color w:val="auto"/>
                      <w:kern w:val="0"/>
                      <w:sz w:val="21"/>
                      <w:szCs w:val="21"/>
                      <w:lang w:val="en-US" w:eastAsia="zh-CN" w:bidi="ar"/>
                    </w:rPr>
                    <w:t>高</w:t>
                  </w:r>
                  <w:r>
                    <w:rPr>
                      <w:rFonts w:hint="eastAsia" w:ascii="宋体" w:hAnsi="宋体" w:eastAsia="宋体" w:cs="宋体"/>
                      <w:color w:val="auto"/>
                      <w:kern w:val="0"/>
                      <w:sz w:val="21"/>
                      <w:szCs w:val="21"/>
                      <w:lang w:val="en-US" w:eastAsia="zh-CN" w:bidi="ar"/>
                    </w:rPr>
                    <w:t>排气筒达标排放（</w:t>
                  </w:r>
                  <w:r>
                    <w:rPr>
                      <w:rFonts w:hint="default" w:ascii="Times New Roman" w:hAnsi="Times New Roman" w:eastAsia="宋体" w:cs="Times New Roman"/>
                      <w:color w:val="auto"/>
                      <w:kern w:val="0"/>
                      <w:sz w:val="21"/>
                      <w:szCs w:val="21"/>
                      <w:lang w:val="en-US" w:eastAsia="zh-CN" w:bidi="ar"/>
                    </w:rPr>
                    <w:t>DA00</w:t>
                  </w:r>
                  <w:r>
                    <w:rPr>
                      <w:rFonts w:hint="eastAsia"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w:t>
                  </w:r>
                </w:p>
              </w:tc>
              <w:tc>
                <w:tcPr>
                  <w:tcW w:w="850" w:type="pct"/>
                  <w:tcBorders>
                    <w:tl2br w:val="nil"/>
                    <w:tr2bl w:val="nil"/>
                  </w:tcBorders>
                  <w:noWrap w:val="0"/>
                  <w:vAlign w:val="center"/>
                </w:tcPr>
                <w:p w14:paraId="7C9881BD">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color w:val="auto"/>
                      <w:spacing w:val="0"/>
                      <w:position w:val="0"/>
                      <w:sz w:val="21"/>
                      <w:szCs w:val="21"/>
                      <w:u w:val="none" w:color="auto"/>
                      <w:lang w:val="en-US" w:eastAsia="zh-CN"/>
                    </w:rPr>
                  </w:pPr>
                  <w:r>
                    <w:rPr>
                      <w:rFonts w:hint="eastAsia" w:hAnsi="Times New Roman" w:cs="Times New Roman"/>
                      <w:color w:val="auto"/>
                      <w:spacing w:val="0"/>
                      <w:position w:val="0"/>
                      <w:sz w:val="21"/>
                      <w:szCs w:val="21"/>
                      <w:u w:val="none" w:color="auto"/>
                      <w:lang w:val="en-US" w:eastAsia="zh-CN"/>
                    </w:rPr>
                    <w:t>依托，</w:t>
                  </w:r>
                  <w:r>
                    <w:rPr>
                      <w:rFonts w:hint="eastAsia" w:cs="Times New Roman"/>
                      <w:b w:val="0"/>
                      <w:bCs/>
                      <w:color w:val="auto"/>
                      <w:spacing w:val="0"/>
                      <w:position w:val="0"/>
                      <w:sz w:val="21"/>
                      <w:szCs w:val="21"/>
                      <w:u w:val="none" w:color="auto"/>
                      <w:lang w:val="en-US" w:eastAsia="zh-CN"/>
                    </w:rPr>
                    <w:t>在</w:t>
                  </w:r>
                  <w:r>
                    <w:rPr>
                      <w:rFonts w:hint="eastAsia" w:hAnsi="Times New Roman" w:cs="Times New Roman"/>
                      <w:color w:val="auto"/>
                      <w:spacing w:val="0"/>
                      <w:position w:val="0"/>
                      <w:sz w:val="21"/>
                      <w:szCs w:val="21"/>
                      <w:u w:val="none" w:color="auto"/>
                      <w:lang w:val="en-US" w:eastAsia="zh-CN"/>
                    </w:rPr>
                    <w:t>建</w:t>
                  </w:r>
                </w:p>
              </w:tc>
            </w:tr>
            <w:tr w14:paraId="763F9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450" w:type="pct"/>
                  <w:vMerge w:val="continue"/>
                  <w:tcBorders>
                    <w:tl2br w:val="nil"/>
                    <w:tr2bl w:val="nil"/>
                  </w:tcBorders>
                  <w:noWrap w:val="0"/>
                  <w:vAlign w:val="center"/>
                </w:tcPr>
                <w:p w14:paraId="4E018EE5">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750" w:type="pct"/>
                  <w:vMerge w:val="continue"/>
                  <w:tcBorders>
                    <w:tl2br w:val="nil"/>
                    <w:tr2bl w:val="nil"/>
                  </w:tcBorders>
                  <w:noWrap w:val="0"/>
                  <w:vAlign w:val="center"/>
                </w:tcPr>
                <w:p w14:paraId="731C531A">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2948" w:type="pct"/>
                  <w:tcBorders>
                    <w:tl2br w:val="nil"/>
                    <w:tr2bl w:val="nil"/>
                  </w:tcBorders>
                  <w:shd w:val="clear" w:color="auto" w:fill="auto"/>
                  <w:noWrap w:val="0"/>
                  <w:vAlign w:val="center"/>
                </w:tcPr>
                <w:p w14:paraId="2882914A">
                  <w:pPr>
                    <w:keepNext w:val="0"/>
                    <w:keepLines w:val="0"/>
                    <w:widowControl/>
                    <w:suppressLineNumbers w:val="0"/>
                    <w:spacing w:before="0" w:beforeAutospacing="0" w:after="0" w:afterAutospacing="0"/>
                    <w:ind w:left="0" w:right="0"/>
                    <w:jc w:val="left"/>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有机废气（包括调漆、</w:t>
                  </w:r>
                  <w:r>
                    <w:rPr>
                      <w:rFonts w:hint="eastAsia" w:ascii="宋体" w:hAnsi="宋体" w:cs="宋体"/>
                      <w:b/>
                      <w:bCs/>
                      <w:color w:val="auto"/>
                      <w:kern w:val="0"/>
                      <w:sz w:val="21"/>
                      <w:szCs w:val="21"/>
                      <w:lang w:val="en-US" w:eastAsia="zh-CN" w:bidi="ar"/>
                    </w:rPr>
                    <w:t>刷</w:t>
                  </w:r>
                  <w:r>
                    <w:rPr>
                      <w:rFonts w:hint="eastAsia" w:ascii="宋体" w:hAnsi="宋体" w:eastAsia="宋体" w:cs="宋体"/>
                      <w:b/>
                      <w:bCs/>
                      <w:color w:val="auto"/>
                      <w:kern w:val="0"/>
                      <w:sz w:val="21"/>
                      <w:szCs w:val="21"/>
                      <w:lang w:val="en-US" w:eastAsia="zh-CN" w:bidi="ar"/>
                    </w:rPr>
                    <w:t>漆、晾干废气）：</w:t>
                  </w:r>
                  <w:r>
                    <w:rPr>
                      <w:rFonts w:hint="eastAsia" w:ascii="宋体" w:hAnsi="宋体" w:eastAsia="宋体" w:cs="宋体"/>
                      <w:color w:val="auto"/>
                      <w:kern w:val="0"/>
                      <w:sz w:val="21"/>
                      <w:szCs w:val="21"/>
                      <w:lang w:val="en-US" w:eastAsia="zh-CN" w:bidi="ar"/>
                    </w:rPr>
                    <w:t>喷漆房</w:t>
                  </w:r>
                  <w:r>
                    <w:rPr>
                      <w:rFonts w:hint="eastAsia" w:ascii="宋体" w:hAnsi="宋体" w:cs="宋体"/>
                      <w:color w:val="auto"/>
                      <w:kern w:val="0"/>
                      <w:sz w:val="21"/>
                      <w:szCs w:val="21"/>
                      <w:lang w:val="en-US" w:eastAsia="zh-CN" w:bidi="ar"/>
                    </w:rPr>
                    <w:t>有机</w:t>
                  </w:r>
                  <w:r>
                    <w:rPr>
                      <w:rFonts w:hint="eastAsia" w:ascii="宋体" w:hAnsi="宋体" w:eastAsia="宋体" w:cs="宋体"/>
                      <w:color w:val="auto"/>
                      <w:kern w:val="0"/>
                      <w:sz w:val="21"/>
                      <w:szCs w:val="21"/>
                      <w:lang w:val="en-US" w:eastAsia="zh-CN" w:bidi="ar"/>
                    </w:rPr>
                    <w:t>废气</w:t>
                  </w:r>
                  <w:r>
                    <w:rPr>
                      <w:rFonts w:hint="eastAsia" w:ascii="宋体" w:hAnsi="宋体" w:cs="宋体"/>
                      <w:color w:val="auto"/>
                      <w:kern w:val="0"/>
                      <w:sz w:val="21"/>
                      <w:szCs w:val="21"/>
                      <w:lang w:val="en-US" w:eastAsia="zh-CN" w:bidi="ar"/>
                    </w:rPr>
                    <w:t>经</w:t>
                  </w:r>
                  <w:r>
                    <w:rPr>
                      <w:rFonts w:hint="eastAsia" w:ascii="宋体" w:hAnsi="宋体" w:eastAsia="宋体" w:cs="宋体"/>
                      <w:color w:val="auto"/>
                      <w:kern w:val="0"/>
                      <w:sz w:val="21"/>
                      <w:szCs w:val="21"/>
                      <w:lang w:val="en-US" w:eastAsia="zh-CN" w:bidi="ar"/>
                    </w:rPr>
                    <w:t>密闭</w:t>
                  </w:r>
                  <w:r>
                    <w:rPr>
                      <w:rFonts w:hint="default" w:ascii="Times New Roman" w:hAnsi="Times New Roman" w:eastAsia="宋体" w:cs="Times New Roman"/>
                      <w:color w:val="auto"/>
                      <w:kern w:val="0"/>
                      <w:sz w:val="21"/>
                      <w:szCs w:val="21"/>
                      <w:lang w:val="en-US" w:eastAsia="zh-CN" w:bidi="ar"/>
                    </w:rPr>
                    <w:t>负压收集，</w:t>
                  </w:r>
                  <w:r>
                    <w:rPr>
                      <w:rFonts w:hint="default" w:ascii="Times New Roman" w:hAnsi="Times New Roman" w:cs="Times New Roman"/>
                      <w:color w:val="auto"/>
                      <w:kern w:val="0"/>
                      <w:sz w:val="21"/>
                      <w:szCs w:val="21"/>
                      <w:lang w:val="en-US" w:eastAsia="zh-CN" w:bidi="ar"/>
                    </w:rPr>
                    <w:t>通过</w:t>
                  </w:r>
                  <w:r>
                    <w:rPr>
                      <w:rFonts w:hint="default" w:ascii="Times New Roman" w:hAnsi="Times New Roman" w:eastAsia="宋体" w:cs="Times New Roman"/>
                      <w:color w:val="auto"/>
                      <w:kern w:val="0"/>
                      <w:sz w:val="21"/>
                      <w:szCs w:val="21"/>
                      <w:lang w:val="en-US" w:eastAsia="zh-CN" w:bidi="ar"/>
                    </w:rPr>
                    <w:t>管道引至“过滤棉+二级活性炭</w:t>
                  </w:r>
                  <w:r>
                    <w:rPr>
                      <w:rFonts w:hint="default" w:ascii="Times New Roman" w:hAnsi="Times New Roman" w:cs="Times New Roman"/>
                      <w:color w:val="auto"/>
                      <w:kern w:val="0"/>
                      <w:sz w:val="21"/>
                      <w:szCs w:val="21"/>
                      <w:lang w:val="en-US" w:eastAsia="zh-CN" w:bidi="ar"/>
                    </w:rPr>
                    <w:t>（TA002）</w:t>
                  </w:r>
                  <w:r>
                    <w:rPr>
                      <w:rFonts w:hint="default" w:ascii="Times New Roman" w:hAnsi="Times New Roman" w:eastAsia="宋体" w:cs="Times New Roman"/>
                      <w:color w:val="auto"/>
                      <w:kern w:val="0"/>
                      <w:sz w:val="21"/>
                      <w:szCs w:val="21"/>
                      <w:lang w:val="en-US" w:eastAsia="zh-CN" w:bidi="ar"/>
                    </w:rPr>
                    <w:t>”废气处理装置，经处理后通过1根15m高排气筒</w:t>
                  </w:r>
                  <w:r>
                    <w:rPr>
                      <w:rFonts w:hint="default" w:ascii="Times New Roman" w:hAnsi="Times New Roman" w:cs="Times New Roman"/>
                      <w:color w:val="auto"/>
                      <w:kern w:val="0"/>
                      <w:sz w:val="21"/>
                      <w:szCs w:val="21"/>
                      <w:lang w:val="en-US" w:eastAsia="zh-CN" w:bidi="ar"/>
                    </w:rPr>
                    <w:t>达标</w:t>
                  </w:r>
                  <w:r>
                    <w:rPr>
                      <w:rFonts w:hint="default" w:ascii="Times New Roman" w:hAnsi="Times New Roman" w:eastAsia="宋体" w:cs="Times New Roman"/>
                      <w:color w:val="auto"/>
                      <w:kern w:val="0"/>
                      <w:sz w:val="21"/>
                      <w:szCs w:val="21"/>
                      <w:lang w:val="en-US" w:eastAsia="zh-CN" w:bidi="ar"/>
                    </w:rPr>
                    <w:t>排放(DA002</w:t>
                  </w:r>
                  <w:r>
                    <w:rPr>
                      <w:rFonts w:hint="eastAsia" w:ascii="宋体" w:hAnsi="宋体" w:eastAsia="宋体" w:cs="宋体"/>
                      <w:color w:val="auto"/>
                      <w:kern w:val="0"/>
                      <w:sz w:val="21"/>
                      <w:szCs w:val="21"/>
                      <w:lang w:val="en-US" w:eastAsia="zh-CN" w:bidi="ar"/>
                    </w:rPr>
                    <w:t>）。</w:t>
                  </w:r>
                </w:p>
              </w:tc>
              <w:tc>
                <w:tcPr>
                  <w:tcW w:w="850" w:type="pct"/>
                  <w:tcBorders>
                    <w:tl2br w:val="nil"/>
                    <w:tr2bl w:val="nil"/>
                  </w:tcBorders>
                  <w:noWrap w:val="0"/>
                  <w:vAlign w:val="center"/>
                </w:tcPr>
                <w:p w14:paraId="15718508">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eastAsia" w:cs="Times New Roman"/>
                      <w:b w:val="0"/>
                      <w:bCs/>
                      <w:color w:val="auto"/>
                      <w:spacing w:val="0"/>
                      <w:position w:val="0"/>
                      <w:sz w:val="21"/>
                      <w:szCs w:val="21"/>
                      <w:u w:val="none" w:color="auto"/>
                      <w:lang w:val="en-US" w:eastAsia="zh-CN"/>
                    </w:rPr>
                  </w:pPr>
                  <w:r>
                    <w:rPr>
                      <w:rFonts w:hint="eastAsia" w:hAnsi="Times New Roman" w:cs="Times New Roman"/>
                      <w:color w:val="auto"/>
                      <w:spacing w:val="0"/>
                      <w:position w:val="0"/>
                      <w:sz w:val="21"/>
                      <w:szCs w:val="21"/>
                      <w:u w:val="none" w:color="auto"/>
                      <w:lang w:val="en-US" w:eastAsia="zh-CN"/>
                    </w:rPr>
                    <w:t>依托，在建</w:t>
                  </w:r>
                </w:p>
              </w:tc>
            </w:tr>
            <w:tr w14:paraId="7DC99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0B4F5DF0">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750" w:type="pct"/>
                  <w:tcBorders>
                    <w:tl2br w:val="nil"/>
                    <w:tr2bl w:val="nil"/>
                  </w:tcBorders>
                  <w:noWrap w:val="0"/>
                  <w:vAlign w:val="center"/>
                </w:tcPr>
                <w:p w14:paraId="44AB0369">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r>
                    <w:rPr>
                      <w:rFonts w:hint="default" w:ascii="Times New Roman" w:hAnsi="Times New Roman" w:eastAsia="宋体" w:cs="Times New Roman"/>
                      <w:color w:val="auto"/>
                      <w:spacing w:val="0"/>
                      <w:position w:val="0"/>
                      <w:sz w:val="21"/>
                      <w:szCs w:val="21"/>
                      <w:u w:val="none" w:color="auto"/>
                      <w:lang w:eastAsia="zh-CN"/>
                    </w:rPr>
                    <w:t>噪声</w:t>
                  </w:r>
                </w:p>
              </w:tc>
              <w:tc>
                <w:tcPr>
                  <w:tcW w:w="2948" w:type="pct"/>
                  <w:tcBorders>
                    <w:tl2br w:val="nil"/>
                    <w:tr2bl w:val="nil"/>
                  </w:tcBorders>
                  <w:noWrap w:val="0"/>
                  <w:vAlign w:val="center"/>
                </w:tcPr>
                <w:p w14:paraId="58D7AD36">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r>
                    <w:rPr>
                      <w:rFonts w:hint="eastAsia"/>
                      <w:color w:val="auto"/>
                      <w:sz w:val="21"/>
                      <w:szCs w:val="21"/>
                      <w:u w:val="none"/>
                      <w:lang w:eastAsia="zh-CN"/>
                    </w:rPr>
                    <w:t>优先选用低噪声设备，采取基础减振、厂房隔声等防治措施，加强设备维护保养等管理措施。</w:t>
                  </w:r>
                </w:p>
              </w:tc>
              <w:tc>
                <w:tcPr>
                  <w:tcW w:w="850" w:type="pct"/>
                  <w:tcBorders>
                    <w:tl2br w:val="nil"/>
                    <w:tr2bl w:val="nil"/>
                  </w:tcBorders>
                  <w:noWrap w:val="0"/>
                  <w:vAlign w:val="center"/>
                </w:tcPr>
                <w:p w14:paraId="2ECDDFAB">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cs="Times New Roman"/>
                      <w:color w:val="auto"/>
                      <w:spacing w:val="0"/>
                      <w:position w:val="0"/>
                      <w:sz w:val="21"/>
                      <w:szCs w:val="21"/>
                      <w:u w:val="none" w:color="auto"/>
                      <w:lang w:val="en-US" w:eastAsia="zh-CN"/>
                    </w:rPr>
                    <w:t>新建</w:t>
                  </w:r>
                </w:p>
              </w:tc>
            </w:tr>
            <w:tr w14:paraId="09462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4B26FB12">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750" w:type="pct"/>
                  <w:vMerge w:val="restart"/>
                  <w:tcBorders>
                    <w:tl2br w:val="nil"/>
                    <w:tr2bl w:val="nil"/>
                  </w:tcBorders>
                  <w:noWrap w:val="0"/>
                  <w:vAlign w:val="center"/>
                </w:tcPr>
                <w:p w14:paraId="4E9CB8A6">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r>
                    <w:rPr>
                      <w:rFonts w:hint="default" w:ascii="Times New Roman" w:hAnsi="Times New Roman" w:eastAsia="宋体" w:cs="Times New Roman"/>
                      <w:color w:val="auto"/>
                      <w:spacing w:val="0"/>
                      <w:position w:val="0"/>
                      <w:sz w:val="21"/>
                      <w:szCs w:val="21"/>
                      <w:u w:val="none" w:color="auto"/>
                      <w:lang w:eastAsia="zh-CN"/>
                    </w:rPr>
                    <w:t>固废</w:t>
                  </w:r>
                </w:p>
              </w:tc>
              <w:tc>
                <w:tcPr>
                  <w:tcW w:w="2948" w:type="pct"/>
                  <w:tcBorders>
                    <w:tl2br w:val="nil"/>
                    <w:tr2bl w:val="nil"/>
                  </w:tcBorders>
                  <w:noWrap w:val="0"/>
                  <w:vAlign w:val="center"/>
                </w:tcPr>
                <w:p w14:paraId="511A1D7D">
                  <w:pPr>
                    <w:keepNext w:val="0"/>
                    <w:keepLines w:val="0"/>
                    <w:suppressLineNumbers w:val="0"/>
                    <w:spacing w:before="0" w:beforeAutospacing="0" w:after="0" w:afterAutospacing="0"/>
                    <w:ind w:left="0" w:right="0"/>
                    <w:outlineLvl w:val="1"/>
                    <w:rPr>
                      <w:rFonts w:hint="default" w:ascii="Times New Roman" w:hAnsi="Times New Roman" w:eastAsia="宋体" w:cs="Times New Roman"/>
                      <w:color w:val="auto"/>
                      <w:spacing w:val="0"/>
                      <w:position w:val="0"/>
                      <w:sz w:val="21"/>
                      <w:szCs w:val="21"/>
                      <w:u w:val="none" w:color="auto"/>
                      <w:lang w:eastAsia="zh-CN"/>
                    </w:rPr>
                  </w:pPr>
                  <w:r>
                    <w:rPr>
                      <w:rFonts w:hint="eastAsia" w:ascii="Times New Roman" w:hAnsi="Times New Roman" w:eastAsia="宋体" w:cs="Times New Roman"/>
                      <w:b/>
                      <w:bCs/>
                      <w:u w:val="none"/>
                      <w:lang w:eastAsia="zh-CN"/>
                    </w:rPr>
                    <w:t>一般固废：</w:t>
                  </w:r>
                  <w:r>
                    <w:rPr>
                      <w:rFonts w:hint="eastAsia" w:ascii="Times New Roman" w:hAnsi="Times New Roman" w:eastAsia="宋体" w:cs="Times New Roman"/>
                      <w:u w:val="none"/>
                      <w:lang w:eastAsia="zh-CN"/>
                    </w:rPr>
                    <w:t>在生产厂房</w:t>
                  </w:r>
                  <w:r>
                    <w:rPr>
                      <w:rFonts w:hint="eastAsia" w:ascii="Times New Roman" w:hAnsi="Times New Roman" w:cs="Times New Roman"/>
                      <w:u w:val="none"/>
                      <w:lang w:eastAsia="zh-CN"/>
                    </w:rPr>
                    <w:t>西</w:t>
                  </w:r>
                  <w:r>
                    <w:rPr>
                      <w:rFonts w:hint="eastAsia" w:ascii="Times New Roman" w:hAnsi="Times New Roman" w:eastAsia="宋体" w:cs="Times New Roman"/>
                      <w:u w:val="none"/>
                      <w:lang w:eastAsia="zh-CN"/>
                    </w:rPr>
                    <w:t>南</w:t>
                  </w:r>
                  <w:r>
                    <w:rPr>
                      <w:rFonts w:hint="eastAsia" w:ascii="Times New Roman" w:hAnsi="Times New Roman" w:cs="Times New Roman"/>
                      <w:u w:val="none"/>
                      <w:lang w:eastAsia="zh-CN"/>
                    </w:rPr>
                    <w:t>侧</w:t>
                  </w:r>
                  <w:r>
                    <w:rPr>
                      <w:rFonts w:hint="eastAsia" w:ascii="Times New Roman" w:hAnsi="Times New Roman" w:eastAsia="宋体" w:cs="Times New Roman"/>
                      <w:u w:val="none"/>
                      <w:lang w:eastAsia="zh-CN"/>
                    </w:rPr>
                    <w:t>设置一座</w:t>
                  </w:r>
                  <w:r>
                    <w:rPr>
                      <w:rFonts w:hint="eastAsia" w:ascii="Times New Roman" w:hAnsi="Times New Roman" w:eastAsia="宋体" w:cs="Times New Roman"/>
                      <w:u w:val="none"/>
                      <w:lang w:val="en-US" w:eastAsia="zh-CN"/>
                    </w:rPr>
                    <w:t>30m</w:t>
                  </w:r>
                  <w:r>
                    <w:rPr>
                      <w:rFonts w:hint="eastAsia" w:ascii="Times New Roman" w:hAnsi="Times New Roman" w:eastAsia="宋体" w:cs="Times New Roman"/>
                      <w:u w:val="none"/>
                      <w:vertAlign w:val="superscript"/>
                      <w:lang w:val="en-US" w:eastAsia="zh-CN"/>
                    </w:rPr>
                    <w:t>2</w:t>
                  </w:r>
                  <w:r>
                    <w:rPr>
                      <w:rFonts w:hint="eastAsia" w:ascii="Times New Roman" w:hAnsi="Times New Roman" w:eastAsia="宋体" w:cs="Times New Roman"/>
                      <w:u w:val="none"/>
                      <w:lang w:val="en-US" w:eastAsia="zh-CN"/>
                    </w:rPr>
                    <w:t>的</w:t>
                  </w:r>
                  <w:r>
                    <w:rPr>
                      <w:rFonts w:hint="eastAsia" w:ascii="Times New Roman" w:hAnsi="Times New Roman" w:eastAsia="宋体" w:cs="Times New Roman"/>
                      <w:u w:val="none"/>
                      <w:lang w:eastAsia="zh-CN"/>
                    </w:rPr>
                    <w:t>一般固废暂存间，用于分类暂存生产过程中产生的机加工金属边角料、焊渣、布袋收集的粉尘等。</w:t>
                  </w:r>
                </w:p>
              </w:tc>
              <w:tc>
                <w:tcPr>
                  <w:tcW w:w="850" w:type="pct"/>
                  <w:tcBorders>
                    <w:tl2br w:val="nil"/>
                    <w:tr2bl w:val="nil"/>
                  </w:tcBorders>
                  <w:noWrap w:val="0"/>
                  <w:vAlign w:val="center"/>
                </w:tcPr>
                <w:p w14:paraId="154ED27C">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cs="Times New Roman"/>
                      <w:color w:val="auto"/>
                      <w:spacing w:val="0"/>
                      <w:position w:val="0"/>
                      <w:sz w:val="21"/>
                      <w:szCs w:val="21"/>
                      <w:u w:val="none" w:color="auto"/>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47451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00887755">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750" w:type="pct"/>
                  <w:vMerge w:val="continue"/>
                  <w:tcBorders>
                    <w:tl2br w:val="nil"/>
                    <w:tr2bl w:val="nil"/>
                  </w:tcBorders>
                  <w:noWrap w:val="0"/>
                  <w:vAlign w:val="center"/>
                </w:tcPr>
                <w:p w14:paraId="054C487F">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2948" w:type="pct"/>
                  <w:tcBorders>
                    <w:tl2br w:val="nil"/>
                    <w:tr2bl w:val="nil"/>
                  </w:tcBorders>
                  <w:noWrap w:val="0"/>
                  <w:vAlign w:val="center"/>
                </w:tcPr>
                <w:p w14:paraId="73F923DA">
                  <w:pPr>
                    <w:keepNext w:val="0"/>
                    <w:keepLines w:val="0"/>
                    <w:suppressLineNumbers w:val="0"/>
                    <w:spacing w:before="0" w:beforeAutospacing="0" w:after="0" w:afterAutospacing="0"/>
                    <w:ind w:left="0" w:right="0"/>
                    <w:outlineLvl w:val="1"/>
                    <w:rPr>
                      <w:rFonts w:hint="default" w:ascii="Times New Roman" w:hAnsi="Times New Roman" w:eastAsia="宋体" w:cs="Times New Roman"/>
                      <w:color w:val="auto"/>
                      <w:spacing w:val="0"/>
                      <w:position w:val="0"/>
                      <w:sz w:val="21"/>
                      <w:szCs w:val="21"/>
                      <w:u w:val="none" w:color="auto"/>
                      <w:lang w:eastAsia="zh-CN"/>
                    </w:rPr>
                  </w:pPr>
                  <w:r>
                    <w:rPr>
                      <w:rFonts w:hint="eastAsia" w:ascii="Times New Roman" w:hAnsi="Times New Roman" w:eastAsia="宋体" w:cs="Times New Roman"/>
                      <w:b/>
                      <w:bCs/>
                      <w:u w:val="none"/>
                      <w:lang w:eastAsia="zh-CN"/>
                    </w:rPr>
                    <w:t>危险固废：</w:t>
                  </w:r>
                  <w:r>
                    <w:rPr>
                      <w:rFonts w:hint="eastAsia" w:ascii="Times New Roman" w:hAnsi="Times New Roman" w:eastAsia="宋体" w:cs="Times New Roman"/>
                      <w:b w:val="0"/>
                      <w:bCs w:val="0"/>
                      <w:u w:val="none"/>
                      <w:lang w:eastAsia="zh-CN"/>
                    </w:rPr>
                    <w:t>在生产厂房</w:t>
                  </w:r>
                  <w:r>
                    <w:rPr>
                      <w:rFonts w:hint="eastAsia" w:ascii="Times New Roman" w:hAnsi="Times New Roman" w:cs="Times New Roman"/>
                      <w:b w:val="0"/>
                      <w:bCs w:val="0"/>
                      <w:u w:val="none"/>
                      <w:lang w:eastAsia="zh-CN"/>
                    </w:rPr>
                    <w:t>西</w:t>
                  </w:r>
                  <w:r>
                    <w:rPr>
                      <w:rFonts w:hint="eastAsia" w:ascii="Times New Roman" w:hAnsi="Times New Roman" w:eastAsia="宋体" w:cs="Times New Roman"/>
                      <w:b w:val="0"/>
                      <w:bCs w:val="0"/>
                      <w:u w:val="none"/>
                      <w:lang w:eastAsia="zh-CN"/>
                    </w:rPr>
                    <w:t>南侧设置一座</w:t>
                  </w:r>
                  <w:r>
                    <w:rPr>
                      <w:rFonts w:hint="eastAsia" w:ascii="Times New Roman" w:hAnsi="Times New Roman" w:eastAsia="宋体" w:cs="Times New Roman"/>
                      <w:b w:val="0"/>
                      <w:bCs w:val="0"/>
                      <w:u w:val="none"/>
                      <w:lang w:val="en-US" w:eastAsia="zh-CN"/>
                    </w:rPr>
                    <w:t>2</w:t>
                  </w:r>
                  <w:r>
                    <w:rPr>
                      <w:rFonts w:hint="eastAsia" w:ascii="Times New Roman" w:hAnsi="Times New Roman" w:eastAsia="宋体" w:cs="Times New Roman"/>
                      <w:u w:val="none"/>
                      <w:lang w:val="en-US" w:eastAsia="zh-CN"/>
                    </w:rPr>
                    <w:t>0m</w:t>
                  </w:r>
                  <w:r>
                    <w:rPr>
                      <w:rFonts w:hint="eastAsia" w:ascii="Times New Roman" w:hAnsi="Times New Roman" w:eastAsia="宋体" w:cs="Times New Roman"/>
                      <w:u w:val="none"/>
                      <w:vertAlign w:val="superscript"/>
                      <w:lang w:val="en-US" w:eastAsia="zh-CN"/>
                    </w:rPr>
                    <w:t>2</w:t>
                  </w:r>
                  <w:r>
                    <w:rPr>
                      <w:rFonts w:hint="eastAsia" w:ascii="Times New Roman" w:hAnsi="Times New Roman" w:eastAsia="宋体" w:cs="Times New Roman"/>
                      <w:u w:val="none"/>
                      <w:lang w:val="en-US" w:eastAsia="zh-CN"/>
                    </w:rPr>
                    <w:t>的危险废物暂存间，用于暂存</w:t>
                  </w:r>
                  <w:r>
                    <w:rPr>
                      <w:rFonts w:hint="eastAsia" w:ascii="Times New Roman" w:hAnsi="Times New Roman" w:eastAsia="宋体" w:cs="Times New Roman"/>
                      <w:u w:val="none"/>
                      <w:lang w:eastAsia="zh-CN"/>
                    </w:rPr>
                    <w:t>废液压油、废活性炭、</w:t>
                  </w:r>
                  <w:r>
                    <w:rPr>
                      <w:rFonts w:hint="eastAsia" w:ascii="Times New Roman" w:hAnsi="Times New Roman" w:eastAsia="宋体" w:cs="Times New Roman"/>
                      <w:u w:val="none"/>
                      <w:lang w:val="en-US" w:eastAsia="zh-CN"/>
                    </w:rPr>
                    <w:t>废包装桶等</w:t>
                  </w:r>
                  <w:r>
                    <w:rPr>
                      <w:rFonts w:hint="eastAsia" w:ascii="Times New Roman" w:hAnsi="Times New Roman" w:eastAsia="宋体" w:cs="Times New Roman"/>
                      <w:u w:val="none"/>
                      <w:lang w:eastAsia="zh-CN"/>
                    </w:rPr>
                    <w:t>危险废物，暂存后定期委托相关资质单位处理。</w:t>
                  </w:r>
                </w:p>
              </w:tc>
              <w:tc>
                <w:tcPr>
                  <w:tcW w:w="850" w:type="pct"/>
                  <w:tcBorders>
                    <w:tl2br w:val="nil"/>
                    <w:tr2bl w:val="nil"/>
                  </w:tcBorders>
                  <w:noWrap w:val="0"/>
                  <w:vAlign w:val="center"/>
                </w:tcPr>
                <w:p w14:paraId="0F3C0915">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cs="Times New Roman"/>
                      <w:color w:val="auto"/>
                      <w:spacing w:val="0"/>
                      <w:position w:val="0"/>
                      <w:sz w:val="21"/>
                      <w:szCs w:val="21"/>
                      <w:u w:val="none" w:color="auto"/>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r w14:paraId="6BB48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Merge w:val="continue"/>
                  <w:tcBorders>
                    <w:tl2br w:val="nil"/>
                    <w:tr2bl w:val="nil"/>
                  </w:tcBorders>
                  <w:noWrap w:val="0"/>
                  <w:vAlign w:val="center"/>
                </w:tcPr>
                <w:p w14:paraId="63DD9610">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750" w:type="pct"/>
                  <w:vMerge w:val="continue"/>
                  <w:tcBorders>
                    <w:tl2br w:val="nil"/>
                    <w:tr2bl w:val="nil"/>
                  </w:tcBorders>
                  <w:noWrap w:val="0"/>
                  <w:vAlign w:val="center"/>
                </w:tcPr>
                <w:p w14:paraId="653C668F">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p>
              </w:tc>
              <w:tc>
                <w:tcPr>
                  <w:tcW w:w="2948" w:type="pct"/>
                  <w:tcBorders>
                    <w:tl2br w:val="nil"/>
                    <w:tr2bl w:val="nil"/>
                  </w:tcBorders>
                  <w:noWrap w:val="0"/>
                  <w:vAlign w:val="center"/>
                </w:tcPr>
                <w:p w14:paraId="014D0779">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eastAsia="zh-CN"/>
                    </w:rPr>
                  </w:pPr>
                  <w:r>
                    <w:rPr>
                      <w:rFonts w:hint="eastAsia" w:ascii="Times New Roman" w:hAnsi="Times New Roman" w:eastAsia="宋体" w:cs="Times New Roman"/>
                      <w:b/>
                      <w:bCs/>
                      <w:u w:val="none"/>
                      <w:lang w:eastAsia="zh-CN"/>
                    </w:rPr>
                    <w:t>生活垃圾：</w:t>
                  </w:r>
                  <w:r>
                    <w:rPr>
                      <w:rFonts w:hint="eastAsia" w:ascii="Times New Roman" w:hAnsi="Times New Roman" w:eastAsia="宋体" w:cs="Times New Roman"/>
                      <w:u w:val="none"/>
                      <w:lang w:eastAsia="zh-CN"/>
                    </w:rPr>
                    <w:t>垃圾桶收集后交由环卫部门清运处理。</w:t>
                  </w:r>
                </w:p>
              </w:tc>
              <w:tc>
                <w:tcPr>
                  <w:tcW w:w="850" w:type="pct"/>
                  <w:tcBorders>
                    <w:tl2br w:val="nil"/>
                    <w:tr2bl w:val="nil"/>
                  </w:tcBorders>
                  <w:noWrap w:val="0"/>
                  <w:vAlign w:val="center"/>
                </w:tcPr>
                <w:p w14:paraId="52B0A980">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cs="Times New Roman"/>
                      <w:color w:val="auto"/>
                      <w:spacing w:val="0"/>
                      <w:position w:val="0"/>
                      <w:sz w:val="21"/>
                      <w:szCs w:val="21"/>
                      <w:u w:val="none" w:color="auto"/>
                      <w:lang w:val="en-US" w:eastAsia="zh-CN"/>
                    </w:rPr>
                    <w:t>依托</w:t>
                  </w:r>
                  <w:r>
                    <w:rPr>
                      <w:rFonts w:hint="eastAsia" w:ascii="Times New Roman" w:hAnsi="Times New Roman" w:cs="Times New Roman"/>
                      <w:b w:val="0"/>
                      <w:bCs/>
                      <w:color w:val="auto"/>
                      <w:spacing w:val="0"/>
                      <w:position w:val="0"/>
                      <w:sz w:val="21"/>
                      <w:szCs w:val="21"/>
                      <w:u w:val="none" w:color="auto"/>
                      <w:lang w:val="en-US" w:eastAsia="zh-CN"/>
                    </w:rPr>
                    <w:t>，</w:t>
                  </w:r>
                  <w:r>
                    <w:rPr>
                      <w:rFonts w:hint="eastAsia" w:cs="Times New Roman"/>
                      <w:b w:val="0"/>
                      <w:bCs/>
                      <w:color w:val="auto"/>
                      <w:spacing w:val="0"/>
                      <w:position w:val="0"/>
                      <w:sz w:val="21"/>
                      <w:szCs w:val="21"/>
                      <w:u w:val="none" w:color="auto"/>
                      <w:lang w:val="en-US" w:eastAsia="zh-CN"/>
                    </w:rPr>
                    <w:t>已</w:t>
                  </w:r>
                  <w:r>
                    <w:rPr>
                      <w:rFonts w:hint="default" w:ascii="Times New Roman" w:hAnsi="Times New Roman" w:cs="Times New Roman"/>
                      <w:b w:val="0"/>
                      <w:bCs/>
                      <w:color w:val="auto"/>
                      <w:spacing w:val="0"/>
                      <w:position w:val="0"/>
                      <w:sz w:val="21"/>
                      <w:szCs w:val="21"/>
                      <w:u w:val="none" w:color="auto"/>
                      <w:lang w:val="en-US" w:eastAsia="zh-CN"/>
                    </w:rPr>
                    <w:t>建</w:t>
                  </w:r>
                </w:p>
              </w:tc>
            </w:tr>
          </w:tbl>
          <w:p w14:paraId="255869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outlineLvl w:val="9"/>
              <w:rPr>
                <w:rFonts w:hint="default" w:ascii="Times New Roman" w:hAnsi="Times New Roman" w:eastAsia="宋体" w:cs="Times New Roman"/>
                <w:b/>
                <w:bCs w:val="0"/>
                <w:color w:val="auto"/>
                <w:spacing w:val="0"/>
                <w:position w:val="0"/>
                <w:sz w:val="24"/>
                <w:u w:val="none" w:color="auto"/>
                <w:lang w:val="en-US" w:eastAsia="zh-CN"/>
              </w:rPr>
            </w:pPr>
            <w:r>
              <w:rPr>
                <w:rFonts w:hint="eastAsia" w:cs="Times New Roman"/>
                <w:b/>
                <w:bCs/>
                <w:color w:val="auto"/>
                <w:spacing w:val="0"/>
                <w:position w:val="0"/>
                <w:sz w:val="24"/>
                <w:szCs w:val="24"/>
                <w:u w:val="none" w:color="auto"/>
                <w:lang w:val="en-US" w:eastAsia="zh-CN"/>
              </w:rPr>
              <w:t>4</w:t>
            </w:r>
            <w:r>
              <w:rPr>
                <w:rFonts w:hint="default" w:ascii="Times New Roman" w:hAnsi="Times New Roman" w:eastAsia="宋体" w:cs="Times New Roman"/>
                <w:b/>
                <w:bCs/>
                <w:color w:val="auto"/>
                <w:spacing w:val="0"/>
                <w:position w:val="0"/>
                <w:sz w:val="24"/>
                <w:szCs w:val="24"/>
                <w:u w:val="none" w:color="auto"/>
                <w:lang w:val="en-US" w:eastAsia="zh-CN"/>
              </w:rPr>
              <w:t>、</w:t>
            </w:r>
            <w:r>
              <w:rPr>
                <w:rFonts w:hint="default" w:ascii="Times New Roman" w:hAnsi="Times New Roman" w:eastAsia="宋体" w:cs="Times New Roman"/>
                <w:b/>
                <w:bCs w:val="0"/>
                <w:color w:val="auto"/>
                <w:spacing w:val="0"/>
                <w:position w:val="0"/>
                <w:sz w:val="24"/>
                <w:u w:val="none" w:color="auto"/>
                <w:lang w:val="en-US" w:eastAsia="zh-CN"/>
              </w:rPr>
              <w:t>依托工程</w:t>
            </w:r>
          </w:p>
          <w:p w14:paraId="284984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 w:val="0"/>
                <w:bCs/>
                <w:color w:val="auto"/>
                <w:spacing w:val="0"/>
                <w:position w:val="0"/>
                <w:sz w:val="24"/>
                <w:u w:val="none" w:color="auto"/>
                <w:lang w:val="en-US" w:eastAsia="zh-CN"/>
              </w:rPr>
            </w:pPr>
            <w:r>
              <w:rPr>
                <w:rFonts w:hint="default" w:ascii="Times New Roman" w:hAnsi="Times New Roman" w:eastAsia="宋体" w:cs="Times New Roman"/>
                <w:b w:val="0"/>
                <w:bCs/>
                <w:color w:val="auto"/>
                <w:spacing w:val="0"/>
                <w:position w:val="0"/>
                <w:sz w:val="24"/>
                <w:u w:val="none" w:color="auto"/>
                <w:lang w:val="en-US" w:eastAsia="zh-CN"/>
              </w:rPr>
              <w:t>项目依托工程及可行性分析如下</w:t>
            </w:r>
            <w:r>
              <w:rPr>
                <w:rFonts w:hint="eastAsia" w:cs="Times New Roman"/>
                <w:b w:val="0"/>
                <w:bCs/>
                <w:color w:val="auto"/>
                <w:spacing w:val="0"/>
                <w:position w:val="0"/>
                <w:sz w:val="24"/>
                <w:u w:val="none" w:color="auto"/>
                <w:lang w:val="en-US" w:eastAsia="zh-CN"/>
              </w:rPr>
              <w:t>表所示：</w:t>
            </w:r>
          </w:p>
          <w:p w14:paraId="285FB9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default" w:ascii="Times New Roman" w:hAnsi="Times New Roman" w:eastAsia="宋体" w:cs="Times New Roman"/>
                <w:b/>
                <w:bCs/>
                <w:color w:val="auto"/>
                <w:spacing w:val="0"/>
                <w:position w:val="0"/>
                <w:sz w:val="24"/>
                <w:szCs w:val="24"/>
                <w:u w:val="none" w:color="auto"/>
                <w:lang w:val="en-US" w:eastAsia="zh-CN"/>
              </w:rPr>
              <w:t>表2-</w:t>
            </w:r>
            <w:r>
              <w:rPr>
                <w:rFonts w:hint="eastAsia" w:eastAsia="宋体" w:cs="Times New Roman"/>
                <w:b/>
                <w:bCs/>
                <w:color w:val="auto"/>
                <w:spacing w:val="0"/>
                <w:position w:val="0"/>
                <w:sz w:val="24"/>
                <w:szCs w:val="24"/>
                <w:u w:val="none" w:color="auto"/>
                <w:lang w:val="en-US" w:eastAsia="zh-CN"/>
              </w:rPr>
              <w:t>2</w:t>
            </w:r>
            <w:r>
              <w:rPr>
                <w:rFonts w:hint="default" w:ascii="Times New Roman" w:hAnsi="Times New Roman" w:eastAsia="宋体" w:cs="Times New Roman"/>
                <w:b/>
                <w:bCs/>
                <w:color w:val="auto"/>
                <w:spacing w:val="0"/>
                <w:position w:val="0"/>
                <w:sz w:val="24"/>
                <w:szCs w:val="24"/>
                <w:u w:val="none" w:color="auto"/>
                <w:lang w:val="en-US" w:eastAsia="zh-CN"/>
              </w:rPr>
              <w:t xml:space="preserve">   主要依托情况一览表</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410"/>
              <w:gridCol w:w="795"/>
              <w:gridCol w:w="2979"/>
              <w:gridCol w:w="3613"/>
            </w:tblGrid>
            <w:tr w14:paraId="05B16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tcBorders>
                    <w:tl2br w:val="nil"/>
                    <w:tr2bl w:val="nil"/>
                  </w:tcBorders>
                  <w:noWrap w:val="0"/>
                  <w:vAlign w:val="center"/>
                </w:tcPr>
                <w:p w14:paraId="019DB9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position w:val="0"/>
                      <w:sz w:val="21"/>
                      <w:szCs w:val="21"/>
                      <w:u w:val="none" w:color="auto"/>
                      <w:vertAlign w:val="baseline"/>
                      <w:lang w:val="en-US" w:eastAsia="zh-CN"/>
                    </w:rPr>
                  </w:pPr>
                  <w:r>
                    <w:rPr>
                      <w:rFonts w:hint="default" w:ascii="Times New Roman" w:hAnsi="Times New Roman" w:eastAsia="宋体" w:cs="Times New Roman"/>
                      <w:b/>
                      <w:bCs/>
                      <w:color w:val="auto"/>
                      <w:spacing w:val="0"/>
                      <w:position w:val="0"/>
                      <w:sz w:val="21"/>
                      <w:szCs w:val="21"/>
                      <w:u w:val="none" w:color="auto"/>
                      <w:vertAlign w:val="baseline"/>
                      <w:lang w:val="en-US" w:eastAsia="zh-CN"/>
                    </w:rPr>
                    <w:t>项目</w:t>
                  </w:r>
                </w:p>
              </w:tc>
              <w:tc>
                <w:tcPr>
                  <w:tcW w:w="700" w:type="pct"/>
                  <w:gridSpan w:val="2"/>
                  <w:tcBorders>
                    <w:tl2br w:val="nil"/>
                    <w:tr2bl w:val="nil"/>
                  </w:tcBorders>
                  <w:noWrap w:val="0"/>
                  <w:vAlign w:val="center"/>
                </w:tcPr>
                <w:p w14:paraId="50802A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position w:val="0"/>
                      <w:sz w:val="21"/>
                      <w:szCs w:val="21"/>
                      <w:u w:val="none" w:color="auto"/>
                      <w:vertAlign w:val="baseline"/>
                      <w:lang w:val="en-US" w:eastAsia="zh-CN"/>
                    </w:rPr>
                  </w:pPr>
                  <w:r>
                    <w:rPr>
                      <w:rFonts w:hint="default" w:ascii="Times New Roman" w:hAnsi="Times New Roman" w:eastAsia="宋体" w:cs="Times New Roman"/>
                      <w:b/>
                      <w:bCs/>
                      <w:color w:val="auto"/>
                      <w:spacing w:val="0"/>
                      <w:position w:val="0"/>
                      <w:sz w:val="21"/>
                      <w:szCs w:val="21"/>
                      <w:u w:val="none" w:color="auto"/>
                      <w:vertAlign w:val="baseline"/>
                      <w:lang w:val="en-US" w:eastAsia="zh-CN"/>
                    </w:rPr>
                    <w:t>建设内容</w:t>
                  </w:r>
                </w:p>
              </w:tc>
              <w:tc>
                <w:tcPr>
                  <w:tcW w:w="1731" w:type="pct"/>
                  <w:tcBorders>
                    <w:tl2br w:val="nil"/>
                    <w:tr2bl w:val="nil"/>
                  </w:tcBorders>
                  <w:noWrap w:val="0"/>
                  <w:vAlign w:val="center"/>
                </w:tcPr>
                <w:p w14:paraId="25AB48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position w:val="0"/>
                      <w:sz w:val="21"/>
                      <w:szCs w:val="21"/>
                      <w:u w:val="none" w:color="auto"/>
                      <w:vertAlign w:val="baseline"/>
                      <w:lang w:val="en-US" w:eastAsia="zh-CN"/>
                    </w:rPr>
                  </w:pPr>
                  <w:r>
                    <w:rPr>
                      <w:rFonts w:hint="default" w:ascii="Times New Roman" w:hAnsi="Times New Roman" w:eastAsia="宋体" w:cs="Times New Roman"/>
                      <w:b/>
                      <w:bCs/>
                      <w:color w:val="auto"/>
                      <w:spacing w:val="0"/>
                      <w:position w:val="0"/>
                      <w:sz w:val="21"/>
                      <w:szCs w:val="21"/>
                      <w:u w:val="none" w:color="auto"/>
                      <w:vertAlign w:val="baseline"/>
                      <w:lang w:val="en-US" w:eastAsia="zh-CN"/>
                    </w:rPr>
                    <w:t>现有</w:t>
                  </w:r>
                  <w:r>
                    <w:rPr>
                      <w:rFonts w:hint="eastAsia" w:cs="Times New Roman"/>
                      <w:b/>
                      <w:bCs/>
                      <w:color w:val="auto"/>
                      <w:spacing w:val="0"/>
                      <w:position w:val="0"/>
                      <w:sz w:val="21"/>
                      <w:szCs w:val="21"/>
                      <w:u w:val="none" w:color="auto"/>
                      <w:vertAlign w:val="baseline"/>
                      <w:lang w:val="en-US" w:eastAsia="zh-CN"/>
                    </w:rPr>
                    <w:t>情况</w:t>
                  </w:r>
                </w:p>
              </w:tc>
              <w:tc>
                <w:tcPr>
                  <w:tcW w:w="2100" w:type="pct"/>
                  <w:tcBorders>
                    <w:tl2br w:val="nil"/>
                    <w:tr2bl w:val="nil"/>
                  </w:tcBorders>
                  <w:noWrap w:val="0"/>
                  <w:vAlign w:val="center"/>
                </w:tcPr>
                <w:p w14:paraId="5DCB04F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position w:val="0"/>
                      <w:sz w:val="21"/>
                      <w:szCs w:val="21"/>
                      <w:u w:val="none" w:color="auto"/>
                      <w:vertAlign w:val="baseline"/>
                      <w:lang w:val="en-US" w:eastAsia="zh-CN"/>
                    </w:rPr>
                  </w:pPr>
                  <w:r>
                    <w:rPr>
                      <w:rFonts w:hint="default" w:ascii="Times New Roman" w:hAnsi="Times New Roman" w:eastAsia="宋体" w:cs="Times New Roman"/>
                      <w:b/>
                      <w:bCs/>
                      <w:color w:val="auto"/>
                      <w:spacing w:val="0"/>
                      <w:position w:val="0"/>
                      <w:sz w:val="21"/>
                      <w:szCs w:val="21"/>
                      <w:u w:val="none" w:color="auto"/>
                      <w:vertAlign w:val="baseline"/>
                      <w:lang w:val="en-US" w:eastAsia="zh-CN"/>
                    </w:rPr>
                    <w:t>依托可行性分析</w:t>
                  </w:r>
                </w:p>
              </w:tc>
            </w:tr>
            <w:tr w14:paraId="26D0F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tcBorders>
                    <w:tl2br w:val="nil"/>
                    <w:tr2bl w:val="nil"/>
                  </w:tcBorders>
                  <w:noWrap w:val="0"/>
                  <w:vAlign w:val="center"/>
                </w:tcPr>
                <w:p w14:paraId="6EDDBB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position w:val="0"/>
                      <w:sz w:val="21"/>
                      <w:szCs w:val="21"/>
                      <w:u w:val="none" w:color="auto"/>
                      <w:vertAlign w:val="baseline"/>
                      <w:lang w:val="en-US" w:eastAsia="zh-CN"/>
                    </w:rPr>
                  </w:pPr>
                  <w:r>
                    <w:rPr>
                      <w:rFonts w:hint="eastAsia" w:cs="Times New Roman"/>
                      <w:b/>
                      <w:bCs/>
                      <w:color w:val="auto"/>
                      <w:spacing w:val="0"/>
                      <w:position w:val="0"/>
                      <w:sz w:val="21"/>
                      <w:szCs w:val="21"/>
                      <w:u w:val="none" w:color="auto"/>
                      <w:vertAlign w:val="baseline"/>
                      <w:lang w:val="en-US" w:eastAsia="zh-CN"/>
                    </w:rPr>
                    <w:t>主体工程</w:t>
                  </w:r>
                </w:p>
              </w:tc>
              <w:tc>
                <w:tcPr>
                  <w:tcW w:w="700" w:type="pct"/>
                  <w:gridSpan w:val="2"/>
                  <w:tcBorders>
                    <w:tl2br w:val="nil"/>
                    <w:tr2bl w:val="nil"/>
                  </w:tcBorders>
                  <w:shd w:val="clear" w:color="auto" w:fill="auto"/>
                  <w:noWrap w:val="0"/>
                  <w:vAlign w:val="center"/>
                </w:tcPr>
                <w:p w14:paraId="6563A3BA">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kern w:val="0"/>
                      <w:position w:val="0"/>
                      <w:sz w:val="21"/>
                      <w:szCs w:val="21"/>
                      <w:highlight w:val="none"/>
                      <w:u w:val="none" w:color="auto"/>
                      <w:lang w:val="en-US" w:eastAsia="zh-CN" w:bidi="ar"/>
                    </w:rPr>
                  </w:pPr>
                  <w:r>
                    <w:rPr>
                      <w:rFonts w:hint="eastAsia" w:hAnsi="Times New Roman" w:cs="Times New Roman"/>
                      <w:color w:val="auto"/>
                      <w:spacing w:val="0"/>
                      <w:kern w:val="0"/>
                      <w:position w:val="0"/>
                      <w:sz w:val="21"/>
                      <w:szCs w:val="21"/>
                      <w:highlight w:val="none"/>
                      <w:u w:val="none" w:color="auto"/>
                      <w:lang w:eastAsia="zh-CN" w:bidi="ar"/>
                    </w:rPr>
                    <w:t>生产厂房</w:t>
                  </w:r>
                </w:p>
              </w:tc>
              <w:tc>
                <w:tcPr>
                  <w:tcW w:w="1731" w:type="pct"/>
                  <w:tcBorders>
                    <w:tl2br w:val="nil"/>
                    <w:tr2bl w:val="nil"/>
                  </w:tcBorders>
                  <w:shd w:val="clear" w:color="auto" w:fill="auto"/>
                  <w:noWrap w:val="0"/>
                  <w:vAlign w:val="center"/>
                </w:tcPr>
                <w:p w14:paraId="6021FDA9">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kern w:val="2"/>
                      <w:position w:val="0"/>
                      <w:sz w:val="21"/>
                      <w:szCs w:val="21"/>
                      <w:u w:val="none" w:color="auto"/>
                      <w:lang w:val="en-US" w:eastAsia="zh-CN" w:bidi="ar-SA"/>
                    </w:rPr>
                  </w:pPr>
                  <w:r>
                    <w:rPr>
                      <w:rFonts w:hint="default" w:ascii="Times New Roman" w:hAnsi="Times New Roman" w:cs="Times New Roman" w:eastAsiaTheme="minorEastAsia"/>
                      <w:b w:val="0"/>
                      <w:bCs w:val="0"/>
                      <w:color w:val="auto"/>
                      <w:sz w:val="21"/>
                      <w:szCs w:val="21"/>
                      <w:highlight w:val="none"/>
                      <w:u w:val="none"/>
                      <w:vertAlign w:val="baseline"/>
                      <w:lang w:val="en-US" w:eastAsia="zh-CN"/>
                    </w:rPr>
                    <w:t>建筑面积约</w:t>
                  </w:r>
                  <w:r>
                    <w:rPr>
                      <w:rFonts w:hint="eastAsia" w:hAnsi="Times New Roman" w:cs="Times New Roman" w:eastAsiaTheme="minorEastAsia"/>
                      <w:b w:val="0"/>
                      <w:bCs w:val="0"/>
                      <w:color w:val="auto"/>
                      <w:sz w:val="21"/>
                      <w:szCs w:val="21"/>
                      <w:highlight w:val="none"/>
                      <w:u w:val="none"/>
                      <w:vertAlign w:val="baseline"/>
                      <w:lang w:val="en-US" w:eastAsia="zh-CN"/>
                    </w:rPr>
                    <w:t>9352.25</w:t>
                  </w:r>
                  <w:r>
                    <w:rPr>
                      <w:rFonts w:hint="default" w:ascii="Times New Roman" w:hAnsi="Times New Roman" w:cs="Times New Roman" w:eastAsiaTheme="minorEastAsia"/>
                      <w:color w:val="auto"/>
                      <w:sz w:val="21"/>
                      <w:szCs w:val="21"/>
                      <w:u w:val="none"/>
                    </w:rPr>
                    <w:t>m</w:t>
                  </w:r>
                  <w:r>
                    <w:rPr>
                      <w:rFonts w:hint="default" w:ascii="Times New Roman" w:hAnsi="Times New Roman" w:cs="Times New Roman" w:eastAsiaTheme="minorEastAsia"/>
                      <w:color w:val="auto"/>
                      <w:sz w:val="21"/>
                      <w:szCs w:val="21"/>
                      <w:u w:val="none"/>
                      <w:vertAlign w:val="superscript"/>
                    </w:rPr>
                    <w:t>2</w:t>
                  </w:r>
                  <w:r>
                    <w:rPr>
                      <w:rFonts w:hint="default" w:ascii="Times New Roman" w:hAnsi="Times New Roman" w:cs="Times New Roman" w:eastAsiaTheme="minorEastAsia"/>
                      <w:color w:val="auto"/>
                      <w:sz w:val="21"/>
                      <w:szCs w:val="21"/>
                      <w:u w:val="none"/>
                      <w:vertAlign w:val="baseline"/>
                      <w:lang w:eastAsia="zh-CN"/>
                    </w:rPr>
                    <w:t>，</w:t>
                  </w:r>
                  <w:r>
                    <w:rPr>
                      <w:rFonts w:hint="default" w:ascii="Times New Roman" w:hAnsi="Times New Roman" w:cs="Times New Roman" w:eastAsiaTheme="minorEastAsia"/>
                      <w:color w:val="auto"/>
                      <w:sz w:val="21"/>
                      <w:szCs w:val="21"/>
                      <w:u w:val="none"/>
                      <w:lang w:val="en-US" w:eastAsia="zh-CN"/>
                    </w:rPr>
                    <w:t>单层，H=12m</w:t>
                  </w:r>
                  <w:r>
                    <w:rPr>
                      <w:rFonts w:hint="eastAsia" w:ascii="Times New Roman" w:hAnsi="Times New Roman" w:cs="Times New Roman" w:eastAsiaTheme="minorEastAsia"/>
                      <w:color w:val="auto"/>
                      <w:sz w:val="21"/>
                      <w:szCs w:val="21"/>
                      <w:u w:val="none"/>
                      <w:lang w:val="en-US" w:eastAsia="zh-CN"/>
                    </w:rPr>
                    <w:t>。</w:t>
                  </w:r>
                  <w:r>
                    <w:rPr>
                      <w:rFonts w:hint="eastAsia" w:hAnsi="Times New Roman" w:cs="Times New Roman" w:eastAsiaTheme="minorEastAsia"/>
                      <w:color w:val="auto"/>
                      <w:sz w:val="21"/>
                      <w:szCs w:val="21"/>
                      <w:u w:val="none"/>
                      <w:lang w:val="en-US" w:eastAsia="zh-CN"/>
                    </w:rPr>
                    <w:t>一阶段</w:t>
                  </w:r>
                  <w:r>
                    <w:rPr>
                      <w:rFonts w:hint="eastAsia" w:ascii="Times New Roman" w:hAnsi="Times New Roman" w:cs="Times New Roman" w:eastAsiaTheme="minorEastAsia"/>
                      <w:color w:val="auto"/>
                      <w:sz w:val="21"/>
                      <w:szCs w:val="21"/>
                      <w:u w:val="none"/>
                      <w:lang w:val="en-US" w:eastAsia="zh-CN"/>
                    </w:rPr>
                    <w:t>实际建设内容</w:t>
                  </w:r>
                  <w:r>
                    <w:rPr>
                      <w:rFonts w:hint="default" w:ascii="Times New Roman" w:hAnsi="Times New Roman" w:cs="Times New Roman" w:eastAsiaTheme="minorEastAsia"/>
                      <w:color w:val="auto"/>
                      <w:sz w:val="21"/>
                      <w:szCs w:val="21"/>
                      <w:u w:val="none"/>
                      <w:lang w:val="en-US" w:eastAsia="zh-CN"/>
                    </w:rPr>
                    <w:t>主要包括原材料堆放区、机加工区、焊接区、组装区，主要布置卷板机、折边机、切割机、电焊机、钻床、铣床、车床等。</w:t>
                  </w:r>
                  <w:r>
                    <w:rPr>
                      <w:rFonts w:hint="eastAsia" w:ascii="Times New Roman" w:hAnsi="Times New Roman" w:cs="Times New Roman" w:eastAsiaTheme="minorEastAsia"/>
                      <w:color w:val="auto"/>
                      <w:sz w:val="21"/>
                      <w:szCs w:val="21"/>
                      <w:u w:val="none"/>
                      <w:lang w:val="en-US" w:eastAsia="zh-CN"/>
                    </w:rPr>
                    <w:t>二</w:t>
                  </w:r>
                  <w:r>
                    <w:rPr>
                      <w:rFonts w:hint="eastAsia" w:hAnsi="Times New Roman" w:cs="Times New Roman" w:eastAsiaTheme="minorEastAsia"/>
                      <w:color w:val="auto"/>
                      <w:sz w:val="21"/>
                      <w:szCs w:val="21"/>
                      <w:u w:val="none"/>
                      <w:lang w:val="en-US" w:eastAsia="zh-CN"/>
                    </w:rPr>
                    <w:t>阶段</w:t>
                  </w:r>
                  <w:r>
                    <w:rPr>
                      <w:rFonts w:hint="eastAsia" w:ascii="Times New Roman" w:hAnsi="Times New Roman" w:cs="Times New Roman" w:eastAsiaTheme="minorEastAsia"/>
                      <w:color w:val="auto"/>
                      <w:sz w:val="21"/>
                      <w:szCs w:val="21"/>
                      <w:u w:val="none"/>
                      <w:lang w:val="en-US" w:eastAsia="zh-CN"/>
                    </w:rPr>
                    <w:t>抛丸机和喷漆房均在建。</w:t>
                  </w:r>
                </w:p>
              </w:tc>
              <w:tc>
                <w:tcPr>
                  <w:tcW w:w="2100" w:type="pct"/>
                  <w:tcBorders>
                    <w:tl2br w:val="nil"/>
                    <w:tr2bl w:val="nil"/>
                  </w:tcBorders>
                  <w:shd w:val="clear" w:color="auto" w:fill="auto"/>
                  <w:noWrap w:val="0"/>
                  <w:vAlign w:val="center"/>
                </w:tcPr>
                <w:p w14:paraId="5B8B44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21"/>
                      <w:szCs w:val="21"/>
                      <w:u w:val="none" w:color="auto"/>
                      <w:vertAlign w:val="baseline"/>
                      <w:lang w:val="en-US" w:eastAsia="zh-CN" w:bidi="ar-SA"/>
                    </w:rPr>
                  </w:pPr>
                  <w:r>
                    <w:rPr>
                      <w:rFonts w:hint="eastAsia" w:hAnsi="Times New Roman" w:cs="Times New Roman"/>
                      <w:color w:val="auto"/>
                      <w:spacing w:val="0"/>
                      <w:kern w:val="2"/>
                      <w:position w:val="0"/>
                      <w:sz w:val="21"/>
                      <w:szCs w:val="21"/>
                      <w:u w:val="none" w:color="auto"/>
                      <w:lang w:val="en-US" w:eastAsia="zh-CN" w:bidi="ar-SA"/>
                    </w:rPr>
                    <w:t>本项目钢结构和水冷散热器生产时部分</w:t>
                  </w:r>
                  <w:r>
                    <w:rPr>
                      <w:rFonts w:hint="eastAsia" w:cs="Times New Roman"/>
                      <w:color w:val="auto"/>
                      <w:spacing w:val="0"/>
                      <w:kern w:val="2"/>
                      <w:position w:val="0"/>
                      <w:sz w:val="21"/>
                      <w:szCs w:val="21"/>
                      <w:u w:val="none" w:color="auto"/>
                      <w:lang w:val="en-US" w:eastAsia="zh-CN" w:bidi="ar-SA"/>
                    </w:rPr>
                    <w:t>机加工</w:t>
                  </w:r>
                  <w:r>
                    <w:rPr>
                      <w:rFonts w:hint="eastAsia" w:hAnsi="Times New Roman" w:cs="Times New Roman"/>
                      <w:color w:val="auto"/>
                      <w:spacing w:val="0"/>
                      <w:kern w:val="2"/>
                      <w:position w:val="0"/>
                      <w:sz w:val="21"/>
                      <w:szCs w:val="21"/>
                      <w:u w:val="none" w:color="auto"/>
                      <w:lang w:val="en-US" w:eastAsia="zh-CN" w:bidi="ar-SA"/>
                    </w:rPr>
                    <w:t>生产设备如卷板机、折边机、激光切割机、</w:t>
                  </w:r>
                  <w:r>
                    <w:rPr>
                      <w:rFonts w:hint="default" w:ascii="Times New Roman" w:hAnsi="Times New Roman" w:eastAsia="宋体" w:cs="Times New Roman"/>
                      <w:i w:val="0"/>
                      <w:iCs w:val="0"/>
                      <w:color w:val="auto"/>
                      <w:kern w:val="0"/>
                      <w:sz w:val="21"/>
                      <w:szCs w:val="21"/>
                      <w:u w:val="none"/>
                      <w:lang w:val="en-US" w:eastAsia="zh-CN" w:bidi="ar"/>
                    </w:rPr>
                    <w:t>钻床</w:t>
                  </w:r>
                  <w:r>
                    <w:rPr>
                      <w:rFonts w:hint="eastAsia" w:hAnsi="Times New Roman"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桁车</w:t>
                  </w:r>
                  <w:r>
                    <w:rPr>
                      <w:rFonts w:hint="eastAsia" w:hAnsi="Times New Roman" w:cs="Times New Roman"/>
                      <w:color w:val="auto"/>
                      <w:spacing w:val="0"/>
                      <w:kern w:val="2"/>
                      <w:position w:val="0"/>
                      <w:sz w:val="21"/>
                      <w:szCs w:val="21"/>
                      <w:u w:val="none" w:color="auto"/>
                      <w:lang w:val="en-US" w:eastAsia="zh-CN" w:bidi="ar-SA"/>
                    </w:rPr>
                    <w:t>等均依托现有</w:t>
                  </w:r>
                  <w:r>
                    <w:rPr>
                      <w:rFonts w:hint="eastAsia" w:cs="Times New Roman"/>
                      <w:color w:val="auto"/>
                      <w:spacing w:val="0"/>
                      <w:kern w:val="2"/>
                      <w:position w:val="0"/>
                      <w:sz w:val="21"/>
                      <w:szCs w:val="21"/>
                      <w:u w:val="none" w:color="auto"/>
                      <w:lang w:val="en-US" w:eastAsia="zh-CN" w:bidi="ar-SA"/>
                    </w:rPr>
                    <w:t>一阶段已建</w:t>
                  </w:r>
                  <w:r>
                    <w:rPr>
                      <w:rFonts w:hint="eastAsia" w:hAnsi="Times New Roman" w:cs="Times New Roman"/>
                      <w:color w:val="auto"/>
                      <w:spacing w:val="0"/>
                      <w:kern w:val="2"/>
                      <w:position w:val="0"/>
                      <w:sz w:val="21"/>
                      <w:szCs w:val="21"/>
                      <w:u w:val="none" w:color="auto"/>
                      <w:lang w:val="en-US" w:eastAsia="zh-CN" w:bidi="ar-SA"/>
                    </w:rPr>
                    <w:t>设备</w:t>
                  </w:r>
                  <w:r>
                    <w:rPr>
                      <w:rFonts w:hint="eastAsia" w:cs="Times New Roman"/>
                      <w:color w:val="auto"/>
                      <w:spacing w:val="0"/>
                      <w:kern w:val="2"/>
                      <w:position w:val="0"/>
                      <w:sz w:val="21"/>
                      <w:szCs w:val="21"/>
                      <w:u w:val="none" w:color="auto"/>
                      <w:lang w:val="en-US" w:eastAsia="zh-CN" w:bidi="ar-SA"/>
                    </w:rPr>
                    <w:t>；</w:t>
                  </w:r>
                  <w:r>
                    <w:rPr>
                      <w:rFonts w:hint="eastAsia" w:hAnsi="Times New Roman" w:cs="Times New Roman"/>
                      <w:color w:val="auto"/>
                      <w:spacing w:val="0"/>
                      <w:kern w:val="2"/>
                      <w:position w:val="0"/>
                      <w:sz w:val="21"/>
                      <w:szCs w:val="21"/>
                      <w:u w:val="none" w:color="auto"/>
                      <w:lang w:val="en-US" w:eastAsia="zh-CN" w:bidi="ar-SA"/>
                    </w:rPr>
                    <w:t>抛丸机、喷漆房等待二</w:t>
                  </w:r>
                  <w:r>
                    <w:rPr>
                      <w:rFonts w:hint="eastAsia" w:cs="Times New Roman"/>
                      <w:color w:val="auto"/>
                      <w:spacing w:val="0"/>
                      <w:kern w:val="2"/>
                      <w:position w:val="0"/>
                      <w:sz w:val="21"/>
                      <w:szCs w:val="21"/>
                      <w:u w:val="none" w:color="auto"/>
                      <w:lang w:val="en-US" w:eastAsia="zh-CN" w:bidi="ar-SA"/>
                    </w:rPr>
                    <w:t>阶段</w:t>
                  </w:r>
                  <w:r>
                    <w:rPr>
                      <w:rFonts w:hint="eastAsia" w:hAnsi="Times New Roman" w:cs="Times New Roman"/>
                      <w:color w:val="auto"/>
                      <w:spacing w:val="0"/>
                      <w:kern w:val="2"/>
                      <w:position w:val="0"/>
                      <w:sz w:val="21"/>
                      <w:szCs w:val="21"/>
                      <w:u w:val="none" w:color="auto"/>
                      <w:lang w:val="en-US" w:eastAsia="zh-CN" w:bidi="ar-SA"/>
                    </w:rPr>
                    <w:t>建设完成后，本项目依托其设备进行抛丸和喷漆。本项目通过增加劳动定员</w:t>
                  </w:r>
                  <w:r>
                    <w:rPr>
                      <w:rFonts w:hint="eastAsia" w:cs="Times New Roman"/>
                      <w:color w:val="auto"/>
                      <w:spacing w:val="0"/>
                      <w:kern w:val="2"/>
                      <w:position w:val="0"/>
                      <w:sz w:val="21"/>
                      <w:szCs w:val="21"/>
                      <w:u w:val="none" w:color="auto"/>
                      <w:lang w:val="en-US" w:eastAsia="zh-CN" w:bidi="ar-SA"/>
                    </w:rPr>
                    <w:t>和工作时间</w:t>
                  </w:r>
                  <w:r>
                    <w:rPr>
                      <w:rFonts w:hint="eastAsia" w:hAnsi="Times New Roman" w:cs="Times New Roman"/>
                      <w:color w:val="auto"/>
                      <w:spacing w:val="0"/>
                      <w:kern w:val="2"/>
                      <w:position w:val="0"/>
                      <w:sz w:val="21"/>
                      <w:szCs w:val="21"/>
                      <w:u w:val="none" w:color="auto"/>
                      <w:lang w:val="en-US" w:eastAsia="zh-CN" w:bidi="ar-SA"/>
                    </w:rPr>
                    <w:t>，同时对整个生产厂房平面布置进行合理调整，</w:t>
                  </w:r>
                  <w:r>
                    <w:rPr>
                      <w:rFonts w:hint="eastAsia" w:cs="Times New Roman"/>
                      <w:b w:val="0"/>
                      <w:bCs w:val="0"/>
                      <w:color w:val="auto"/>
                      <w:spacing w:val="0"/>
                      <w:position w:val="0"/>
                      <w:sz w:val="21"/>
                      <w:szCs w:val="21"/>
                      <w:u w:val="none" w:color="auto"/>
                      <w:vertAlign w:val="baseline"/>
                      <w:lang w:val="en-US" w:eastAsia="zh-CN"/>
                    </w:rPr>
                    <w:t>可满足</w:t>
                  </w:r>
                  <w:r>
                    <w:rPr>
                      <w:rFonts w:hint="eastAsia" w:hAnsi="Times New Roman" w:cs="Times New Roman"/>
                      <w:color w:val="auto"/>
                      <w:spacing w:val="0"/>
                      <w:kern w:val="2"/>
                      <w:position w:val="0"/>
                      <w:sz w:val="21"/>
                      <w:szCs w:val="21"/>
                      <w:u w:val="none" w:color="auto"/>
                      <w:lang w:val="en-US" w:eastAsia="zh-CN" w:bidi="ar-SA"/>
                    </w:rPr>
                    <w:t>钢结构和水冷散热器</w:t>
                  </w:r>
                  <w:r>
                    <w:rPr>
                      <w:rFonts w:hint="eastAsia" w:cs="Times New Roman"/>
                      <w:b w:val="0"/>
                      <w:bCs w:val="0"/>
                      <w:color w:val="auto"/>
                      <w:spacing w:val="0"/>
                      <w:position w:val="0"/>
                      <w:sz w:val="21"/>
                      <w:szCs w:val="21"/>
                      <w:u w:val="none" w:color="auto"/>
                      <w:vertAlign w:val="baseline"/>
                      <w:lang w:val="en-US" w:eastAsia="zh-CN"/>
                    </w:rPr>
                    <w:t>生产需要，依托可行</w:t>
                  </w:r>
                </w:p>
              </w:tc>
            </w:tr>
            <w:tr w14:paraId="5F431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tcBorders>
                    <w:tl2br w:val="nil"/>
                    <w:tr2bl w:val="nil"/>
                  </w:tcBorders>
                  <w:noWrap w:val="0"/>
                  <w:vAlign w:val="center"/>
                </w:tcPr>
                <w:p w14:paraId="539F26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position w:val="0"/>
                      <w:sz w:val="21"/>
                      <w:szCs w:val="21"/>
                      <w:u w:val="none" w:color="auto"/>
                      <w:vertAlign w:val="baseline"/>
                      <w:lang w:val="en-US" w:eastAsia="zh-CN"/>
                    </w:rPr>
                  </w:pPr>
                  <w:r>
                    <w:rPr>
                      <w:rFonts w:hint="default" w:ascii="Times New Roman" w:hAnsi="Times New Roman" w:eastAsia="宋体" w:cs="Times New Roman"/>
                      <w:b/>
                      <w:bCs/>
                      <w:color w:val="auto"/>
                      <w:spacing w:val="0"/>
                      <w:position w:val="0"/>
                      <w:sz w:val="21"/>
                      <w:szCs w:val="21"/>
                      <w:u w:val="none" w:color="auto"/>
                      <w:lang w:eastAsia="zh-CN"/>
                    </w:rPr>
                    <w:t>辅助</w:t>
                  </w:r>
                  <w:r>
                    <w:rPr>
                      <w:rFonts w:hint="default" w:ascii="Times New Roman" w:hAnsi="Times New Roman" w:eastAsia="宋体" w:cs="Times New Roman"/>
                      <w:b/>
                      <w:bCs/>
                      <w:color w:val="auto"/>
                      <w:spacing w:val="0"/>
                      <w:position w:val="0"/>
                      <w:sz w:val="21"/>
                      <w:szCs w:val="21"/>
                      <w:u w:val="none" w:color="auto"/>
                    </w:rPr>
                    <w:t>工程</w:t>
                  </w:r>
                </w:p>
              </w:tc>
              <w:tc>
                <w:tcPr>
                  <w:tcW w:w="700" w:type="pct"/>
                  <w:gridSpan w:val="2"/>
                  <w:tcBorders>
                    <w:tl2br w:val="nil"/>
                    <w:tr2bl w:val="nil"/>
                  </w:tcBorders>
                  <w:noWrap w:val="0"/>
                  <w:vAlign w:val="center"/>
                </w:tcPr>
                <w:p w14:paraId="3F9F006E">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1"/>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cs="Times New Roman" w:eastAsiaTheme="minorEastAsia"/>
                      <w:color w:val="auto"/>
                      <w:sz w:val="21"/>
                      <w:szCs w:val="21"/>
                      <w:u w:val="none"/>
                      <w:lang w:val="en-US" w:eastAsia="zh-CN"/>
                    </w:rPr>
                    <w:t>1#研发楼</w:t>
                  </w:r>
                </w:p>
              </w:tc>
              <w:tc>
                <w:tcPr>
                  <w:tcW w:w="1731" w:type="pct"/>
                  <w:tcBorders>
                    <w:tl2br w:val="nil"/>
                    <w:tr2bl w:val="nil"/>
                  </w:tcBorders>
                  <w:noWrap w:val="0"/>
                  <w:vAlign w:val="center"/>
                </w:tcPr>
                <w:p w14:paraId="110F9C1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cs="Times New Roman"/>
                      <w:color w:val="auto"/>
                      <w:spacing w:val="0"/>
                      <w:position w:val="0"/>
                      <w:sz w:val="21"/>
                      <w:szCs w:val="21"/>
                      <w:u w:val="none" w:color="auto"/>
                      <w:vertAlign w:val="baseline"/>
                      <w:lang w:val="en-US" w:eastAsia="zh-CN"/>
                    </w:rPr>
                    <w:t>二</w:t>
                  </w:r>
                  <w:r>
                    <w:rPr>
                      <w:rFonts w:hint="eastAsia" w:hAnsi="Times New Roman" w:cs="Times New Roman" w:eastAsiaTheme="minorEastAsia"/>
                      <w:color w:val="auto"/>
                      <w:sz w:val="21"/>
                      <w:szCs w:val="21"/>
                      <w:u w:val="none"/>
                      <w:lang w:val="en-US" w:eastAsia="zh-CN"/>
                    </w:rPr>
                    <w:t>阶段</w:t>
                  </w:r>
                  <w:r>
                    <w:rPr>
                      <w:rFonts w:hint="eastAsia" w:cs="Times New Roman"/>
                      <w:color w:val="auto"/>
                      <w:spacing w:val="0"/>
                      <w:position w:val="0"/>
                      <w:sz w:val="21"/>
                      <w:szCs w:val="21"/>
                      <w:u w:val="none" w:color="auto"/>
                      <w:vertAlign w:val="baseline"/>
                      <w:lang w:val="en-US" w:eastAsia="zh-CN"/>
                    </w:rPr>
                    <w:t>在建，尚未开工。</w:t>
                  </w:r>
                  <w:r>
                    <w:rPr>
                      <w:rFonts w:hint="eastAsia" w:ascii="Times New Roman" w:hAnsi="Times New Roman" w:cs="Times New Roman"/>
                      <w:bCs w:val="0"/>
                      <w:color w:val="auto"/>
                      <w:spacing w:val="0"/>
                      <w:kern w:val="2"/>
                      <w:position w:val="0"/>
                      <w:sz w:val="21"/>
                      <w:szCs w:val="21"/>
                      <w:u w:val="none" w:color="auto"/>
                      <w:lang w:val="en-US" w:eastAsia="zh-CN" w:bidi="ar-SA"/>
                    </w:rPr>
                    <w:t>研发楼</w:t>
                  </w:r>
                  <w:r>
                    <w:rPr>
                      <w:rFonts w:hint="default" w:ascii="Times New Roman" w:hAnsi="Times New Roman" w:eastAsia="宋体" w:cs="Times New Roman"/>
                      <w:bCs w:val="0"/>
                      <w:color w:val="auto"/>
                      <w:spacing w:val="0"/>
                      <w:kern w:val="2"/>
                      <w:position w:val="0"/>
                      <w:sz w:val="21"/>
                      <w:szCs w:val="21"/>
                      <w:u w:val="none" w:color="auto"/>
                      <w:lang w:val="en-US" w:eastAsia="zh-CN" w:bidi="ar-SA"/>
                    </w:rPr>
                    <w:t>位于厂区南侧，6F，H=23.7m。一楼布置展厅、办公室、值班室、消防控制室、弱电机房等；二楼布置值班室；三楼布置办公室、会议室、接待室、档案室；四到六楼布置办公室、会议室和档案室。研发楼主要用于员工办公休息。</w:t>
                  </w:r>
                </w:p>
              </w:tc>
              <w:tc>
                <w:tcPr>
                  <w:tcW w:w="2100" w:type="pct"/>
                  <w:tcBorders>
                    <w:tl2br w:val="nil"/>
                    <w:tr2bl w:val="nil"/>
                  </w:tcBorders>
                  <w:noWrap w:val="0"/>
                  <w:vAlign w:val="center"/>
                </w:tcPr>
                <w:p w14:paraId="54183E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eastAsia" w:ascii="Times New Roman" w:hAnsi="Times New Roman" w:cs="Times New Roman" w:eastAsiaTheme="minorEastAsia"/>
                      <w:color w:val="auto"/>
                      <w:sz w:val="21"/>
                      <w:szCs w:val="21"/>
                      <w:u w:val="none"/>
                      <w:lang w:val="en-US" w:eastAsia="zh-CN"/>
                    </w:rPr>
                    <w:t>本项目新增10名员工，项目新增人员较少，</w:t>
                  </w:r>
                  <w:r>
                    <w:rPr>
                      <w:rFonts w:hint="eastAsia" w:cs="Times New Roman"/>
                      <w:color w:val="auto"/>
                      <w:spacing w:val="0"/>
                      <w:position w:val="0"/>
                      <w:sz w:val="21"/>
                      <w:szCs w:val="21"/>
                      <w:u w:val="none" w:color="auto"/>
                      <w:vertAlign w:val="baseline"/>
                      <w:lang w:val="en-US" w:eastAsia="zh-CN"/>
                    </w:rPr>
                    <w:t>待二</w:t>
                  </w:r>
                  <w:r>
                    <w:rPr>
                      <w:rFonts w:hint="eastAsia" w:hAnsi="Times New Roman" w:cs="Times New Roman" w:eastAsiaTheme="minorEastAsia"/>
                      <w:color w:val="auto"/>
                      <w:sz w:val="21"/>
                      <w:szCs w:val="21"/>
                      <w:u w:val="none"/>
                      <w:lang w:val="en-US" w:eastAsia="zh-CN"/>
                    </w:rPr>
                    <w:t>阶段</w:t>
                  </w:r>
                  <w:r>
                    <w:rPr>
                      <w:rFonts w:hint="eastAsia" w:cs="Times New Roman"/>
                      <w:color w:val="auto"/>
                      <w:spacing w:val="0"/>
                      <w:position w:val="0"/>
                      <w:sz w:val="21"/>
                      <w:szCs w:val="21"/>
                      <w:u w:val="none" w:color="auto"/>
                      <w:vertAlign w:val="baseline"/>
                      <w:lang w:val="en-US" w:eastAsia="zh-CN"/>
                    </w:rPr>
                    <w:t>完成1</w:t>
                  </w:r>
                  <w:r>
                    <w:rPr>
                      <w:rFonts w:hint="default" w:ascii="Times New Roman" w:hAnsi="Times New Roman" w:cs="Times New Roman" w:eastAsiaTheme="minorEastAsia"/>
                      <w:color w:val="auto"/>
                      <w:sz w:val="21"/>
                      <w:szCs w:val="21"/>
                      <w:u w:val="none"/>
                      <w:lang w:val="en-US" w:eastAsia="zh-CN"/>
                    </w:rPr>
                    <w:t>#研发楼</w:t>
                  </w:r>
                  <w:r>
                    <w:rPr>
                      <w:rFonts w:hint="eastAsia" w:ascii="Times New Roman" w:hAnsi="Times New Roman" w:cs="Times New Roman" w:eastAsiaTheme="minorEastAsia"/>
                      <w:color w:val="auto"/>
                      <w:sz w:val="21"/>
                      <w:szCs w:val="21"/>
                      <w:u w:val="none"/>
                      <w:lang w:val="en-US" w:eastAsia="zh-CN"/>
                    </w:rPr>
                    <w:t>建设后，本项目员工可依托</w:t>
                  </w:r>
                  <w:r>
                    <w:rPr>
                      <w:rFonts w:hint="default" w:ascii="Times New Roman" w:hAnsi="Times New Roman" w:cs="Times New Roman" w:eastAsiaTheme="minorEastAsia"/>
                      <w:color w:val="auto"/>
                      <w:sz w:val="21"/>
                      <w:szCs w:val="21"/>
                      <w:u w:val="none"/>
                      <w:lang w:val="en-US" w:eastAsia="zh-CN"/>
                    </w:rPr>
                    <w:t>研发楼</w:t>
                  </w:r>
                  <w:r>
                    <w:rPr>
                      <w:rFonts w:hint="eastAsia" w:ascii="Times New Roman" w:hAnsi="Times New Roman" w:cs="Times New Roman" w:eastAsiaTheme="minorEastAsia"/>
                      <w:color w:val="auto"/>
                      <w:sz w:val="21"/>
                      <w:szCs w:val="21"/>
                      <w:u w:val="none"/>
                      <w:lang w:val="en-US" w:eastAsia="zh-CN"/>
                    </w:rPr>
                    <w:t>进行办公休息。</w:t>
                  </w:r>
                </w:p>
              </w:tc>
            </w:tr>
            <w:tr w14:paraId="38E5F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restart"/>
                  <w:tcBorders>
                    <w:tl2br w:val="nil"/>
                    <w:tr2bl w:val="nil"/>
                  </w:tcBorders>
                  <w:noWrap w:val="0"/>
                  <w:vAlign w:val="center"/>
                </w:tcPr>
                <w:p w14:paraId="255634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position w:val="0"/>
                      <w:sz w:val="21"/>
                      <w:szCs w:val="21"/>
                      <w:u w:val="none" w:color="auto"/>
                      <w:vertAlign w:val="baseline"/>
                      <w:lang w:val="en-US" w:eastAsia="zh-CN"/>
                    </w:rPr>
                  </w:pPr>
                  <w:r>
                    <w:rPr>
                      <w:rFonts w:hint="default" w:ascii="Times New Roman" w:hAnsi="Times New Roman" w:eastAsia="宋体" w:cs="Times New Roman"/>
                      <w:b/>
                      <w:bCs/>
                      <w:color w:val="auto"/>
                      <w:spacing w:val="0"/>
                      <w:position w:val="0"/>
                      <w:sz w:val="21"/>
                      <w:szCs w:val="21"/>
                      <w:u w:val="none" w:color="auto"/>
                      <w:vertAlign w:val="baseline"/>
                      <w:lang w:val="en-US" w:eastAsia="zh-CN"/>
                    </w:rPr>
                    <w:t>公用工程</w:t>
                  </w:r>
                </w:p>
              </w:tc>
              <w:tc>
                <w:tcPr>
                  <w:tcW w:w="700" w:type="pct"/>
                  <w:gridSpan w:val="2"/>
                  <w:tcBorders>
                    <w:tl2br w:val="nil"/>
                    <w:tr2bl w:val="nil"/>
                  </w:tcBorders>
                  <w:noWrap w:val="0"/>
                  <w:vAlign w:val="center"/>
                </w:tcPr>
                <w:p w14:paraId="0E3663E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cs="Times New Roman"/>
                      <w:bCs/>
                      <w:color w:val="auto"/>
                      <w:spacing w:val="0"/>
                      <w:position w:val="0"/>
                      <w:sz w:val="21"/>
                      <w:szCs w:val="21"/>
                      <w:highlight w:val="none"/>
                      <w:u w:val="none" w:color="auto"/>
                      <w:lang w:eastAsia="zh-CN"/>
                    </w:rPr>
                    <w:t>供电系统</w:t>
                  </w:r>
                </w:p>
              </w:tc>
              <w:tc>
                <w:tcPr>
                  <w:tcW w:w="1731" w:type="pct"/>
                  <w:tcBorders>
                    <w:tl2br w:val="nil"/>
                    <w:tr2bl w:val="nil"/>
                  </w:tcBorders>
                  <w:noWrap w:val="0"/>
                  <w:vAlign w:val="center"/>
                </w:tcPr>
                <w:p w14:paraId="44C479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cs="Times New Roman"/>
                      <w:b w:val="0"/>
                      <w:bCs/>
                      <w:color w:val="auto"/>
                      <w:spacing w:val="0"/>
                      <w:position w:val="0"/>
                      <w:sz w:val="21"/>
                      <w:szCs w:val="21"/>
                      <w:u w:val="none" w:color="auto"/>
                    </w:rPr>
                    <w:t>由</w:t>
                  </w:r>
                  <w:r>
                    <w:rPr>
                      <w:rFonts w:hint="eastAsia" w:ascii="Times New Roman" w:cs="Times New Roman"/>
                      <w:b w:val="0"/>
                      <w:bCs/>
                      <w:color w:val="auto"/>
                      <w:spacing w:val="0"/>
                      <w:position w:val="0"/>
                      <w:sz w:val="21"/>
                      <w:szCs w:val="21"/>
                      <w:u w:val="none" w:color="auto"/>
                      <w:lang w:eastAsia="zh-CN"/>
                    </w:rPr>
                    <w:t>市政</w:t>
                  </w:r>
                  <w:r>
                    <w:rPr>
                      <w:rFonts w:hint="default" w:ascii="Times New Roman" w:hAnsi="Times New Roman" w:cs="Times New Roman"/>
                      <w:b w:val="0"/>
                      <w:bCs/>
                      <w:color w:val="auto"/>
                      <w:spacing w:val="0"/>
                      <w:position w:val="0"/>
                      <w:sz w:val="21"/>
                      <w:szCs w:val="21"/>
                      <w:u w:val="none" w:color="auto"/>
                    </w:rPr>
                    <w:t>供电电</w:t>
                  </w:r>
                  <w:r>
                    <w:rPr>
                      <w:rFonts w:hint="default" w:ascii="Times New Roman" w:hAnsi="Times New Roman" w:cs="Times New Roman"/>
                      <w:b w:val="0"/>
                      <w:bCs/>
                      <w:color w:val="auto"/>
                      <w:spacing w:val="0"/>
                      <w:position w:val="0"/>
                      <w:sz w:val="21"/>
                      <w:szCs w:val="21"/>
                      <w:u w:val="none" w:color="auto"/>
                      <w:lang w:eastAsia="zh-CN"/>
                    </w:rPr>
                    <w:t>网供给</w:t>
                  </w:r>
                  <w:r>
                    <w:rPr>
                      <w:rFonts w:hint="default" w:ascii="Times New Roman" w:hAnsi="Times New Roman" w:cs="Times New Roman"/>
                      <w:bCs/>
                      <w:color w:val="auto"/>
                      <w:spacing w:val="0"/>
                      <w:position w:val="0"/>
                      <w:sz w:val="21"/>
                      <w:szCs w:val="21"/>
                      <w:highlight w:val="none"/>
                      <w:u w:val="none" w:color="auto"/>
                      <w:lang w:val="en-US" w:eastAsia="zh-CN"/>
                    </w:rPr>
                    <w:t>。</w:t>
                  </w:r>
                </w:p>
              </w:tc>
              <w:tc>
                <w:tcPr>
                  <w:tcW w:w="2100" w:type="pct"/>
                  <w:tcBorders>
                    <w:tl2br w:val="nil"/>
                    <w:tr2bl w:val="nil"/>
                  </w:tcBorders>
                  <w:noWrap w:val="0"/>
                  <w:vAlign w:val="center"/>
                </w:tcPr>
                <w:p w14:paraId="253ED6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现有厂区内供电线路已完善，本项目不会对现有工程的电量负荷造成冲击。</w:t>
                  </w:r>
                </w:p>
              </w:tc>
            </w:tr>
            <w:tr w14:paraId="2AE0D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2827FE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p>
              </w:tc>
              <w:tc>
                <w:tcPr>
                  <w:tcW w:w="700" w:type="pct"/>
                  <w:gridSpan w:val="2"/>
                  <w:tcBorders>
                    <w:tl2br w:val="nil"/>
                    <w:tr2bl w:val="nil"/>
                  </w:tcBorders>
                  <w:noWrap w:val="0"/>
                  <w:vAlign w:val="center"/>
                </w:tcPr>
                <w:p w14:paraId="63F86FF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cs="Times New Roman"/>
                      <w:bCs/>
                      <w:color w:val="auto"/>
                      <w:spacing w:val="0"/>
                      <w:position w:val="0"/>
                      <w:sz w:val="21"/>
                      <w:szCs w:val="21"/>
                      <w:highlight w:val="none"/>
                      <w:u w:val="none" w:color="auto"/>
                      <w:lang w:eastAsia="zh-CN"/>
                    </w:rPr>
                    <w:t>供排水系统</w:t>
                  </w:r>
                </w:p>
              </w:tc>
              <w:tc>
                <w:tcPr>
                  <w:tcW w:w="1731" w:type="pct"/>
                  <w:tcBorders>
                    <w:tl2br w:val="nil"/>
                    <w:tr2bl w:val="nil"/>
                  </w:tcBorders>
                  <w:noWrap w:val="0"/>
                  <w:vAlign w:val="center"/>
                </w:tcPr>
                <w:p w14:paraId="1CE837A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cs="Times New Roman"/>
                      <w:b w:val="0"/>
                      <w:bCs/>
                      <w:color w:val="auto"/>
                      <w:spacing w:val="0"/>
                      <w:position w:val="0"/>
                      <w:sz w:val="21"/>
                      <w:szCs w:val="21"/>
                      <w:u w:val="none" w:color="auto"/>
                    </w:rPr>
                    <w:t>由</w:t>
                  </w:r>
                  <w:r>
                    <w:rPr>
                      <w:rFonts w:hint="eastAsia" w:ascii="Times New Roman" w:cs="Times New Roman"/>
                      <w:b w:val="0"/>
                      <w:bCs/>
                      <w:color w:val="auto"/>
                      <w:spacing w:val="0"/>
                      <w:position w:val="0"/>
                      <w:sz w:val="21"/>
                      <w:szCs w:val="21"/>
                      <w:u w:val="none" w:color="auto"/>
                      <w:lang w:eastAsia="zh-CN"/>
                    </w:rPr>
                    <w:t>市政</w:t>
                  </w:r>
                  <w:r>
                    <w:rPr>
                      <w:rFonts w:hint="default" w:ascii="Times New Roman" w:hAnsi="Times New Roman" w:cs="Times New Roman"/>
                      <w:b w:val="0"/>
                      <w:bCs/>
                      <w:color w:val="auto"/>
                      <w:spacing w:val="0"/>
                      <w:position w:val="0"/>
                      <w:sz w:val="21"/>
                      <w:szCs w:val="21"/>
                      <w:u w:val="none" w:color="auto"/>
                      <w:lang w:eastAsia="zh-CN"/>
                    </w:rPr>
                    <w:t>供排水</w:t>
                  </w:r>
                  <w:r>
                    <w:rPr>
                      <w:rFonts w:hint="default" w:ascii="Times New Roman" w:hAnsi="Times New Roman" w:cs="Times New Roman"/>
                      <w:b w:val="0"/>
                      <w:bCs/>
                      <w:color w:val="auto"/>
                      <w:spacing w:val="0"/>
                      <w:position w:val="0"/>
                      <w:sz w:val="21"/>
                      <w:szCs w:val="21"/>
                      <w:u w:val="none" w:color="auto"/>
                    </w:rPr>
                    <w:t>供给</w:t>
                  </w:r>
                  <w:r>
                    <w:rPr>
                      <w:rFonts w:hint="default" w:ascii="Times New Roman" w:hAnsi="Times New Roman" w:cs="Times New Roman"/>
                      <w:b w:val="0"/>
                      <w:bCs/>
                      <w:color w:val="auto"/>
                      <w:spacing w:val="0"/>
                      <w:position w:val="0"/>
                      <w:sz w:val="21"/>
                      <w:szCs w:val="21"/>
                      <w:u w:val="none" w:color="auto"/>
                      <w:lang w:eastAsia="zh-CN"/>
                    </w:rPr>
                    <w:t>，排水采用雨污分流、</w:t>
                  </w:r>
                  <w:r>
                    <w:rPr>
                      <w:rFonts w:hint="eastAsia" w:ascii="Times New Roman" w:cs="Times New Roman"/>
                      <w:b w:val="0"/>
                      <w:bCs/>
                      <w:color w:val="auto"/>
                      <w:spacing w:val="0"/>
                      <w:position w:val="0"/>
                      <w:sz w:val="21"/>
                      <w:szCs w:val="21"/>
                      <w:u w:val="none" w:color="auto"/>
                      <w:lang w:eastAsia="zh-CN"/>
                    </w:rPr>
                    <w:t>清</w:t>
                  </w:r>
                  <w:r>
                    <w:rPr>
                      <w:rFonts w:hint="default" w:ascii="Times New Roman" w:hAnsi="Times New Roman" w:cs="Times New Roman"/>
                      <w:b w:val="0"/>
                      <w:bCs/>
                      <w:color w:val="auto"/>
                      <w:spacing w:val="0"/>
                      <w:position w:val="0"/>
                      <w:sz w:val="21"/>
                      <w:szCs w:val="21"/>
                      <w:u w:val="none" w:color="auto"/>
                      <w:lang w:eastAsia="zh-CN"/>
                    </w:rPr>
                    <w:t>污分流制</w:t>
                  </w:r>
                </w:p>
              </w:tc>
              <w:tc>
                <w:tcPr>
                  <w:tcW w:w="2100" w:type="pct"/>
                  <w:tcBorders>
                    <w:tl2br w:val="nil"/>
                    <w:tr2bl w:val="nil"/>
                  </w:tcBorders>
                  <w:noWrap w:val="0"/>
                  <w:vAlign w:val="center"/>
                </w:tcPr>
                <w:p w14:paraId="2DB5CD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现有厂区内给排水管网已铺设完成，并已接入园区给排水系统。本项目</w:t>
                  </w:r>
                  <w:r>
                    <w:rPr>
                      <w:rFonts w:hint="eastAsia" w:cs="Times New Roman"/>
                      <w:color w:val="auto"/>
                      <w:spacing w:val="0"/>
                      <w:position w:val="0"/>
                      <w:sz w:val="21"/>
                      <w:szCs w:val="21"/>
                      <w:u w:val="none" w:color="auto"/>
                      <w:vertAlign w:val="baseline"/>
                      <w:lang w:val="en-US" w:eastAsia="zh-CN"/>
                    </w:rPr>
                    <w:t>在现有厂房内进行扩建，</w:t>
                  </w:r>
                  <w:r>
                    <w:rPr>
                      <w:rFonts w:hint="default" w:ascii="Times New Roman" w:hAnsi="Times New Roman" w:eastAsia="宋体" w:cs="Times New Roman"/>
                      <w:color w:val="auto"/>
                      <w:spacing w:val="0"/>
                      <w:position w:val="0"/>
                      <w:sz w:val="21"/>
                      <w:szCs w:val="21"/>
                      <w:u w:val="none" w:color="auto"/>
                      <w:vertAlign w:val="baseline"/>
                      <w:lang w:val="en-US" w:eastAsia="zh-CN"/>
                    </w:rPr>
                    <w:t>能够满足</w:t>
                  </w:r>
                  <w:r>
                    <w:rPr>
                      <w:rFonts w:hint="eastAsia" w:eastAsia="宋体" w:cs="Times New Roman"/>
                      <w:color w:val="auto"/>
                      <w:spacing w:val="0"/>
                      <w:position w:val="0"/>
                      <w:sz w:val="21"/>
                      <w:szCs w:val="21"/>
                      <w:u w:val="none" w:color="auto"/>
                      <w:vertAlign w:val="baseline"/>
                      <w:lang w:val="en-US" w:eastAsia="zh-CN"/>
                    </w:rPr>
                    <w:t>本</w:t>
                  </w:r>
                  <w:r>
                    <w:rPr>
                      <w:rFonts w:hint="default" w:ascii="Times New Roman" w:hAnsi="Times New Roman" w:eastAsia="宋体" w:cs="Times New Roman"/>
                      <w:color w:val="auto"/>
                      <w:spacing w:val="0"/>
                      <w:position w:val="0"/>
                      <w:sz w:val="21"/>
                      <w:szCs w:val="21"/>
                      <w:u w:val="none" w:color="auto"/>
                      <w:vertAlign w:val="baseline"/>
                      <w:lang w:val="en-US" w:eastAsia="zh-CN"/>
                    </w:rPr>
                    <w:t>项目需求。</w:t>
                  </w:r>
                </w:p>
              </w:tc>
            </w:tr>
            <w:tr w14:paraId="218FD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467" w:type="pct"/>
                  <w:vMerge w:val="restart"/>
                  <w:tcBorders>
                    <w:tl2br w:val="nil"/>
                    <w:tr2bl w:val="nil"/>
                  </w:tcBorders>
                  <w:noWrap w:val="0"/>
                  <w:vAlign w:val="center"/>
                </w:tcPr>
                <w:p w14:paraId="6D762D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b/>
                      <w:bCs/>
                      <w:color w:val="auto"/>
                      <w:spacing w:val="0"/>
                      <w:position w:val="0"/>
                      <w:sz w:val="21"/>
                      <w:szCs w:val="21"/>
                      <w:u w:val="none" w:color="auto"/>
                      <w:vertAlign w:val="baseline"/>
                      <w:lang w:val="en-US" w:eastAsia="zh-CN"/>
                    </w:rPr>
                    <w:t>环保工程</w:t>
                  </w:r>
                </w:p>
              </w:tc>
              <w:tc>
                <w:tcPr>
                  <w:tcW w:w="238" w:type="pct"/>
                  <w:tcBorders>
                    <w:tl2br w:val="nil"/>
                    <w:tr2bl w:val="nil"/>
                  </w:tcBorders>
                  <w:noWrap w:val="0"/>
                  <w:vAlign w:val="center"/>
                </w:tcPr>
                <w:p w14:paraId="4C3C72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废水</w:t>
                  </w:r>
                </w:p>
              </w:tc>
              <w:tc>
                <w:tcPr>
                  <w:tcW w:w="462" w:type="pct"/>
                  <w:tcBorders>
                    <w:tl2br w:val="nil"/>
                    <w:tr2bl w:val="nil"/>
                  </w:tcBorders>
                  <w:noWrap w:val="0"/>
                  <w:vAlign w:val="center"/>
                </w:tcPr>
                <w:p w14:paraId="42C53D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生活污水</w:t>
                  </w:r>
                </w:p>
              </w:tc>
              <w:tc>
                <w:tcPr>
                  <w:tcW w:w="1731" w:type="pct"/>
                  <w:tcBorders>
                    <w:tl2br w:val="nil"/>
                    <w:tr2bl w:val="nil"/>
                  </w:tcBorders>
                  <w:noWrap w:val="0"/>
                  <w:vAlign w:val="center"/>
                </w:tcPr>
                <w:p w14:paraId="123EC9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cs="Times New Roman"/>
                      <w:bCs/>
                      <w:color w:val="auto"/>
                      <w:spacing w:val="0"/>
                      <w:position w:val="0"/>
                      <w:sz w:val="21"/>
                      <w:szCs w:val="21"/>
                      <w:highlight w:val="none"/>
                      <w:u w:val="none" w:color="auto"/>
                      <w:lang w:eastAsia="zh-CN"/>
                    </w:rPr>
                    <w:t>生活污水经“隔油池</w:t>
                  </w:r>
                  <w:r>
                    <w:rPr>
                      <w:rFonts w:hint="default" w:ascii="Times New Roman" w:hAnsi="Times New Roman" w:cs="Times New Roman"/>
                      <w:bCs/>
                      <w:color w:val="auto"/>
                      <w:spacing w:val="0"/>
                      <w:position w:val="0"/>
                      <w:sz w:val="21"/>
                      <w:szCs w:val="21"/>
                      <w:highlight w:val="none"/>
                      <w:u w:val="none" w:color="auto"/>
                      <w:lang w:val="en-US" w:eastAsia="zh-CN"/>
                    </w:rPr>
                    <w:t>+化粪池</w:t>
                  </w:r>
                  <w:r>
                    <w:rPr>
                      <w:rFonts w:hint="default" w:ascii="Times New Roman" w:hAnsi="Times New Roman" w:cs="Times New Roman"/>
                      <w:bCs/>
                      <w:color w:val="auto"/>
                      <w:spacing w:val="0"/>
                      <w:position w:val="0"/>
                      <w:sz w:val="21"/>
                      <w:szCs w:val="21"/>
                      <w:highlight w:val="none"/>
                      <w:u w:val="none" w:color="auto"/>
                      <w:lang w:eastAsia="zh-CN"/>
                    </w:rPr>
                    <w:t>”</w:t>
                  </w:r>
                  <w:r>
                    <w:rPr>
                      <w:rFonts w:hint="eastAsia" w:cs="Times New Roman"/>
                      <w:bCs/>
                      <w:color w:val="auto"/>
                      <w:spacing w:val="0"/>
                      <w:position w:val="0"/>
                      <w:sz w:val="21"/>
                      <w:szCs w:val="21"/>
                      <w:highlight w:val="none"/>
                      <w:u w:val="none" w:color="auto"/>
                      <w:lang w:eastAsia="zh-CN"/>
                    </w:rPr>
                    <w:t>预</w:t>
                  </w:r>
                  <w:r>
                    <w:rPr>
                      <w:rFonts w:hint="default" w:ascii="Times New Roman" w:hAnsi="Times New Roman" w:cs="Times New Roman"/>
                      <w:bCs/>
                      <w:color w:val="auto"/>
                      <w:spacing w:val="0"/>
                      <w:position w:val="0"/>
                      <w:sz w:val="21"/>
                      <w:szCs w:val="21"/>
                      <w:highlight w:val="none"/>
                      <w:u w:val="none" w:color="auto"/>
                      <w:lang w:eastAsia="zh-CN"/>
                    </w:rPr>
                    <w:t>处理后排入</w:t>
                  </w:r>
                  <w:r>
                    <w:rPr>
                      <w:rFonts w:hint="eastAsia" w:cs="Times New Roman"/>
                      <w:bCs/>
                      <w:color w:val="auto"/>
                      <w:spacing w:val="0"/>
                      <w:position w:val="0"/>
                      <w:sz w:val="21"/>
                      <w:szCs w:val="21"/>
                      <w:highlight w:val="none"/>
                      <w:u w:val="none" w:color="auto"/>
                      <w:lang w:eastAsia="zh-CN"/>
                    </w:rPr>
                    <w:t>市政污水管网</w:t>
                  </w:r>
                  <w:r>
                    <w:rPr>
                      <w:rFonts w:hint="default" w:ascii="Times New Roman" w:hAnsi="Times New Roman" w:cs="Times New Roman"/>
                      <w:bCs/>
                      <w:color w:val="auto"/>
                      <w:spacing w:val="0"/>
                      <w:position w:val="0"/>
                      <w:sz w:val="21"/>
                      <w:szCs w:val="21"/>
                      <w:highlight w:val="none"/>
                      <w:u w:val="none" w:color="auto"/>
                      <w:lang w:eastAsia="zh-CN"/>
                    </w:rPr>
                    <w:t>。</w:t>
                  </w:r>
                </w:p>
              </w:tc>
              <w:tc>
                <w:tcPr>
                  <w:tcW w:w="2100" w:type="pct"/>
                  <w:tcBorders>
                    <w:tl2br w:val="nil"/>
                    <w:tr2bl w:val="nil"/>
                  </w:tcBorders>
                  <w:noWrap w:val="0"/>
                  <w:vAlign w:val="center"/>
                </w:tcPr>
                <w:p w14:paraId="7D4168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cs="Times New Roman"/>
                      <w:color w:val="auto"/>
                      <w:spacing w:val="0"/>
                      <w:position w:val="0"/>
                      <w:sz w:val="21"/>
                      <w:szCs w:val="21"/>
                      <w:u w:val="none" w:color="auto"/>
                      <w:lang w:eastAsia="zh-CN"/>
                    </w:rPr>
                    <w:t>本项目新增员工</w:t>
                  </w:r>
                  <w:r>
                    <w:rPr>
                      <w:rFonts w:hint="eastAsia" w:cs="Times New Roman"/>
                      <w:color w:val="auto"/>
                      <w:spacing w:val="0"/>
                      <w:position w:val="0"/>
                      <w:sz w:val="21"/>
                      <w:szCs w:val="21"/>
                      <w:u w:val="none" w:color="auto"/>
                      <w:lang w:val="en-US" w:eastAsia="zh-CN"/>
                    </w:rPr>
                    <w:t>10</w:t>
                  </w:r>
                  <w:r>
                    <w:rPr>
                      <w:rFonts w:hint="default" w:ascii="Times New Roman" w:hAnsi="Times New Roman" w:cs="Times New Roman"/>
                      <w:color w:val="auto"/>
                      <w:spacing w:val="0"/>
                      <w:position w:val="0"/>
                      <w:sz w:val="21"/>
                      <w:szCs w:val="21"/>
                      <w:u w:val="none" w:color="auto"/>
                      <w:lang w:val="en-US" w:eastAsia="zh-CN"/>
                    </w:rPr>
                    <w:t>人，生活污水增量较小，未超过剩余处理能力，依托现有</w:t>
                  </w:r>
                  <w:r>
                    <w:rPr>
                      <w:rFonts w:hint="eastAsia" w:cs="Times New Roman"/>
                      <w:color w:val="auto"/>
                      <w:spacing w:val="0"/>
                      <w:position w:val="0"/>
                      <w:sz w:val="21"/>
                      <w:szCs w:val="21"/>
                      <w:u w:val="none" w:color="auto"/>
                      <w:lang w:val="en-US" w:eastAsia="zh-CN"/>
                    </w:rPr>
                    <w:t>污水预处理设施</w:t>
                  </w:r>
                  <w:r>
                    <w:rPr>
                      <w:rFonts w:hint="default" w:ascii="Times New Roman" w:hAnsi="Times New Roman" w:cs="Times New Roman"/>
                      <w:color w:val="auto"/>
                      <w:spacing w:val="0"/>
                      <w:position w:val="0"/>
                      <w:sz w:val="21"/>
                      <w:szCs w:val="21"/>
                      <w:u w:val="none" w:color="auto"/>
                      <w:lang w:val="en-US" w:eastAsia="zh-CN"/>
                    </w:rPr>
                    <w:t>能够满足本项目需求。</w:t>
                  </w:r>
                </w:p>
              </w:tc>
            </w:tr>
            <w:tr w14:paraId="164B7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vMerge w:val="continue"/>
                  <w:tcBorders>
                    <w:tl2br w:val="nil"/>
                    <w:tr2bl w:val="nil"/>
                  </w:tcBorders>
                  <w:noWrap w:val="0"/>
                  <w:vAlign w:val="center"/>
                </w:tcPr>
                <w:p w14:paraId="2DDB7C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p>
              </w:tc>
              <w:tc>
                <w:tcPr>
                  <w:tcW w:w="238" w:type="pct"/>
                  <w:vMerge w:val="restart"/>
                  <w:tcBorders>
                    <w:tl2br w:val="nil"/>
                    <w:tr2bl w:val="nil"/>
                  </w:tcBorders>
                  <w:noWrap w:val="0"/>
                  <w:vAlign w:val="center"/>
                </w:tcPr>
                <w:p w14:paraId="1B22ED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eastAsia" w:eastAsia="宋体" w:cs="Times New Roman"/>
                      <w:color w:val="auto"/>
                      <w:spacing w:val="0"/>
                      <w:position w:val="0"/>
                      <w:sz w:val="21"/>
                      <w:szCs w:val="21"/>
                      <w:u w:val="none" w:color="auto"/>
                      <w:vertAlign w:val="baseline"/>
                      <w:lang w:val="en-US" w:eastAsia="zh-CN"/>
                    </w:rPr>
                    <w:t>废气</w:t>
                  </w:r>
                </w:p>
              </w:tc>
              <w:tc>
                <w:tcPr>
                  <w:tcW w:w="462" w:type="pct"/>
                  <w:tcBorders>
                    <w:tl2br w:val="nil"/>
                    <w:tr2bl w:val="nil"/>
                  </w:tcBorders>
                  <w:noWrap w:val="0"/>
                  <w:vAlign w:val="center"/>
                </w:tcPr>
                <w:p w14:paraId="317D4D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eastAsia" w:cs="Times New Roman"/>
                      <w:color w:val="auto"/>
                      <w:spacing w:val="0"/>
                      <w:position w:val="0"/>
                      <w:sz w:val="21"/>
                      <w:szCs w:val="21"/>
                      <w:highlight w:val="none"/>
                      <w:u w:val="none" w:color="auto"/>
                      <w:lang w:eastAsia="zh-CN"/>
                    </w:rPr>
                    <w:t>抛丸粉尘</w:t>
                  </w:r>
                </w:p>
              </w:tc>
              <w:tc>
                <w:tcPr>
                  <w:tcW w:w="1731" w:type="pct"/>
                  <w:tcBorders>
                    <w:tl2br w:val="nil"/>
                    <w:tr2bl w:val="nil"/>
                  </w:tcBorders>
                  <w:noWrap w:val="0"/>
                  <w:vAlign w:val="center"/>
                </w:tcPr>
                <w:p w14:paraId="1337EFC4">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pacing w:val="0"/>
                      <w:position w:val="0"/>
                      <w:sz w:val="21"/>
                      <w:szCs w:val="21"/>
                      <w:highlight w:val="none"/>
                      <w:u w:val="none" w:color="auto"/>
                      <w:lang w:val="en-US" w:eastAsia="zh-CN"/>
                    </w:rPr>
                  </w:pPr>
                  <w:r>
                    <w:rPr>
                      <w:rFonts w:hint="eastAsia" w:hAnsi="Times New Roman" w:cs="Times New Roman"/>
                      <w:color w:val="auto"/>
                      <w:spacing w:val="0"/>
                      <w:position w:val="0"/>
                      <w:sz w:val="21"/>
                      <w:szCs w:val="21"/>
                      <w:highlight w:val="none"/>
                      <w:u w:val="none" w:color="auto"/>
                      <w:lang w:eastAsia="zh-CN"/>
                    </w:rPr>
                    <w:t>二</w:t>
                  </w:r>
                  <w:r>
                    <w:rPr>
                      <w:rFonts w:hint="eastAsia" w:hAnsi="Times New Roman" w:cs="Times New Roman" w:eastAsiaTheme="minorEastAsia"/>
                      <w:color w:val="auto"/>
                      <w:sz w:val="21"/>
                      <w:szCs w:val="21"/>
                      <w:u w:val="none"/>
                      <w:lang w:val="en-US" w:eastAsia="zh-CN"/>
                    </w:rPr>
                    <w:t>阶段</w:t>
                  </w:r>
                  <w:r>
                    <w:rPr>
                      <w:rFonts w:hint="eastAsia" w:hAnsi="Times New Roman" w:cs="Times New Roman"/>
                      <w:color w:val="auto"/>
                      <w:spacing w:val="0"/>
                      <w:position w:val="0"/>
                      <w:sz w:val="21"/>
                      <w:szCs w:val="21"/>
                      <w:highlight w:val="none"/>
                      <w:u w:val="none" w:color="auto"/>
                      <w:lang w:eastAsia="zh-CN"/>
                    </w:rPr>
                    <w:t>在建工程的抛丸粉尘通过</w:t>
                  </w:r>
                  <w:r>
                    <w:rPr>
                      <w:rFonts w:hint="eastAsia" w:ascii="Times New Roman" w:hAnsi="Times New Roman" w:cs="Times New Roman" w:eastAsiaTheme="minorEastAsia"/>
                      <w:color w:val="auto"/>
                      <w:sz w:val="21"/>
                      <w:szCs w:val="21"/>
                      <w:u w:val="none"/>
                      <w:lang w:val="en-US" w:eastAsia="zh-CN"/>
                    </w:rPr>
                    <w:t>滤筒除尘器（TA00</w:t>
                  </w:r>
                  <w:r>
                    <w:rPr>
                      <w:rFonts w:hint="eastAsia" w:hAnsi="Times New Roman" w:cs="Times New Roman" w:eastAsiaTheme="minorEastAsia"/>
                      <w:color w:val="auto"/>
                      <w:sz w:val="21"/>
                      <w:szCs w:val="21"/>
                      <w:u w:val="none"/>
                      <w:lang w:val="en-US" w:eastAsia="zh-CN"/>
                    </w:rPr>
                    <w:t>3</w:t>
                  </w:r>
                  <w:r>
                    <w:rPr>
                      <w:rFonts w:hint="eastAsia" w:ascii="Times New Roman" w:hAnsi="Times New Roman" w:cs="Times New Roman" w:eastAsiaTheme="minorEastAsia"/>
                      <w:color w:val="auto"/>
                      <w:sz w:val="21"/>
                      <w:szCs w:val="21"/>
                      <w:u w:val="none"/>
                      <w:lang w:val="en-US" w:eastAsia="zh-CN"/>
                    </w:rPr>
                    <w:t>）处理，</w:t>
                  </w:r>
                  <w:r>
                    <w:rPr>
                      <w:rFonts w:hint="eastAsia" w:hAnsi="Times New Roman" w:cs="Times New Roman" w:eastAsiaTheme="minorEastAsia"/>
                      <w:color w:val="auto"/>
                      <w:sz w:val="21"/>
                      <w:szCs w:val="21"/>
                      <w:u w:val="none"/>
                      <w:lang w:val="en-US" w:eastAsia="zh-CN"/>
                    </w:rPr>
                    <w:t>再通过</w:t>
                  </w:r>
                  <w:r>
                    <w:rPr>
                      <w:rFonts w:hint="eastAsia" w:ascii="Times New Roman" w:hAnsi="Times New Roman" w:cs="Times New Roman" w:eastAsiaTheme="minorEastAsia"/>
                      <w:color w:val="auto"/>
                      <w:sz w:val="21"/>
                      <w:szCs w:val="21"/>
                      <w:u w:val="none"/>
                      <w:lang w:val="en-US" w:eastAsia="zh-CN"/>
                    </w:rPr>
                    <w:t>DA00</w:t>
                  </w:r>
                  <w:r>
                    <w:rPr>
                      <w:rFonts w:hint="eastAsia" w:hAnsi="Times New Roman" w:cs="Times New Roman" w:eastAsiaTheme="minorEastAsia"/>
                      <w:color w:val="auto"/>
                      <w:sz w:val="21"/>
                      <w:szCs w:val="21"/>
                      <w:u w:val="none"/>
                      <w:lang w:val="en-US" w:eastAsia="zh-CN"/>
                    </w:rPr>
                    <w:t>3</w:t>
                  </w:r>
                  <w:r>
                    <w:rPr>
                      <w:rFonts w:hint="default" w:ascii="Times New Roman" w:hAnsi="Times New Roman" w:cs="Times New Roman" w:eastAsiaTheme="minorEastAsia"/>
                      <w:color w:val="auto"/>
                      <w:sz w:val="21"/>
                      <w:szCs w:val="21"/>
                      <w:u w:val="none"/>
                      <w:lang w:val="en-US" w:eastAsia="zh-CN"/>
                    </w:rPr>
                    <w:t>有组织排放</w:t>
                  </w:r>
                  <w:r>
                    <w:rPr>
                      <w:rFonts w:hint="eastAsia" w:hAnsi="Times New Roman" w:cs="Times New Roman"/>
                      <w:color w:val="auto"/>
                      <w:spacing w:val="0"/>
                      <w:position w:val="0"/>
                      <w:sz w:val="21"/>
                      <w:szCs w:val="21"/>
                      <w:highlight w:val="none"/>
                      <w:u w:val="none" w:color="auto"/>
                      <w:lang w:eastAsia="zh-CN"/>
                    </w:rPr>
                    <w:t>。</w:t>
                  </w:r>
                </w:p>
              </w:tc>
              <w:tc>
                <w:tcPr>
                  <w:tcW w:w="2100" w:type="pct"/>
                  <w:tcBorders>
                    <w:tl2br w:val="nil"/>
                    <w:tr2bl w:val="nil"/>
                  </w:tcBorders>
                  <w:noWrap w:val="0"/>
                  <w:vAlign w:val="center"/>
                </w:tcPr>
                <w:p w14:paraId="2A2CCD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eastAsia" w:cs="Times New Roman"/>
                      <w:color w:val="auto"/>
                      <w:spacing w:val="0"/>
                      <w:position w:val="0"/>
                      <w:sz w:val="21"/>
                      <w:szCs w:val="21"/>
                      <w:u w:val="none" w:color="auto"/>
                      <w:lang w:eastAsia="zh-CN"/>
                    </w:rPr>
                    <w:t>本项目抛丸粉尘依托现有</w:t>
                  </w:r>
                  <w:r>
                    <w:rPr>
                      <w:rFonts w:hint="eastAsia" w:ascii="Times New Roman" w:hAnsi="Times New Roman" w:cs="Times New Roman" w:eastAsiaTheme="minorEastAsia"/>
                      <w:color w:val="auto"/>
                      <w:sz w:val="21"/>
                      <w:szCs w:val="21"/>
                      <w:u w:val="none"/>
                      <w:lang w:val="en-US" w:eastAsia="zh-CN"/>
                    </w:rPr>
                    <w:t>滤筒除尘器（TA00</w:t>
                  </w:r>
                  <w:r>
                    <w:rPr>
                      <w:rFonts w:hint="eastAsia" w:cs="Times New Roman" w:eastAsiaTheme="minorEastAsia"/>
                      <w:color w:val="auto"/>
                      <w:sz w:val="21"/>
                      <w:szCs w:val="21"/>
                      <w:u w:val="none"/>
                      <w:lang w:val="en-US" w:eastAsia="zh-CN"/>
                    </w:rPr>
                    <w:t>3</w:t>
                  </w:r>
                  <w:r>
                    <w:rPr>
                      <w:rFonts w:hint="eastAsia" w:ascii="Times New Roman" w:hAnsi="Times New Roman" w:cs="Times New Roman" w:eastAsiaTheme="minorEastAsia"/>
                      <w:color w:val="auto"/>
                      <w:sz w:val="21"/>
                      <w:szCs w:val="21"/>
                      <w:u w:val="none"/>
                      <w:lang w:val="en-US" w:eastAsia="zh-CN"/>
                    </w:rPr>
                    <w:t>）处理，再通过DA00</w:t>
                  </w:r>
                  <w:r>
                    <w:rPr>
                      <w:rFonts w:hint="eastAsia" w:cs="Times New Roman" w:eastAsiaTheme="minorEastAsia"/>
                      <w:color w:val="auto"/>
                      <w:sz w:val="21"/>
                      <w:szCs w:val="21"/>
                      <w:u w:val="none"/>
                      <w:lang w:val="en-US" w:eastAsia="zh-CN"/>
                    </w:rPr>
                    <w:t>3</w:t>
                  </w:r>
                  <w:r>
                    <w:rPr>
                      <w:rFonts w:hint="default" w:ascii="Times New Roman" w:hAnsi="Times New Roman" w:cs="Times New Roman" w:eastAsiaTheme="minorEastAsia"/>
                      <w:color w:val="auto"/>
                      <w:sz w:val="21"/>
                      <w:szCs w:val="21"/>
                      <w:u w:val="none"/>
                      <w:lang w:val="en-US" w:eastAsia="zh-CN"/>
                    </w:rPr>
                    <w:t>有组织排放</w:t>
                  </w:r>
                  <w:r>
                    <w:rPr>
                      <w:rFonts w:hint="eastAsia" w:ascii="Times New Roman" w:hAnsi="Times New Roman" w:cs="Times New Roman" w:eastAsiaTheme="minorEastAsia"/>
                      <w:color w:val="auto"/>
                      <w:sz w:val="21"/>
                      <w:szCs w:val="21"/>
                      <w:u w:val="none"/>
                      <w:lang w:val="en-US" w:eastAsia="zh-CN"/>
                    </w:rPr>
                    <w:t>，工程分析章节</w:t>
                  </w:r>
                  <w:r>
                    <w:rPr>
                      <w:rFonts w:hint="eastAsia" w:cs="Times New Roman"/>
                      <w:bCs/>
                      <w:color w:val="auto"/>
                      <w:spacing w:val="0"/>
                      <w:position w:val="0"/>
                      <w:sz w:val="21"/>
                      <w:szCs w:val="21"/>
                      <w:highlight w:val="none"/>
                      <w:u w:val="none" w:color="auto"/>
                      <w:vertAlign w:val="baseline"/>
                      <w:lang w:val="en-US" w:eastAsia="zh-CN"/>
                    </w:rPr>
                    <w:t>预测本项目与二阶段同时投产情况，DA003废气仍可达标排放。</w:t>
                  </w:r>
                </w:p>
              </w:tc>
            </w:tr>
            <w:tr w14:paraId="31281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6" w:hRule="atLeast"/>
                <w:jc w:val="center"/>
              </w:trPr>
              <w:tc>
                <w:tcPr>
                  <w:tcW w:w="467" w:type="pct"/>
                  <w:vMerge w:val="continue"/>
                  <w:tcBorders>
                    <w:tl2br w:val="nil"/>
                    <w:tr2bl w:val="nil"/>
                  </w:tcBorders>
                  <w:noWrap w:val="0"/>
                  <w:vAlign w:val="center"/>
                </w:tcPr>
                <w:p w14:paraId="07E6B17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p>
              </w:tc>
              <w:tc>
                <w:tcPr>
                  <w:tcW w:w="238" w:type="pct"/>
                  <w:vMerge w:val="continue"/>
                  <w:tcBorders>
                    <w:tl2br w:val="nil"/>
                    <w:tr2bl w:val="nil"/>
                  </w:tcBorders>
                  <w:noWrap w:val="0"/>
                  <w:vAlign w:val="center"/>
                </w:tcPr>
                <w:p w14:paraId="7C5CE1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p>
              </w:tc>
              <w:tc>
                <w:tcPr>
                  <w:tcW w:w="462" w:type="pct"/>
                  <w:tcBorders>
                    <w:tl2br w:val="nil"/>
                    <w:tr2bl w:val="nil"/>
                  </w:tcBorders>
                  <w:noWrap w:val="0"/>
                  <w:vAlign w:val="center"/>
                </w:tcPr>
                <w:p w14:paraId="180AA2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eastAsia" w:ascii="宋体" w:hAnsi="宋体" w:eastAsia="宋体" w:cs="宋体"/>
                      <w:b w:val="0"/>
                      <w:bCs w:val="0"/>
                      <w:color w:val="auto"/>
                      <w:kern w:val="0"/>
                      <w:sz w:val="21"/>
                      <w:szCs w:val="21"/>
                      <w:lang w:val="en-US" w:eastAsia="zh-CN" w:bidi="ar"/>
                    </w:rPr>
                    <w:t>有机废气（包括调漆、</w:t>
                  </w:r>
                  <w:r>
                    <w:rPr>
                      <w:rFonts w:hint="eastAsia" w:ascii="宋体" w:hAnsi="宋体" w:cs="宋体"/>
                      <w:b w:val="0"/>
                      <w:bCs w:val="0"/>
                      <w:color w:val="auto"/>
                      <w:kern w:val="0"/>
                      <w:sz w:val="21"/>
                      <w:szCs w:val="21"/>
                      <w:lang w:val="en-US" w:eastAsia="zh-CN" w:bidi="ar"/>
                    </w:rPr>
                    <w:t>刷</w:t>
                  </w:r>
                  <w:r>
                    <w:rPr>
                      <w:rFonts w:hint="eastAsia" w:ascii="宋体" w:hAnsi="宋体" w:eastAsia="宋体" w:cs="宋体"/>
                      <w:b w:val="0"/>
                      <w:bCs w:val="0"/>
                      <w:color w:val="auto"/>
                      <w:kern w:val="0"/>
                      <w:sz w:val="21"/>
                      <w:szCs w:val="21"/>
                      <w:lang w:val="en-US" w:eastAsia="zh-CN" w:bidi="ar"/>
                    </w:rPr>
                    <w:t>漆、晾干废气）</w:t>
                  </w:r>
                </w:p>
              </w:tc>
              <w:tc>
                <w:tcPr>
                  <w:tcW w:w="1731" w:type="pct"/>
                  <w:tcBorders>
                    <w:tl2br w:val="nil"/>
                    <w:tr2bl w:val="nil"/>
                  </w:tcBorders>
                  <w:noWrap w:val="0"/>
                  <w:vAlign w:val="center"/>
                </w:tcPr>
                <w:p w14:paraId="23228AB6">
                  <w:pPr>
                    <w:pStyle w:val="5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Cs/>
                      <w:color w:val="auto"/>
                      <w:spacing w:val="0"/>
                      <w:position w:val="0"/>
                      <w:sz w:val="21"/>
                      <w:szCs w:val="21"/>
                      <w:highlight w:val="none"/>
                      <w:u w:val="none" w:color="auto"/>
                      <w:lang w:eastAsia="zh-CN"/>
                    </w:rPr>
                  </w:pPr>
                  <w:r>
                    <w:rPr>
                      <w:rFonts w:hint="eastAsia" w:ascii="宋体" w:cs="宋体"/>
                      <w:color w:val="auto"/>
                      <w:kern w:val="0"/>
                      <w:sz w:val="21"/>
                      <w:szCs w:val="21"/>
                      <w:lang w:val="en-US" w:eastAsia="zh-CN" w:bidi="ar"/>
                    </w:rPr>
                    <w:t>一</w:t>
                  </w:r>
                  <w:r>
                    <w:rPr>
                      <w:rFonts w:hint="eastAsia" w:hAnsi="Times New Roman" w:cs="Times New Roman" w:eastAsiaTheme="minorEastAsia"/>
                      <w:color w:val="auto"/>
                      <w:sz w:val="21"/>
                      <w:szCs w:val="21"/>
                      <w:u w:val="none"/>
                      <w:lang w:val="en-US" w:eastAsia="zh-CN"/>
                    </w:rPr>
                    <w:t>阶段</w:t>
                  </w:r>
                  <w:r>
                    <w:rPr>
                      <w:rFonts w:hint="eastAsia" w:ascii="宋体" w:cs="宋体"/>
                      <w:color w:val="auto"/>
                      <w:kern w:val="0"/>
                      <w:sz w:val="21"/>
                      <w:szCs w:val="21"/>
                      <w:lang w:val="en-US" w:eastAsia="zh-CN" w:bidi="ar"/>
                    </w:rPr>
                    <w:t>已建工程</w:t>
                  </w:r>
                  <w:r>
                    <w:rPr>
                      <w:rFonts w:hint="eastAsia" w:ascii="宋体" w:hAnsi="宋体" w:eastAsia="宋体" w:cs="宋体"/>
                      <w:color w:val="auto"/>
                      <w:kern w:val="0"/>
                      <w:sz w:val="21"/>
                      <w:szCs w:val="21"/>
                      <w:lang w:val="en-US" w:eastAsia="zh-CN" w:bidi="ar"/>
                    </w:rPr>
                    <w:t>喷漆</w:t>
                  </w:r>
                  <w:r>
                    <w:rPr>
                      <w:rFonts w:hint="eastAsia" w:ascii="宋体" w:cs="宋体"/>
                      <w:color w:val="auto"/>
                      <w:kern w:val="0"/>
                      <w:sz w:val="21"/>
                      <w:szCs w:val="21"/>
                      <w:lang w:val="en-US" w:eastAsia="zh-CN" w:bidi="ar"/>
                    </w:rPr>
                    <w:t>工序外委。二</w:t>
                  </w:r>
                  <w:r>
                    <w:rPr>
                      <w:rFonts w:hint="eastAsia" w:hAnsi="Times New Roman" w:cs="Times New Roman" w:eastAsiaTheme="minorEastAsia"/>
                      <w:color w:val="auto"/>
                      <w:sz w:val="21"/>
                      <w:szCs w:val="21"/>
                      <w:u w:val="none"/>
                      <w:lang w:val="en-US" w:eastAsia="zh-CN"/>
                    </w:rPr>
                    <w:t>阶段</w:t>
                  </w:r>
                  <w:r>
                    <w:rPr>
                      <w:rFonts w:hint="eastAsia" w:ascii="宋体" w:cs="宋体"/>
                      <w:color w:val="auto"/>
                      <w:kern w:val="0"/>
                      <w:sz w:val="21"/>
                      <w:szCs w:val="21"/>
                      <w:lang w:val="en-US" w:eastAsia="zh-CN" w:bidi="ar"/>
                    </w:rPr>
                    <w:t>在建工程将建成</w:t>
                  </w:r>
                  <w:r>
                    <w:rPr>
                      <w:rFonts w:hint="eastAsia" w:ascii="宋体" w:hAnsi="宋体" w:eastAsia="宋体" w:cs="宋体"/>
                      <w:color w:val="auto"/>
                      <w:kern w:val="0"/>
                      <w:sz w:val="21"/>
                      <w:szCs w:val="21"/>
                      <w:lang w:val="en-US" w:eastAsia="zh-CN" w:bidi="ar"/>
                    </w:rPr>
                    <w:t>喷漆房</w:t>
                  </w:r>
                  <w:r>
                    <w:rPr>
                      <w:rFonts w:hint="eastAsia" w:ascii="宋体" w:cs="宋体"/>
                      <w:color w:val="auto"/>
                      <w:kern w:val="0"/>
                      <w:sz w:val="21"/>
                      <w:szCs w:val="21"/>
                      <w:lang w:val="en-US" w:eastAsia="zh-CN" w:bidi="ar"/>
                    </w:rPr>
                    <w:t>，</w:t>
                  </w:r>
                  <w:r>
                    <w:rPr>
                      <w:rFonts w:hint="eastAsia" w:ascii="宋体" w:hAnsi="宋体" w:cs="宋体"/>
                      <w:color w:val="auto"/>
                      <w:kern w:val="0"/>
                      <w:sz w:val="21"/>
                      <w:szCs w:val="21"/>
                      <w:lang w:val="en-US" w:eastAsia="zh-CN" w:bidi="ar"/>
                    </w:rPr>
                    <w:t>有机</w:t>
                  </w:r>
                  <w:r>
                    <w:rPr>
                      <w:rFonts w:hint="eastAsia" w:ascii="宋体" w:hAnsi="宋体" w:eastAsia="宋体" w:cs="宋体"/>
                      <w:color w:val="auto"/>
                      <w:kern w:val="0"/>
                      <w:sz w:val="21"/>
                      <w:szCs w:val="21"/>
                      <w:lang w:val="en-US" w:eastAsia="zh-CN" w:bidi="ar"/>
                    </w:rPr>
                    <w:t>废气</w:t>
                  </w:r>
                  <w:r>
                    <w:rPr>
                      <w:rFonts w:hint="eastAsia" w:ascii="宋体" w:hAnsi="宋体" w:cs="宋体"/>
                      <w:color w:val="auto"/>
                      <w:kern w:val="0"/>
                      <w:sz w:val="21"/>
                      <w:szCs w:val="21"/>
                      <w:lang w:val="en-US" w:eastAsia="zh-CN" w:bidi="ar"/>
                    </w:rPr>
                    <w:t>经</w:t>
                  </w:r>
                  <w:r>
                    <w:rPr>
                      <w:rFonts w:hint="eastAsia" w:ascii="宋体" w:hAnsi="宋体" w:eastAsia="宋体" w:cs="宋体"/>
                      <w:color w:val="auto"/>
                      <w:kern w:val="0"/>
                      <w:sz w:val="21"/>
                      <w:szCs w:val="21"/>
                      <w:lang w:val="en-US" w:eastAsia="zh-CN" w:bidi="ar"/>
                    </w:rPr>
                    <w:t>密闭负压收集，</w:t>
                  </w:r>
                  <w:r>
                    <w:rPr>
                      <w:rFonts w:hint="eastAsia" w:ascii="宋体" w:hAnsi="宋体" w:cs="宋体"/>
                      <w:color w:val="auto"/>
                      <w:kern w:val="0"/>
                      <w:sz w:val="21"/>
                      <w:szCs w:val="21"/>
                      <w:lang w:val="en-US" w:eastAsia="zh-CN" w:bidi="ar"/>
                    </w:rPr>
                    <w:t>通过</w:t>
                  </w:r>
                  <w:r>
                    <w:rPr>
                      <w:rFonts w:hint="eastAsia" w:ascii="宋体" w:hAnsi="宋体" w:eastAsia="宋体" w:cs="宋体"/>
                      <w:color w:val="auto"/>
                      <w:kern w:val="0"/>
                      <w:sz w:val="21"/>
                      <w:szCs w:val="21"/>
                      <w:lang w:val="en-US" w:eastAsia="zh-CN" w:bidi="ar"/>
                    </w:rPr>
                    <w:t>管道引至“过滤棉</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二级活性炭”废气处理装置</w:t>
                  </w:r>
                  <w:r>
                    <w:rPr>
                      <w:rFonts w:hint="eastAsia" w:ascii="宋体" w:cs="宋体"/>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TA002</w:t>
                  </w:r>
                  <w:r>
                    <w:rPr>
                      <w:rFonts w:hint="eastAsia" w:ascii="Times New Roman" w:hAnsi="Times New Roman" w:cs="Times New Roman"/>
                      <w:color w:val="auto"/>
                      <w:kern w:val="0"/>
                      <w:sz w:val="21"/>
                      <w:szCs w:val="21"/>
                      <w:lang w:val="en-US" w:eastAsia="zh-CN" w:bidi="ar"/>
                    </w:rPr>
                    <w:t>， 在建</w:t>
                  </w:r>
                  <w:r>
                    <w:rPr>
                      <w:rFonts w:hint="eastAsia" w:asci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，经处理后通过</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根</w:t>
                  </w:r>
                  <w:r>
                    <w:rPr>
                      <w:rFonts w:hint="default" w:ascii="Times New Roman" w:hAnsi="Times New Roman" w:eastAsia="宋体" w:cs="Times New Roman"/>
                      <w:color w:val="auto"/>
                      <w:kern w:val="0"/>
                      <w:sz w:val="21"/>
                      <w:szCs w:val="21"/>
                      <w:lang w:val="en-US" w:eastAsia="zh-CN" w:bidi="ar"/>
                    </w:rPr>
                    <w:t>15m</w:t>
                  </w:r>
                  <w:r>
                    <w:rPr>
                      <w:rFonts w:hint="eastAsia" w:ascii="宋体" w:hAnsi="宋体" w:eastAsia="宋体" w:cs="宋体"/>
                      <w:color w:val="auto"/>
                      <w:kern w:val="0"/>
                      <w:sz w:val="21"/>
                      <w:szCs w:val="21"/>
                      <w:lang w:val="en-US" w:eastAsia="zh-CN" w:bidi="ar"/>
                    </w:rPr>
                    <w:t>高排气筒</w:t>
                  </w:r>
                  <w:r>
                    <w:rPr>
                      <w:rFonts w:hint="eastAsia" w:ascii="宋体" w:hAnsi="宋体" w:cs="宋体"/>
                      <w:color w:val="auto"/>
                      <w:kern w:val="0"/>
                      <w:sz w:val="21"/>
                      <w:szCs w:val="21"/>
                      <w:lang w:val="en-US" w:eastAsia="zh-CN" w:bidi="ar"/>
                    </w:rPr>
                    <w:t>达标</w:t>
                  </w:r>
                  <w:r>
                    <w:rPr>
                      <w:rFonts w:hint="eastAsia" w:ascii="宋体" w:hAnsi="宋体" w:eastAsia="宋体" w:cs="宋体"/>
                      <w:color w:val="auto"/>
                      <w:kern w:val="0"/>
                      <w:sz w:val="21"/>
                      <w:szCs w:val="21"/>
                      <w:lang w:val="en-US" w:eastAsia="zh-CN" w:bidi="ar"/>
                    </w:rPr>
                    <w:t>排放(</w:t>
                  </w:r>
                  <w:r>
                    <w:rPr>
                      <w:rFonts w:hint="default" w:ascii="Times New Roman" w:hAnsi="Times New Roman" w:eastAsia="宋体" w:cs="Times New Roman"/>
                      <w:color w:val="auto"/>
                      <w:kern w:val="0"/>
                      <w:sz w:val="21"/>
                      <w:szCs w:val="21"/>
                      <w:lang w:val="en-US" w:eastAsia="zh-CN" w:bidi="ar"/>
                    </w:rPr>
                    <w:t>DA00</w:t>
                  </w:r>
                  <w:r>
                    <w:rPr>
                      <w:rFonts w:hint="eastAsia"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w:t>
                  </w:r>
                </w:p>
              </w:tc>
              <w:tc>
                <w:tcPr>
                  <w:tcW w:w="2100" w:type="pct"/>
                  <w:tcBorders>
                    <w:tl2br w:val="nil"/>
                    <w:tr2bl w:val="nil"/>
                  </w:tcBorders>
                  <w:noWrap w:val="0"/>
                  <w:vAlign w:val="center"/>
                </w:tcPr>
                <w:p w14:paraId="083546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eastAsia" w:ascii="宋体" w:cs="宋体"/>
                      <w:color w:val="auto"/>
                      <w:kern w:val="0"/>
                      <w:sz w:val="21"/>
                      <w:szCs w:val="21"/>
                      <w:lang w:val="en-US" w:eastAsia="zh-CN" w:bidi="ar"/>
                    </w:rPr>
                    <w:t>二</w:t>
                  </w:r>
                  <w:r>
                    <w:rPr>
                      <w:rFonts w:hint="eastAsia" w:hAnsi="Times New Roman" w:cs="Times New Roman" w:eastAsiaTheme="minorEastAsia"/>
                      <w:color w:val="auto"/>
                      <w:sz w:val="21"/>
                      <w:szCs w:val="21"/>
                      <w:u w:val="none"/>
                      <w:lang w:val="en-US" w:eastAsia="zh-CN"/>
                    </w:rPr>
                    <w:t>阶段</w:t>
                  </w:r>
                  <w:r>
                    <w:rPr>
                      <w:rFonts w:hint="eastAsia" w:ascii="宋体" w:cs="宋体"/>
                      <w:color w:val="auto"/>
                      <w:kern w:val="0"/>
                      <w:sz w:val="21"/>
                      <w:szCs w:val="21"/>
                      <w:lang w:val="en-US" w:eastAsia="zh-CN" w:bidi="ar"/>
                    </w:rPr>
                    <w:t>在建工程建成</w:t>
                  </w:r>
                  <w:r>
                    <w:rPr>
                      <w:rFonts w:hint="eastAsia" w:ascii="宋体" w:hAnsi="宋体" w:eastAsia="宋体" w:cs="宋体"/>
                      <w:color w:val="auto"/>
                      <w:kern w:val="0"/>
                      <w:sz w:val="21"/>
                      <w:szCs w:val="21"/>
                      <w:lang w:val="en-US" w:eastAsia="zh-CN" w:bidi="ar"/>
                    </w:rPr>
                    <w:t>喷漆房</w:t>
                  </w:r>
                  <w:r>
                    <w:rPr>
                      <w:rFonts w:hint="eastAsia" w:ascii="宋体" w:hAnsi="宋体" w:cs="宋体"/>
                      <w:color w:val="auto"/>
                      <w:kern w:val="0"/>
                      <w:sz w:val="21"/>
                      <w:szCs w:val="21"/>
                      <w:lang w:val="en-US" w:eastAsia="zh-CN" w:bidi="ar"/>
                    </w:rPr>
                    <w:t>后，一</w:t>
                  </w:r>
                  <w:r>
                    <w:rPr>
                      <w:rFonts w:hint="eastAsia" w:hAnsi="Times New Roman" w:cs="Times New Roman" w:eastAsiaTheme="minorEastAsia"/>
                      <w:color w:val="auto"/>
                      <w:sz w:val="21"/>
                      <w:szCs w:val="21"/>
                      <w:u w:val="none"/>
                      <w:lang w:val="en-US" w:eastAsia="zh-CN"/>
                    </w:rPr>
                    <w:t>阶段</w:t>
                  </w:r>
                  <w:r>
                    <w:rPr>
                      <w:rFonts w:hint="eastAsia" w:ascii="宋体" w:hAnsi="宋体" w:cs="宋体"/>
                      <w:color w:val="auto"/>
                      <w:kern w:val="0"/>
                      <w:sz w:val="21"/>
                      <w:szCs w:val="21"/>
                      <w:lang w:val="en-US" w:eastAsia="zh-CN" w:bidi="ar"/>
                    </w:rPr>
                    <w:t>工程喷漆工序和本</w:t>
                  </w:r>
                  <w:r>
                    <w:rPr>
                      <w:rFonts w:hint="default" w:ascii="Times New Roman" w:hAnsi="Times New Roman" w:cs="Times New Roman"/>
                      <w:color w:val="auto"/>
                      <w:kern w:val="0"/>
                      <w:sz w:val="21"/>
                      <w:szCs w:val="21"/>
                      <w:lang w:val="en-US" w:eastAsia="zh-CN" w:bidi="ar"/>
                    </w:rPr>
                    <w:t>项目喷漆工序均利用其进行喷漆。有机废气利用TA002处理后排放。经工程分析</w:t>
                  </w:r>
                  <w:r>
                    <w:rPr>
                      <w:rFonts w:hint="default" w:ascii="Times New Roman" w:hAnsi="Times New Roman" w:cs="Times New Roman"/>
                      <w:bCs/>
                      <w:color w:val="auto"/>
                      <w:spacing w:val="0"/>
                      <w:position w:val="0"/>
                      <w:sz w:val="21"/>
                      <w:szCs w:val="21"/>
                      <w:highlight w:val="none"/>
                      <w:u w:val="none" w:color="auto"/>
                      <w:vertAlign w:val="baseline"/>
                      <w:lang w:val="en-US" w:eastAsia="zh-CN"/>
                    </w:rPr>
                    <w:t>预测本项目</w:t>
                  </w:r>
                  <w:r>
                    <w:rPr>
                      <w:rFonts w:hint="eastAsia" w:cs="Times New Roman"/>
                      <w:bCs/>
                      <w:color w:val="auto"/>
                      <w:spacing w:val="0"/>
                      <w:position w:val="0"/>
                      <w:sz w:val="21"/>
                      <w:szCs w:val="21"/>
                      <w:highlight w:val="none"/>
                      <w:u w:val="none" w:color="auto"/>
                      <w:vertAlign w:val="baseline"/>
                      <w:lang w:val="en-US" w:eastAsia="zh-CN"/>
                    </w:rPr>
                    <w:t>、一阶段工程已建工程、二阶段在建工程同时投产情况，</w:t>
                  </w:r>
                  <w:r>
                    <w:rPr>
                      <w:rFonts w:hint="default" w:ascii="Times New Roman" w:hAnsi="Times New Roman" w:cs="Times New Roman"/>
                      <w:bCs/>
                      <w:color w:val="auto"/>
                      <w:spacing w:val="0"/>
                      <w:position w:val="0"/>
                      <w:sz w:val="21"/>
                      <w:szCs w:val="21"/>
                      <w:highlight w:val="none"/>
                      <w:u w:val="none" w:color="auto"/>
                      <w:vertAlign w:val="baseline"/>
                      <w:lang w:val="en-US" w:eastAsia="zh-CN"/>
                    </w:rPr>
                    <w:t>废气仍可达标排放。</w:t>
                  </w:r>
                </w:p>
              </w:tc>
            </w:tr>
            <w:tr w14:paraId="7C69D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4052DC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p>
              </w:tc>
              <w:tc>
                <w:tcPr>
                  <w:tcW w:w="700" w:type="pct"/>
                  <w:gridSpan w:val="2"/>
                  <w:vMerge w:val="restart"/>
                  <w:tcBorders>
                    <w:tl2br w:val="nil"/>
                    <w:tr2bl w:val="nil"/>
                  </w:tcBorders>
                  <w:noWrap w:val="0"/>
                  <w:vAlign w:val="center"/>
                </w:tcPr>
                <w:p w14:paraId="24DFE8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固废</w:t>
                  </w:r>
                </w:p>
              </w:tc>
              <w:tc>
                <w:tcPr>
                  <w:tcW w:w="1731" w:type="pct"/>
                  <w:tcBorders>
                    <w:tl2br w:val="nil"/>
                    <w:tr2bl w:val="nil"/>
                  </w:tcBorders>
                  <w:noWrap w:val="0"/>
                  <w:vAlign w:val="center"/>
                </w:tcPr>
                <w:p w14:paraId="2CF196C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cs="Times New Roman"/>
                      <w:bCs/>
                      <w:color w:val="auto"/>
                      <w:spacing w:val="0"/>
                      <w:position w:val="0"/>
                      <w:sz w:val="21"/>
                      <w:szCs w:val="21"/>
                      <w:highlight w:val="none"/>
                      <w:u w:val="none" w:color="auto"/>
                      <w:lang w:val="en-US" w:eastAsia="zh-CN"/>
                    </w:rPr>
                    <w:t>生活垃圾</w:t>
                  </w:r>
                  <w:r>
                    <w:rPr>
                      <w:rFonts w:hint="eastAsia" w:cs="Times New Roman"/>
                      <w:bCs/>
                      <w:color w:val="auto"/>
                      <w:spacing w:val="0"/>
                      <w:position w:val="0"/>
                      <w:sz w:val="21"/>
                      <w:szCs w:val="21"/>
                      <w:highlight w:val="none"/>
                      <w:u w:val="none" w:color="auto"/>
                      <w:lang w:val="en-US" w:eastAsia="zh-CN"/>
                    </w:rPr>
                    <w:t>经</w:t>
                  </w:r>
                  <w:r>
                    <w:rPr>
                      <w:rFonts w:hint="default" w:ascii="Times New Roman" w:hAnsi="Times New Roman" w:cs="Times New Roman" w:eastAsiaTheme="minorEastAsia"/>
                      <w:sz w:val="21"/>
                      <w:szCs w:val="21"/>
                      <w:u w:val="none"/>
                      <w:lang w:eastAsia="zh-CN"/>
                    </w:rPr>
                    <w:t>垃圾桶收集后交由环卫部门清运处理</w:t>
                  </w:r>
                </w:p>
              </w:tc>
              <w:tc>
                <w:tcPr>
                  <w:tcW w:w="2100" w:type="pct"/>
                  <w:tcBorders>
                    <w:tl2br w:val="nil"/>
                    <w:tr2bl w:val="nil"/>
                  </w:tcBorders>
                  <w:noWrap w:val="0"/>
                  <w:vAlign w:val="center"/>
                </w:tcPr>
                <w:p w14:paraId="48BD5D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default" w:ascii="Times New Roman" w:hAnsi="Times New Roman" w:eastAsia="宋体" w:cs="Times New Roman"/>
                      <w:color w:val="auto"/>
                      <w:spacing w:val="0"/>
                      <w:position w:val="0"/>
                      <w:sz w:val="21"/>
                      <w:szCs w:val="21"/>
                      <w:u w:val="none" w:color="auto"/>
                      <w:vertAlign w:val="baseline"/>
                      <w:lang w:val="en-US" w:eastAsia="zh-CN"/>
                    </w:rPr>
                    <w:t>本项目新增生活垃圾经分类收集后，</w:t>
                  </w:r>
                  <w:r>
                    <w:rPr>
                      <w:rFonts w:hint="default" w:ascii="Times New Roman" w:hAnsi="Times New Roman" w:cs="Times New Roman" w:eastAsiaTheme="minorEastAsia"/>
                      <w:sz w:val="21"/>
                      <w:szCs w:val="21"/>
                      <w:u w:val="none"/>
                      <w:lang w:eastAsia="zh-CN"/>
                    </w:rPr>
                    <w:t>交由环卫部门清运处理</w:t>
                  </w:r>
                </w:p>
              </w:tc>
            </w:tr>
            <w:tr w14:paraId="22D8D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7B3005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p>
              </w:tc>
              <w:tc>
                <w:tcPr>
                  <w:tcW w:w="700" w:type="pct"/>
                  <w:gridSpan w:val="2"/>
                  <w:vMerge w:val="continue"/>
                  <w:tcBorders>
                    <w:tl2br w:val="nil"/>
                    <w:tr2bl w:val="nil"/>
                  </w:tcBorders>
                  <w:noWrap w:val="0"/>
                  <w:vAlign w:val="center"/>
                </w:tcPr>
                <w:p w14:paraId="653F5F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p>
              </w:tc>
              <w:tc>
                <w:tcPr>
                  <w:tcW w:w="1731" w:type="pct"/>
                  <w:tcBorders>
                    <w:tl2br w:val="nil"/>
                    <w:tr2bl w:val="nil"/>
                  </w:tcBorders>
                  <w:noWrap w:val="0"/>
                  <w:vAlign w:val="center"/>
                </w:tcPr>
                <w:p w14:paraId="625B32C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eastAsia" w:cs="Times New Roman"/>
                      <w:bCs/>
                      <w:color w:val="auto"/>
                      <w:spacing w:val="0"/>
                      <w:position w:val="0"/>
                      <w:sz w:val="21"/>
                      <w:szCs w:val="21"/>
                      <w:highlight w:val="none"/>
                      <w:u w:val="none" w:color="auto"/>
                      <w:lang w:eastAsia="zh-CN"/>
                    </w:rPr>
                    <w:t>现有</w:t>
                  </w:r>
                  <w:r>
                    <w:rPr>
                      <w:rFonts w:hint="default" w:ascii="Times New Roman" w:hAnsi="Times New Roman" w:cs="Times New Roman"/>
                      <w:bCs/>
                      <w:color w:val="auto"/>
                      <w:spacing w:val="0"/>
                      <w:position w:val="0"/>
                      <w:sz w:val="21"/>
                      <w:szCs w:val="21"/>
                      <w:highlight w:val="none"/>
                      <w:u w:val="none" w:color="auto"/>
                      <w:lang w:eastAsia="zh-CN"/>
                    </w:rPr>
                    <w:t>一般固废暂存间</w:t>
                  </w:r>
                  <w:r>
                    <w:rPr>
                      <w:rFonts w:hint="default" w:ascii="Times New Roman" w:hAnsi="Times New Roman" w:cs="Times New Roman" w:eastAsiaTheme="minorEastAsia"/>
                      <w:sz w:val="21"/>
                      <w:szCs w:val="21"/>
                      <w:u w:val="none"/>
                      <w:lang w:eastAsia="zh-CN"/>
                    </w:rPr>
                    <w:t>在生产厂房</w:t>
                  </w:r>
                  <w:r>
                    <w:rPr>
                      <w:rFonts w:hint="eastAsia" w:ascii="Times New Roman" w:hAnsi="Times New Roman" w:cs="Times New Roman" w:eastAsiaTheme="minorEastAsia"/>
                      <w:sz w:val="21"/>
                      <w:szCs w:val="21"/>
                      <w:u w:val="none"/>
                      <w:lang w:eastAsia="zh-CN"/>
                    </w:rPr>
                    <w:t>北侧，建筑面积</w:t>
                  </w:r>
                  <w:r>
                    <w:rPr>
                      <w:rFonts w:hint="default" w:ascii="Times New Roman" w:hAnsi="Times New Roman" w:cs="Times New Roman" w:eastAsiaTheme="minorEastAsia"/>
                      <w:sz w:val="21"/>
                      <w:szCs w:val="21"/>
                      <w:u w:val="none"/>
                      <w:lang w:val="en-US" w:eastAsia="zh-CN"/>
                    </w:rPr>
                    <w:t>30m</w:t>
                  </w:r>
                  <w:r>
                    <w:rPr>
                      <w:rFonts w:hint="default" w:ascii="Times New Roman" w:hAnsi="Times New Roman" w:cs="Times New Roman" w:eastAsiaTheme="minorEastAsia"/>
                      <w:sz w:val="21"/>
                      <w:szCs w:val="21"/>
                      <w:u w:val="none"/>
                      <w:vertAlign w:val="superscript"/>
                      <w:lang w:val="en-US" w:eastAsia="zh-CN"/>
                    </w:rPr>
                    <w:t>2</w:t>
                  </w:r>
                  <w:r>
                    <w:rPr>
                      <w:rFonts w:hint="default" w:ascii="Times New Roman" w:hAnsi="Times New Roman" w:cs="Times New Roman" w:eastAsiaTheme="minorEastAsia"/>
                      <w:sz w:val="21"/>
                      <w:szCs w:val="21"/>
                      <w:u w:val="none"/>
                      <w:lang w:eastAsia="zh-CN"/>
                    </w:rPr>
                    <w:t>，用于分类暂存生产过程中产生的机加工金属边角料、焊渣等</w:t>
                  </w:r>
                  <w:r>
                    <w:rPr>
                      <w:rFonts w:hint="eastAsia" w:ascii="Times New Roman" w:hAnsi="Times New Roman" w:cs="Times New Roman" w:eastAsiaTheme="minorEastAsia"/>
                      <w:sz w:val="21"/>
                      <w:szCs w:val="21"/>
                      <w:u w:val="none"/>
                      <w:lang w:eastAsia="zh-CN"/>
                    </w:rPr>
                    <w:t>，暂存量约为</w:t>
                  </w:r>
                  <w:r>
                    <w:rPr>
                      <w:rFonts w:hint="eastAsia" w:ascii="Times New Roman" w:hAnsi="Times New Roman" w:cs="Times New Roman" w:eastAsiaTheme="minorEastAsia"/>
                      <w:sz w:val="21"/>
                      <w:szCs w:val="21"/>
                      <w:u w:val="none"/>
                      <w:lang w:val="en-US" w:eastAsia="zh-CN"/>
                    </w:rPr>
                    <w:t>1</w:t>
                  </w:r>
                  <w:r>
                    <w:rPr>
                      <w:rFonts w:hint="default" w:ascii="Times New Roman" w:hAnsi="Times New Roman" w:cs="Times New Roman"/>
                      <w:bCs/>
                      <w:color w:val="auto"/>
                      <w:spacing w:val="0"/>
                      <w:position w:val="0"/>
                      <w:sz w:val="21"/>
                      <w:szCs w:val="21"/>
                      <w:highlight w:val="none"/>
                      <w:u w:val="none" w:color="auto"/>
                      <w:vertAlign w:val="baseline"/>
                      <w:lang w:val="en-US" w:eastAsia="zh-CN"/>
                    </w:rPr>
                    <w:t>t。</w:t>
                  </w:r>
                </w:p>
              </w:tc>
              <w:tc>
                <w:tcPr>
                  <w:tcW w:w="2100" w:type="pct"/>
                  <w:tcBorders>
                    <w:tl2br w:val="nil"/>
                    <w:tr2bl w:val="nil"/>
                  </w:tcBorders>
                  <w:noWrap w:val="0"/>
                  <w:vAlign w:val="center"/>
                </w:tcPr>
                <w:p w14:paraId="444F729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本项目一般固废主要为</w:t>
                  </w:r>
                  <w:r>
                    <w:rPr>
                      <w:rFonts w:hint="eastAsia" w:ascii="Times New Roman" w:hAnsi="Times New Roman" w:eastAsia="宋体" w:cs="Times New Roman"/>
                      <w:b w:val="0"/>
                      <w:bCs w:val="0"/>
                      <w:color w:val="auto"/>
                      <w:spacing w:val="0"/>
                      <w:sz w:val="21"/>
                      <w:szCs w:val="21"/>
                      <w:lang w:val="en-US" w:eastAsia="zh-CN"/>
                    </w:rPr>
                    <w:t>废包装材料、机加工产生的金属边角料；焊接工序产生的废焊渣、抛丸工序产生的废钢丸和收集粉尘等，总产生量约为13.775</w:t>
                  </w:r>
                  <w:r>
                    <w:rPr>
                      <w:rFonts w:hint="default" w:ascii="Times New Roman" w:hAnsi="Times New Roman" w:eastAsia="宋体" w:cs="Times New Roman"/>
                      <w:b w:val="0"/>
                      <w:bCs w:val="0"/>
                      <w:color w:val="auto"/>
                      <w:spacing w:val="0"/>
                      <w:sz w:val="21"/>
                      <w:szCs w:val="21"/>
                      <w:lang w:val="en-US" w:eastAsia="zh-CN"/>
                    </w:rPr>
                    <w:t>t</w:t>
                  </w:r>
                  <w:r>
                    <w:rPr>
                      <w:rFonts w:hint="eastAsia" w:ascii="Times New Roman" w:hAnsi="Times New Roman" w:eastAsia="宋体" w:cs="Times New Roman"/>
                      <w:b w:val="0"/>
                      <w:bCs w:val="0"/>
                      <w:color w:val="auto"/>
                      <w:spacing w:val="0"/>
                      <w:sz w:val="21"/>
                      <w:szCs w:val="21"/>
                      <w:lang w:val="en-US" w:eastAsia="zh-CN"/>
                    </w:rPr>
                    <w:t>，可全部暂存于现有一般固废暂存间</w:t>
                  </w:r>
                </w:p>
              </w:tc>
            </w:tr>
            <w:tr w14:paraId="6C128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467" w:type="pct"/>
                  <w:vMerge w:val="continue"/>
                  <w:tcBorders>
                    <w:tl2br w:val="nil"/>
                    <w:tr2bl w:val="nil"/>
                  </w:tcBorders>
                  <w:noWrap w:val="0"/>
                  <w:vAlign w:val="center"/>
                </w:tcPr>
                <w:p w14:paraId="7A8355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p>
              </w:tc>
              <w:tc>
                <w:tcPr>
                  <w:tcW w:w="700" w:type="pct"/>
                  <w:gridSpan w:val="2"/>
                  <w:vMerge w:val="continue"/>
                  <w:tcBorders>
                    <w:tl2br w:val="nil"/>
                    <w:tr2bl w:val="nil"/>
                  </w:tcBorders>
                  <w:noWrap w:val="0"/>
                  <w:vAlign w:val="center"/>
                </w:tcPr>
                <w:p w14:paraId="1142A5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p>
              </w:tc>
              <w:tc>
                <w:tcPr>
                  <w:tcW w:w="1731" w:type="pct"/>
                  <w:tcBorders>
                    <w:tl2br w:val="nil"/>
                    <w:tr2bl w:val="nil"/>
                  </w:tcBorders>
                  <w:noWrap w:val="0"/>
                  <w:vAlign w:val="center"/>
                </w:tcPr>
                <w:p w14:paraId="76944F2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pacing w:val="0"/>
                      <w:position w:val="0"/>
                      <w:sz w:val="21"/>
                      <w:szCs w:val="21"/>
                      <w:u w:val="none" w:color="auto"/>
                      <w:vertAlign w:val="baseline"/>
                      <w:lang w:val="en-US" w:eastAsia="zh-CN"/>
                    </w:rPr>
                  </w:pPr>
                  <w:r>
                    <w:rPr>
                      <w:rFonts w:hint="eastAsia" w:ascii="Times New Roman" w:hAnsi="Times New Roman" w:cs="Times New Roman" w:eastAsiaTheme="minorEastAsia"/>
                      <w:b w:val="0"/>
                      <w:bCs w:val="0"/>
                      <w:sz w:val="21"/>
                      <w:szCs w:val="21"/>
                      <w:u w:val="none"/>
                      <w:lang w:eastAsia="zh-CN"/>
                    </w:rPr>
                    <w:t>现有</w:t>
                  </w:r>
                  <w:r>
                    <w:rPr>
                      <w:rFonts w:hint="default" w:ascii="Times New Roman" w:hAnsi="Times New Roman" w:cs="Times New Roman"/>
                      <w:bCs/>
                      <w:color w:val="auto"/>
                      <w:spacing w:val="0"/>
                      <w:position w:val="0"/>
                      <w:sz w:val="21"/>
                      <w:szCs w:val="21"/>
                      <w:highlight w:val="none"/>
                      <w:u w:val="none" w:color="auto"/>
                      <w:lang w:eastAsia="zh-CN"/>
                    </w:rPr>
                    <w:t>危险废物暂存间</w:t>
                  </w:r>
                  <w:r>
                    <w:rPr>
                      <w:rFonts w:hint="default" w:ascii="Times New Roman" w:hAnsi="Times New Roman" w:cs="Times New Roman" w:eastAsiaTheme="minorEastAsia"/>
                      <w:b w:val="0"/>
                      <w:bCs w:val="0"/>
                      <w:sz w:val="21"/>
                      <w:szCs w:val="21"/>
                      <w:u w:val="none"/>
                      <w:lang w:eastAsia="zh-CN"/>
                    </w:rPr>
                    <w:t>在生产厂房</w:t>
                  </w:r>
                  <w:r>
                    <w:rPr>
                      <w:rFonts w:hint="eastAsia" w:ascii="Times New Roman" w:hAnsi="Times New Roman" w:cs="Times New Roman" w:eastAsiaTheme="minorEastAsia"/>
                      <w:b w:val="0"/>
                      <w:bCs w:val="0"/>
                      <w:sz w:val="21"/>
                      <w:szCs w:val="21"/>
                      <w:u w:val="none"/>
                      <w:lang w:eastAsia="zh-CN"/>
                    </w:rPr>
                    <w:t>北</w:t>
                  </w:r>
                  <w:r>
                    <w:rPr>
                      <w:rFonts w:hint="default" w:ascii="Times New Roman" w:hAnsi="Times New Roman" w:cs="Times New Roman" w:eastAsiaTheme="minorEastAsia"/>
                      <w:b w:val="0"/>
                      <w:bCs w:val="0"/>
                      <w:sz w:val="21"/>
                      <w:szCs w:val="21"/>
                      <w:u w:val="none"/>
                      <w:lang w:eastAsia="zh-CN"/>
                    </w:rPr>
                    <w:t>侧</w:t>
                  </w:r>
                  <w:r>
                    <w:rPr>
                      <w:rFonts w:hint="eastAsia" w:ascii="Times New Roman" w:hAnsi="Times New Roman" w:cs="Times New Roman" w:eastAsiaTheme="minorEastAsia"/>
                      <w:b w:val="0"/>
                      <w:bCs w:val="0"/>
                      <w:sz w:val="21"/>
                      <w:szCs w:val="21"/>
                      <w:u w:val="none"/>
                      <w:lang w:eastAsia="zh-CN"/>
                    </w:rPr>
                    <w:t>，建筑面积</w:t>
                  </w:r>
                  <w:r>
                    <w:rPr>
                      <w:rFonts w:hint="default" w:ascii="Times New Roman" w:hAnsi="Times New Roman" w:cs="Times New Roman" w:eastAsiaTheme="minorEastAsia"/>
                      <w:b w:val="0"/>
                      <w:bCs w:val="0"/>
                      <w:sz w:val="21"/>
                      <w:szCs w:val="21"/>
                      <w:u w:val="none"/>
                      <w:lang w:val="en-US" w:eastAsia="zh-CN"/>
                    </w:rPr>
                    <w:t>2</w:t>
                  </w:r>
                  <w:r>
                    <w:rPr>
                      <w:rFonts w:hint="default" w:ascii="Times New Roman" w:hAnsi="Times New Roman" w:cs="Times New Roman" w:eastAsiaTheme="minorEastAsia"/>
                      <w:sz w:val="21"/>
                      <w:szCs w:val="21"/>
                      <w:u w:val="none"/>
                      <w:lang w:val="en-US" w:eastAsia="zh-CN"/>
                    </w:rPr>
                    <w:t>0m</w:t>
                  </w:r>
                  <w:r>
                    <w:rPr>
                      <w:rFonts w:hint="default" w:ascii="Times New Roman" w:hAnsi="Times New Roman" w:cs="Times New Roman" w:eastAsiaTheme="minorEastAsia"/>
                      <w:sz w:val="21"/>
                      <w:szCs w:val="21"/>
                      <w:u w:val="none"/>
                      <w:vertAlign w:val="superscript"/>
                      <w:lang w:val="en-US" w:eastAsia="zh-CN"/>
                    </w:rPr>
                    <w:t>2</w:t>
                  </w:r>
                  <w:r>
                    <w:rPr>
                      <w:rFonts w:hint="default" w:ascii="Times New Roman" w:hAnsi="Times New Roman" w:cs="Times New Roman" w:eastAsiaTheme="minorEastAsia"/>
                      <w:sz w:val="21"/>
                      <w:szCs w:val="21"/>
                      <w:u w:val="none"/>
                      <w:lang w:val="en-US" w:eastAsia="zh-CN"/>
                    </w:rPr>
                    <w:t>，用于暂存</w:t>
                  </w:r>
                  <w:r>
                    <w:rPr>
                      <w:rFonts w:hint="default" w:ascii="Times New Roman" w:hAnsi="Times New Roman" w:cs="Times New Roman" w:eastAsiaTheme="minorEastAsia"/>
                      <w:sz w:val="21"/>
                      <w:szCs w:val="21"/>
                      <w:u w:val="none"/>
                      <w:lang w:eastAsia="zh-CN"/>
                    </w:rPr>
                    <w:t>废液压油、</w:t>
                  </w:r>
                  <w:r>
                    <w:rPr>
                      <w:rFonts w:hint="default" w:ascii="Times New Roman" w:hAnsi="Times New Roman" w:cs="Times New Roman" w:eastAsiaTheme="minorEastAsia"/>
                      <w:sz w:val="21"/>
                      <w:szCs w:val="21"/>
                      <w:u w:val="none"/>
                      <w:lang w:val="en-US" w:eastAsia="zh-CN"/>
                    </w:rPr>
                    <w:t>废包装桶等</w:t>
                  </w:r>
                  <w:r>
                    <w:rPr>
                      <w:rFonts w:hint="default" w:ascii="Times New Roman" w:hAnsi="Times New Roman" w:cs="Times New Roman" w:eastAsiaTheme="minorEastAsia"/>
                      <w:sz w:val="21"/>
                      <w:szCs w:val="21"/>
                      <w:u w:val="none"/>
                      <w:lang w:eastAsia="zh-CN"/>
                    </w:rPr>
                    <w:t>危险废物</w:t>
                  </w:r>
                  <w:r>
                    <w:rPr>
                      <w:rFonts w:hint="default" w:ascii="Times New Roman" w:hAnsi="Times New Roman" w:cs="Times New Roman" w:eastAsiaTheme="minorEastAsia"/>
                      <w:color w:val="auto"/>
                      <w:sz w:val="21"/>
                      <w:szCs w:val="21"/>
                      <w:u w:val="none"/>
                      <w:lang w:eastAsia="zh-CN"/>
                    </w:rPr>
                    <w:t>，</w:t>
                  </w:r>
                  <w:r>
                    <w:rPr>
                      <w:rFonts w:hint="eastAsia" w:ascii="Times New Roman" w:hAnsi="Times New Roman" w:cs="Times New Roman" w:eastAsiaTheme="minorEastAsia"/>
                      <w:color w:val="auto"/>
                      <w:sz w:val="21"/>
                      <w:szCs w:val="21"/>
                      <w:u w:val="none"/>
                      <w:lang w:eastAsia="zh-CN"/>
                    </w:rPr>
                    <w:t>预计一</w:t>
                  </w:r>
                  <w:r>
                    <w:rPr>
                      <w:rFonts w:hint="eastAsia" w:hAnsi="Times New Roman" w:cs="Times New Roman" w:eastAsiaTheme="minorEastAsia"/>
                      <w:color w:val="auto"/>
                      <w:sz w:val="21"/>
                      <w:szCs w:val="21"/>
                      <w:u w:val="none"/>
                      <w:lang w:val="en-US" w:eastAsia="zh-CN"/>
                    </w:rPr>
                    <w:t>阶段</w:t>
                  </w:r>
                  <w:r>
                    <w:rPr>
                      <w:rFonts w:hint="eastAsia" w:ascii="Times New Roman" w:hAnsi="Times New Roman" w:cs="Times New Roman" w:eastAsiaTheme="minorEastAsia"/>
                      <w:color w:val="auto"/>
                      <w:sz w:val="21"/>
                      <w:szCs w:val="21"/>
                      <w:u w:val="none"/>
                      <w:lang w:eastAsia="zh-CN"/>
                    </w:rPr>
                    <w:t>二</w:t>
                  </w:r>
                  <w:r>
                    <w:rPr>
                      <w:rFonts w:hint="eastAsia" w:hAnsi="Times New Roman" w:cs="Times New Roman" w:eastAsiaTheme="minorEastAsia"/>
                      <w:color w:val="auto"/>
                      <w:sz w:val="21"/>
                      <w:szCs w:val="21"/>
                      <w:u w:val="none"/>
                      <w:lang w:val="en-US" w:eastAsia="zh-CN"/>
                    </w:rPr>
                    <w:t>阶段</w:t>
                  </w:r>
                  <w:r>
                    <w:rPr>
                      <w:rFonts w:hint="eastAsia" w:ascii="Times New Roman" w:hAnsi="Times New Roman" w:cs="Times New Roman" w:eastAsiaTheme="minorEastAsia"/>
                      <w:color w:val="auto"/>
                      <w:sz w:val="21"/>
                      <w:szCs w:val="21"/>
                      <w:u w:val="none"/>
                      <w:lang w:eastAsia="zh-CN"/>
                    </w:rPr>
                    <w:t>工程危废产生量约为</w:t>
                  </w:r>
                  <w:r>
                    <w:rPr>
                      <w:rFonts w:hint="eastAsia" w:ascii="Times New Roman" w:hAnsi="Times New Roman" w:cs="Times New Roman" w:eastAsiaTheme="minorEastAsia"/>
                      <w:color w:val="auto"/>
                      <w:sz w:val="21"/>
                      <w:szCs w:val="21"/>
                      <w:u w:val="none"/>
                      <w:lang w:val="en-US" w:eastAsia="zh-CN"/>
                    </w:rPr>
                    <w:t>9.65</w:t>
                  </w:r>
                  <w:r>
                    <w:rPr>
                      <w:rFonts w:hint="default" w:ascii="Times New Roman" w:hAnsi="Times New Roman" w:cs="Times New Roman"/>
                      <w:bCs/>
                      <w:color w:val="auto"/>
                      <w:spacing w:val="0"/>
                      <w:position w:val="0"/>
                      <w:sz w:val="21"/>
                      <w:szCs w:val="21"/>
                      <w:highlight w:val="none"/>
                      <w:u w:val="none" w:color="auto"/>
                      <w:vertAlign w:val="baseline"/>
                      <w:lang w:val="en-US" w:eastAsia="zh-CN"/>
                    </w:rPr>
                    <w:t>t</w:t>
                  </w:r>
                  <w:r>
                    <w:rPr>
                      <w:rFonts w:hint="eastAsia" w:ascii="Times New Roman" w:hAnsi="Times New Roman" w:cs="Times New Roman"/>
                      <w:bCs/>
                      <w:color w:val="auto"/>
                      <w:spacing w:val="0"/>
                      <w:position w:val="0"/>
                      <w:sz w:val="21"/>
                      <w:szCs w:val="21"/>
                      <w:highlight w:val="none"/>
                      <w:u w:val="none" w:color="auto"/>
                      <w:vertAlign w:val="baseline"/>
                      <w:lang w:val="en-US" w:eastAsia="zh-CN"/>
                    </w:rPr>
                    <w:t>/a，</w:t>
                  </w:r>
                  <w:r>
                    <w:rPr>
                      <w:rFonts w:hint="default" w:ascii="Times New Roman" w:hAnsi="Times New Roman" w:cs="Times New Roman" w:eastAsiaTheme="minorEastAsia"/>
                      <w:color w:val="auto"/>
                      <w:sz w:val="21"/>
                      <w:szCs w:val="21"/>
                      <w:u w:val="none"/>
                      <w:lang w:eastAsia="zh-CN"/>
                    </w:rPr>
                    <w:t>暂存后定期委托</w:t>
                  </w:r>
                  <w:r>
                    <w:rPr>
                      <w:rFonts w:hint="eastAsia" w:ascii="Times New Roman" w:hAnsi="Times New Roman" w:cs="Times New Roman" w:eastAsiaTheme="minorEastAsia"/>
                      <w:color w:val="auto"/>
                      <w:sz w:val="21"/>
                      <w:szCs w:val="21"/>
                      <w:u w:val="none"/>
                      <w:lang w:eastAsia="zh-CN"/>
                    </w:rPr>
                    <w:t>湖南省云风岚环保有限责任公司</w:t>
                  </w:r>
                  <w:r>
                    <w:rPr>
                      <w:rFonts w:hint="default" w:ascii="Times New Roman" w:hAnsi="Times New Roman" w:cs="Times New Roman" w:eastAsiaTheme="minorEastAsia"/>
                      <w:color w:val="auto"/>
                      <w:sz w:val="21"/>
                      <w:szCs w:val="21"/>
                      <w:u w:val="none"/>
                      <w:lang w:eastAsia="zh-CN"/>
                    </w:rPr>
                    <w:t>处理。</w:t>
                  </w:r>
                  <w:r>
                    <w:rPr>
                      <w:rFonts w:hint="eastAsia" w:ascii="Times New Roman" w:hAnsi="Times New Roman" w:cs="Times New Roman" w:eastAsiaTheme="minorEastAsia"/>
                      <w:color w:val="auto"/>
                      <w:sz w:val="21"/>
                      <w:szCs w:val="21"/>
                      <w:u w:val="none"/>
                      <w:lang w:eastAsia="zh-CN"/>
                    </w:rPr>
                    <w:t>经现场踏勘，危废暂存间暂无危废暂存。</w:t>
                  </w:r>
                </w:p>
              </w:tc>
              <w:tc>
                <w:tcPr>
                  <w:tcW w:w="2100" w:type="pct"/>
                  <w:tcBorders>
                    <w:tl2br w:val="nil"/>
                    <w:tr2bl w:val="nil"/>
                  </w:tcBorders>
                  <w:noWrap w:val="0"/>
                  <w:vAlign w:val="center"/>
                </w:tcPr>
                <w:p w14:paraId="5141F4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val="en-US" w:eastAsia="zh-CN"/>
                    </w:rPr>
                    <w:t>本项目新增危险废物</w:t>
                  </w:r>
                  <w:r>
                    <w:rPr>
                      <w:rFonts w:hint="eastAsia" w:ascii="Times New Roman" w:hAnsi="Times New Roman" w:eastAsia="宋体" w:cs="Times New Roman"/>
                      <w:b w:val="0"/>
                      <w:bCs w:val="0"/>
                      <w:color w:val="auto"/>
                      <w:spacing w:val="0"/>
                      <w:sz w:val="21"/>
                      <w:szCs w:val="21"/>
                      <w:lang w:val="en-US" w:eastAsia="zh-CN"/>
                    </w:rPr>
                    <w:t>产生量约为0.451</w:t>
                  </w:r>
                  <w:r>
                    <w:rPr>
                      <w:rFonts w:hint="default" w:ascii="Times New Roman" w:hAnsi="Times New Roman" w:eastAsia="宋体" w:cs="Times New Roman"/>
                      <w:b w:val="0"/>
                      <w:bCs w:val="0"/>
                      <w:color w:val="auto"/>
                      <w:spacing w:val="0"/>
                      <w:sz w:val="21"/>
                      <w:szCs w:val="21"/>
                      <w:lang w:val="en-US" w:eastAsia="zh-CN"/>
                    </w:rPr>
                    <w:t>t</w:t>
                  </w:r>
                  <w:r>
                    <w:rPr>
                      <w:rFonts w:hint="eastAsia" w:ascii="Times New Roman" w:hAnsi="Times New Roman" w:eastAsia="宋体" w:cs="Times New Roman"/>
                      <w:b w:val="0"/>
                      <w:bCs w:val="0"/>
                      <w:color w:val="auto"/>
                      <w:spacing w:val="0"/>
                      <w:sz w:val="21"/>
                      <w:szCs w:val="21"/>
                      <w:lang w:val="en-US" w:eastAsia="zh-CN"/>
                    </w:rPr>
                    <w:t>，可</w:t>
                  </w:r>
                  <w:r>
                    <w:rPr>
                      <w:rFonts w:hint="default" w:ascii="Times New Roman" w:hAnsi="Times New Roman" w:eastAsia="宋体" w:cs="Times New Roman"/>
                      <w:b w:val="0"/>
                      <w:bCs w:val="0"/>
                      <w:color w:val="auto"/>
                      <w:spacing w:val="0"/>
                      <w:sz w:val="21"/>
                      <w:szCs w:val="21"/>
                      <w:lang w:val="en-US" w:eastAsia="zh-CN"/>
                    </w:rPr>
                    <w:t>依托现有危险废物暂存间进行贮存</w:t>
                  </w:r>
                  <w:r>
                    <w:rPr>
                      <w:rFonts w:hint="eastAsia" w:ascii="Times New Roman" w:hAnsi="Times New Roman" w:eastAsia="宋体" w:cs="Times New Roman"/>
                      <w:b w:val="0"/>
                      <w:bCs w:val="0"/>
                      <w:color w:val="auto"/>
                      <w:spacing w:val="0"/>
                      <w:sz w:val="21"/>
                      <w:szCs w:val="21"/>
                      <w:lang w:val="en-US" w:eastAsia="zh-CN"/>
                    </w:rPr>
                    <w:t>。</w:t>
                  </w:r>
                </w:p>
              </w:tc>
            </w:tr>
          </w:tbl>
          <w:p w14:paraId="54BB2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eastAsia" w:cs="Times New Roman"/>
                <w:b/>
                <w:bCs/>
                <w:color w:val="auto"/>
                <w:spacing w:val="0"/>
                <w:position w:val="0"/>
                <w:sz w:val="24"/>
                <w:szCs w:val="24"/>
                <w:u w:val="none" w:color="auto"/>
                <w:lang w:val="en-US" w:eastAsia="zh-CN"/>
              </w:rPr>
              <w:t>5、</w:t>
            </w:r>
            <w:r>
              <w:rPr>
                <w:rFonts w:hint="default" w:ascii="Times New Roman" w:hAnsi="Times New Roman" w:eastAsia="宋体" w:cs="Times New Roman"/>
                <w:b/>
                <w:bCs/>
                <w:color w:val="auto"/>
                <w:spacing w:val="0"/>
                <w:position w:val="0"/>
                <w:sz w:val="24"/>
                <w:szCs w:val="24"/>
                <w:u w:val="none" w:color="auto"/>
                <w:lang w:val="en-US" w:eastAsia="zh-CN"/>
              </w:rPr>
              <w:t>产品方案及规模</w:t>
            </w:r>
          </w:p>
          <w:p w14:paraId="01C2AF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color w:val="auto"/>
                <w:spacing w:val="0"/>
                <w:position w:val="0"/>
                <w:sz w:val="24"/>
                <w:u w:val="none" w:color="auto"/>
                <w:lang w:val="en-US" w:eastAsia="zh-CN"/>
              </w:rPr>
            </w:pPr>
            <w:r>
              <w:rPr>
                <w:rFonts w:hint="default" w:ascii="Times New Roman" w:hAnsi="Times New Roman" w:eastAsia="宋体" w:cs="Times New Roman"/>
                <w:b w:val="0"/>
                <w:bCs/>
                <w:color w:val="auto"/>
                <w:spacing w:val="0"/>
                <w:position w:val="0"/>
                <w:sz w:val="24"/>
                <w:u w:val="none" w:color="auto"/>
                <w:lang w:val="en-US" w:eastAsia="zh-CN"/>
              </w:rPr>
              <w:t>本项目产品方案</w:t>
            </w:r>
            <w:r>
              <w:rPr>
                <w:rFonts w:hint="eastAsia" w:cs="Times New Roman"/>
                <w:b w:val="0"/>
                <w:bCs/>
                <w:color w:val="auto"/>
                <w:spacing w:val="0"/>
                <w:position w:val="0"/>
                <w:sz w:val="24"/>
                <w:u w:val="none" w:color="auto"/>
                <w:lang w:val="en-US" w:eastAsia="zh-CN"/>
              </w:rPr>
              <w:t>变化情况</w:t>
            </w:r>
            <w:r>
              <w:rPr>
                <w:rFonts w:hint="default" w:ascii="Times New Roman" w:hAnsi="Times New Roman" w:eastAsia="宋体" w:cs="Times New Roman"/>
                <w:b w:val="0"/>
                <w:bCs/>
                <w:color w:val="auto"/>
                <w:spacing w:val="0"/>
                <w:position w:val="0"/>
                <w:sz w:val="24"/>
                <w:u w:val="none" w:color="auto"/>
                <w:lang w:val="en-US" w:eastAsia="zh-CN"/>
              </w:rPr>
              <w:t>具体如下：</w:t>
            </w:r>
          </w:p>
          <w:p w14:paraId="1D796E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pacing w:val="0"/>
                <w:position w:val="0"/>
                <w:sz w:val="24"/>
                <w:szCs w:val="24"/>
                <w:u w:val="none" w:color="auto"/>
                <w:lang w:val="en-US" w:eastAsia="zh-CN"/>
              </w:rPr>
            </w:pPr>
            <w:r>
              <w:rPr>
                <w:rFonts w:hint="default" w:ascii="Times New Roman" w:hAnsi="Times New Roman" w:eastAsia="宋体" w:cs="Times New Roman"/>
                <w:b/>
                <w:bCs w:val="0"/>
                <w:color w:val="auto"/>
                <w:spacing w:val="0"/>
                <w:position w:val="0"/>
                <w:sz w:val="24"/>
                <w:szCs w:val="24"/>
                <w:u w:val="none" w:color="auto"/>
                <w:lang w:val="en-US" w:eastAsia="zh-CN"/>
              </w:rPr>
              <w:t>表2-</w:t>
            </w:r>
            <w:r>
              <w:rPr>
                <w:rFonts w:hint="eastAsia" w:cs="Times New Roman"/>
                <w:b/>
                <w:bCs w:val="0"/>
                <w:color w:val="auto"/>
                <w:spacing w:val="0"/>
                <w:position w:val="0"/>
                <w:sz w:val="24"/>
                <w:szCs w:val="24"/>
                <w:u w:val="none" w:color="auto"/>
                <w:lang w:val="en-US" w:eastAsia="zh-CN"/>
              </w:rPr>
              <w:t>3</w:t>
            </w:r>
            <w:r>
              <w:rPr>
                <w:rFonts w:hint="default" w:ascii="Times New Roman" w:hAnsi="Times New Roman" w:cs="Times New Roman"/>
                <w:b/>
                <w:bCs w:val="0"/>
                <w:color w:val="auto"/>
                <w:spacing w:val="0"/>
                <w:position w:val="0"/>
                <w:sz w:val="24"/>
                <w:szCs w:val="24"/>
                <w:u w:val="none" w:color="auto"/>
                <w:lang w:val="en-US" w:eastAsia="zh-CN"/>
              </w:rPr>
              <w:t xml:space="preserve">   </w:t>
            </w:r>
            <w:r>
              <w:rPr>
                <w:rFonts w:hint="default" w:ascii="Times New Roman" w:hAnsi="Times New Roman" w:eastAsia="宋体" w:cs="Times New Roman"/>
                <w:b/>
                <w:bCs w:val="0"/>
                <w:color w:val="auto"/>
                <w:spacing w:val="0"/>
                <w:position w:val="0"/>
                <w:sz w:val="24"/>
                <w:szCs w:val="24"/>
                <w:u w:val="none" w:color="auto"/>
                <w:lang w:val="en-US" w:eastAsia="zh-CN"/>
              </w:rPr>
              <w:t>产品</w:t>
            </w:r>
            <w:r>
              <w:rPr>
                <w:rFonts w:hint="default" w:ascii="Times New Roman" w:hAnsi="Times New Roman" w:cs="Times New Roman"/>
                <w:b/>
                <w:bCs w:val="0"/>
                <w:color w:val="auto"/>
                <w:spacing w:val="0"/>
                <w:position w:val="0"/>
                <w:sz w:val="24"/>
                <w:szCs w:val="24"/>
                <w:u w:val="none" w:color="auto"/>
                <w:lang w:val="en-US" w:eastAsia="zh-CN"/>
              </w:rPr>
              <w:t>方案</w:t>
            </w:r>
            <w:r>
              <w:rPr>
                <w:rFonts w:hint="default" w:ascii="Times New Roman" w:hAnsi="Times New Roman" w:eastAsia="宋体" w:cs="Times New Roman"/>
                <w:b/>
                <w:bCs w:val="0"/>
                <w:color w:val="auto"/>
                <w:spacing w:val="0"/>
                <w:position w:val="0"/>
                <w:sz w:val="24"/>
                <w:szCs w:val="24"/>
                <w:u w:val="none" w:color="auto"/>
                <w:lang w:val="en-US" w:eastAsia="zh-CN"/>
              </w:rPr>
              <w:t>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581"/>
              <w:gridCol w:w="1155"/>
              <w:gridCol w:w="1080"/>
              <w:gridCol w:w="1275"/>
              <w:gridCol w:w="3016"/>
            </w:tblGrid>
            <w:tr w14:paraId="20EED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89" w:type="pct"/>
                  <w:tcBorders>
                    <w:tl2br w:val="nil"/>
                    <w:tr2bl w:val="nil"/>
                  </w:tcBorders>
                  <w:noWrap w:val="0"/>
                  <w:vAlign w:val="center"/>
                </w:tcPr>
                <w:p w14:paraId="6ECC1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rPr>
                    <w:t>序号</w:t>
                  </w:r>
                </w:p>
              </w:tc>
              <w:tc>
                <w:tcPr>
                  <w:tcW w:w="918" w:type="pct"/>
                  <w:tcBorders>
                    <w:tl2br w:val="nil"/>
                    <w:tr2bl w:val="nil"/>
                  </w:tcBorders>
                  <w:noWrap w:val="0"/>
                  <w:vAlign w:val="center"/>
                </w:tcPr>
                <w:p w14:paraId="47300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lang w:eastAsia="zh-CN"/>
                    </w:rPr>
                    <w:t>产品</w:t>
                  </w:r>
                  <w:r>
                    <w:rPr>
                      <w:rFonts w:hint="default" w:ascii="Times New Roman" w:hAnsi="Times New Roman" w:eastAsia="宋体" w:cs="Times New Roman"/>
                      <w:b/>
                      <w:bCs w:val="0"/>
                      <w:color w:val="auto"/>
                      <w:spacing w:val="0"/>
                      <w:position w:val="0"/>
                      <w:sz w:val="21"/>
                      <w:szCs w:val="21"/>
                      <w:u w:val="none" w:color="auto"/>
                    </w:rPr>
                    <w:t>名称</w:t>
                  </w:r>
                </w:p>
              </w:tc>
              <w:tc>
                <w:tcPr>
                  <w:tcW w:w="671" w:type="pct"/>
                  <w:tcBorders>
                    <w:tl2br w:val="nil"/>
                    <w:tr2bl w:val="nil"/>
                  </w:tcBorders>
                  <w:noWrap w:val="0"/>
                  <w:vAlign w:val="center"/>
                </w:tcPr>
                <w:p w14:paraId="1C08F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cs="Times New Roman"/>
                      <w:b/>
                      <w:bCs w:val="0"/>
                      <w:color w:val="auto"/>
                      <w:spacing w:val="0"/>
                      <w:position w:val="0"/>
                      <w:sz w:val="21"/>
                      <w:szCs w:val="21"/>
                      <w:u w:val="none" w:color="auto"/>
                      <w:lang w:eastAsia="zh-CN"/>
                    </w:rPr>
                  </w:pPr>
                  <w:r>
                    <w:rPr>
                      <w:rFonts w:hint="eastAsia" w:cs="Times New Roman"/>
                      <w:b/>
                      <w:bCs w:val="0"/>
                      <w:color w:val="auto"/>
                      <w:spacing w:val="0"/>
                      <w:position w:val="0"/>
                      <w:sz w:val="21"/>
                      <w:szCs w:val="21"/>
                      <w:u w:val="none" w:color="auto"/>
                      <w:lang w:eastAsia="zh-CN"/>
                    </w:rPr>
                    <w:t>扩建前</w:t>
                  </w:r>
                </w:p>
                <w:p w14:paraId="31E32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b/>
                      <w:bCs w:val="0"/>
                      <w:color w:val="auto"/>
                      <w:spacing w:val="0"/>
                      <w:kern w:val="2"/>
                      <w:position w:val="0"/>
                      <w:sz w:val="21"/>
                      <w:szCs w:val="21"/>
                      <w:u w:val="none" w:color="auto"/>
                      <w:lang w:val="en-US" w:eastAsia="zh-CN" w:bidi="ar-SA"/>
                    </w:rPr>
                  </w:pPr>
                  <w:r>
                    <w:rPr>
                      <w:rFonts w:hint="default" w:ascii="Times New Roman" w:hAnsi="Times New Roman" w:cs="Times New Roman"/>
                      <w:b/>
                      <w:bCs w:val="0"/>
                      <w:color w:val="auto"/>
                      <w:spacing w:val="0"/>
                      <w:position w:val="0"/>
                      <w:sz w:val="21"/>
                      <w:szCs w:val="21"/>
                      <w:u w:val="none" w:color="auto"/>
                      <w:lang w:eastAsia="zh-CN"/>
                    </w:rPr>
                    <w:t>生产规模</w:t>
                  </w:r>
                </w:p>
              </w:tc>
              <w:tc>
                <w:tcPr>
                  <w:tcW w:w="627" w:type="pct"/>
                  <w:tcBorders>
                    <w:tl2br w:val="nil"/>
                    <w:tr2bl w:val="nil"/>
                  </w:tcBorders>
                  <w:noWrap w:val="0"/>
                  <w:vAlign w:val="center"/>
                </w:tcPr>
                <w:p w14:paraId="26ECFB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cs="Times New Roman"/>
                      <w:b/>
                      <w:bCs w:val="0"/>
                      <w:color w:val="auto"/>
                      <w:spacing w:val="0"/>
                      <w:position w:val="0"/>
                      <w:sz w:val="21"/>
                      <w:szCs w:val="21"/>
                      <w:u w:val="none" w:color="auto"/>
                      <w:lang w:eastAsia="zh-CN"/>
                    </w:rPr>
                  </w:pPr>
                  <w:r>
                    <w:rPr>
                      <w:rFonts w:hint="eastAsia" w:cs="Times New Roman"/>
                      <w:b/>
                      <w:bCs w:val="0"/>
                      <w:color w:val="auto"/>
                      <w:spacing w:val="0"/>
                      <w:position w:val="0"/>
                      <w:sz w:val="21"/>
                      <w:szCs w:val="21"/>
                      <w:u w:val="none" w:color="auto"/>
                      <w:lang w:eastAsia="zh-CN"/>
                    </w:rPr>
                    <w:t>扩建后</w:t>
                  </w:r>
                </w:p>
                <w:p w14:paraId="4CCE0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val="0"/>
                      <w:color w:val="auto"/>
                      <w:spacing w:val="0"/>
                      <w:position w:val="0"/>
                      <w:sz w:val="21"/>
                      <w:szCs w:val="21"/>
                      <w:u w:val="none" w:color="auto"/>
                      <w:lang w:eastAsia="zh-CN"/>
                    </w:rPr>
                  </w:pPr>
                  <w:r>
                    <w:rPr>
                      <w:rFonts w:hint="default" w:ascii="Times New Roman" w:hAnsi="Times New Roman" w:cs="Times New Roman"/>
                      <w:b/>
                      <w:bCs w:val="0"/>
                      <w:color w:val="auto"/>
                      <w:spacing w:val="0"/>
                      <w:position w:val="0"/>
                      <w:sz w:val="21"/>
                      <w:szCs w:val="21"/>
                      <w:u w:val="none" w:color="auto"/>
                      <w:lang w:eastAsia="zh-CN"/>
                    </w:rPr>
                    <w:t>生产规模</w:t>
                  </w:r>
                </w:p>
              </w:tc>
              <w:tc>
                <w:tcPr>
                  <w:tcW w:w="740" w:type="pct"/>
                  <w:tcBorders>
                    <w:tl2br w:val="nil"/>
                    <w:tr2bl w:val="nil"/>
                  </w:tcBorders>
                  <w:noWrap w:val="0"/>
                  <w:vAlign w:val="center"/>
                </w:tcPr>
                <w:p w14:paraId="6C90B7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val="0"/>
                      <w:color w:val="auto"/>
                      <w:spacing w:val="0"/>
                      <w:position w:val="0"/>
                      <w:sz w:val="21"/>
                      <w:szCs w:val="21"/>
                      <w:u w:val="none" w:color="auto"/>
                      <w:lang w:eastAsia="zh-CN"/>
                    </w:rPr>
                  </w:pPr>
                  <w:r>
                    <w:rPr>
                      <w:rFonts w:hint="eastAsia" w:cs="Times New Roman"/>
                      <w:b/>
                      <w:bCs w:val="0"/>
                      <w:color w:val="auto"/>
                      <w:spacing w:val="0"/>
                      <w:position w:val="0"/>
                      <w:sz w:val="21"/>
                      <w:szCs w:val="21"/>
                      <w:u w:val="none" w:color="auto"/>
                      <w:lang w:eastAsia="zh-CN"/>
                    </w:rPr>
                    <w:t>变化量</w:t>
                  </w:r>
                </w:p>
              </w:tc>
              <w:tc>
                <w:tcPr>
                  <w:tcW w:w="1752" w:type="pct"/>
                  <w:tcBorders>
                    <w:tl2br w:val="nil"/>
                    <w:tr2bl w:val="nil"/>
                  </w:tcBorders>
                  <w:noWrap w:val="0"/>
                  <w:vAlign w:val="center"/>
                </w:tcPr>
                <w:p w14:paraId="06841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pacing w:val="0"/>
                      <w:position w:val="0"/>
                      <w:sz w:val="21"/>
                      <w:szCs w:val="21"/>
                      <w:u w:val="none" w:color="auto"/>
                      <w:lang w:eastAsia="zh-CN"/>
                    </w:rPr>
                  </w:pPr>
                  <w:r>
                    <w:rPr>
                      <w:rFonts w:hint="default" w:ascii="Times New Roman" w:hAnsi="Times New Roman" w:cs="Times New Roman"/>
                      <w:b/>
                      <w:bCs w:val="0"/>
                      <w:color w:val="auto"/>
                      <w:spacing w:val="0"/>
                      <w:position w:val="0"/>
                      <w:sz w:val="21"/>
                      <w:szCs w:val="21"/>
                      <w:u w:val="none" w:color="auto"/>
                      <w:lang w:eastAsia="zh-CN"/>
                    </w:rPr>
                    <w:t>产品规格</w:t>
                  </w:r>
                </w:p>
              </w:tc>
            </w:tr>
            <w:tr w14:paraId="7072C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 w:type="pct"/>
                  <w:tcBorders>
                    <w:tl2br w:val="nil"/>
                    <w:tr2bl w:val="nil"/>
                  </w:tcBorders>
                  <w:noWrap w:val="0"/>
                  <w:vAlign w:val="center"/>
                </w:tcPr>
                <w:p w14:paraId="69334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eastAsia="宋体" w:cs="Times New Roman"/>
                      <w:color w:val="auto"/>
                      <w:spacing w:val="0"/>
                      <w:position w:val="0"/>
                      <w:sz w:val="21"/>
                      <w:szCs w:val="21"/>
                      <w:u w:val="none" w:color="auto"/>
                      <w:lang w:val="en-US" w:eastAsia="zh-CN"/>
                    </w:rPr>
                    <w:t>1</w:t>
                  </w:r>
                </w:p>
              </w:tc>
              <w:tc>
                <w:tcPr>
                  <w:tcW w:w="918" w:type="pct"/>
                  <w:tcBorders>
                    <w:tl2br w:val="nil"/>
                    <w:tr2bl w:val="nil"/>
                  </w:tcBorders>
                  <w:noWrap w:val="0"/>
                  <w:vAlign w:val="center"/>
                </w:tcPr>
                <w:p w14:paraId="564A89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cs="Times New Roman"/>
                      <w:b w:val="0"/>
                      <w:bCs w:val="0"/>
                      <w:color w:val="auto"/>
                      <w:sz w:val="21"/>
                      <w:szCs w:val="21"/>
                      <w:u w:val="none" w:color="auto"/>
                      <w:vertAlign w:val="baseline"/>
                      <w:lang w:val="en-US" w:eastAsia="zh-CN"/>
                    </w:rPr>
                    <w:t>压力容器</w:t>
                  </w:r>
                </w:p>
              </w:tc>
              <w:tc>
                <w:tcPr>
                  <w:tcW w:w="671" w:type="pct"/>
                  <w:tcBorders>
                    <w:tl2br w:val="nil"/>
                    <w:tr2bl w:val="nil"/>
                  </w:tcBorders>
                  <w:noWrap w:val="0"/>
                  <w:vAlign w:val="center"/>
                </w:tcPr>
                <w:p w14:paraId="791E35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cs="Times New Roman"/>
                      <w:b w:val="0"/>
                      <w:bCs w:val="0"/>
                      <w:color w:val="auto"/>
                      <w:sz w:val="21"/>
                      <w:szCs w:val="21"/>
                      <w:u w:val="none" w:color="auto"/>
                      <w:vertAlign w:val="baseline"/>
                      <w:lang w:val="en-US" w:eastAsia="zh-CN"/>
                    </w:rPr>
                    <w:t>3000</w:t>
                  </w:r>
                  <w:r>
                    <w:rPr>
                      <w:rFonts w:hint="default" w:ascii="Times New Roman" w:hAnsi="Times New Roman" w:cs="Times New Roman"/>
                      <w:b w:val="0"/>
                      <w:bCs w:val="0"/>
                      <w:color w:val="auto"/>
                      <w:spacing w:val="0"/>
                      <w:position w:val="0"/>
                      <w:sz w:val="21"/>
                      <w:szCs w:val="21"/>
                      <w:u w:val="none" w:color="auto"/>
                      <w:lang w:val="en-US" w:eastAsia="zh-CN"/>
                    </w:rPr>
                    <w:t>t/a</w:t>
                  </w:r>
                </w:p>
              </w:tc>
              <w:tc>
                <w:tcPr>
                  <w:tcW w:w="627" w:type="pct"/>
                  <w:tcBorders>
                    <w:tl2br w:val="nil"/>
                    <w:tr2bl w:val="nil"/>
                  </w:tcBorders>
                  <w:noWrap w:val="0"/>
                  <w:vAlign w:val="center"/>
                </w:tcPr>
                <w:p w14:paraId="0B0332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u w:val="none" w:color="auto"/>
                      <w:lang w:val="en-US" w:eastAsia="zh-CN"/>
                    </w:rPr>
                  </w:pPr>
                  <w:r>
                    <w:rPr>
                      <w:rFonts w:hint="eastAsia" w:ascii="Times New Roman" w:hAnsi="Times New Roman" w:eastAsia="宋体" w:cs="Times New Roman"/>
                      <w:color w:val="auto"/>
                      <w:spacing w:val="0"/>
                      <w:position w:val="0"/>
                      <w:sz w:val="21"/>
                      <w:szCs w:val="21"/>
                      <w:u w:val="none" w:color="auto"/>
                      <w:lang w:val="en-US" w:eastAsia="zh-CN"/>
                    </w:rPr>
                    <w:t>3</w:t>
                  </w:r>
                  <w:r>
                    <w:rPr>
                      <w:rFonts w:hint="eastAsia" w:cs="Times New Roman"/>
                      <w:color w:val="auto"/>
                      <w:spacing w:val="0"/>
                      <w:position w:val="0"/>
                      <w:sz w:val="21"/>
                      <w:szCs w:val="21"/>
                      <w:u w:val="none" w:color="auto"/>
                      <w:lang w:val="en-US" w:eastAsia="zh-CN"/>
                    </w:rPr>
                    <w:t>0</w:t>
                  </w:r>
                  <w:r>
                    <w:rPr>
                      <w:rFonts w:hint="eastAsia" w:ascii="Times New Roman" w:hAnsi="Times New Roman" w:eastAsia="宋体" w:cs="Times New Roman"/>
                      <w:color w:val="auto"/>
                      <w:spacing w:val="0"/>
                      <w:position w:val="0"/>
                      <w:sz w:val="21"/>
                      <w:szCs w:val="21"/>
                      <w:u w:val="none" w:color="auto"/>
                      <w:lang w:val="en-US" w:eastAsia="zh-CN"/>
                    </w:rPr>
                    <w:t>00</w:t>
                  </w:r>
                  <w:r>
                    <w:rPr>
                      <w:rFonts w:hint="default" w:ascii="Times New Roman" w:hAnsi="Times New Roman" w:cs="Times New Roman"/>
                      <w:b w:val="0"/>
                      <w:bCs w:val="0"/>
                      <w:color w:val="auto"/>
                      <w:spacing w:val="0"/>
                      <w:position w:val="0"/>
                      <w:sz w:val="21"/>
                      <w:szCs w:val="21"/>
                      <w:u w:val="none" w:color="auto"/>
                      <w:lang w:val="en-US" w:eastAsia="zh-CN"/>
                    </w:rPr>
                    <w:t>t/a</w:t>
                  </w:r>
                </w:p>
              </w:tc>
              <w:tc>
                <w:tcPr>
                  <w:tcW w:w="740" w:type="pct"/>
                  <w:tcBorders>
                    <w:tl2br w:val="nil"/>
                    <w:tr2bl w:val="nil"/>
                  </w:tcBorders>
                  <w:noWrap w:val="0"/>
                  <w:vAlign w:val="center"/>
                </w:tcPr>
                <w:p w14:paraId="19976367">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0</w:t>
                  </w:r>
                </w:p>
              </w:tc>
              <w:tc>
                <w:tcPr>
                  <w:tcW w:w="1752" w:type="pct"/>
                  <w:tcBorders>
                    <w:tl2br w:val="nil"/>
                    <w:tr2bl w:val="nil"/>
                  </w:tcBorders>
                  <w:shd w:val="clear" w:color="auto" w:fill="auto"/>
                  <w:noWrap w:val="0"/>
                  <w:vAlign w:val="center"/>
                </w:tcPr>
                <w:p w14:paraId="61BB0C0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default" w:ascii="Times New Roman" w:hAnsi="Times New Roman" w:cs="Times New Roman"/>
                      <w:b w:val="0"/>
                      <w:bCs w:val="0"/>
                      <w:color w:val="000000"/>
                      <w:sz w:val="21"/>
                      <w:szCs w:val="21"/>
                      <w:u w:val="none"/>
                      <w:lang w:val="en-US" w:eastAsia="zh-CN"/>
                    </w:rPr>
                    <w:t>DN600*800</w:t>
                  </w:r>
                  <w:r>
                    <w:rPr>
                      <w:rFonts w:hint="eastAsia" w:ascii="Times New Roman" w:hAnsi="Times New Roman" w:cs="Times New Roman"/>
                      <w:b w:val="0"/>
                      <w:bCs w:val="0"/>
                      <w:color w:val="000000"/>
                      <w:sz w:val="21"/>
                      <w:szCs w:val="21"/>
                      <w:u w:val="none"/>
                      <w:lang w:val="en-US" w:eastAsia="zh-CN"/>
                    </w:rPr>
                    <w:t>/</w:t>
                  </w:r>
                  <w:r>
                    <w:rPr>
                      <w:rFonts w:hint="default" w:ascii="Times New Roman" w:hAnsi="Times New Roman" w:cs="Times New Roman"/>
                      <w:b w:val="0"/>
                      <w:bCs w:val="0"/>
                      <w:color w:val="000000"/>
                      <w:sz w:val="21"/>
                      <w:szCs w:val="21"/>
                      <w:u w:val="none"/>
                      <w:lang w:val="en-US" w:eastAsia="zh-CN"/>
                    </w:rPr>
                    <w:t>DN700*1000</w:t>
                  </w:r>
                  <w:r>
                    <w:rPr>
                      <w:rFonts w:hint="eastAsia" w:ascii="Times New Roman" w:hAnsi="Times New Roman" w:cs="Times New Roman"/>
                      <w:b w:val="0"/>
                      <w:bCs w:val="0"/>
                      <w:color w:val="000000"/>
                      <w:sz w:val="21"/>
                      <w:szCs w:val="21"/>
                      <w:u w:val="none"/>
                      <w:lang w:val="en-US" w:eastAsia="zh-CN"/>
                    </w:rPr>
                    <w:t>/</w:t>
                  </w:r>
                  <w:r>
                    <w:rPr>
                      <w:rFonts w:hint="default" w:ascii="Times New Roman" w:hAnsi="Times New Roman" w:cs="Times New Roman"/>
                      <w:b w:val="0"/>
                      <w:bCs w:val="0"/>
                      <w:color w:val="000000"/>
                      <w:sz w:val="21"/>
                      <w:szCs w:val="21"/>
                      <w:u w:val="none"/>
                      <w:lang w:val="en-US" w:eastAsia="zh-CN"/>
                    </w:rPr>
                    <w:t>DN800*1800</w:t>
                  </w:r>
                  <w:r>
                    <w:rPr>
                      <w:rFonts w:hint="eastAsia" w:ascii="Times New Roman" w:hAnsi="Times New Roman" w:cs="Times New Roman"/>
                      <w:b w:val="0"/>
                      <w:bCs w:val="0"/>
                      <w:color w:val="000000"/>
                      <w:sz w:val="21"/>
                      <w:szCs w:val="21"/>
                      <w:u w:val="none"/>
                      <w:lang w:val="en-US" w:eastAsia="zh-CN"/>
                    </w:rPr>
                    <w:t>/</w:t>
                  </w:r>
                  <w:r>
                    <w:rPr>
                      <w:rFonts w:hint="default" w:ascii="Times New Roman" w:hAnsi="Times New Roman" w:cs="Times New Roman"/>
                      <w:b w:val="0"/>
                      <w:bCs w:val="0"/>
                      <w:color w:val="000000"/>
                      <w:sz w:val="21"/>
                      <w:szCs w:val="21"/>
                      <w:u w:val="none"/>
                      <w:lang w:val="en-US" w:eastAsia="zh-CN"/>
                    </w:rPr>
                    <w:t>DN1400*2800</w:t>
                  </w:r>
                  <w:r>
                    <w:rPr>
                      <w:rFonts w:hint="eastAsia" w:ascii="Times New Roman" w:hAnsi="Times New Roman" w:cs="Times New Roman"/>
                      <w:b w:val="0"/>
                      <w:bCs w:val="0"/>
                      <w:color w:val="000000"/>
                      <w:sz w:val="21"/>
                      <w:szCs w:val="21"/>
                      <w:u w:val="none"/>
                      <w:lang w:val="en-US" w:eastAsia="zh-CN"/>
                    </w:rPr>
                    <w:t>/</w:t>
                  </w:r>
                  <w:r>
                    <w:rPr>
                      <w:rFonts w:hint="default" w:ascii="Times New Roman" w:hAnsi="Times New Roman" w:cs="Times New Roman"/>
                      <w:b w:val="0"/>
                      <w:bCs w:val="0"/>
                      <w:color w:val="000000"/>
                      <w:sz w:val="21"/>
                      <w:szCs w:val="21"/>
                      <w:u w:val="none"/>
                      <w:lang w:val="en-US" w:eastAsia="zh-CN"/>
                    </w:rPr>
                    <w:t>DN1800*3400</w:t>
                  </w:r>
                  <w:r>
                    <w:rPr>
                      <w:rFonts w:hint="eastAsia" w:ascii="Times New Roman" w:hAnsi="Times New Roman" w:cs="Times New Roman"/>
                      <w:b w:val="0"/>
                      <w:bCs w:val="0"/>
                      <w:color w:val="000000"/>
                      <w:sz w:val="21"/>
                      <w:szCs w:val="21"/>
                      <w:u w:val="none"/>
                      <w:lang w:val="en-US" w:eastAsia="zh-CN"/>
                    </w:rPr>
                    <w:t>/</w:t>
                  </w:r>
                  <w:r>
                    <w:rPr>
                      <w:rFonts w:hint="default" w:ascii="Times New Roman" w:hAnsi="Times New Roman" w:cs="Times New Roman"/>
                      <w:b w:val="0"/>
                      <w:bCs w:val="0"/>
                      <w:color w:val="000000"/>
                      <w:sz w:val="21"/>
                      <w:szCs w:val="21"/>
                      <w:u w:val="none"/>
                      <w:lang w:val="en-US" w:eastAsia="zh-CN"/>
                    </w:rPr>
                    <w:t>DN2400*3600</w:t>
                  </w:r>
                  <w:r>
                    <w:rPr>
                      <w:rFonts w:hint="eastAsia" w:ascii="Times New Roman" w:hAnsi="Times New Roman" w:cs="Times New Roman"/>
                      <w:b w:val="0"/>
                      <w:bCs w:val="0"/>
                      <w:color w:val="000000"/>
                      <w:sz w:val="21"/>
                      <w:szCs w:val="21"/>
                      <w:u w:val="none"/>
                      <w:lang w:val="en-US" w:eastAsia="zh-CN"/>
                    </w:rPr>
                    <w:t>/</w:t>
                  </w:r>
                  <w:r>
                    <w:rPr>
                      <w:rFonts w:hint="default" w:ascii="Times New Roman" w:hAnsi="Times New Roman" w:cs="Times New Roman"/>
                      <w:b w:val="0"/>
                      <w:bCs w:val="0"/>
                      <w:color w:val="000000"/>
                      <w:sz w:val="21"/>
                      <w:szCs w:val="21"/>
                      <w:u w:val="none"/>
                      <w:lang w:val="en-US" w:eastAsia="zh-CN"/>
                    </w:rPr>
                    <w:t>DN2600*8400</w:t>
                  </w:r>
                  <w:r>
                    <w:rPr>
                      <w:rFonts w:hint="eastAsia" w:ascii="Times New Roman" w:hAnsi="Times New Roman" w:cs="Times New Roman"/>
                      <w:b w:val="0"/>
                      <w:bCs w:val="0"/>
                      <w:color w:val="000000"/>
                      <w:sz w:val="21"/>
                      <w:szCs w:val="21"/>
                      <w:u w:val="none"/>
                      <w:lang w:val="en-US" w:eastAsia="zh-CN"/>
                    </w:rPr>
                    <w:t>/</w:t>
                  </w:r>
                  <w:r>
                    <w:rPr>
                      <w:rFonts w:hint="default" w:ascii="Times New Roman" w:hAnsi="Times New Roman" w:cs="Times New Roman"/>
                      <w:b w:val="0"/>
                      <w:bCs w:val="0"/>
                      <w:color w:val="000000"/>
                      <w:sz w:val="21"/>
                      <w:szCs w:val="21"/>
                      <w:u w:val="none"/>
                      <w:lang w:val="en-US" w:eastAsia="zh-CN"/>
                    </w:rPr>
                    <w:t>DN3000*13200</w:t>
                  </w:r>
                </w:p>
              </w:tc>
            </w:tr>
            <w:tr w14:paraId="01207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 w:type="pct"/>
                  <w:tcBorders>
                    <w:tl2br w:val="nil"/>
                    <w:tr2bl w:val="nil"/>
                  </w:tcBorders>
                  <w:noWrap w:val="0"/>
                  <w:vAlign w:val="center"/>
                </w:tcPr>
                <w:p w14:paraId="26C7C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2</w:t>
                  </w:r>
                </w:p>
              </w:tc>
              <w:tc>
                <w:tcPr>
                  <w:tcW w:w="918" w:type="pct"/>
                  <w:tcBorders>
                    <w:tl2br w:val="nil"/>
                    <w:tr2bl w:val="nil"/>
                  </w:tcBorders>
                  <w:shd w:val="clear" w:color="auto" w:fill="auto"/>
                  <w:noWrap w:val="0"/>
                  <w:vAlign w:val="center"/>
                </w:tcPr>
                <w:p w14:paraId="02636F51">
                  <w:pPr>
                    <w:pStyle w:val="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u w:val="singl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水冷散热器</w:t>
                  </w:r>
                </w:p>
              </w:tc>
              <w:tc>
                <w:tcPr>
                  <w:tcW w:w="671" w:type="pct"/>
                  <w:tcBorders>
                    <w:tl2br w:val="nil"/>
                    <w:tr2bl w:val="nil"/>
                  </w:tcBorders>
                  <w:noWrap w:val="0"/>
                  <w:vAlign w:val="center"/>
                </w:tcPr>
                <w:p w14:paraId="2B21FE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0</w:t>
                  </w:r>
                </w:p>
              </w:tc>
              <w:tc>
                <w:tcPr>
                  <w:tcW w:w="627" w:type="pct"/>
                  <w:tcBorders>
                    <w:tl2br w:val="nil"/>
                    <w:tr2bl w:val="nil"/>
                  </w:tcBorders>
                  <w:noWrap w:val="0"/>
                  <w:vAlign w:val="center"/>
                </w:tcPr>
                <w:p w14:paraId="4994F5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2000台</w:t>
                  </w:r>
                </w:p>
              </w:tc>
              <w:tc>
                <w:tcPr>
                  <w:tcW w:w="740" w:type="pct"/>
                  <w:tcBorders>
                    <w:tl2br w:val="nil"/>
                    <w:tr2bl w:val="nil"/>
                  </w:tcBorders>
                  <w:noWrap w:val="0"/>
                  <w:vAlign w:val="center"/>
                </w:tcPr>
                <w:p w14:paraId="7D3C02A1">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spacing w:val="0"/>
                      <w:position w:val="0"/>
                      <w:sz w:val="21"/>
                      <w:szCs w:val="21"/>
                      <w:u w:val="none" w:color="auto"/>
                      <w:lang w:eastAsia="zh-CN"/>
                    </w:rPr>
                  </w:pPr>
                  <w:r>
                    <w:rPr>
                      <w:rFonts w:hint="eastAsia" w:ascii="Times New Roman" w:hAnsi="Times New Roman" w:cs="Times New Roman"/>
                      <w:color w:val="auto"/>
                      <w:spacing w:val="0"/>
                      <w:position w:val="0"/>
                      <w:sz w:val="21"/>
                      <w:szCs w:val="21"/>
                      <w:u w:val="none" w:color="auto"/>
                      <w:lang w:val="en-US" w:eastAsia="zh-CN"/>
                    </w:rPr>
                    <w:t>+</w:t>
                  </w:r>
                  <w:r>
                    <w:rPr>
                      <w:rFonts w:hint="eastAsia" w:cs="Times New Roman"/>
                      <w:color w:val="auto"/>
                      <w:spacing w:val="0"/>
                      <w:position w:val="0"/>
                      <w:sz w:val="21"/>
                      <w:szCs w:val="21"/>
                      <w:u w:val="none" w:color="auto"/>
                      <w:lang w:val="en-US" w:eastAsia="zh-CN"/>
                    </w:rPr>
                    <w:t>2000台</w:t>
                  </w:r>
                </w:p>
              </w:tc>
              <w:tc>
                <w:tcPr>
                  <w:tcW w:w="1752" w:type="pct"/>
                  <w:tcBorders>
                    <w:tl2br w:val="nil"/>
                    <w:tr2bl w:val="nil"/>
                  </w:tcBorders>
                  <w:noWrap w:val="0"/>
                  <w:vAlign w:val="center"/>
                </w:tcPr>
                <w:p w14:paraId="5E6CA8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pacing w:val="0"/>
                      <w:position w:val="0"/>
                      <w:sz w:val="21"/>
                      <w:szCs w:val="21"/>
                      <w:u w:val="none" w:color="auto"/>
                      <w:lang w:eastAsia="zh-CN"/>
                    </w:rPr>
                  </w:pPr>
                  <w:r>
                    <w:rPr>
                      <w:rFonts w:hint="eastAsia" w:ascii="Times New Roman" w:hAnsi="Times New Roman" w:cs="Times New Roman"/>
                      <w:b w:val="0"/>
                      <w:bCs w:val="0"/>
                      <w:color w:val="000000"/>
                      <w:sz w:val="21"/>
                      <w:szCs w:val="21"/>
                      <w:u w:val="none"/>
                      <w:lang w:val="en-US" w:eastAsia="zh-CN"/>
                    </w:rPr>
                    <w:t>RK35.12.W5/2685*425*30/TS61.1.050604.A</w:t>
                  </w:r>
                </w:p>
              </w:tc>
            </w:tr>
            <w:tr w14:paraId="56979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9" w:type="pct"/>
                  <w:tcBorders>
                    <w:tl2br w:val="nil"/>
                    <w:tr2bl w:val="nil"/>
                  </w:tcBorders>
                  <w:noWrap w:val="0"/>
                  <w:vAlign w:val="center"/>
                </w:tcPr>
                <w:p w14:paraId="201AEF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3</w:t>
                  </w:r>
                </w:p>
              </w:tc>
              <w:tc>
                <w:tcPr>
                  <w:tcW w:w="918" w:type="pct"/>
                  <w:tcBorders>
                    <w:tl2br w:val="nil"/>
                    <w:tr2bl w:val="nil"/>
                  </w:tcBorders>
                  <w:shd w:val="clear" w:color="auto" w:fill="auto"/>
                  <w:noWrap w:val="0"/>
                  <w:vAlign w:val="center"/>
                </w:tcPr>
                <w:p w14:paraId="3D1ED82F">
                  <w:pPr>
                    <w:pStyle w:val="3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kern w:val="2"/>
                      <w:sz w:val="21"/>
                      <w:szCs w:val="21"/>
                      <w:u w:val="single"/>
                      <w:vertAlign w:val="baseline"/>
                      <w:lang w:val="en-US" w:eastAsia="zh-CN" w:bidi="ar-SA"/>
                    </w:rPr>
                  </w:pPr>
                  <w:r>
                    <w:rPr>
                      <w:rFonts w:hint="eastAsia" w:ascii="Times New Roman" w:hAnsi="Times New Roman" w:cs="Times New Roman"/>
                      <w:b w:val="0"/>
                      <w:bCs w:val="0"/>
                      <w:color w:val="auto"/>
                      <w:sz w:val="21"/>
                      <w:szCs w:val="21"/>
                      <w:u w:val="none"/>
                      <w:vertAlign w:val="baseline"/>
                      <w:lang w:val="en-US" w:eastAsia="zh-CN"/>
                    </w:rPr>
                    <w:t>钢结构</w:t>
                  </w:r>
                </w:p>
              </w:tc>
              <w:tc>
                <w:tcPr>
                  <w:tcW w:w="671" w:type="pct"/>
                  <w:tcBorders>
                    <w:tl2br w:val="nil"/>
                    <w:tr2bl w:val="nil"/>
                  </w:tcBorders>
                  <w:noWrap w:val="0"/>
                  <w:vAlign w:val="center"/>
                </w:tcPr>
                <w:p w14:paraId="675991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kern w:val="2"/>
                      <w:position w:val="0"/>
                      <w:sz w:val="21"/>
                      <w:szCs w:val="21"/>
                      <w:u w:val="none" w:color="auto"/>
                      <w:lang w:val="en-US" w:eastAsia="zh-CN" w:bidi="ar-SA"/>
                    </w:rPr>
                  </w:pPr>
                  <w:r>
                    <w:rPr>
                      <w:rFonts w:hint="eastAsia" w:cs="Times New Roman"/>
                      <w:color w:val="auto"/>
                      <w:spacing w:val="0"/>
                      <w:kern w:val="2"/>
                      <w:position w:val="0"/>
                      <w:sz w:val="21"/>
                      <w:szCs w:val="21"/>
                      <w:u w:val="none" w:color="auto"/>
                      <w:lang w:val="en-US" w:eastAsia="zh-CN" w:bidi="ar-SA"/>
                    </w:rPr>
                    <w:t>0</w:t>
                  </w:r>
                </w:p>
              </w:tc>
              <w:tc>
                <w:tcPr>
                  <w:tcW w:w="627" w:type="pct"/>
                  <w:tcBorders>
                    <w:tl2br w:val="nil"/>
                    <w:tr2bl w:val="nil"/>
                  </w:tcBorders>
                  <w:noWrap w:val="0"/>
                  <w:vAlign w:val="center"/>
                </w:tcPr>
                <w:p w14:paraId="456B7D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kern w:val="2"/>
                      <w:position w:val="0"/>
                      <w:sz w:val="21"/>
                      <w:szCs w:val="21"/>
                      <w:u w:val="none" w:color="auto"/>
                      <w:lang w:val="en-US" w:eastAsia="zh-CN" w:bidi="ar-SA"/>
                    </w:rPr>
                  </w:pPr>
                  <w:r>
                    <w:rPr>
                      <w:rFonts w:hint="eastAsia" w:cs="Times New Roman"/>
                      <w:color w:val="auto"/>
                      <w:spacing w:val="0"/>
                      <w:kern w:val="2"/>
                      <w:position w:val="0"/>
                      <w:sz w:val="21"/>
                      <w:szCs w:val="21"/>
                      <w:u w:val="none" w:color="auto"/>
                      <w:lang w:val="en-US" w:eastAsia="zh-CN" w:bidi="ar-SA"/>
                    </w:rPr>
                    <w:t>2000</w:t>
                  </w:r>
                  <w:r>
                    <w:rPr>
                      <w:rFonts w:hint="default" w:ascii="Times New Roman" w:hAnsi="Times New Roman" w:cs="Times New Roman"/>
                      <w:b w:val="0"/>
                      <w:bCs w:val="0"/>
                      <w:color w:val="auto"/>
                      <w:spacing w:val="0"/>
                      <w:position w:val="0"/>
                      <w:sz w:val="21"/>
                      <w:szCs w:val="21"/>
                      <w:u w:val="none" w:color="auto"/>
                      <w:lang w:val="en-US" w:eastAsia="zh-CN"/>
                    </w:rPr>
                    <w:t>t/a</w:t>
                  </w:r>
                </w:p>
              </w:tc>
              <w:tc>
                <w:tcPr>
                  <w:tcW w:w="740" w:type="pct"/>
                  <w:tcBorders>
                    <w:tl2br w:val="nil"/>
                    <w:tr2bl w:val="nil"/>
                  </w:tcBorders>
                  <w:noWrap w:val="0"/>
                  <w:vAlign w:val="center"/>
                </w:tcPr>
                <w:p w14:paraId="1C74F0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w:t>
                  </w:r>
                  <w:r>
                    <w:rPr>
                      <w:rFonts w:hint="eastAsia" w:cs="Times New Roman"/>
                      <w:color w:val="auto"/>
                      <w:spacing w:val="0"/>
                      <w:kern w:val="2"/>
                      <w:position w:val="0"/>
                      <w:sz w:val="21"/>
                      <w:szCs w:val="21"/>
                      <w:u w:val="none" w:color="auto"/>
                      <w:lang w:val="en-US" w:eastAsia="zh-CN" w:bidi="ar-SA"/>
                    </w:rPr>
                    <w:t>2000</w:t>
                  </w:r>
                  <w:r>
                    <w:rPr>
                      <w:rFonts w:hint="default" w:ascii="Times New Roman" w:hAnsi="Times New Roman" w:cs="Times New Roman"/>
                      <w:b w:val="0"/>
                      <w:bCs w:val="0"/>
                      <w:color w:val="auto"/>
                      <w:spacing w:val="0"/>
                      <w:position w:val="0"/>
                      <w:sz w:val="21"/>
                      <w:szCs w:val="21"/>
                      <w:u w:val="none" w:color="auto"/>
                      <w:lang w:val="en-US" w:eastAsia="zh-CN"/>
                    </w:rPr>
                    <w:t>t/a</w:t>
                  </w:r>
                </w:p>
              </w:tc>
              <w:tc>
                <w:tcPr>
                  <w:tcW w:w="1752" w:type="pct"/>
                  <w:tcBorders>
                    <w:tl2br w:val="nil"/>
                    <w:tr2bl w:val="nil"/>
                  </w:tcBorders>
                  <w:noWrap w:val="0"/>
                  <w:vAlign w:val="center"/>
                </w:tcPr>
                <w:p w14:paraId="14B5E7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spacing w:val="0"/>
                      <w:kern w:val="2"/>
                      <w:position w:val="0"/>
                      <w:sz w:val="21"/>
                      <w:szCs w:val="21"/>
                      <w:u w:val="none" w:color="auto"/>
                      <w:lang w:val="en-US" w:eastAsia="zh-CN" w:bidi="ar-SA"/>
                    </w:rPr>
                  </w:pPr>
                  <w:r>
                    <w:rPr>
                      <w:rFonts w:hint="default" w:ascii="Times New Roman" w:hAnsi="Times New Roman" w:eastAsia="宋体" w:cs="Times New Roman"/>
                      <w:color w:val="auto"/>
                      <w:spacing w:val="0"/>
                      <w:position w:val="0"/>
                      <w:sz w:val="21"/>
                      <w:szCs w:val="21"/>
                      <w:u w:val="none" w:color="auto"/>
                      <w:lang w:val="en-US" w:eastAsia="zh-CN"/>
                    </w:rPr>
                    <w:t>因订单需要制作，规格大小根据订单要求改变</w:t>
                  </w:r>
                </w:p>
              </w:tc>
            </w:tr>
          </w:tbl>
          <w:p w14:paraId="6E5BE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eastAsia" w:cs="Times New Roman"/>
                <w:b/>
                <w:bCs/>
                <w:color w:val="auto"/>
                <w:spacing w:val="0"/>
                <w:position w:val="0"/>
                <w:sz w:val="24"/>
                <w:szCs w:val="24"/>
                <w:u w:val="none" w:color="auto"/>
                <w:lang w:val="en-US" w:eastAsia="zh-CN"/>
              </w:rPr>
              <w:t>6</w:t>
            </w:r>
            <w:r>
              <w:rPr>
                <w:rFonts w:hint="default" w:ascii="Times New Roman" w:hAnsi="Times New Roman" w:eastAsia="宋体" w:cs="Times New Roman"/>
                <w:b/>
                <w:bCs/>
                <w:color w:val="auto"/>
                <w:spacing w:val="0"/>
                <w:position w:val="0"/>
                <w:sz w:val="24"/>
                <w:szCs w:val="24"/>
                <w:u w:val="none" w:color="auto"/>
                <w:lang w:val="en-US" w:eastAsia="zh-CN"/>
              </w:rPr>
              <w:t>、</w:t>
            </w:r>
            <w:r>
              <w:rPr>
                <w:rFonts w:hint="default" w:ascii="Times New Roman" w:hAnsi="Times New Roman" w:cs="Times New Roman"/>
                <w:b/>
                <w:bCs/>
                <w:color w:val="auto"/>
                <w:spacing w:val="0"/>
                <w:position w:val="0"/>
                <w:sz w:val="24"/>
                <w:szCs w:val="24"/>
                <w:u w:val="none" w:color="auto"/>
                <w:lang w:val="en-US" w:eastAsia="zh-CN"/>
              </w:rPr>
              <w:t>主要</w:t>
            </w:r>
            <w:r>
              <w:rPr>
                <w:rFonts w:hint="default" w:ascii="Times New Roman" w:hAnsi="Times New Roman" w:eastAsia="宋体" w:cs="Times New Roman"/>
                <w:b/>
                <w:bCs/>
                <w:color w:val="auto"/>
                <w:spacing w:val="0"/>
                <w:position w:val="0"/>
                <w:sz w:val="24"/>
                <w:szCs w:val="24"/>
                <w:u w:val="none" w:color="auto"/>
                <w:lang w:val="en-US" w:eastAsia="zh-CN"/>
              </w:rPr>
              <w:t>原辅材料及</w:t>
            </w:r>
            <w:r>
              <w:rPr>
                <w:rFonts w:hint="default" w:ascii="Times New Roman" w:hAnsi="Times New Roman" w:cs="Times New Roman"/>
                <w:b/>
                <w:bCs/>
                <w:color w:val="auto"/>
                <w:spacing w:val="0"/>
                <w:position w:val="0"/>
                <w:sz w:val="24"/>
                <w:szCs w:val="24"/>
                <w:u w:val="none" w:color="auto"/>
                <w:lang w:val="en-US" w:eastAsia="zh-CN"/>
              </w:rPr>
              <w:t>能源</w:t>
            </w:r>
            <w:r>
              <w:rPr>
                <w:rFonts w:hint="default" w:ascii="Times New Roman" w:hAnsi="Times New Roman" w:eastAsia="宋体" w:cs="Times New Roman"/>
                <w:b/>
                <w:bCs/>
                <w:color w:val="auto"/>
                <w:spacing w:val="0"/>
                <w:position w:val="0"/>
                <w:sz w:val="24"/>
                <w:szCs w:val="24"/>
                <w:u w:val="none" w:color="auto"/>
                <w:lang w:val="en-US" w:eastAsia="zh-CN"/>
              </w:rPr>
              <w:t>消耗</w:t>
            </w:r>
          </w:p>
          <w:p w14:paraId="23F39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cs="Times New Roman"/>
                <w:bCs/>
                <w:color w:val="auto"/>
                <w:spacing w:val="0"/>
                <w:position w:val="0"/>
                <w:sz w:val="24"/>
                <w:szCs w:val="24"/>
                <w:highlight w:val="none"/>
                <w:u w:val="none" w:color="auto"/>
                <w:lang w:eastAsia="zh-CN"/>
              </w:rPr>
            </w:pPr>
            <w:r>
              <w:rPr>
                <w:rFonts w:hint="default" w:ascii="Times New Roman" w:hAnsi="Times New Roman" w:eastAsia="宋体" w:cs="Times New Roman"/>
                <w:bCs/>
                <w:color w:val="auto"/>
                <w:spacing w:val="0"/>
                <w:position w:val="0"/>
                <w:sz w:val="24"/>
                <w:szCs w:val="24"/>
                <w:highlight w:val="none"/>
                <w:u w:val="none" w:color="auto"/>
                <w:lang w:val="en-US" w:eastAsia="zh-CN"/>
              </w:rPr>
              <w:t>本项目</w:t>
            </w:r>
            <w:r>
              <w:rPr>
                <w:rFonts w:hint="default" w:ascii="Times New Roman" w:hAnsi="Times New Roman" w:eastAsia="宋体" w:cs="Times New Roman"/>
                <w:bCs/>
                <w:color w:val="auto"/>
                <w:spacing w:val="0"/>
                <w:position w:val="0"/>
                <w:sz w:val="24"/>
                <w:szCs w:val="24"/>
                <w:highlight w:val="none"/>
                <w:u w:val="none" w:color="auto"/>
                <w:lang w:eastAsia="zh-CN"/>
              </w:rPr>
              <w:t>主要原辅材料消耗及储存情况详见下表</w:t>
            </w:r>
            <w:r>
              <w:rPr>
                <w:rFonts w:hint="eastAsia" w:cs="Times New Roman"/>
                <w:bCs/>
                <w:color w:val="auto"/>
                <w:spacing w:val="0"/>
                <w:position w:val="0"/>
                <w:sz w:val="24"/>
                <w:szCs w:val="24"/>
                <w:highlight w:val="none"/>
                <w:u w:val="none" w:color="auto"/>
                <w:lang w:eastAsia="zh-CN"/>
              </w:rPr>
              <w:t>：</w:t>
            </w:r>
          </w:p>
          <w:p w14:paraId="3E4CC904">
            <w:pPr>
              <w:pStyle w:val="43"/>
              <w:rPr>
                <w:rFonts w:hint="eastAsia" w:cs="Times New Roman"/>
                <w:bCs/>
                <w:color w:val="auto"/>
                <w:spacing w:val="0"/>
                <w:position w:val="0"/>
                <w:sz w:val="24"/>
                <w:szCs w:val="24"/>
                <w:highlight w:val="none"/>
                <w:u w:val="none" w:color="auto"/>
                <w:lang w:eastAsia="zh-CN"/>
              </w:rPr>
            </w:pPr>
          </w:p>
          <w:p w14:paraId="312D9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default" w:ascii="Times New Roman" w:hAnsi="Times New Roman" w:cs="Times New Roman"/>
                <w:b/>
                <w:bCs/>
                <w:color w:val="auto"/>
                <w:spacing w:val="0"/>
                <w:position w:val="0"/>
                <w:sz w:val="24"/>
                <w:szCs w:val="24"/>
                <w:u w:val="none" w:color="auto"/>
              </w:rPr>
            </w:pPr>
            <w:r>
              <w:rPr>
                <w:rFonts w:hint="default" w:ascii="Times New Roman" w:hAnsi="Times New Roman" w:cs="Times New Roman"/>
                <w:b/>
                <w:bCs/>
                <w:color w:val="auto"/>
                <w:spacing w:val="0"/>
                <w:position w:val="0"/>
                <w:sz w:val="24"/>
                <w:szCs w:val="24"/>
                <w:u w:val="none" w:color="auto"/>
              </w:rPr>
              <w:t>表2-</w:t>
            </w:r>
            <w:r>
              <w:rPr>
                <w:rFonts w:hint="eastAsia" w:cs="Times New Roman"/>
                <w:b/>
                <w:bCs/>
                <w:color w:val="auto"/>
                <w:spacing w:val="0"/>
                <w:position w:val="0"/>
                <w:sz w:val="24"/>
                <w:szCs w:val="24"/>
                <w:u w:val="none" w:color="auto"/>
                <w:lang w:val="en-US" w:eastAsia="zh-CN"/>
              </w:rPr>
              <w:t>4</w:t>
            </w:r>
            <w:r>
              <w:rPr>
                <w:rFonts w:hint="default" w:ascii="Times New Roman" w:hAnsi="Times New Roman" w:cs="Times New Roman"/>
                <w:b/>
                <w:bCs/>
                <w:color w:val="auto"/>
                <w:spacing w:val="0"/>
                <w:position w:val="0"/>
                <w:sz w:val="24"/>
                <w:szCs w:val="24"/>
                <w:u w:val="none" w:color="auto"/>
                <w:lang w:val="en-US" w:eastAsia="zh-CN"/>
              </w:rPr>
              <w:t xml:space="preserve">   </w:t>
            </w:r>
            <w:r>
              <w:rPr>
                <w:rFonts w:hint="default" w:ascii="Times New Roman" w:hAnsi="Times New Roman" w:cs="Times New Roman"/>
                <w:b/>
                <w:bCs/>
                <w:color w:val="auto"/>
                <w:spacing w:val="0"/>
                <w:position w:val="0"/>
                <w:sz w:val="24"/>
                <w:szCs w:val="24"/>
                <w:u w:val="none" w:color="auto"/>
              </w:rPr>
              <w:t>主要原辅材料一览表</w:t>
            </w:r>
          </w:p>
          <w:tbl>
            <w:tblPr>
              <w:tblStyle w:val="37"/>
              <w:tblW w:w="87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
              <w:gridCol w:w="1965"/>
              <w:gridCol w:w="510"/>
              <w:gridCol w:w="735"/>
              <w:gridCol w:w="795"/>
              <w:gridCol w:w="945"/>
              <w:gridCol w:w="741"/>
              <w:gridCol w:w="700"/>
              <w:gridCol w:w="713"/>
              <w:gridCol w:w="1261"/>
            </w:tblGrid>
            <w:tr w14:paraId="552EA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tcBorders>
                    <w:tl2br w:val="nil"/>
                    <w:tr2bl w:val="nil"/>
                  </w:tcBorders>
                  <w:noWrap w:val="0"/>
                  <w:vAlign w:val="center"/>
                </w:tcPr>
                <w:p w14:paraId="2FFC1A9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eastAsia="宋体"/>
                      <w:b/>
                      <w:color w:val="000000"/>
                      <w:sz w:val="21"/>
                      <w:szCs w:val="21"/>
                      <w:u w:val="none" w:color="auto"/>
                      <w:lang w:eastAsia="zh-CN"/>
                    </w:rPr>
                  </w:pPr>
                  <w:r>
                    <w:rPr>
                      <w:rFonts w:hint="eastAsia"/>
                      <w:b/>
                      <w:color w:val="000000"/>
                      <w:sz w:val="21"/>
                      <w:szCs w:val="21"/>
                      <w:u w:val="none" w:color="auto"/>
                      <w:lang w:eastAsia="zh-CN"/>
                    </w:rPr>
                    <w:t>产品</w:t>
                  </w:r>
                </w:p>
              </w:tc>
              <w:tc>
                <w:tcPr>
                  <w:tcW w:w="1965" w:type="dxa"/>
                  <w:tcBorders>
                    <w:tl2br w:val="nil"/>
                    <w:tr2bl w:val="nil"/>
                  </w:tcBorders>
                  <w:noWrap w:val="0"/>
                  <w:vAlign w:val="center"/>
                </w:tcPr>
                <w:p w14:paraId="50921EA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b/>
                      <w:color w:val="000000"/>
                      <w:sz w:val="21"/>
                      <w:szCs w:val="21"/>
                      <w:u w:val="none" w:color="auto"/>
                    </w:rPr>
                  </w:pPr>
                  <w:r>
                    <w:rPr>
                      <w:rFonts w:hint="default"/>
                      <w:b/>
                      <w:color w:val="000000"/>
                      <w:sz w:val="21"/>
                      <w:szCs w:val="21"/>
                      <w:u w:val="none" w:color="auto"/>
                    </w:rPr>
                    <w:t>名    称</w:t>
                  </w:r>
                </w:p>
              </w:tc>
              <w:tc>
                <w:tcPr>
                  <w:tcW w:w="510" w:type="dxa"/>
                  <w:tcBorders>
                    <w:tl2br w:val="nil"/>
                    <w:tr2bl w:val="nil"/>
                  </w:tcBorders>
                  <w:noWrap w:val="0"/>
                  <w:vAlign w:val="center"/>
                </w:tcPr>
                <w:p w14:paraId="1E9A59F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b/>
                      <w:color w:val="000000"/>
                      <w:sz w:val="21"/>
                      <w:szCs w:val="21"/>
                      <w:u w:val="none" w:color="auto"/>
                    </w:rPr>
                  </w:pPr>
                  <w:r>
                    <w:rPr>
                      <w:rFonts w:hint="default"/>
                      <w:b/>
                      <w:color w:val="000000"/>
                      <w:sz w:val="21"/>
                      <w:szCs w:val="21"/>
                      <w:u w:val="none" w:color="auto"/>
                    </w:rPr>
                    <w:t>单位</w:t>
                  </w:r>
                </w:p>
              </w:tc>
              <w:tc>
                <w:tcPr>
                  <w:tcW w:w="735" w:type="dxa"/>
                  <w:tcBorders>
                    <w:tl2br w:val="nil"/>
                    <w:tr2bl w:val="nil"/>
                  </w:tcBorders>
                  <w:noWrap w:val="0"/>
                  <w:vAlign w:val="center"/>
                </w:tcPr>
                <w:p w14:paraId="62E0234C">
                  <w:pPr>
                    <w:pStyle w:val="59"/>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outlineLvl w:val="9"/>
                    <w:rPr>
                      <w:rFonts w:hint="eastAsia"/>
                      <w:b/>
                      <w:color w:val="000000"/>
                      <w:sz w:val="21"/>
                      <w:szCs w:val="21"/>
                      <w:u w:val="none" w:color="auto"/>
                    </w:rPr>
                  </w:pPr>
                  <w:r>
                    <w:rPr>
                      <w:rFonts w:hint="eastAsia" w:cs="Times New Roman"/>
                      <w:b/>
                      <w:bCs/>
                      <w:color w:val="auto"/>
                      <w:spacing w:val="0"/>
                      <w:position w:val="0"/>
                      <w:sz w:val="21"/>
                      <w:szCs w:val="21"/>
                      <w:u w:val="none" w:color="auto"/>
                      <w:lang w:eastAsia="zh-CN"/>
                    </w:rPr>
                    <w:t>扩建前年用量</w:t>
                  </w:r>
                </w:p>
              </w:tc>
              <w:tc>
                <w:tcPr>
                  <w:tcW w:w="795" w:type="dxa"/>
                  <w:tcBorders>
                    <w:tl2br w:val="nil"/>
                    <w:tr2bl w:val="nil"/>
                  </w:tcBorders>
                  <w:noWrap w:val="0"/>
                  <w:vAlign w:val="center"/>
                </w:tcPr>
                <w:p w14:paraId="2FF0E54B">
                  <w:pPr>
                    <w:pStyle w:val="59"/>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outlineLvl w:val="9"/>
                    <w:rPr>
                      <w:rFonts w:hint="eastAsia" w:cs="Times New Roman"/>
                      <w:b/>
                      <w:bCs/>
                      <w:color w:val="auto"/>
                      <w:spacing w:val="0"/>
                      <w:position w:val="0"/>
                      <w:sz w:val="21"/>
                      <w:szCs w:val="21"/>
                      <w:u w:val="none" w:color="auto"/>
                      <w:lang w:eastAsia="zh-CN"/>
                    </w:rPr>
                  </w:pPr>
                  <w:r>
                    <w:rPr>
                      <w:rFonts w:hint="eastAsia" w:cs="Times New Roman"/>
                      <w:b/>
                      <w:bCs/>
                      <w:color w:val="auto"/>
                      <w:spacing w:val="0"/>
                      <w:position w:val="0"/>
                      <w:sz w:val="21"/>
                      <w:szCs w:val="21"/>
                      <w:u w:val="none" w:color="auto"/>
                      <w:lang w:eastAsia="zh-CN"/>
                    </w:rPr>
                    <w:t>扩建后年</w:t>
                  </w:r>
                  <w:r>
                    <w:rPr>
                      <w:rFonts w:hint="default" w:ascii="Times New Roman" w:hAnsi="Times New Roman" w:cs="Times New Roman"/>
                      <w:b/>
                      <w:bCs/>
                      <w:color w:val="auto"/>
                      <w:spacing w:val="0"/>
                      <w:position w:val="0"/>
                      <w:sz w:val="21"/>
                      <w:szCs w:val="21"/>
                      <w:u w:val="none" w:color="auto"/>
                    </w:rPr>
                    <w:t>用量</w:t>
                  </w:r>
                </w:p>
              </w:tc>
              <w:tc>
                <w:tcPr>
                  <w:tcW w:w="945" w:type="dxa"/>
                  <w:tcBorders>
                    <w:tl2br w:val="nil"/>
                    <w:tr2bl w:val="nil"/>
                  </w:tcBorders>
                  <w:noWrap w:val="0"/>
                  <w:vAlign w:val="center"/>
                </w:tcPr>
                <w:p w14:paraId="77A1D102">
                  <w:pPr>
                    <w:pStyle w:val="59"/>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outlineLvl w:val="9"/>
                    <w:rPr>
                      <w:rFonts w:hint="eastAsia" w:cs="Times New Roman"/>
                      <w:b/>
                      <w:bCs/>
                      <w:color w:val="auto"/>
                      <w:spacing w:val="0"/>
                      <w:position w:val="0"/>
                      <w:sz w:val="21"/>
                      <w:szCs w:val="21"/>
                      <w:u w:val="none" w:color="auto"/>
                      <w:lang w:eastAsia="zh-CN"/>
                    </w:rPr>
                  </w:pPr>
                  <w:r>
                    <w:rPr>
                      <w:rFonts w:hint="eastAsia" w:cs="Times New Roman"/>
                      <w:b/>
                      <w:bCs/>
                      <w:color w:val="auto"/>
                      <w:spacing w:val="0"/>
                      <w:position w:val="0"/>
                      <w:sz w:val="21"/>
                      <w:szCs w:val="21"/>
                      <w:u w:val="none" w:color="auto"/>
                      <w:lang w:eastAsia="zh-CN"/>
                    </w:rPr>
                    <w:t>变化量</w:t>
                  </w:r>
                </w:p>
              </w:tc>
              <w:tc>
                <w:tcPr>
                  <w:tcW w:w="741" w:type="dxa"/>
                  <w:tcBorders>
                    <w:tl2br w:val="nil"/>
                    <w:tr2bl w:val="nil"/>
                  </w:tcBorders>
                  <w:noWrap w:val="0"/>
                  <w:vAlign w:val="center"/>
                </w:tcPr>
                <w:p w14:paraId="073A753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eastAsia="宋体"/>
                      <w:b/>
                      <w:color w:val="000000"/>
                      <w:sz w:val="21"/>
                      <w:szCs w:val="21"/>
                      <w:u w:val="none" w:color="auto"/>
                      <w:lang w:eastAsia="zh-CN"/>
                    </w:rPr>
                  </w:pPr>
                  <w:r>
                    <w:rPr>
                      <w:rFonts w:hint="eastAsia"/>
                      <w:b/>
                      <w:color w:val="000000"/>
                      <w:sz w:val="21"/>
                      <w:szCs w:val="21"/>
                      <w:u w:val="none" w:color="auto"/>
                    </w:rPr>
                    <w:t>形态</w:t>
                  </w:r>
                </w:p>
              </w:tc>
              <w:tc>
                <w:tcPr>
                  <w:tcW w:w="700" w:type="dxa"/>
                  <w:tcBorders>
                    <w:tl2br w:val="nil"/>
                    <w:tr2bl w:val="nil"/>
                  </w:tcBorders>
                  <w:noWrap w:val="0"/>
                  <w:vAlign w:val="center"/>
                </w:tcPr>
                <w:p w14:paraId="694DFA0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eastAsia="宋体"/>
                      <w:b/>
                      <w:color w:val="000000"/>
                      <w:sz w:val="21"/>
                      <w:szCs w:val="21"/>
                      <w:u w:val="none" w:color="auto"/>
                      <w:lang w:eastAsia="zh-CN"/>
                    </w:rPr>
                  </w:pPr>
                  <w:r>
                    <w:rPr>
                      <w:rFonts w:hint="eastAsia"/>
                      <w:b/>
                      <w:color w:val="000000"/>
                      <w:sz w:val="21"/>
                      <w:szCs w:val="21"/>
                      <w:u w:val="none" w:color="auto"/>
                    </w:rPr>
                    <w:t>包装</w:t>
                  </w:r>
                </w:p>
              </w:tc>
              <w:tc>
                <w:tcPr>
                  <w:tcW w:w="713" w:type="dxa"/>
                  <w:tcBorders>
                    <w:tl2br w:val="nil"/>
                    <w:tr2bl w:val="nil"/>
                  </w:tcBorders>
                  <w:noWrap w:val="0"/>
                  <w:vAlign w:val="center"/>
                </w:tcPr>
                <w:p w14:paraId="54802BF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b/>
                      <w:color w:val="000000"/>
                      <w:sz w:val="21"/>
                      <w:szCs w:val="21"/>
                      <w:u w:val="none" w:color="auto"/>
                    </w:rPr>
                  </w:pPr>
                  <w:r>
                    <w:rPr>
                      <w:rFonts w:hint="eastAsia"/>
                      <w:b/>
                      <w:color w:val="000000"/>
                      <w:sz w:val="21"/>
                      <w:szCs w:val="21"/>
                      <w:u w:val="none" w:color="auto"/>
                    </w:rPr>
                    <w:t>最大</w:t>
                  </w:r>
                </w:p>
                <w:p w14:paraId="607C19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b/>
                      <w:color w:val="000000"/>
                      <w:sz w:val="21"/>
                      <w:szCs w:val="21"/>
                      <w:u w:val="none" w:color="auto"/>
                    </w:rPr>
                  </w:pPr>
                  <w:r>
                    <w:rPr>
                      <w:rFonts w:hint="eastAsia"/>
                      <w:b/>
                      <w:color w:val="000000"/>
                      <w:sz w:val="21"/>
                      <w:szCs w:val="21"/>
                      <w:u w:val="none" w:color="auto"/>
                    </w:rPr>
                    <w:t>储存量</w:t>
                  </w:r>
                </w:p>
              </w:tc>
              <w:tc>
                <w:tcPr>
                  <w:tcW w:w="1261" w:type="dxa"/>
                  <w:tcBorders>
                    <w:tl2br w:val="nil"/>
                    <w:tr2bl w:val="nil"/>
                  </w:tcBorders>
                  <w:noWrap w:val="0"/>
                  <w:vAlign w:val="center"/>
                </w:tcPr>
                <w:p w14:paraId="230D87E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eastAsia="宋体"/>
                      <w:b/>
                      <w:color w:val="000000"/>
                      <w:sz w:val="21"/>
                      <w:szCs w:val="21"/>
                      <w:u w:val="none" w:color="auto"/>
                      <w:lang w:eastAsia="zh-CN"/>
                    </w:rPr>
                  </w:pPr>
                  <w:r>
                    <w:rPr>
                      <w:rFonts w:hint="eastAsia" w:eastAsia="宋体"/>
                      <w:b/>
                      <w:color w:val="000000"/>
                      <w:sz w:val="21"/>
                      <w:szCs w:val="21"/>
                      <w:u w:val="none" w:color="auto"/>
                      <w:lang w:eastAsia="zh-CN"/>
                    </w:rPr>
                    <w:t>暂存位置</w:t>
                  </w:r>
                </w:p>
              </w:tc>
            </w:tr>
            <w:tr w14:paraId="1FB78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restart"/>
                  <w:tcBorders>
                    <w:tl2br w:val="nil"/>
                    <w:tr2bl w:val="nil"/>
                  </w:tcBorders>
                  <w:noWrap w:val="0"/>
                  <w:vAlign w:val="center"/>
                </w:tcPr>
                <w:p w14:paraId="769EB97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压力容器</w:t>
                  </w:r>
                </w:p>
              </w:tc>
              <w:tc>
                <w:tcPr>
                  <w:tcW w:w="1965" w:type="dxa"/>
                  <w:tcBorders>
                    <w:tl2br w:val="nil"/>
                    <w:tr2bl w:val="nil"/>
                  </w:tcBorders>
                  <w:noWrap w:val="0"/>
                  <w:vAlign w:val="center"/>
                </w:tcPr>
                <w:p w14:paraId="2D73B5A4">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default" w:eastAsia="宋体"/>
                      <w:color w:val="FF0000"/>
                      <w:sz w:val="21"/>
                      <w:szCs w:val="21"/>
                      <w:u w:val="none" w:color="auto"/>
                      <w:lang w:val="en-US" w:eastAsia="zh-CN"/>
                    </w:rPr>
                  </w:pPr>
                  <w:r>
                    <w:rPr>
                      <w:rFonts w:hint="eastAsia"/>
                      <w:color w:val="000000"/>
                      <w:sz w:val="21"/>
                      <w:szCs w:val="21"/>
                      <w:u w:val="none" w:color="auto"/>
                      <w:lang w:val="en-US" w:eastAsia="zh-CN"/>
                    </w:rPr>
                    <w:t>不锈钢板</w:t>
                  </w:r>
                </w:p>
              </w:tc>
              <w:tc>
                <w:tcPr>
                  <w:tcW w:w="510" w:type="dxa"/>
                  <w:tcBorders>
                    <w:tl2br w:val="nil"/>
                    <w:tr2bl w:val="nil"/>
                  </w:tcBorders>
                  <w:noWrap w:val="0"/>
                  <w:vAlign w:val="center"/>
                </w:tcPr>
                <w:p w14:paraId="2E0D11D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3A09370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470</w:t>
                  </w:r>
                </w:p>
              </w:tc>
              <w:tc>
                <w:tcPr>
                  <w:tcW w:w="795" w:type="dxa"/>
                  <w:tcBorders>
                    <w:tl2br w:val="nil"/>
                    <w:tr2bl w:val="nil"/>
                  </w:tcBorders>
                  <w:noWrap w:val="0"/>
                  <w:vAlign w:val="center"/>
                </w:tcPr>
                <w:p w14:paraId="03FE297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470</w:t>
                  </w:r>
                </w:p>
              </w:tc>
              <w:tc>
                <w:tcPr>
                  <w:tcW w:w="945" w:type="dxa"/>
                  <w:tcBorders>
                    <w:tl2br w:val="nil"/>
                    <w:tr2bl w:val="nil"/>
                  </w:tcBorders>
                  <w:noWrap w:val="0"/>
                  <w:vAlign w:val="center"/>
                </w:tcPr>
                <w:p w14:paraId="05FB9FB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78E65A3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7207654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00000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28FFFEB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000000"/>
                      <w:sz w:val="21"/>
                      <w:szCs w:val="21"/>
                      <w:u w:val="none" w:color="auto"/>
                      <w:lang w:val="en-US" w:eastAsia="zh-CN"/>
                    </w:rPr>
                  </w:pPr>
                  <w:r>
                    <w:rPr>
                      <w:rFonts w:hint="eastAsia"/>
                      <w:color w:val="000000"/>
                      <w:sz w:val="21"/>
                      <w:szCs w:val="21"/>
                      <w:u w:val="none" w:color="auto"/>
                      <w:lang w:val="en-US" w:eastAsia="zh-CN"/>
                    </w:rPr>
                    <w:t>20</w:t>
                  </w:r>
                </w:p>
              </w:tc>
              <w:tc>
                <w:tcPr>
                  <w:tcW w:w="1261" w:type="dxa"/>
                  <w:tcBorders>
                    <w:tl2br w:val="nil"/>
                    <w:tr2bl w:val="nil"/>
                  </w:tcBorders>
                  <w:noWrap w:val="0"/>
                  <w:vAlign w:val="center"/>
                </w:tcPr>
                <w:p w14:paraId="7E00435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000000"/>
                      <w:sz w:val="21"/>
                      <w:szCs w:val="21"/>
                      <w:u w:val="none" w:color="auto"/>
                      <w:lang w:val="en-US" w:eastAsia="zh-CN"/>
                    </w:rPr>
                  </w:pPr>
                  <w:r>
                    <w:rPr>
                      <w:rFonts w:hint="eastAsia"/>
                      <w:color w:val="auto"/>
                      <w:u w:val="none"/>
                      <w:lang w:val="en-US" w:eastAsia="zh-CN"/>
                    </w:rPr>
                    <w:t>大件原料堆放区/</w:t>
                  </w:r>
                  <w:r>
                    <w:rPr>
                      <w:rFonts w:hint="eastAsia" w:cs="Times New Roman"/>
                      <w:color w:val="auto"/>
                      <w:spacing w:val="0"/>
                      <w:position w:val="0"/>
                      <w:sz w:val="21"/>
                      <w:szCs w:val="21"/>
                      <w:u w:val="none" w:color="auto"/>
                      <w:lang w:eastAsia="zh-CN"/>
                    </w:rPr>
                    <w:t>板材库</w:t>
                  </w:r>
                </w:p>
              </w:tc>
            </w:tr>
            <w:tr w14:paraId="042A5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77F84B4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56A50A59">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sz w:val="21"/>
                      <w:szCs w:val="21"/>
                      <w:u w:val="none" w:color="auto"/>
                      <w:lang w:val="en-US" w:eastAsia="zh-CN"/>
                    </w:rPr>
                    <w:t>碳钢板</w:t>
                  </w:r>
                </w:p>
              </w:tc>
              <w:tc>
                <w:tcPr>
                  <w:tcW w:w="510" w:type="dxa"/>
                  <w:tcBorders>
                    <w:tl2br w:val="nil"/>
                    <w:tr2bl w:val="nil"/>
                  </w:tcBorders>
                  <w:noWrap w:val="0"/>
                  <w:vAlign w:val="center"/>
                </w:tcPr>
                <w:p w14:paraId="05C19D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79AD81A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1880</w:t>
                  </w:r>
                </w:p>
              </w:tc>
              <w:tc>
                <w:tcPr>
                  <w:tcW w:w="795" w:type="dxa"/>
                  <w:tcBorders>
                    <w:tl2br w:val="nil"/>
                    <w:tr2bl w:val="nil"/>
                  </w:tcBorders>
                  <w:noWrap w:val="0"/>
                  <w:vAlign w:val="center"/>
                </w:tcPr>
                <w:p w14:paraId="2A248F0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1880</w:t>
                  </w:r>
                </w:p>
              </w:tc>
              <w:tc>
                <w:tcPr>
                  <w:tcW w:w="945" w:type="dxa"/>
                  <w:tcBorders>
                    <w:tl2br w:val="nil"/>
                    <w:tr2bl w:val="nil"/>
                  </w:tcBorders>
                  <w:noWrap w:val="0"/>
                  <w:vAlign w:val="center"/>
                </w:tcPr>
                <w:p w14:paraId="3385DB0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3472000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566589D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3BBC056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sz w:val="21"/>
                      <w:szCs w:val="21"/>
                      <w:u w:val="none" w:color="auto"/>
                      <w:lang w:val="en-US" w:eastAsia="zh-CN"/>
                    </w:rPr>
                    <w:t>40</w:t>
                  </w:r>
                </w:p>
              </w:tc>
              <w:tc>
                <w:tcPr>
                  <w:tcW w:w="1261" w:type="dxa"/>
                  <w:tcBorders>
                    <w:tl2br w:val="nil"/>
                    <w:tr2bl w:val="nil"/>
                  </w:tcBorders>
                  <w:noWrap w:val="0"/>
                  <w:vAlign w:val="center"/>
                </w:tcPr>
                <w:p w14:paraId="7C9BD35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000000"/>
                      <w:sz w:val="21"/>
                      <w:szCs w:val="21"/>
                      <w:u w:val="none" w:color="auto"/>
                      <w:lang w:val="en-US" w:eastAsia="zh-CN"/>
                    </w:rPr>
                  </w:pPr>
                  <w:r>
                    <w:rPr>
                      <w:rFonts w:hint="eastAsia"/>
                      <w:color w:val="auto"/>
                      <w:u w:val="none"/>
                      <w:lang w:val="en-US" w:eastAsia="zh-CN"/>
                    </w:rPr>
                    <w:t>大件原料堆放区/</w:t>
                  </w:r>
                  <w:r>
                    <w:rPr>
                      <w:rFonts w:hint="eastAsia" w:cs="Times New Roman"/>
                      <w:color w:val="auto"/>
                      <w:spacing w:val="0"/>
                      <w:position w:val="0"/>
                      <w:sz w:val="21"/>
                      <w:szCs w:val="21"/>
                      <w:u w:val="none" w:color="auto"/>
                      <w:lang w:eastAsia="zh-CN"/>
                    </w:rPr>
                    <w:t>板材库</w:t>
                  </w:r>
                </w:p>
              </w:tc>
            </w:tr>
            <w:tr w14:paraId="302B3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893348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017F80A4">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color w:val="FF0000"/>
                      <w:sz w:val="21"/>
                      <w:szCs w:val="21"/>
                      <w:u w:val="none" w:color="auto"/>
                      <w:lang w:val="en-US" w:eastAsia="zh-CN"/>
                    </w:rPr>
                  </w:pPr>
                  <w:r>
                    <w:rPr>
                      <w:rFonts w:hint="eastAsia"/>
                      <w:color w:val="000000"/>
                      <w:sz w:val="21"/>
                      <w:szCs w:val="21"/>
                      <w:u w:val="none" w:color="auto"/>
                      <w:lang w:val="en-US" w:eastAsia="zh-CN"/>
                    </w:rPr>
                    <w:t>角钢</w:t>
                  </w:r>
                </w:p>
              </w:tc>
              <w:tc>
                <w:tcPr>
                  <w:tcW w:w="510" w:type="dxa"/>
                  <w:tcBorders>
                    <w:tl2br w:val="nil"/>
                    <w:tr2bl w:val="nil"/>
                  </w:tcBorders>
                  <w:noWrap w:val="0"/>
                  <w:vAlign w:val="center"/>
                </w:tcPr>
                <w:p w14:paraId="1DC987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096C57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50</w:t>
                  </w:r>
                </w:p>
              </w:tc>
              <w:tc>
                <w:tcPr>
                  <w:tcW w:w="795" w:type="dxa"/>
                  <w:tcBorders>
                    <w:tl2br w:val="nil"/>
                    <w:tr2bl w:val="nil"/>
                  </w:tcBorders>
                  <w:noWrap w:val="0"/>
                  <w:vAlign w:val="center"/>
                </w:tcPr>
                <w:p w14:paraId="648570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50</w:t>
                  </w:r>
                </w:p>
              </w:tc>
              <w:tc>
                <w:tcPr>
                  <w:tcW w:w="945" w:type="dxa"/>
                  <w:tcBorders>
                    <w:tl2br w:val="nil"/>
                    <w:tr2bl w:val="nil"/>
                  </w:tcBorders>
                  <w:noWrap w:val="0"/>
                  <w:vAlign w:val="center"/>
                </w:tcPr>
                <w:p w14:paraId="5547F6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5BB43FE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132035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2CCC71F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sz w:val="21"/>
                      <w:szCs w:val="21"/>
                      <w:u w:val="none" w:color="auto"/>
                      <w:lang w:val="en-US" w:eastAsia="zh-CN"/>
                    </w:rPr>
                    <w:t>2</w:t>
                  </w:r>
                </w:p>
              </w:tc>
              <w:tc>
                <w:tcPr>
                  <w:tcW w:w="1261" w:type="dxa"/>
                  <w:tcBorders>
                    <w:tl2br w:val="nil"/>
                    <w:tr2bl w:val="nil"/>
                  </w:tcBorders>
                  <w:noWrap w:val="0"/>
                  <w:vAlign w:val="center"/>
                </w:tcPr>
                <w:p w14:paraId="10738EC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s="Times New Roman"/>
                      <w:color w:val="auto"/>
                      <w:spacing w:val="0"/>
                      <w:position w:val="0"/>
                      <w:sz w:val="21"/>
                      <w:szCs w:val="21"/>
                      <w:u w:val="none" w:color="auto"/>
                      <w:lang w:eastAsia="zh-CN"/>
                    </w:rPr>
                    <w:t>型材库</w:t>
                  </w:r>
                </w:p>
              </w:tc>
            </w:tr>
            <w:tr w14:paraId="7ABC54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5B2BB41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0F259DE3">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color w:val="FF0000"/>
                      <w:sz w:val="21"/>
                      <w:szCs w:val="21"/>
                      <w:u w:val="none" w:color="auto"/>
                      <w:lang w:val="en-US" w:eastAsia="zh-CN"/>
                    </w:rPr>
                  </w:pPr>
                  <w:r>
                    <w:rPr>
                      <w:rFonts w:hint="eastAsia"/>
                      <w:color w:val="000000"/>
                      <w:sz w:val="21"/>
                      <w:szCs w:val="21"/>
                      <w:u w:val="none" w:color="auto"/>
                      <w:lang w:val="en-US" w:eastAsia="zh-CN"/>
                    </w:rPr>
                    <w:t>槽钢</w:t>
                  </w:r>
                </w:p>
              </w:tc>
              <w:tc>
                <w:tcPr>
                  <w:tcW w:w="510" w:type="dxa"/>
                  <w:tcBorders>
                    <w:tl2br w:val="nil"/>
                    <w:tr2bl w:val="nil"/>
                  </w:tcBorders>
                  <w:noWrap w:val="0"/>
                  <w:vAlign w:val="center"/>
                </w:tcPr>
                <w:p w14:paraId="2743862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142F80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80</w:t>
                  </w:r>
                </w:p>
              </w:tc>
              <w:tc>
                <w:tcPr>
                  <w:tcW w:w="795" w:type="dxa"/>
                  <w:tcBorders>
                    <w:tl2br w:val="nil"/>
                    <w:tr2bl w:val="nil"/>
                  </w:tcBorders>
                  <w:noWrap w:val="0"/>
                  <w:vAlign w:val="center"/>
                </w:tcPr>
                <w:p w14:paraId="5B45589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80</w:t>
                  </w:r>
                </w:p>
              </w:tc>
              <w:tc>
                <w:tcPr>
                  <w:tcW w:w="945" w:type="dxa"/>
                  <w:tcBorders>
                    <w:tl2br w:val="nil"/>
                    <w:tr2bl w:val="nil"/>
                  </w:tcBorders>
                  <w:noWrap w:val="0"/>
                  <w:vAlign w:val="center"/>
                </w:tcPr>
                <w:p w14:paraId="7D5911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5C21EC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3A16CB1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784E785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sz w:val="21"/>
                      <w:szCs w:val="21"/>
                      <w:u w:val="none" w:color="auto"/>
                      <w:lang w:val="en-US" w:eastAsia="zh-CN"/>
                    </w:rPr>
                    <w:t>3</w:t>
                  </w:r>
                </w:p>
              </w:tc>
              <w:tc>
                <w:tcPr>
                  <w:tcW w:w="1261" w:type="dxa"/>
                  <w:tcBorders>
                    <w:tl2br w:val="nil"/>
                    <w:tr2bl w:val="nil"/>
                  </w:tcBorders>
                  <w:noWrap w:val="0"/>
                  <w:vAlign w:val="center"/>
                </w:tcPr>
                <w:p w14:paraId="47C8640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s="Times New Roman"/>
                      <w:color w:val="auto"/>
                      <w:spacing w:val="0"/>
                      <w:position w:val="0"/>
                      <w:sz w:val="21"/>
                      <w:szCs w:val="21"/>
                      <w:u w:val="none" w:color="auto"/>
                      <w:lang w:eastAsia="zh-CN"/>
                    </w:rPr>
                    <w:t>型材库</w:t>
                  </w:r>
                </w:p>
              </w:tc>
            </w:tr>
            <w:tr w14:paraId="6EBBF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1E4904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728AA101">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color w:val="FF0000"/>
                      <w:sz w:val="21"/>
                      <w:szCs w:val="21"/>
                      <w:u w:val="none" w:color="auto"/>
                      <w:lang w:val="en-US" w:eastAsia="zh-CN"/>
                    </w:rPr>
                  </w:pPr>
                  <w:r>
                    <w:rPr>
                      <w:rFonts w:hint="eastAsia"/>
                      <w:color w:val="000000"/>
                      <w:sz w:val="21"/>
                      <w:szCs w:val="21"/>
                      <w:u w:val="none" w:color="auto"/>
                      <w:lang w:val="en-US" w:eastAsia="zh-CN"/>
                    </w:rPr>
                    <w:t>工字钢</w:t>
                  </w:r>
                </w:p>
              </w:tc>
              <w:tc>
                <w:tcPr>
                  <w:tcW w:w="510" w:type="dxa"/>
                  <w:tcBorders>
                    <w:tl2br w:val="nil"/>
                    <w:tr2bl w:val="nil"/>
                  </w:tcBorders>
                  <w:noWrap w:val="0"/>
                  <w:vAlign w:val="center"/>
                </w:tcPr>
                <w:p w14:paraId="6E3FA7C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331E1BB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70</w:t>
                  </w:r>
                </w:p>
              </w:tc>
              <w:tc>
                <w:tcPr>
                  <w:tcW w:w="795" w:type="dxa"/>
                  <w:tcBorders>
                    <w:tl2br w:val="nil"/>
                    <w:tr2bl w:val="nil"/>
                  </w:tcBorders>
                  <w:noWrap w:val="0"/>
                  <w:vAlign w:val="center"/>
                </w:tcPr>
                <w:p w14:paraId="4B8772F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70</w:t>
                  </w:r>
                </w:p>
              </w:tc>
              <w:tc>
                <w:tcPr>
                  <w:tcW w:w="945" w:type="dxa"/>
                  <w:tcBorders>
                    <w:tl2br w:val="nil"/>
                    <w:tr2bl w:val="nil"/>
                  </w:tcBorders>
                  <w:noWrap w:val="0"/>
                  <w:vAlign w:val="center"/>
                </w:tcPr>
                <w:p w14:paraId="6668F65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6F451E2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7ED7F71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sz w:val="21"/>
                      <w:szCs w:val="21"/>
                      <w:u w:val="none" w:color="auto"/>
                      <w:lang w:val="en-US" w:eastAsia="zh-CN"/>
                    </w:rPr>
                  </w:pPr>
                  <w:r>
                    <w:rPr>
                      <w:rFonts w:hint="eastAsia"/>
                      <w:color w:val="000000"/>
                      <w:kern w:val="0"/>
                      <w:sz w:val="21"/>
                      <w:szCs w:val="21"/>
                      <w:u w:val="none" w:color="auto"/>
                      <w:lang w:val="en-US" w:eastAsia="zh-CN"/>
                    </w:rPr>
                    <w:t>无</w:t>
                  </w:r>
                </w:p>
              </w:tc>
              <w:tc>
                <w:tcPr>
                  <w:tcW w:w="713" w:type="dxa"/>
                  <w:tcBorders>
                    <w:tl2br w:val="nil"/>
                    <w:tr2bl w:val="nil"/>
                  </w:tcBorders>
                  <w:noWrap w:val="0"/>
                  <w:vAlign w:val="center"/>
                </w:tcPr>
                <w:p w14:paraId="69E1469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kern w:val="0"/>
                      <w:sz w:val="21"/>
                      <w:szCs w:val="21"/>
                      <w:u w:val="none" w:color="auto"/>
                      <w:lang w:val="en-US" w:eastAsia="zh-CN"/>
                    </w:rPr>
                    <w:t>3</w:t>
                  </w:r>
                </w:p>
              </w:tc>
              <w:tc>
                <w:tcPr>
                  <w:tcW w:w="1261" w:type="dxa"/>
                  <w:tcBorders>
                    <w:tl2br w:val="nil"/>
                    <w:tr2bl w:val="nil"/>
                  </w:tcBorders>
                  <w:noWrap w:val="0"/>
                  <w:vAlign w:val="center"/>
                </w:tcPr>
                <w:p w14:paraId="4AFFF1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s="Times New Roman"/>
                      <w:color w:val="auto"/>
                      <w:spacing w:val="0"/>
                      <w:position w:val="0"/>
                      <w:sz w:val="21"/>
                      <w:szCs w:val="21"/>
                      <w:u w:val="none" w:color="auto"/>
                      <w:lang w:eastAsia="zh-CN"/>
                    </w:rPr>
                    <w:t>型材库</w:t>
                  </w:r>
                </w:p>
              </w:tc>
            </w:tr>
            <w:tr w14:paraId="00F31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168CB10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187EBF79">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color w:val="FF0000"/>
                      <w:sz w:val="21"/>
                      <w:szCs w:val="21"/>
                      <w:u w:val="none" w:color="auto"/>
                      <w:lang w:val="en-US" w:eastAsia="zh-CN"/>
                    </w:rPr>
                  </w:pPr>
                  <w:r>
                    <w:rPr>
                      <w:rFonts w:hint="eastAsia"/>
                      <w:color w:val="000000"/>
                      <w:sz w:val="21"/>
                      <w:szCs w:val="21"/>
                      <w:u w:val="none" w:color="auto"/>
                      <w:lang w:val="en-US" w:eastAsia="zh-CN"/>
                    </w:rPr>
                    <w:t>圆钢（棒材）</w:t>
                  </w:r>
                </w:p>
              </w:tc>
              <w:tc>
                <w:tcPr>
                  <w:tcW w:w="510" w:type="dxa"/>
                  <w:tcBorders>
                    <w:tl2br w:val="nil"/>
                    <w:tr2bl w:val="nil"/>
                  </w:tcBorders>
                  <w:noWrap w:val="0"/>
                  <w:vAlign w:val="center"/>
                </w:tcPr>
                <w:p w14:paraId="5A66D1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5BADCAB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30</w:t>
                  </w:r>
                </w:p>
              </w:tc>
              <w:tc>
                <w:tcPr>
                  <w:tcW w:w="795" w:type="dxa"/>
                  <w:tcBorders>
                    <w:tl2br w:val="nil"/>
                    <w:tr2bl w:val="nil"/>
                  </w:tcBorders>
                  <w:noWrap w:val="0"/>
                  <w:vAlign w:val="center"/>
                </w:tcPr>
                <w:p w14:paraId="71DC2FF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30</w:t>
                  </w:r>
                </w:p>
              </w:tc>
              <w:tc>
                <w:tcPr>
                  <w:tcW w:w="945" w:type="dxa"/>
                  <w:tcBorders>
                    <w:tl2br w:val="nil"/>
                    <w:tr2bl w:val="nil"/>
                  </w:tcBorders>
                  <w:noWrap w:val="0"/>
                  <w:vAlign w:val="center"/>
                </w:tcPr>
                <w:p w14:paraId="08BEDDB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733F6D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29C390B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sz w:val="21"/>
                      <w:szCs w:val="21"/>
                      <w:u w:val="none" w:color="auto"/>
                      <w:lang w:val="en-US" w:eastAsia="zh-CN"/>
                    </w:rPr>
                  </w:pPr>
                  <w:r>
                    <w:rPr>
                      <w:rFonts w:hint="eastAsia"/>
                      <w:color w:val="000000"/>
                      <w:kern w:val="0"/>
                      <w:sz w:val="21"/>
                      <w:szCs w:val="21"/>
                      <w:u w:val="none" w:color="auto"/>
                      <w:lang w:val="en-US" w:eastAsia="zh-CN"/>
                    </w:rPr>
                    <w:t>无</w:t>
                  </w:r>
                </w:p>
              </w:tc>
              <w:tc>
                <w:tcPr>
                  <w:tcW w:w="713" w:type="dxa"/>
                  <w:tcBorders>
                    <w:tl2br w:val="nil"/>
                    <w:tr2bl w:val="nil"/>
                  </w:tcBorders>
                  <w:noWrap w:val="0"/>
                  <w:vAlign w:val="center"/>
                </w:tcPr>
                <w:p w14:paraId="48BAE0A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kern w:val="0"/>
                      <w:sz w:val="21"/>
                      <w:szCs w:val="21"/>
                      <w:u w:val="none" w:color="auto"/>
                      <w:lang w:val="en-US" w:eastAsia="zh-CN"/>
                    </w:rPr>
                    <w:t>3</w:t>
                  </w:r>
                </w:p>
              </w:tc>
              <w:tc>
                <w:tcPr>
                  <w:tcW w:w="1261" w:type="dxa"/>
                  <w:tcBorders>
                    <w:tl2br w:val="nil"/>
                    <w:tr2bl w:val="nil"/>
                  </w:tcBorders>
                  <w:noWrap w:val="0"/>
                  <w:vAlign w:val="center"/>
                </w:tcPr>
                <w:p w14:paraId="6BC4883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s="Times New Roman"/>
                      <w:color w:val="auto"/>
                      <w:spacing w:val="0"/>
                      <w:position w:val="0"/>
                      <w:sz w:val="21"/>
                      <w:szCs w:val="21"/>
                      <w:u w:val="none" w:color="auto"/>
                      <w:lang w:eastAsia="zh-CN"/>
                    </w:rPr>
                    <w:t>型材库</w:t>
                  </w:r>
                </w:p>
              </w:tc>
            </w:tr>
            <w:tr w14:paraId="6F42A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89FD8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75573DFC">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color w:val="FF0000"/>
                      <w:sz w:val="21"/>
                      <w:szCs w:val="21"/>
                      <w:u w:val="none" w:color="auto"/>
                      <w:lang w:val="en-US" w:eastAsia="zh-CN"/>
                    </w:rPr>
                  </w:pPr>
                  <w:r>
                    <w:rPr>
                      <w:rFonts w:hint="eastAsia"/>
                      <w:color w:val="000000"/>
                      <w:sz w:val="21"/>
                      <w:szCs w:val="21"/>
                      <w:u w:val="none" w:color="auto"/>
                      <w:lang w:val="en-US" w:eastAsia="zh-CN"/>
                    </w:rPr>
                    <w:t>锻钢坯</w:t>
                  </w:r>
                </w:p>
              </w:tc>
              <w:tc>
                <w:tcPr>
                  <w:tcW w:w="510" w:type="dxa"/>
                  <w:tcBorders>
                    <w:tl2br w:val="nil"/>
                    <w:tr2bl w:val="nil"/>
                  </w:tcBorders>
                  <w:noWrap w:val="0"/>
                  <w:vAlign w:val="center"/>
                </w:tcPr>
                <w:p w14:paraId="024682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20DA925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20</w:t>
                  </w:r>
                </w:p>
              </w:tc>
              <w:tc>
                <w:tcPr>
                  <w:tcW w:w="795" w:type="dxa"/>
                  <w:tcBorders>
                    <w:tl2br w:val="nil"/>
                    <w:tr2bl w:val="nil"/>
                  </w:tcBorders>
                  <w:noWrap w:val="0"/>
                  <w:vAlign w:val="center"/>
                </w:tcPr>
                <w:p w14:paraId="43E7E8B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20</w:t>
                  </w:r>
                </w:p>
              </w:tc>
              <w:tc>
                <w:tcPr>
                  <w:tcW w:w="945" w:type="dxa"/>
                  <w:tcBorders>
                    <w:tl2br w:val="nil"/>
                    <w:tr2bl w:val="nil"/>
                  </w:tcBorders>
                  <w:noWrap w:val="0"/>
                  <w:vAlign w:val="center"/>
                </w:tcPr>
                <w:p w14:paraId="0DE9FCA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6A6D1F2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209A470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sz w:val="21"/>
                      <w:szCs w:val="21"/>
                      <w:u w:val="none" w:color="auto"/>
                      <w:lang w:val="en-US" w:eastAsia="zh-CN"/>
                    </w:rPr>
                  </w:pPr>
                  <w:r>
                    <w:rPr>
                      <w:rFonts w:hint="eastAsia"/>
                      <w:color w:val="000000"/>
                      <w:kern w:val="0"/>
                      <w:sz w:val="21"/>
                      <w:szCs w:val="21"/>
                      <w:u w:val="none" w:color="auto"/>
                      <w:lang w:val="en-US" w:eastAsia="zh-CN"/>
                    </w:rPr>
                    <w:t>无</w:t>
                  </w:r>
                </w:p>
              </w:tc>
              <w:tc>
                <w:tcPr>
                  <w:tcW w:w="713" w:type="dxa"/>
                  <w:tcBorders>
                    <w:tl2br w:val="nil"/>
                    <w:tr2bl w:val="nil"/>
                  </w:tcBorders>
                  <w:noWrap w:val="0"/>
                  <w:vAlign w:val="center"/>
                </w:tcPr>
                <w:p w14:paraId="307125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kern w:val="0"/>
                      <w:sz w:val="21"/>
                      <w:szCs w:val="21"/>
                      <w:u w:val="none" w:color="auto"/>
                      <w:lang w:val="en-US" w:eastAsia="zh-CN"/>
                    </w:rPr>
                    <w:t>2</w:t>
                  </w:r>
                </w:p>
              </w:tc>
              <w:tc>
                <w:tcPr>
                  <w:tcW w:w="1261" w:type="dxa"/>
                  <w:tcBorders>
                    <w:tl2br w:val="nil"/>
                    <w:tr2bl w:val="nil"/>
                  </w:tcBorders>
                  <w:noWrap w:val="0"/>
                  <w:vAlign w:val="center"/>
                </w:tcPr>
                <w:p w14:paraId="2471DB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s="Times New Roman"/>
                      <w:color w:val="auto"/>
                      <w:spacing w:val="0"/>
                      <w:position w:val="0"/>
                      <w:sz w:val="21"/>
                      <w:szCs w:val="21"/>
                      <w:u w:val="none" w:color="auto"/>
                      <w:lang w:eastAsia="zh-CN"/>
                    </w:rPr>
                    <w:t>型材库</w:t>
                  </w:r>
                </w:p>
              </w:tc>
            </w:tr>
            <w:tr w14:paraId="291E0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5A83E0C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23ED487A">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both"/>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铁红醇酸防锈底漆</w:t>
                  </w:r>
                </w:p>
              </w:tc>
              <w:tc>
                <w:tcPr>
                  <w:tcW w:w="510" w:type="dxa"/>
                  <w:tcBorders>
                    <w:tl2br w:val="nil"/>
                    <w:tr2bl w:val="nil"/>
                  </w:tcBorders>
                  <w:noWrap w:val="0"/>
                  <w:vAlign w:val="center"/>
                </w:tcPr>
                <w:p w14:paraId="4E972AF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FF0000"/>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51EDD7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kern w:val="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color="auto"/>
                      <w:lang w:val="en-US" w:eastAsia="zh-CN" w:bidi="ar"/>
                    </w:rPr>
                    <w:t>1.56</w:t>
                  </w:r>
                </w:p>
              </w:tc>
              <w:tc>
                <w:tcPr>
                  <w:tcW w:w="795" w:type="dxa"/>
                  <w:tcBorders>
                    <w:tl2br w:val="nil"/>
                    <w:tr2bl w:val="nil"/>
                  </w:tcBorders>
                  <w:noWrap w:val="0"/>
                  <w:vAlign w:val="center"/>
                </w:tcPr>
                <w:p w14:paraId="64C6D2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color="auto"/>
                      <w:lang w:val="en-US" w:eastAsia="zh-CN" w:bidi="ar"/>
                    </w:rPr>
                  </w:pPr>
                  <w:r>
                    <w:rPr>
                      <w:rFonts w:hint="default" w:ascii="Times New Roman" w:hAnsi="Times New Roman" w:eastAsia="宋体" w:cs="Times New Roman"/>
                      <w:i w:val="0"/>
                      <w:iCs w:val="0"/>
                      <w:color w:val="000000"/>
                      <w:kern w:val="0"/>
                      <w:sz w:val="22"/>
                      <w:szCs w:val="22"/>
                      <w:u w:val="none" w:color="auto"/>
                      <w:lang w:val="en-US" w:eastAsia="zh-CN" w:bidi="ar"/>
                    </w:rPr>
                    <w:t>1.56</w:t>
                  </w:r>
                </w:p>
              </w:tc>
              <w:tc>
                <w:tcPr>
                  <w:tcW w:w="945" w:type="dxa"/>
                  <w:tcBorders>
                    <w:tl2br w:val="nil"/>
                    <w:tr2bl w:val="nil"/>
                  </w:tcBorders>
                  <w:noWrap w:val="0"/>
                  <w:vAlign w:val="center"/>
                </w:tcPr>
                <w:p w14:paraId="5A1787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color="auto"/>
                      <w:lang w:val="en-US" w:eastAsia="zh-CN" w:bidi="ar"/>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697022E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000000"/>
                      <w:kern w:val="0"/>
                      <w:sz w:val="21"/>
                      <w:szCs w:val="21"/>
                      <w:u w:val="none" w:color="auto"/>
                      <w:lang w:val="en-US" w:eastAsia="zh-CN"/>
                    </w:rPr>
                  </w:pPr>
                  <w:r>
                    <w:rPr>
                      <w:rFonts w:hint="eastAsia"/>
                      <w:color w:val="000000"/>
                      <w:kern w:val="0"/>
                      <w:sz w:val="21"/>
                      <w:szCs w:val="21"/>
                      <w:u w:val="none" w:color="auto"/>
                      <w:lang w:val="en-US" w:eastAsia="zh-CN"/>
                    </w:rPr>
                    <w:t>液态</w:t>
                  </w:r>
                </w:p>
              </w:tc>
              <w:tc>
                <w:tcPr>
                  <w:tcW w:w="700" w:type="dxa"/>
                  <w:tcBorders>
                    <w:tl2br w:val="nil"/>
                    <w:tr2bl w:val="nil"/>
                  </w:tcBorders>
                  <w:noWrap w:val="0"/>
                  <w:vAlign w:val="center"/>
                </w:tcPr>
                <w:p w14:paraId="218C338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eastAsia="宋体"/>
                      <w:color w:val="000000"/>
                      <w:kern w:val="0"/>
                      <w:sz w:val="21"/>
                      <w:szCs w:val="21"/>
                      <w:u w:val="none" w:color="auto"/>
                      <w:lang w:val="en-US" w:eastAsia="zh-CN"/>
                    </w:rPr>
                  </w:pPr>
                  <w:r>
                    <w:rPr>
                      <w:rFonts w:hint="eastAsia"/>
                      <w:color w:val="000000"/>
                      <w:kern w:val="0"/>
                      <w:sz w:val="21"/>
                      <w:szCs w:val="21"/>
                      <w:u w:val="none" w:color="auto"/>
                      <w:lang w:val="en-US" w:eastAsia="zh-CN"/>
                    </w:rPr>
                    <w:t>铁桶</w:t>
                  </w:r>
                </w:p>
              </w:tc>
              <w:tc>
                <w:tcPr>
                  <w:tcW w:w="713" w:type="dxa"/>
                  <w:tcBorders>
                    <w:tl2br w:val="nil"/>
                    <w:tr2bl w:val="nil"/>
                  </w:tcBorders>
                  <w:noWrap w:val="0"/>
                  <w:vAlign w:val="center"/>
                </w:tcPr>
                <w:p w14:paraId="3B38B03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eastAsia="宋体" w:cs="Times New Roman"/>
                      <w:color w:val="000000"/>
                      <w:kern w:val="0"/>
                      <w:sz w:val="21"/>
                      <w:szCs w:val="21"/>
                      <w:u w:val="none" w:color="auto"/>
                      <w:lang w:val="en-US" w:eastAsia="zh-CN"/>
                    </w:rPr>
                    <w:t xml:space="preserve">0.1 </w:t>
                  </w:r>
                </w:p>
              </w:tc>
              <w:tc>
                <w:tcPr>
                  <w:tcW w:w="1261" w:type="dxa"/>
                  <w:tcBorders>
                    <w:tl2br w:val="nil"/>
                    <w:tr2bl w:val="nil"/>
                  </w:tcBorders>
                  <w:noWrap w:val="0"/>
                  <w:vAlign w:val="center"/>
                </w:tcPr>
                <w:p w14:paraId="4B35360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3922E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6456C0D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2770507B">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醇酸面漆</w:t>
                  </w:r>
                </w:p>
              </w:tc>
              <w:tc>
                <w:tcPr>
                  <w:tcW w:w="510" w:type="dxa"/>
                  <w:tcBorders>
                    <w:tl2br w:val="nil"/>
                    <w:tr2bl w:val="nil"/>
                  </w:tcBorders>
                  <w:noWrap w:val="0"/>
                  <w:vAlign w:val="center"/>
                </w:tcPr>
                <w:p w14:paraId="6CD6F3B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FF0000"/>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28AA60A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FF0000"/>
                      <w:kern w:val="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color="auto"/>
                      <w:lang w:val="en-US" w:eastAsia="zh-CN" w:bidi="ar"/>
                    </w:rPr>
                    <w:t>1.04</w:t>
                  </w:r>
                </w:p>
              </w:tc>
              <w:tc>
                <w:tcPr>
                  <w:tcW w:w="795" w:type="dxa"/>
                  <w:tcBorders>
                    <w:tl2br w:val="nil"/>
                    <w:tr2bl w:val="nil"/>
                  </w:tcBorders>
                  <w:noWrap w:val="0"/>
                  <w:vAlign w:val="center"/>
                </w:tcPr>
                <w:p w14:paraId="6453FB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color="auto"/>
                      <w:lang w:val="en-US" w:eastAsia="zh-CN" w:bidi="ar"/>
                    </w:rPr>
                  </w:pPr>
                  <w:r>
                    <w:rPr>
                      <w:rFonts w:hint="default" w:ascii="Times New Roman" w:hAnsi="Times New Roman" w:eastAsia="宋体" w:cs="Times New Roman"/>
                      <w:i w:val="0"/>
                      <w:iCs w:val="0"/>
                      <w:color w:val="000000"/>
                      <w:kern w:val="0"/>
                      <w:sz w:val="22"/>
                      <w:szCs w:val="22"/>
                      <w:u w:val="none" w:color="auto"/>
                      <w:lang w:val="en-US" w:eastAsia="zh-CN" w:bidi="ar"/>
                    </w:rPr>
                    <w:t>1.04</w:t>
                  </w:r>
                </w:p>
              </w:tc>
              <w:tc>
                <w:tcPr>
                  <w:tcW w:w="945" w:type="dxa"/>
                  <w:tcBorders>
                    <w:tl2br w:val="nil"/>
                    <w:tr2bl w:val="nil"/>
                  </w:tcBorders>
                  <w:noWrap w:val="0"/>
                  <w:vAlign w:val="center"/>
                </w:tcPr>
                <w:p w14:paraId="6F2CAD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color="auto"/>
                      <w:lang w:val="en-US" w:eastAsia="zh-CN" w:bidi="ar"/>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3D76D39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液态</w:t>
                  </w:r>
                </w:p>
              </w:tc>
              <w:tc>
                <w:tcPr>
                  <w:tcW w:w="700" w:type="dxa"/>
                  <w:tcBorders>
                    <w:tl2br w:val="nil"/>
                    <w:tr2bl w:val="nil"/>
                  </w:tcBorders>
                  <w:noWrap w:val="0"/>
                  <w:vAlign w:val="center"/>
                </w:tcPr>
                <w:p w14:paraId="3557390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铁桶</w:t>
                  </w:r>
                </w:p>
              </w:tc>
              <w:tc>
                <w:tcPr>
                  <w:tcW w:w="713" w:type="dxa"/>
                  <w:tcBorders>
                    <w:tl2br w:val="nil"/>
                    <w:tr2bl w:val="nil"/>
                  </w:tcBorders>
                  <w:noWrap w:val="0"/>
                  <w:vAlign w:val="center"/>
                </w:tcPr>
                <w:p w14:paraId="55C3B7B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color="auto"/>
                      <w:lang w:val="en-US" w:eastAsia="zh-CN"/>
                    </w:rPr>
                  </w:pPr>
                  <w:r>
                    <w:rPr>
                      <w:rFonts w:hint="eastAsia" w:ascii="Times New Roman" w:hAnsi="Times New Roman" w:eastAsia="宋体" w:cs="Times New Roman"/>
                      <w:color w:val="000000"/>
                      <w:kern w:val="0"/>
                      <w:sz w:val="21"/>
                      <w:szCs w:val="21"/>
                      <w:u w:val="none" w:color="auto"/>
                      <w:lang w:val="en-US" w:eastAsia="zh-CN"/>
                    </w:rPr>
                    <w:t>0.1</w:t>
                  </w:r>
                </w:p>
              </w:tc>
              <w:tc>
                <w:tcPr>
                  <w:tcW w:w="1261" w:type="dxa"/>
                  <w:tcBorders>
                    <w:tl2br w:val="nil"/>
                    <w:tr2bl w:val="nil"/>
                  </w:tcBorders>
                  <w:noWrap w:val="0"/>
                  <w:vAlign w:val="center"/>
                </w:tcPr>
                <w:p w14:paraId="144515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61B04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49" w:type="dxa"/>
                  <w:vMerge w:val="continue"/>
                  <w:tcBorders>
                    <w:tl2br w:val="nil"/>
                    <w:tr2bl w:val="nil"/>
                  </w:tcBorders>
                  <w:noWrap w:val="0"/>
                  <w:vAlign w:val="center"/>
                </w:tcPr>
                <w:p w14:paraId="1CF8DF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55F34973">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环氧富锌底漆</w:t>
                  </w:r>
                </w:p>
              </w:tc>
              <w:tc>
                <w:tcPr>
                  <w:tcW w:w="510" w:type="dxa"/>
                  <w:tcBorders>
                    <w:tl2br w:val="nil"/>
                    <w:tr2bl w:val="nil"/>
                  </w:tcBorders>
                  <w:noWrap w:val="0"/>
                  <w:vAlign w:val="center"/>
                </w:tcPr>
                <w:p w14:paraId="56C3976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FF0000"/>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1112C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FF0000"/>
                      <w:kern w:val="0"/>
                      <w:sz w:val="21"/>
                      <w:szCs w:val="21"/>
                      <w:u w:val="none" w:color="auto"/>
                      <w:lang w:val="en-US" w:eastAsia="zh-CN"/>
                    </w:rPr>
                  </w:pPr>
                  <w:r>
                    <w:rPr>
                      <w:rFonts w:hint="eastAsia" w:ascii="Times New Roman" w:hAnsi="Times New Roman" w:eastAsia="宋体" w:cs="Times New Roman"/>
                      <w:i w:val="0"/>
                      <w:iCs w:val="0"/>
                      <w:color w:val="000000"/>
                      <w:kern w:val="0"/>
                      <w:sz w:val="22"/>
                      <w:szCs w:val="22"/>
                      <w:u w:val="none" w:color="auto"/>
                      <w:lang w:val="en-US" w:eastAsia="zh-CN" w:bidi="ar"/>
                    </w:rPr>
                    <w:t>1.3</w:t>
                  </w:r>
                </w:p>
              </w:tc>
              <w:tc>
                <w:tcPr>
                  <w:tcW w:w="795" w:type="dxa"/>
                  <w:tcBorders>
                    <w:tl2br w:val="nil"/>
                    <w:tr2bl w:val="nil"/>
                  </w:tcBorders>
                  <w:noWrap w:val="0"/>
                  <w:vAlign w:val="center"/>
                </w:tcPr>
                <w:p w14:paraId="302D34F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2"/>
                      <w:szCs w:val="22"/>
                      <w:u w:val="none" w:color="auto"/>
                      <w:lang w:val="en-US" w:eastAsia="zh-CN" w:bidi="ar"/>
                    </w:rPr>
                  </w:pPr>
                  <w:r>
                    <w:rPr>
                      <w:rFonts w:hint="eastAsia" w:ascii="Times New Roman" w:hAnsi="Times New Roman" w:eastAsia="宋体" w:cs="Times New Roman"/>
                      <w:i w:val="0"/>
                      <w:iCs w:val="0"/>
                      <w:color w:val="000000"/>
                      <w:kern w:val="0"/>
                      <w:sz w:val="22"/>
                      <w:szCs w:val="22"/>
                      <w:u w:val="none" w:color="auto"/>
                      <w:lang w:val="en-US" w:eastAsia="zh-CN" w:bidi="ar"/>
                    </w:rPr>
                    <w:t>1.3</w:t>
                  </w:r>
                </w:p>
              </w:tc>
              <w:tc>
                <w:tcPr>
                  <w:tcW w:w="945" w:type="dxa"/>
                  <w:tcBorders>
                    <w:tl2br w:val="nil"/>
                    <w:tr2bl w:val="nil"/>
                  </w:tcBorders>
                  <w:noWrap w:val="0"/>
                  <w:vAlign w:val="center"/>
                </w:tcPr>
                <w:p w14:paraId="018BC33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2"/>
                      <w:szCs w:val="22"/>
                      <w:u w:val="none" w:color="auto"/>
                      <w:lang w:val="en-US" w:eastAsia="zh-CN" w:bidi="ar"/>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51B069F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液态</w:t>
                  </w:r>
                </w:p>
              </w:tc>
              <w:tc>
                <w:tcPr>
                  <w:tcW w:w="700" w:type="dxa"/>
                  <w:tcBorders>
                    <w:tl2br w:val="nil"/>
                    <w:tr2bl w:val="nil"/>
                  </w:tcBorders>
                  <w:noWrap w:val="0"/>
                  <w:vAlign w:val="center"/>
                </w:tcPr>
                <w:p w14:paraId="1445EAF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铁桶</w:t>
                  </w:r>
                </w:p>
              </w:tc>
              <w:tc>
                <w:tcPr>
                  <w:tcW w:w="713" w:type="dxa"/>
                  <w:tcBorders>
                    <w:tl2br w:val="nil"/>
                    <w:tr2bl w:val="nil"/>
                  </w:tcBorders>
                  <w:noWrap w:val="0"/>
                  <w:vAlign w:val="center"/>
                </w:tcPr>
                <w:p w14:paraId="2867EC8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color="auto"/>
                      <w:lang w:val="en-US" w:eastAsia="zh-CN"/>
                    </w:rPr>
                  </w:pPr>
                  <w:r>
                    <w:rPr>
                      <w:rFonts w:hint="eastAsia" w:ascii="Times New Roman" w:hAnsi="Times New Roman" w:eastAsia="宋体" w:cs="Times New Roman"/>
                      <w:color w:val="000000"/>
                      <w:kern w:val="0"/>
                      <w:sz w:val="21"/>
                      <w:szCs w:val="21"/>
                      <w:u w:val="none" w:color="auto"/>
                      <w:lang w:val="en-US" w:eastAsia="zh-CN"/>
                    </w:rPr>
                    <w:t xml:space="preserve">0.1 </w:t>
                  </w:r>
                </w:p>
              </w:tc>
              <w:tc>
                <w:tcPr>
                  <w:tcW w:w="1261" w:type="dxa"/>
                  <w:tcBorders>
                    <w:tl2br w:val="nil"/>
                    <w:tr2bl w:val="nil"/>
                  </w:tcBorders>
                  <w:noWrap w:val="0"/>
                  <w:vAlign w:val="center"/>
                </w:tcPr>
                <w:p w14:paraId="46ACE3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700D0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5C88A5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79EC3CAD">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稀释剂</w:t>
                  </w:r>
                </w:p>
              </w:tc>
              <w:tc>
                <w:tcPr>
                  <w:tcW w:w="510" w:type="dxa"/>
                  <w:tcBorders>
                    <w:tl2br w:val="nil"/>
                    <w:tr2bl w:val="nil"/>
                  </w:tcBorders>
                  <w:noWrap w:val="0"/>
                  <w:vAlign w:val="center"/>
                </w:tcPr>
                <w:p w14:paraId="03BABB5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FF0000"/>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5F19DD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kern w:val="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color="auto"/>
                      <w:lang w:val="en-US" w:eastAsia="zh-CN" w:bidi="ar"/>
                    </w:rPr>
                    <w:t>0.</w:t>
                  </w:r>
                  <w:r>
                    <w:rPr>
                      <w:rFonts w:hint="eastAsia" w:ascii="Times New Roman" w:hAnsi="Times New Roman" w:eastAsia="宋体" w:cs="Times New Roman"/>
                      <w:i w:val="0"/>
                      <w:iCs w:val="0"/>
                      <w:color w:val="000000"/>
                      <w:kern w:val="0"/>
                      <w:sz w:val="22"/>
                      <w:szCs w:val="22"/>
                      <w:u w:val="none" w:color="auto"/>
                      <w:lang w:val="en-US" w:eastAsia="zh-CN" w:bidi="ar"/>
                    </w:rPr>
                    <w:t>39</w:t>
                  </w:r>
                </w:p>
              </w:tc>
              <w:tc>
                <w:tcPr>
                  <w:tcW w:w="795" w:type="dxa"/>
                  <w:tcBorders>
                    <w:tl2br w:val="nil"/>
                    <w:tr2bl w:val="nil"/>
                  </w:tcBorders>
                  <w:noWrap w:val="0"/>
                  <w:vAlign w:val="center"/>
                </w:tcPr>
                <w:p w14:paraId="477B23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color="auto"/>
                      <w:lang w:val="en-US" w:eastAsia="zh-CN" w:bidi="ar"/>
                    </w:rPr>
                  </w:pPr>
                  <w:r>
                    <w:rPr>
                      <w:rFonts w:hint="default" w:ascii="Times New Roman" w:hAnsi="Times New Roman" w:eastAsia="宋体" w:cs="Times New Roman"/>
                      <w:i w:val="0"/>
                      <w:iCs w:val="0"/>
                      <w:color w:val="000000"/>
                      <w:kern w:val="0"/>
                      <w:sz w:val="22"/>
                      <w:szCs w:val="22"/>
                      <w:u w:val="none" w:color="auto"/>
                      <w:lang w:val="en-US" w:eastAsia="zh-CN" w:bidi="ar"/>
                    </w:rPr>
                    <w:t>0.</w:t>
                  </w:r>
                  <w:r>
                    <w:rPr>
                      <w:rFonts w:hint="eastAsia" w:ascii="Times New Roman" w:hAnsi="Times New Roman" w:eastAsia="宋体" w:cs="Times New Roman"/>
                      <w:i w:val="0"/>
                      <w:iCs w:val="0"/>
                      <w:color w:val="000000"/>
                      <w:kern w:val="0"/>
                      <w:sz w:val="22"/>
                      <w:szCs w:val="22"/>
                      <w:u w:val="none" w:color="auto"/>
                      <w:lang w:val="en-US" w:eastAsia="zh-CN" w:bidi="ar"/>
                    </w:rPr>
                    <w:t>39</w:t>
                  </w:r>
                </w:p>
              </w:tc>
              <w:tc>
                <w:tcPr>
                  <w:tcW w:w="945" w:type="dxa"/>
                  <w:tcBorders>
                    <w:tl2br w:val="nil"/>
                    <w:tr2bl w:val="nil"/>
                  </w:tcBorders>
                  <w:noWrap w:val="0"/>
                  <w:vAlign w:val="center"/>
                </w:tcPr>
                <w:p w14:paraId="259A15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color="auto"/>
                      <w:lang w:val="en-US" w:eastAsia="zh-CN" w:bidi="ar"/>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5D0BAE5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000000"/>
                      <w:kern w:val="0"/>
                      <w:sz w:val="21"/>
                      <w:szCs w:val="21"/>
                      <w:u w:val="none" w:color="auto"/>
                      <w:lang w:val="en-US" w:eastAsia="zh-CN"/>
                    </w:rPr>
                  </w:pPr>
                  <w:r>
                    <w:rPr>
                      <w:rFonts w:hint="eastAsia"/>
                      <w:color w:val="000000"/>
                      <w:kern w:val="0"/>
                      <w:sz w:val="21"/>
                      <w:szCs w:val="21"/>
                      <w:u w:val="none" w:color="auto"/>
                      <w:lang w:val="en-US" w:eastAsia="zh-CN"/>
                    </w:rPr>
                    <w:t>液态</w:t>
                  </w:r>
                </w:p>
              </w:tc>
              <w:tc>
                <w:tcPr>
                  <w:tcW w:w="700" w:type="dxa"/>
                  <w:tcBorders>
                    <w:tl2br w:val="nil"/>
                    <w:tr2bl w:val="nil"/>
                  </w:tcBorders>
                  <w:noWrap w:val="0"/>
                  <w:vAlign w:val="center"/>
                </w:tcPr>
                <w:p w14:paraId="5D21D1D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eastAsia="宋体"/>
                      <w:color w:val="000000"/>
                      <w:kern w:val="0"/>
                      <w:sz w:val="21"/>
                      <w:szCs w:val="21"/>
                      <w:u w:val="none" w:color="auto"/>
                      <w:lang w:val="en-US" w:eastAsia="zh-CN"/>
                    </w:rPr>
                  </w:pPr>
                  <w:r>
                    <w:rPr>
                      <w:rFonts w:hint="eastAsia"/>
                      <w:color w:val="000000"/>
                      <w:kern w:val="0"/>
                      <w:sz w:val="21"/>
                      <w:szCs w:val="21"/>
                      <w:u w:val="none" w:color="auto"/>
                      <w:lang w:val="en-US" w:eastAsia="zh-CN"/>
                    </w:rPr>
                    <w:t>塑料桶</w:t>
                  </w:r>
                </w:p>
              </w:tc>
              <w:tc>
                <w:tcPr>
                  <w:tcW w:w="713" w:type="dxa"/>
                  <w:tcBorders>
                    <w:tl2br w:val="nil"/>
                    <w:tr2bl w:val="nil"/>
                  </w:tcBorders>
                  <w:noWrap w:val="0"/>
                  <w:vAlign w:val="center"/>
                </w:tcPr>
                <w:p w14:paraId="7ADABF2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eastAsia="宋体" w:cs="Times New Roman"/>
                      <w:color w:val="000000"/>
                      <w:kern w:val="0"/>
                      <w:sz w:val="21"/>
                      <w:szCs w:val="21"/>
                      <w:u w:val="none" w:color="auto"/>
                      <w:lang w:val="en-US" w:eastAsia="zh-CN"/>
                    </w:rPr>
                    <w:t xml:space="preserve">0.05 </w:t>
                  </w:r>
                </w:p>
              </w:tc>
              <w:tc>
                <w:tcPr>
                  <w:tcW w:w="1261" w:type="dxa"/>
                  <w:tcBorders>
                    <w:tl2br w:val="nil"/>
                    <w:tr2bl w:val="nil"/>
                  </w:tcBorders>
                  <w:noWrap w:val="0"/>
                  <w:vAlign w:val="center"/>
                </w:tcPr>
                <w:p w14:paraId="1A78EC3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26571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451C9EA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78A61694">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固化剂</w:t>
                  </w:r>
                </w:p>
              </w:tc>
              <w:tc>
                <w:tcPr>
                  <w:tcW w:w="510" w:type="dxa"/>
                  <w:tcBorders>
                    <w:tl2br w:val="nil"/>
                    <w:tr2bl w:val="nil"/>
                  </w:tcBorders>
                  <w:noWrap w:val="0"/>
                  <w:vAlign w:val="center"/>
                </w:tcPr>
                <w:p w14:paraId="234013F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FF0000"/>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389B392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FF0000"/>
                      <w:kern w:val="0"/>
                      <w:sz w:val="21"/>
                      <w:szCs w:val="21"/>
                      <w:u w:val="none" w:color="auto"/>
                      <w:lang w:val="en-US" w:eastAsia="zh-CN"/>
                    </w:rPr>
                  </w:pPr>
                  <w:r>
                    <w:rPr>
                      <w:rFonts w:hint="default" w:ascii="Times New Roman" w:hAnsi="Times New Roman" w:eastAsia="宋体" w:cs="Times New Roman"/>
                      <w:i w:val="0"/>
                      <w:iCs w:val="0"/>
                      <w:color w:val="000000"/>
                      <w:kern w:val="0"/>
                      <w:sz w:val="22"/>
                      <w:szCs w:val="22"/>
                      <w:u w:val="none" w:color="auto"/>
                      <w:lang w:val="en-US" w:eastAsia="zh-CN" w:bidi="ar"/>
                    </w:rPr>
                    <w:t>0.</w:t>
                  </w:r>
                  <w:r>
                    <w:rPr>
                      <w:rFonts w:hint="eastAsia" w:ascii="Times New Roman" w:hAnsi="Times New Roman" w:eastAsia="宋体" w:cs="Times New Roman"/>
                      <w:i w:val="0"/>
                      <w:iCs w:val="0"/>
                      <w:color w:val="000000"/>
                      <w:kern w:val="0"/>
                      <w:sz w:val="22"/>
                      <w:szCs w:val="22"/>
                      <w:u w:val="none" w:color="auto"/>
                      <w:lang w:val="en-US" w:eastAsia="zh-CN" w:bidi="ar"/>
                    </w:rPr>
                    <w:t>39</w:t>
                  </w:r>
                </w:p>
              </w:tc>
              <w:tc>
                <w:tcPr>
                  <w:tcW w:w="795" w:type="dxa"/>
                  <w:tcBorders>
                    <w:tl2br w:val="nil"/>
                    <w:tr2bl w:val="nil"/>
                  </w:tcBorders>
                  <w:noWrap w:val="0"/>
                  <w:vAlign w:val="center"/>
                </w:tcPr>
                <w:p w14:paraId="4627B6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color="auto"/>
                      <w:lang w:val="en-US" w:eastAsia="zh-CN" w:bidi="ar"/>
                    </w:rPr>
                  </w:pPr>
                  <w:r>
                    <w:rPr>
                      <w:rFonts w:hint="default" w:ascii="Times New Roman" w:hAnsi="Times New Roman" w:eastAsia="宋体" w:cs="Times New Roman"/>
                      <w:i w:val="0"/>
                      <w:iCs w:val="0"/>
                      <w:color w:val="000000"/>
                      <w:kern w:val="0"/>
                      <w:sz w:val="22"/>
                      <w:szCs w:val="22"/>
                      <w:u w:val="none" w:color="auto"/>
                      <w:lang w:val="en-US" w:eastAsia="zh-CN" w:bidi="ar"/>
                    </w:rPr>
                    <w:t>0.</w:t>
                  </w:r>
                  <w:r>
                    <w:rPr>
                      <w:rFonts w:hint="eastAsia" w:ascii="Times New Roman" w:hAnsi="Times New Roman" w:eastAsia="宋体" w:cs="Times New Roman"/>
                      <w:i w:val="0"/>
                      <w:iCs w:val="0"/>
                      <w:color w:val="000000"/>
                      <w:kern w:val="0"/>
                      <w:sz w:val="22"/>
                      <w:szCs w:val="22"/>
                      <w:u w:val="none" w:color="auto"/>
                      <w:lang w:val="en-US" w:eastAsia="zh-CN" w:bidi="ar"/>
                    </w:rPr>
                    <w:t>39</w:t>
                  </w:r>
                </w:p>
              </w:tc>
              <w:tc>
                <w:tcPr>
                  <w:tcW w:w="945" w:type="dxa"/>
                  <w:tcBorders>
                    <w:tl2br w:val="nil"/>
                    <w:tr2bl w:val="nil"/>
                  </w:tcBorders>
                  <w:noWrap w:val="0"/>
                  <w:vAlign w:val="center"/>
                </w:tcPr>
                <w:p w14:paraId="0ACA81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2"/>
                      <w:szCs w:val="22"/>
                      <w:u w:val="none" w:color="auto"/>
                      <w:lang w:val="en-US" w:eastAsia="zh-CN" w:bidi="ar"/>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50DA9E7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液态</w:t>
                  </w:r>
                </w:p>
              </w:tc>
              <w:tc>
                <w:tcPr>
                  <w:tcW w:w="700" w:type="dxa"/>
                  <w:tcBorders>
                    <w:tl2br w:val="nil"/>
                    <w:tr2bl w:val="nil"/>
                  </w:tcBorders>
                  <w:noWrap w:val="0"/>
                  <w:vAlign w:val="center"/>
                </w:tcPr>
                <w:p w14:paraId="7997F57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塑料桶</w:t>
                  </w:r>
                </w:p>
              </w:tc>
              <w:tc>
                <w:tcPr>
                  <w:tcW w:w="713" w:type="dxa"/>
                  <w:tcBorders>
                    <w:tl2br w:val="nil"/>
                    <w:tr2bl w:val="nil"/>
                  </w:tcBorders>
                  <w:noWrap w:val="0"/>
                  <w:vAlign w:val="center"/>
                </w:tcPr>
                <w:p w14:paraId="5CDB475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0"/>
                      <w:sz w:val="21"/>
                      <w:szCs w:val="21"/>
                      <w:u w:val="none" w:color="auto"/>
                      <w:lang w:val="en-US" w:eastAsia="zh-CN"/>
                    </w:rPr>
                  </w:pPr>
                  <w:r>
                    <w:rPr>
                      <w:rFonts w:hint="eastAsia" w:ascii="Times New Roman" w:hAnsi="Times New Roman" w:eastAsia="宋体" w:cs="Times New Roman"/>
                      <w:color w:val="000000"/>
                      <w:kern w:val="0"/>
                      <w:sz w:val="21"/>
                      <w:szCs w:val="21"/>
                      <w:u w:val="none" w:color="auto"/>
                      <w:lang w:val="en-US" w:eastAsia="zh-CN"/>
                    </w:rPr>
                    <w:t xml:space="preserve">0.01 </w:t>
                  </w:r>
                </w:p>
              </w:tc>
              <w:tc>
                <w:tcPr>
                  <w:tcW w:w="1261" w:type="dxa"/>
                  <w:tcBorders>
                    <w:tl2br w:val="nil"/>
                    <w:tr2bl w:val="nil"/>
                  </w:tcBorders>
                  <w:noWrap w:val="0"/>
                  <w:vAlign w:val="center"/>
                </w:tcPr>
                <w:p w14:paraId="38AFD58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73D98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646300D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12C7622F">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eastAsia="宋体"/>
                      <w:color w:val="000000"/>
                      <w:sz w:val="21"/>
                      <w:szCs w:val="21"/>
                      <w:u w:val="none" w:color="auto"/>
                      <w:lang w:val="en-US" w:eastAsia="zh-CN"/>
                    </w:rPr>
                  </w:pPr>
                  <w:r>
                    <w:rPr>
                      <w:rFonts w:hint="eastAsia"/>
                      <w:color w:val="000000"/>
                      <w:sz w:val="21"/>
                      <w:szCs w:val="21"/>
                      <w:u w:val="none" w:color="auto"/>
                      <w:lang w:val="en-US" w:eastAsia="zh-CN"/>
                    </w:rPr>
                    <w:t>氧气</w:t>
                  </w:r>
                </w:p>
              </w:tc>
              <w:tc>
                <w:tcPr>
                  <w:tcW w:w="510" w:type="dxa"/>
                  <w:tcBorders>
                    <w:tl2br w:val="nil"/>
                    <w:tr2bl w:val="nil"/>
                  </w:tcBorders>
                  <w:noWrap w:val="0"/>
                  <w:vAlign w:val="center"/>
                </w:tcPr>
                <w:p w14:paraId="0700CE2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Calibri" w:hAnsi="Calibri"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m³</w:t>
                  </w:r>
                </w:p>
              </w:tc>
              <w:tc>
                <w:tcPr>
                  <w:tcW w:w="735" w:type="dxa"/>
                  <w:tcBorders>
                    <w:tl2br w:val="nil"/>
                    <w:tr2bl w:val="nil"/>
                  </w:tcBorders>
                  <w:noWrap w:val="0"/>
                  <w:vAlign w:val="center"/>
                </w:tcPr>
                <w:p w14:paraId="674AD0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Calibri" w:hAnsi="Calibri"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600</w:t>
                  </w:r>
                </w:p>
              </w:tc>
              <w:tc>
                <w:tcPr>
                  <w:tcW w:w="795" w:type="dxa"/>
                  <w:tcBorders>
                    <w:tl2br w:val="nil"/>
                    <w:tr2bl w:val="nil"/>
                  </w:tcBorders>
                  <w:noWrap w:val="0"/>
                  <w:vAlign w:val="center"/>
                </w:tcPr>
                <w:p w14:paraId="0E8635D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600</w:t>
                  </w:r>
                </w:p>
              </w:tc>
              <w:tc>
                <w:tcPr>
                  <w:tcW w:w="945" w:type="dxa"/>
                  <w:tcBorders>
                    <w:tl2br w:val="nil"/>
                    <w:tr2bl w:val="nil"/>
                  </w:tcBorders>
                  <w:noWrap w:val="0"/>
                  <w:vAlign w:val="center"/>
                </w:tcPr>
                <w:p w14:paraId="4954D72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07AA9E4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Calibri" w:hAnsi="Calibri"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6612A05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ascii="Calibri" w:hAnsi="Calibri"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氧气瓶</w:t>
                  </w:r>
                </w:p>
              </w:tc>
              <w:tc>
                <w:tcPr>
                  <w:tcW w:w="713" w:type="dxa"/>
                  <w:tcBorders>
                    <w:tl2br w:val="nil"/>
                    <w:tr2bl w:val="nil"/>
                  </w:tcBorders>
                  <w:noWrap w:val="0"/>
                  <w:vAlign w:val="center"/>
                </w:tcPr>
                <w:p w14:paraId="42BF2DE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Calibri" w:hAnsi="Calibri" w:eastAsia="宋体" w:cs="Times New Roman"/>
                      <w:color w:val="000000"/>
                      <w:kern w:val="0"/>
                      <w:sz w:val="21"/>
                      <w:szCs w:val="21"/>
                      <w:u w:val="none" w:color="auto"/>
                      <w:lang w:val="en-US" w:eastAsia="zh-CN" w:bidi="ar-SA"/>
                    </w:rPr>
                  </w:pPr>
                  <w:r>
                    <w:rPr>
                      <w:rFonts w:hint="eastAsia" w:cs="Times New Roman"/>
                      <w:color w:val="000000"/>
                      <w:kern w:val="0"/>
                      <w:sz w:val="21"/>
                      <w:szCs w:val="21"/>
                      <w:u w:val="none" w:color="auto"/>
                      <w:lang w:val="en-US" w:eastAsia="zh-CN" w:bidi="ar-SA"/>
                    </w:rPr>
                    <w:t>5</w:t>
                  </w:r>
                </w:p>
              </w:tc>
              <w:tc>
                <w:tcPr>
                  <w:tcW w:w="1261" w:type="dxa"/>
                  <w:tcBorders>
                    <w:tl2br w:val="nil"/>
                    <w:tr2bl w:val="nil"/>
                  </w:tcBorders>
                  <w:noWrap w:val="0"/>
                  <w:vAlign w:val="center"/>
                </w:tcPr>
                <w:p w14:paraId="6EA5A24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Calibri" w:hAnsi="Calibri"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气体库</w:t>
                  </w:r>
                </w:p>
              </w:tc>
            </w:tr>
            <w:tr w14:paraId="5A6F9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626E295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3DECEABE">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color w:val="000000"/>
                      <w:sz w:val="21"/>
                      <w:szCs w:val="21"/>
                      <w:u w:val="none" w:color="auto"/>
                    </w:rPr>
                  </w:pPr>
                  <w:r>
                    <w:rPr>
                      <w:rFonts w:hint="eastAsia"/>
                      <w:color w:val="000000"/>
                      <w:sz w:val="21"/>
                      <w:szCs w:val="21"/>
                      <w:u w:val="none" w:color="auto"/>
                      <w:lang w:val="en-US" w:eastAsia="zh-CN"/>
                    </w:rPr>
                    <w:t>乙炔</w:t>
                  </w:r>
                </w:p>
              </w:tc>
              <w:tc>
                <w:tcPr>
                  <w:tcW w:w="510" w:type="dxa"/>
                  <w:tcBorders>
                    <w:tl2br w:val="nil"/>
                    <w:tr2bl w:val="nil"/>
                  </w:tcBorders>
                  <w:noWrap w:val="0"/>
                  <w:vAlign w:val="center"/>
                </w:tcPr>
                <w:p w14:paraId="4407EA5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sz w:val="21"/>
                      <w:szCs w:val="21"/>
                      <w:u w:val="none" w:color="auto"/>
                    </w:rPr>
                  </w:pPr>
                  <w:r>
                    <w:rPr>
                      <w:rFonts w:hint="eastAsia"/>
                      <w:color w:val="auto"/>
                      <w:sz w:val="21"/>
                      <w:szCs w:val="21"/>
                      <w:u w:val="none" w:color="auto"/>
                      <w:lang w:val="en-US" w:eastAsia="zh-CN"/>
                    </w:rPr>
                    <w:t>m³</w:t>
                  </w:r>
                </w:p>
              </w:tc>
              <w:tc>
                <w:tcPr>
                  <w:tcW w:w="735" w:type="dxa"/>
                  <w:tcBorders>
                    <w:tl2br w:val="nil"/>
                    <w:tr2bl w:val="nil"/>
                  </w:tcBorders>
                  <w:noWrap w:val="0"/>
                  <w:vAlign w:val="center"/>
                </w:tcPr>
                <w:p w14:paraId="55487F2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200</w:t>
                  </w:r>
                </w:p>
              </w:tc>
              <w:tc>
                <w:tcPr>
                  <w:tcW w:w="795" w:type="dxa"/>
                  <w:tcBorders>
                    <w:tl2br w:val="nil"/>
                    <w:tr2bl w:val="nil"/>
                  </w:tcBorders>
                  <w:noWrap w:val="0"/>
                  <w:vAlign w:val="center"/>
                </w:tcPr>
                <w:p w14:paraId="4E04F4F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200</w:t>
                  </w:r>
                </w:p>
              </w:tc>
              <w:tc>
                <w:tcPr>
                  <w:tcW w:w="945" w:type="dxa"/>
                  <w:tcBorders>
                    <w:tl2br w:val="nil"/>
                    <w:tr2bl w:val="nil"/>
                  </w:tcBorders>
                  <w:noWrap w:val="0"/>
                  <w:vAlign w:val="center"/>
                </w:tcPr>
                <w:p w14:paraId="141FAA5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331A2A8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57027BF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rPr>
                  </w:pPr>
                  <w:r>
                    <w:rPr>
                      <w:rFonts w:hint="eastAsia"/>
                      <w:color w:val="000000"/>
                      <w:kern w:val="0"/>
                      <w:sz w:val="21"/>
                      <w:szCs w:val="21"/>
                      <w:u w:val="none" w:color="auto"/>
                      <w:lang w:val="en-US" w:eastAsia="zh-CN"/>
                    </w:rPr>
                    <w:t>乙炔瓶</w:t>
                  </w:r>
                </w:p>
              </w:tc>
              <w:tc>
                <w:tcPr>
                  <w:tcW w:w="713" w:type="dxa"/>
                  <w:tcBorders>
                    <w:tl2br w:val="nil"/>
                    <w:tr2bl w:val="nil"/>
                  </w:tcBorders>
                  <w:noWrap w:val="0"/>
                  <w:vAlign w:val="center"/>
                </w:tcPr>
                <w:p w14:paraId="17D67D6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000000"/>
                      <w:kern w:val="0"/>
                      <w:sz w:val="21"/>
                      <w:szCs w:val="21"/>
                      <w:u w:val="none" w:color="auto"/>
                      <w:lang w:val="en-US" w:eastAsia="zh-CN"/>
                    </w:rPr>
                  </w:pPr>
                  <w:r>
                    <w:rPr>
                      <w:rFonts w:hint="eastAsia"/>
                      <w:color w:val="000000"/>
                      <w:kern w:val="0"/>
                      <w:sz w:val="21"/>
                      <w:szCs w:val="21"/>
                      <w:u w:val="none" w:color="auto"/>
                      <w:lang w:val="en-US" w:eastAsia="zh-CN"/>
                    </w:rPr>
                    <w:t>2</w:t>
                  </w:r>
                </w:p>
              </w:tc>
              <w:tc>
                <w:tcPr>
                  <w:tcW w:w="1261" w:type="dxa"/>
                  <w:tcBorders>
                    <w:tl2br w:val="nil"/>
                    <w:tr2bl w:val="nil"/>
                  </w:tcBorders>
                  <w:noWrap w:val="0"/>
                  <w:vAlign w:val="center"/>
                </w:tcPr>
                <w:p w14:paraId="0E1DE41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rPr>
                  </w:pPr>
                  <w:r>
                    <w:rPr>
                      <w:rFonts w:hint="eastAsia"/>
                      <w:color w:val="000000"/>
                      <w:sz w:val="21"/>
                      <w:szCs w:val="21"/>
                      <w:u w:val="none" w:color="auto"/>
                      <w:lang w:val="en-US" w:eastAsia="zh-CN"/>
                    </w:rPr>
                    <w:t>乙炔</w:t>
                  </w:r>
                  <w:r>
                    <w:rPr>
                      <w:rFonts w:hint="eastAsia"/>
                      <w:color w:val="000000"/>
                      <w:kern w:val="0"/>
                      <w:sz w:val="21"/>
                      <w:szCs w:val="21"/>
                      <w:u w:val="none" w:color="auto"/>
                      <w:lang w:val="en-US" w:eastAsia="zh-CN"/>
                    </w:rPr>
                    <w:t>库</w:t>
                  </w:r>
                </w:p>
              </w:tc>
            </w:tr>
            <w:tr w14:paraId="70DBE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730B876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3A586E9D">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eastAsia="宋体"/>
                      <w:color w:val="000000"/>
                      <w:sz w:val="21"/>
                      <w:szCs w:val="21"/>
                      <w:u w:val="none" w:color="auto"/>
                      <w:lang w:val="en-US" w:eastAsia="zh-CN"/>
                    </w:rPr>
                  </w:pPr>
                  <w:r>
                    <w:rPr>
                      <w:rFonts w:hint="eastAsia"/>
                      <w:color w:val="000000"/>
                      <w:sz w:val="21"/>
                      <w:szCs w:val="21"/>
                      <w:u w:val="none" w:color="auto"/>
                      <w:lang w:val="en-US" w:eastAsia="zh-CN"/>
                    </w:rPr>
                    <w:t>焊条</w:t>
                  </w:r>
                </w:p>
              </w:tc>
              <w:tc>
                <w:tcPr>
                  <w:tcW w:w="510" w:type="dxa"/>
                  <w:tcBorders>
                    <w:tl2br w:val="nil"/>
                    <w:tr2bl w:val="nil"/>
                  </w:tcBorders>
                  <w:noWrap w:val="0"/>
                  <w:vAlign w:val="center"/>
                </w:tcPr>
                <w:p w14:paraId="0AFC3E1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31EEF7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795" w:type="dxa"/>
                  <w:tcBorders>
                    <w:tl2br w:val="nil"/>
                    <w:tr2bl w:val="nil"/>
                  </w:tcBorders>
                  <w:noWrap w:val="0"/>
                  <w:vAlign w:val="center"/>
                </w:tcPr>
                <w:p w14:paraId="188F36A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945" w:type="dxa"/>
                  <w:tcBorders>
                    <w:tl2br w:val="nil"/>
                    <w:tr2bl w:val="nil"/>
                  </w:tcBorders>
                  <w:noWrap w:val="0"/>
                  <w:vAlign w:val="center"/>
                </w:tcPr>
                <w:p w14:paraId="711D975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7C92CA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72F3D52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塑料盒</w:t>
                  </w:r>
                </w:p>
              </w:tc>
              <w:tc>
                <w:tcPr>
                  <w:tcW w:w="713" w:type="dxa"/>
                  <w:tcBorders>
                    <w:tl2br w:val="nil"/>
                    <w:tr2bl w:val="nil"/>
                  </w:tcBorders>
                  <w:noWrap w:val="0"/>
                  <w:vAlign w:val="center"/>
                </w:tcPr>
                <w:p w14:paraId="0FE77B3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000000"/>
                      <w:kern w:val="0"/>
                      <w:sz w:val="21"/>
                      <w:szCs w:val="21"/>
                      <w:u w:val="none" w:color="auto"/>
                      <w:lang w:val="en-US" w:eastAsia="zh-CN"/>
                    </w:rPr>
                  </w:pPr>
                  <w:r>
                    <w:rPr>
                      <w:rFonts w:hint="eastAsia"/>
                      <w:color w:val="000000"/>
                      <w:kern w:val="0"/>
                      <w:sz w:val="21"/>
                      <w:szCs w:val="21"/>
                      <w:u w:val="none" w:color="auto"/>
                      <w:lang w:val="en-US" w:eastAsia="zh-CN"/>
                    </w:rPr>
                    <w:t>0.2</w:t>
                  </w:r>
                </w:p>
              </w:tc>
              <w:tc>
                <w:tcPr>
                  <w:tcW w:w="1261" w:type="dxa"/>
                  <w:tcBorders>
                    <w:tl2br w:val="nil"/>
                    <w:tr2bl w:val="nil"/>
                  </w:tcBorders>
                  <w:noWrap w:val="0"/>
                  <w:vAlign w:val="center"/>
                </w:tcPr>
                <w:p w14:paraId="3BA617D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u w:val="none"/>
                      <w:lang w:val="en-US" w:eastAsia="zh-CN"/>
                    </w:rPr>
                    <w:t>焊材库</w:t>
                  </w:r>
                </w:p>
              </w:tc>
            </w:tr>
            <w:tr w14:paraId="5EF40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552A758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60E923FA">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sz w:val="21"/>
                      <w:szCs w:val="21"/>
                      <w:u w:val="none" w:color="auto"/>
                      <w:lang w:val="en-US" w:eastAsia="zh-CN"/>
                    </w:rPr>
                    <w:t>焊丝</w:t>
                  </w:r>
                </w:p>
              </w:tc>
              <w:tc>
                <w:tcPr>
                  <w:tcW w:w="510" w:type="dxa"/>
                  <w:tcBorders>
                    <w:tl2br w:val="nil"/>
                    <w:tr2bl w:val="nil"/>
                  </w:tcBorders>
                  <w:noWrap w:val="0"/>
                  <w:vAlign w:val="center"/>
                </w:tcPr>
                <w:p w14:paraId="4F49386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6392581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6</w:t>
                  </w:r>
                </w:p>
              </w:tc>
              <w:tc>
                <w:tcPr>
                  <w:tcW w:w="795" w:type="dxa"/>
                  <w:tcBorders>
                    <w:tl2br w:val="nil"/>
                    <w:tr2bl w:val="nil"/>
                  </w:tcBorders>
                  <w:noWrap w:val="0"/>
                  <w:vAlign w:val="center"/>
                </w:tcPr>
                <w:p w14:paraId="603B0EE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6</w:t>
                  </w:r>
                </w:p>
              </w:tc>
              <w:tc>
                <w:tcPr>
                  <w:tcW w:w="945" w:type="dxa"/>
                  <w:tcBorders>
                    <w:tl2br w:val="nil"/>
                    <w:tr2bl w:val="nil"/>
                  </w:tcBorders>
                  <w:noWrap w:val="0"/>
                  <w:vAlign w:val="center"/>
                </w:tcPr>
                <w:p w14:paraId="2893143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5ADFE03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321E2D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塑料盒</w:t>
                  </w:r>
                </w:p>
              </w:tc>
              <w:tc>
                <w:tcPr>
                  <w:tcW w:w="713" w:type="dxa"/>
                  <w:tcBorders>
                    <w:tl2br w:val="nil"/>
                    <w:tr2bl w:val="nil"/>
                  </w:tcBorders>
                  <w:noWrap w:val="0"/>
                  <w:vAlign w:val="center"/>
                </w:tcPr>
                <w:p w14:paraId="441EE4D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000000"/>
                      <w:kern w:val="0"/>
                      <w:sz w:val="21"/>
                      <w:szCs w:val="21"/>
                      <w:u w:val="none" w:color="auto"/>
                      <w:lang w:val="en-US" w:eastAsia="zh-CN"/>
                    </w:rPr>
                  </w:pPr>
                  <w:r>
                    <w:rPr>
                      <w:rFonts w:hint="eastAsia"/>
                      <w:color w:val="000000"/>
                      <w:kern w:val="0"/>
                      <w:sz w:val="21"/>
                      <w:szCs w:val="21"/>
                      <w:u w:val="none" w:color="auto"/>
                      <w:lang w:val="en-US" w:eastAsia="zh-CN"/>
                    </w:rPr>
                    <w:t>0.5</w:t>
                  </w:r>
                </w:p>
              </w:tc>
              <w:tc>
                <w:tcPr>
                  <w:tcW w:w="1261" w:type="dxa"/>
                  <w:tcBorders>
                    <w:tl2br w:val="nil"/>
                    <w:tr2bl w:val="nil"/>
                  </w:tcBorders>
                  <w:noWrap w:val="0"/>
                  <w:vAlign w:val="center"/>
                </w:tcPr>
                <w:p w14:paraId="11303A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u w:val="none"/>
                      <w:lang w:val="en-US" w:eastAsia="zh-CN"/>
                    </w:rPr>
                    <w:t>焊材库</w:t>
                  </w:r>
                </w:p>
              </w:tc>
            </w:tr>
            <w:tr w14:paraId="0A15D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7DB99BE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2A326590">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sz w:val="21"/>
                      <w:szCs w:val="21"/>
                      <w:u w:val="none" w:color="auto"/>
                      <w:lang w:val="en-US" w:eastAsia="zh-CN"/>
                    </w:rPr>
                    <w:t>埋弧焊剂</w:t>
                  </w:r>
                </w:p>
              </w:tc>
              <w:tc>
                <w:tcPr>
                  <w:tcW w:w="510" w:type="dxa"/>
                  <w:tcBorders>
                    <w:tl2br w:val="nil"/>
                    <w:tr2bl w:val="nil"/>
                  </w:tcBorders>
                  <w:noWrap w:val="0"/>
                  <w:vAlign w:val="center"/>
                </w:tcPr>
                <w:p w14:paraId="312D015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3B657D9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w:t>
                  </w:r>
                </w:p>
              </w:tc>
              <w:tc>
                <w:tcPr>
                  <w:tcW w:w="795" w:type="dxa"/>
                  <w:tcBorders>
                    <w:tl2br w:val="nil"/>
                    <w:tr2bl w:val="nil"/>
                  </w:tcBorders>
                  <w:noWrap w:val="0"/>
                  <w:vAlign w:val="center"/>
                </w:tcPr>
                <w:p w14:paraId="577AA2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2</w:t>
                  </w:r>
                </w:p>
              </w:tc>
              <w:tc>
                <w:tcPr>
                  <w:tcW w:w="945" w:type="dxa"/>
                  <w:tcBorders>
                    <w:tl2br w:val="nil"/>
                    <w:tr2bl w:val="nil"/>
                  </w:tcBorders>
                  <w:noWrap w:val="0"/>
                  <w:vAlign w:val="center"/>
                </w:tcPr>
                <w:p w14:paraId="30965CC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538E8C2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48E6BF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编织袋</w:t>
                  </w:r>
                </w:p>
              </w:tc>
              <w:tc>
                <w:tcPr>
                  <w:tcW w:w="713" w:type="dxa"/>
                  <w:tcBorders>
                    <w:tl2br w:val="nil"/>
                    <w:tr2bl w:val="nil"/>
                  </w:tcBorders>
                  <w:noWrap w:val="0"/>
                  <w:vAlign w:val="center"/>
                </w:tcPr>
                <w:p w14:paraId="248491F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000000"/>
                      <w:kern w:val="0"/>
                      <w:sz w:val="21"/>
                      <w:szCs w:val="21"/>
                      <w:u w:val="none" w:color="auto"/>
                      <w:lang w:val="en-US" w:eastAsia="zh-CN"/>
                    </w:rPr>
                  </w:pPr>
                  <w:r>
                    <w:rPr>
                      <w:rFonts w:hint="eastAsia"/>
                      <w:color w:val="000000"/>
                      <w:kern w:val="0"/>
                      <w:sz w:val="21"/>
                      <w:szCs w:val="21"/>
                      <w:u w:val="none" w:color="auto"/>
                      <w:lang w:val="en-US" w:eastAsia="zh-CN"/>
                    </w:rPr>
                    <w:t>0.2</w:t>
                  </w:r>
                </w:p>
              </w:tc>
              <w:tc>
                <w:tcPr>
                  <w:tcW w:w="1261" w:type="dxa"/>
                  <w:tcBorders>
                    <w:tl2br w:val="nil"/>
                    <w:tr2bl w:val="nil"/>
                  </w:tcBorders>
                  <w:noWrap w:val="0"/>
                  <w:vAlign w:val="center"/>
                </w:tcPr>
                <w:p w14:paraId="18284D0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u w:val="none"/>
                      <w:lang w:val="en-US" w:eastAsia="zh-CN"/>
                    </w:rPr>
                    <w:t>焊材库</w:t>
                  </w:r>
                </w:p>
              </w:tc>
            </w:tr>
            <w:tr w14:paraId="27ABE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5AAE85E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0AFAA9BF">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default"/>
                      <w:color w:val="000000"/>
                      <w:sz w:val="21"/>
                      <w:szCs w:val="21"/>
                      <w:u w:val="none" w:color="auto"/>
                      <w:lang w:val="en-US" w:eastAsia="zh-CN"/>
                    </w:rPr>
                  </w:pPr>
                  <w:r>
                    <w:rPr>
                      <w:rFonts w:hint="eastAsia"/>
                      <w:color w:val="000000"/>
                      <w:sz w:val="21"/>
                      <w:szCs w:val="21"/>
                      <w:u w:val="none" w:color="auto"/>
                      <w:lang w:val="en-US" w:eastAsia="zh-CN"/>
                    </w:rPr>
                    <w:t>钝化膏</w:t>
                  </w:r>
                </w:p>
              </w:tc>
              <w:tc>
                <w:tcPr>
                  <w:tcW w:w="510" w:type="dxa"/>
                  <w:tcBorders>
                    <w:tl2br w:val="nil"/>
                    <w:tr2bl w:val="nil"/>
                  </w:tcBorders>
                  <w:noWrap w:val="0"/>
                  <w:vAlign w:val="center"/>
                </w:tcPr>
                <w:p w14:paraId="7A81554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1A9371A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0.5</w:t>
                  </w:r>
                </w:p>
              </w:tc>
              <w:tc>
                <w:tcPr>
                  <w:tcW w:w="795" w:type="dxa"/>
                  <w:tcBorders>
                    <w:tl2br w:val="nil"/>
                    <w:tr2bl w:val="nil"/>
                  </w:tcBorders>
                  <w:noWrap w:val="0"/>
                  <w:vAlign w:val="center"/>
                </w:tcPr>
                <w:p w14:paraId="132019C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0.5</w:t>
                  </w:r>
                </w:p>
              </w:tc>
              <w:tc>
                <w:tcPr>
                  <w:tcW w:w="945" w:type="dxa"/>
                  <w:tcBorders>
                    <w:tl2br w:val="nil"/>
                    <w:tr2bl w:val="nil"/>
                  </w:tcBorders>
                  <w:noWrap w:val="0"/>
                  <w:vAlign w:val="center"/>
                </w:tcPr>
                <w:p w14:paraId="6104CBF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45C415E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1B1FBC7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桶装</w:t>
                  </w:r>
                </w:p>
              </w:tc>
              <w:tc>
                <w:tcPr>
                  <w:tcW w:w="713" w:type="dxa"/>
                  <w:tcBorders>
                    <w:tl2br w:val="nil"/>
                    <w:tr2bl w:val="nil"/>
                  </w:tcBorders>
                  <w:noWrap w:val="0"/>
                  <w:vAlign w:val="center"/>
                </w:tcPr>
                <w:p w14:paraId="54F9A7B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000000"/>
                      <w:kern w:val="0"/>
                      <w:sz w:val="21"/>
                      <w:szCs w:val="21"/>
                      <w:u w:val="none" w:color="auto"/>
                      <w:lang w:val="en-US" w:eastAsia="zh-CN"/>
                    </w:rPr>
                  </w:pPr>
                  <w:r>
                    <w:rPr>
                      <w:rFonts w:hint="eastAsia"/>
                      <w:color w:val="000000"/>
                      <w:kern w:val="0"/>
                      <w:sz w:val="21"/>
                      <w:szCs w:val="21"/>
                      <w:u w:val="none" w:color="auto"/>
                      <w:lang w:val="en-US" w:eastAsia="zh-CN"/>
                    </w:rPr>
                    <w:t>0.1</w:t>
                  </w:r>
                </w:p>
              </w:tc>
              <w:tc>
                <w:tcPr>
                  <w:tcW w:w="1261" w:type="dxa"/>
                  <w:tcBorders>
                    <w:tl2br w:val="nil"/>
                    <w:tr2bl w:val="nil"/>
                  </w:tcBorders>
                  <w:noWrap w:val="0"/>
                  <w:vAlign w:val="center"/>
                </w:tcPr>
                <w:p w14:paraId="67CC13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229A3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15FE0E7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1553A771">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default"/>
                      <w:color w:val="000000"/>
                      <w:sz w:val="21"/>
                      <w:szCs w:val="21"/>
                      <w:u w:val="none" w:color="auto"/>
                      <w:lang w:val="en-US" w:eastAsia="zh-CN"/>
                    </w:rPr>
                  </w:pPr>
                  <w:r>
                    <w:rPr>
                      <w:rFonts w:hint="eastAsia"/>
                      <w:color w:val="000000"/>
                      <w:sz w:val="21"/>
                      <w:szCs w:val="21"/>
                      <w:u w:val="none" w:color="auto"/>
                      <w:lang w:val="en-US" w:eastAsia="zh-CN"/>
                    </w:rPr>
                    <w:t>冷却液</w:t>
                  </w:r>
                </w:p>
              </w:tc>
              <w:tc>
                <w:tcPr>
                  <w:tcW w:w="510" w:type="dxa"/>
                  <w:tcBorders>
                    <w:tl2br w:val="nil"/>
                    <w:tr2bl w:val="nil"/>
                  </w:tcBorders>
                  <w:noWrap w:val="0"/>
                  <w:vAlign w:val="center"/>
                </w:tcPr>
                <w:p w14:paraId="7858538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4FB8935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795" w:type="dxa"/>
                  <w:tcBorders>
                    <w:tl2br w:val="nil"/>
                    <w:tr2bl w:val="nil"/>
                  </w:tcBorders>
                  <w:noWrap w:val="0"/>
                  <w:vAlign w:val="center"/>
                </w:tcPr>
                <w:p w14:paraId="752592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945" w:type="dxa"/>
                  <w:tcBorders>
                    <w:tl2br w:val="nil"/>
                    <w:tr2bl w:val="nil"/>
                  </w:tcBorders>
                  <w:noWrap w:val="0"/>
                  <w:vAlign w:val="center"/>
                </w:tcPr>
                <w:p w14:paraId="14924EF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158CD496">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default"/>
                      <w:color w:val="000000"/>
                      <w:kern w:val="0"/>
                      <w:sz w:val="21"/>
                      <w:szCs w:val="21"/>
                      <w:u w:val="none" w:color="auto"/>
                      <w:lang w:val="en-US" w:eastAsia="zh-CN"/>
                    </w:rPr>
                  </w:pPr>
                  <w:r>
                    <w:rPr>
                      <w:rFonts w:hint="eastAsia"/>
                      <w:color w:val="000000"/>
                      <w:kern w:val="0"/>
                      <w:sz w:val="21"/>
                      <w:szCs w:val="21"/>
                      <w:u w:val="none" w:color="auto"/>
                      <w:lang w:val="en-US" w:eastAsia="zh-CN"/>
                    </w:rPr>
                    <w:t>液态</w:t>
                  </w:r>
                </w:p>
              </w:tc>
              <w:tc>
                <w:tcPr>
                  <w:tcW w:w="700" w:type="dxa"/>
                  <w:tcBorders>
                    <w:tl2br w:val="nil"/>
                    <w:tr2bl w:val="nil"/>
                  </w:tcBorders>
                  <w:noWrap w:val="0"/>
                  <w:vAlign w:val="center"/>
                </w:tcPr>
                <w:p w14:paraId="4FEEE1D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color w:val="000000"/>
                      <w:kern w:val="0"/>
                      <w:sz w:val="21"/>
                      <w:szCs w:val="21"/>
                      <w:u w:val="none" w:color="auto"/>
                      <w:lang w:val="en-US" w:eastAsia="zh-CN"/>
                    </w:rPr>
                  </w:pPr>
                  <w:r>
                    <w:rPr>
                      <w:rFonts w:hint="eastAsia"/>
                      <w:color w:val="000000"/>
                      <w:kern w:val="0"/>
                      <w:sz w:val="21"/>
                      <w:szCs w:val="21"/>
                      <w:u w:val="none" w:color="auto"/>
                      <w:lang w:val="en-US" w:eastAsia="zh-CN"/>
                    </w:rPr>
                    <w:t>铁桶装</w:t>
                  </w:r>
                </w:p>
              </w:tc>
              <w:tc>
                <w:tcPr>
                  <w:tcW w:w="713" w:type="dxa"/>
                  <w:tcBorders>
                    <w:tl2br w:val="nil"/>
                    <w:tr2bl w:val="nil"/>
                  </w:tcBorders>
                  <w:noWrap w:val="0"/>
                  <w:vAlign w:val="center"/>
                </w:tcPr>
                <w:p w14:paraId="6541371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000000"/>
                      <w:kern w:val="0"/>
                      <w:sz w:val="21"/>
                      <w:szCs w:val="21"/>
                      <w:u w:val="none" w:color="auto"/>
                      <w:lang w:val="en-US" w:eastAsia="zh-CN"/>
                    </w:rPr>
                  </w:pPr>
                  <w:r>
                    <w:rPr>
                      <w:rFonts w:hint="eastAsia"/>
                      <w:color w:val="000000"/>
                      <w:kern w:val="0"/>
                      <w:sz w:val="21"/>
                      <w:szCs w:val="21"/>
                      <w:u w:val="none" w:color="auto"/>
                      <w:lang w:val="en-US" w:eastAsia="zh-CN"/>
                    </w:rPr>
                    <w:t>0.15</w:t>
                  </w:r>
                </w:p>
              </w:tc>
              <w:tc>
                <w:tcPr>
                  <w:tcW w:w="1261" w:type="dxa"/>
                  <w:tcBorders>
                    <w:tl2br w:val="nil"/>
                    <w:tr2bl w:val="nil"/>
                  </w:tcBorders>
                  <w:noWrap w:val="0"/>
                  <w:vAlign w:val="center"/>
                </w:tcPr>
                <w:p w14:paraId="724BC18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5D6F8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2CF2FA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22C9DEAB">
                  <w:pPr>
                    <w:keepNext w:val="0"/>
                    <w:keepLines w:val="0"/>
                    <w:pageBreakBefore w:val="0"/>
                    <w:suppressLineNumbers w:val="0"/>
                    <w:kinsoku/>
                    <w:wordWrap/>
                    <w:overflowPunct/>
                    <w:topLinePunct w:val="0"/>
                    <w:autoSpaceDE/>
                    <w:autoSpaceDN/>
                    <w:bidi w:val="0"/>
                    <w:adjustRightInd w:val="0"/>
                    <w:spacing w:before="0" w:beforeAutospacing="0" w:after="0" w:afterAutospacing="0" w:line="240" w:lineRule="auto"/>
                    <w:ind w:left="0" w:right="0"/>
                    <w:jc w:val="center"/>
                    <w:rPr>
                      <w:rFonts w:hint="eastAsia"/>
                      <w:color w:val="000000"/>
                      <w:sz w:val="21"/>
                      <w:szCs w:val="21"/>
                      <w:u w:val="none" w:color="auto"/>
                      <w:lang w:val="en-US" w:eastAsia="zh-CN"/>
                    </w:rPr>
                  </w:pPr>
                  <w:r>
                    <w:rPr>
                      <w:rFonts w:hint="eastAsia"/>
                      <w:color w:val="000000"/>
                      <w:sz w:val="21"/>
                      <w:szCs w:val="21"/>
                      <w:u w:val="none" w:color="auto"/>
                      <w:lang w:val="en-US" w:eastAsia="zh-CN"/>
                    </w:rPr>
                    <w:t>外购件</w:t>
                  </w:r>
                </w:p>
                <w:p w14:paraId="3AF9146A">
                  <w:pPr>
                    <w:pStyle w:val="43"/>
                    <w:rPr>
                      <w:rFonts w:hint="default"/>
                      <w:lang w:val="en-US" w:eastAsia="zh-CN"/>
                    </w:rPr>
                  </w:pPr>
                  <w:r>
                    <w:rPr>
                      <w:rFonts w:hint="eastAsia"/>
                      <w:color w:val="000000"/>
                      <w:sz w:val="21"/>
                      <w:szCs w:val="21"/>
                      <w:u w:val="none" w:color="auto"/>
                      <w:lang w:val="en-US" w:eastAsia="zh-CN"/>
                    </w:rPr>
                    <w:t>（</w:t>
                  </w:r>
                  <w:r>
                    <w:rPr>
                      <w:rFonts w:hint="eastAsia"/>
                      <w:color w:val="000000"/>
                      <w:kern w:val="0"/>
                      <w:sz w:val="21"/>
                      <w:szCs w:val="21"/>
                      <w:u w:val="none" w:color="auto"/>
                      <w:lang w:val="en-US" w:eastAsia="zh-CN"/>
                    </w:rPr>
                    <w:t>法兰、锻件、螺栓、垫片等</w:t>
                  </w:r>
                  <w:r>
                    <w:rPr>
                      <w:rFonts w:hint="eastAsia"/>
                      <w:color w:val="000000"/>
                      <w:sz w:val="21"/>
                      <w:szCs w:val="21"/>
                      <w:u w:val="none" w:color="auto"/>
                      <w:lang w:val="en-US" w:eastAsia="zh-CN"/>
                    </w:rPr>
                    <w:t>）</w:t>
                  </w:r>
                </w:p>
              </w:tc>
              <w:tc>
                <w:tcPr>
                  <w:tcW w:w="510" w:type="dxa"/>
                  <w:tcBorders>
                    <w:tl2br w:val="nil"/>
                    <w:tr2bl w:val="nil"/>
                  </w:tcBorders>
                  <w:noWrap w:val="0"/>
                  <w:vAlign w:val="center"/>
                </w:tcPr>
                <w:p w14:paraId="4FC097A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件</w:t>
                  </w:r>
                </w:p>
              </w:tc>
              <w:tc>
                <w:tcPr>
                  <w:tcW w:w="735" w:type="dxa"/>
                  <w:tcBorders>
                    <w:tl2br w:val="nil"/>
                    <w:tr2bl w:val="nil"/>
                  </w:tcBorders>
                  <w:noWrap w:val="0"/>
                  <w:vAlign w:val="center"/>
                </w:tcPr>
                <w:p w14:paraId="39701ED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若干</w:t>
                  </w:r>
                </w:p>
              </w:tc>
              <w:tc>
                <w:tcPr>
                  <w:tcW w:w="795" w:type="dxa"/>
                  <w:tcBorders>
                    <w:tl2br w:val="nil"/>
                    <w:tr2bl w:val="nil"/>
                  </w:tcBorders>
                  <w:noWrap w:val="0"/>
                  <w:vAlign w:val="center"/>
                </w:tcPr>
                <w:p w14:paraId="03A9A42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若干</w:t>
                  </w:r>
                </w:p>
              </w:tc>
              <w:tc>
                <w:tcPr>
                  <w:tcW w:w="945" w:type="dxa"/>
                  <w:tcBorders>
                    <w:tl2br w:val="nil"/>
                    <w:tr2bl w:val="nil"/>
                  </w:tcBorders>
                  <w:noWrap w:val="0"/>
                  <w:vAlign w:val="center"/>
                </w:tcPr>
                <w:p w14:paraId="464C3A4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41" w:type="dxa"/>
                  <w:tcBorders>
                    <w:tl2br w:val="nil"/>
                    <w:tr2bl w:val="nil"/>
                  </w:tcBorders>
                  <w:noWrap w:val="0"/>
                  <w:vAlign w:val="center"/>
                </w:tcPr>
                <w:p w14:paraId="407C03A7">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default"/>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6D722A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color w:val="000000"/>
                      <w:kern w:val="0"/>
                      <w:sz w:val="21"/>
                      <w:szCs w:val="21"/>
                      <w:u w:val="none" w:color="auto"/>
                      <w:lang w:val="en-US" w:eastAsia="zh-CN"/>
                    </w:rPr>
                  </w:pPr>
                  <w:r>
                    <w:rPr>
                      <w:rFonts w:hint="eastAsia"/>
                      <w:color w:val="000000"/>
                      <w:kern w:val="0"/>
                      <w:sz w:val="21"/>
                      <w:szCs w:val="21"/>
                      <w:u w:val="none" w:color="auto"/>
                      <w:lang w:val="en-US" w:eastAsia="zh-CN"/>
                    </w:rPr>
                    <w:t>木箱</w:t>
                  </w:r>
                </w:p>
              </w:tc>
              <w:tc>
                <w:tcPr>
                  <w:tcW w:w="713" w:type="dxa"/>
                  <w:tcBorders>
                    <w:tl2br w:val="nil"/>
                    <w:tr2bl w:val="nil"/>
                  </w:tcBorders>
                  <w:noWrap w:val="0"/>
                  <w:vAlign w:val="center"/>
                </w:tcPr>
                <w:p w14:paraId="52FC834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kern w:val="0"/>
                      <w:sz w:val="21"/>
                      <w:szCs w:val="21"/>
                      <w:u w:val="none" w:color="auto"/>
                      <w:lang w:val="en-US" w:eastAsia="zh-CN"/>
                    </w:rPr>
                    <w:t>若干</w:t>
                  </w:r>
                </w:p>
              </w:tc>
              <w:tc>
                <w:tcPr>
                  <w:tcW w:w="1261" w:type="dxa"/>
                  <w:tcBorders>
                    <w:tl2br w:val="nil"/>
                    <w:tr2bl w:val="nil"/>
                  </w:tcBorders>
                  <w:noWrap w:val="0"/>
                  <w:vAlign w:val="center"/>
                </w:tcPr>
                <w:p w14:paraId="1CC820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000000"/>
                      <w:kern w:val="0"/>
                      <w:sz w:val="21"/>
                      <w:szCs w:val="21"/>
                      <w:u w:val="none" w:color="auto"/>
                      <w:lang w:val="en-US" w:eastAsia="zh-CN"/>
                    </w:rPr>
                  </w:pPr>
                  <w:r>
                    <w:rPr>
                      <w:rFonts w:hint="eastAsia"/>
                      <w:color w:val="000000"/>
                      <w:kern w:val="0"/>
                      <w:sz w:val="21"/>
                      <w:szCs w:val="21"/>
                      <w:u w:val="none" w:color="auto"/>
                      <w:lang w:val="en-US" w:eastAsia="zh-CN"/>
                    </w:rPr>
                    <w:t>配件库</w:t>
                  </w:r>
                </w:p>
              </w:tc>
            </w:tr>
            <w:tr w14:paraId="7AFF8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restart"/>
                  <w:tcBorders>
                    <w:tl2br w:val="nil"/>
                    <w:tr2bl w:val="nil"/>
                  </w:tcBorders>
                  <w:noWrap w:val="0"/>
                  <w:vAlign w:val="center"/>
                </w:tcPr>
                <w:p w14:paraId="3E443CC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水冷散热器</w:t>
                  </w:r>
                </w:p>
              </w:tc>
              <w:tc>
                <w:tcPr>
                  <w:tcW w:w="1965" w:type="dxa"/>
                  <w:tcBorders>
                    <w:tl2br w:val="nil"/>
                    <w:tr2bl w:val="nil"/>
                  </w:tcBorders>
                  <w:noWrap w:val="0"/>
                  <w:vAlign w:val="center"/>
                </w:tcPr>
                <w:p w14:paraId="3ACBECE5">
                  <w:pPr>
                    <w:pStyle w:val="43"/>
                    <w:jc w:val="center"/>
                    <w:rPr>
                      <w:rFonts w:hint="eastAsia"/>
                      <w:color w:val="000000"/>
                      <w:sz w:val="21"/>
                      <w:szCs w:val="21"/>
                      <w:u w:val="none" w:color="auto"/>
                      <w:lang w:val="en-US" w:eastAsia="zh-CN"/>
                    </w:rPr>
                  </w:pPr>
                  <w:r>
                    <w:rPr>
                      <w:rFonts w:hint="eastAsia" w:ascii="Times New Roman" w:hAnsi="Times New Roman" w:eastAsia="宋体" w:cs="Times New Roman"/>
                      <w:color w:val="000000"/>
                      <w:kern w:val="2"/>
                      <w:sz w:val="21"/>
                      <w:szCs w:val="21"/>
                      <w:u w:val="none" w:color="auto"/>
                      <w:lang w:val="en-US" w:eastAsia="zh-CN" w:bidi="ar-SA"/>
                    </w:rPr>
                    <w:t>不锈钢板</w:t>
                  </w:r>
                </w:p>
              </w:tc>
              <w:tc>
                <w:tcPr>
                  <w:tcW w:w="510" w:type="dxa"/>
                  <w:tcBorders>
                    <w:tl2br w:val="nil"/>
                    <w:tr2bl w:val="nil"/>
                  </w:tcBorders>
                  <w:noWrap w:val="0"/>
                  <w:vAlign w:val="center"/>
                </w:tcPr>
                <w:p w14:paraId="0291E61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14547B7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2D4438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4</w:t>
                  </w:r>
                </w:p>
              </w:tc>
              <w:tc>
                <w:tcPr>
                  <w:tcW w:w="945" w:type="dxa"/>
                  <w:tcBorders>
                    <w:tl2br w:val="nil"/>
                    <w:tr2bl w:val="nil"/>
                  </w:tcBorders>
                  <w:noWrap w:val="0"/>
                  <w:vAlign w:val="center"/>
                </w:tcPr>
                <w:p w14:paraId="06B92E6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+4</w:t>
                  </w:r>
                </w:p>
              </w:tc>
              <w:tc>
                <w:tcPr>
                  <w:tcW w:w="741" w:type="dxa"/>
                  <w:tcBorders>
                    <w:tl2br w:val="nil"/>
                    <w:tr2bl w:val="nil"/>
                  </w:tcBorders>
                  <w:shd w:val="clear" w:color="auto" w:fill="auto"/>
                  <w:noWrap w:val="0"/>
                  <w:vAlign w:val="center"/>
                </w:tcPr>
                <w:p w14:paraId="07B82C1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固态</w:t>
                  </w:r>
                </w:p>
              </w:tc>
              <w:tc>
                <w:tcPr>
                  <w:tcW w:w="700" w:type="dxa"/>
                  <w:tcBorders>
                    <w:tl2br w:val="nil"/>
                    <w:tr2bl w:val="nil"/>
                  </w:tcBorders>
                  <w:shd w:val="clear" w:color="auto" w:fill="auto"/>
                  <w:noWrap w:val="0"/>
                  <w:vAlign w:val="center"/>
                </w:tcPr>
                <w:p w14:paraId="10D0795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65C3274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261" w:type="dxa"/>
                  <w:tcBorders>
                    <w:tl2br w:val="nil"/>
                    <w:tr2bl w:val="nil"/>
                  </w:tcBorders>
                  <w:noWrap w:val="0"/>
                  <w:vAlign w:val="center"/>
                </w:tcPr>
                <w:p w14:paraId="1BE79F3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000000"/>
                      <w:kern w:val="0"/>
                      <w:sz w:val="21"/>
                      <w:szCs w:val="21"/>
                      <w:u w:val="none" w:color="auto"/>
                      <w:lang w:val="en-US" w:eastAsia="zh-CN"/>
                    </w:rPr>
                  </w:pPr>
                  <w:r>
                    <w:rPr>
                      <w:rFonts w:hint="eastAsia"/>
                      <w:color w:val="auto"/>
                      <w:u w:val="none"/>
                      <w:lang w:val="en-US" w:eastAsia="zh-CN"/>
                    </w:rPr>
                    <w:t>大件原料堆放区/</w:t>
                  </w:r>
                  <w:r>
                    <w:rPr>
                      <w:rFonts w:hint="eastAsia" w:cs="Times New Roman"/>
                      <w:color w:val="auto"/>
                      <w:spacing w:val="0"/>
                      <w:position w:val="0"/>
                      <w:sz w:val="21"/>
                      <w:szCs w:val="21"/>
                      <w:u w:val="none" w:color="auto"/>
                      <w:lang w:eastAsia="zh-CN"/>
                    </w:rPr>
                    <w:t>板材库</w:t>
                  </w:r>
                </w:p>
              </w:tc>
            </w:tr>
            <w:tr w14:paraId="671C1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49" w:type="dxa"/>
                  <w:vMerge w:val="continue"/>
                  <w:tcBorders>
                    <w:tl2br w:val="nil"/>
                    <w:tr2bl w:val="nil"/>
                  </w:tcBorders>
                  <w:noWrap w:val="0"/>
                  <w:vAlign w:val="center"/>
                </w:tcPr>
                <w:p w14:paraId="5CBA1B5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2B1D69E4">
                  <w:pPr>
                    <w:pStyle w:val="43"/>
                    <w:jc w:val="center"/>
                    <w:rPr>
                      <w:rFonts w:hint="eastAsia"/>
                      <w:color w:val="000000"/>
                      <w:sz w:val="21"/>
                      <w:szCs w:val="21"/>
                      <w:u w:val="none" w:color="auto"/>
                      <w:lang w:val="en-US" w:eastAsia="zh-CN"/>
                    </w:rPr>
                  </w:pPr>
                  <w:r>
                    <w:rPr>
                      <w:rFonts w:hint="eastAsia" w:ascii="Times New Roman" w:hAnsi="Times New Roman" w:eastAsia="宋体" w:cs="Times New Roman"/>
                      <w:color w:val="000000"/>
                      <w:kern w:val="2"/>
                      <w:sz w:val="21"/>
                      <w:szCs w:val="21"/>
                      <w:u w:val="none" w:color="auto"/>
                      <w:lang w:val="en-US" w:eastAsia="zh-CN" w:bidi="ar-SA"/>
                    </w:rPr>
                    <w:t>铜管</w:t>
                  </w:r>
                </w:p>
              </w:tc>
              <w:tc>
                <w:tcPr>
                  <w:tcW w:w="510" w:type="dxa"/>
                  <w:tcBorders>
                    <w:tl2br w:val="nil"/>
                    <w:tr2bl w:val="nil"/>
                  </w:tcBorders>
                  <w:shd w:val="clear" w:color="auto" w:fill="auto"/>
                  <w:noWrap w:val="0"/>
                  <w:vAlign w:val="center"/>
                </w:tcPr>
                <w:p w14:paraId="188C16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shd w:val="clear" w:color="auto" w:fill="auto"/>
                  <w:noWrap w:val="0"/>
                  <w:vAlign w:val="center"/>
                </w:tcPr>
                <w:p w14:paraId="54CAA2E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shd w:val="clear" w:color="auto" w:fill="auto"/>
                  <w:noWrap w:val="0"/>
                  <w:vAlign w:val="center"/>
                </w:tcPr>
                <w:p w14:paraId="22312D5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6</w:t>
                  </w:r>
                </w:p>
              </w:tc>
              <w:tc>
                <w:tcPr>
                  <w:tcW w:w="945" w:type="dxa"/>
                  <w:tcBorders>
                    <w:tl2br w:val="nil"/>
                    <w:tr2bl w:val="nil"/>
                  </w:tcBorders>
                  <w:shd w:val="clear" w:color="auto" w:fill="auto"/>
                  <w:noWrap w:val="0"/>
                  <w:vAlign w:val="center"/>
                </w:tcPr>
                <w:p w14:paraId="7FB3FEE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+6</w:t>
                  </w:r>
                </w:p>
              </w:tc>
              <w:tc>
                <w:tcPr>
                  <w:tcW w:w="741" w:type="dxa"/>
                  <w:tcBorders>
                    <w:tl2br w:val="nil"/>
                    <w:tr2bl w:val="nil"/>
                  </w:tcBorders>
                  <w:shd w:val="clear" w:color="auto" w:fill="auto"/>
                  <w:noWrap w:val="0"/>
                  <w:vAlign w:val="center"/>
                </w:tcPr>
                <w:p w14:paraId="576D712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固态</w:t>
                  </w:r>
                </w:p>
              </w:tc>
              <w:tc>
                <w:tcPr>
                  <w:tcW w:w="700" w:type="dxa"/>
                  <w:tcBorders>
                    <w:tl2br w:val="nil"/>
                    <w:tr2bl w:val="nil"/>
                  </w:tcBorders>
                  <w:shd w:val="clear" w:color="auto" w:fill="auto"/>
                  <w:noWrap w:val="0"/>
                  <w:vAlign w:val="center"/>
                </w:tcPr>
                <w:p w14:paraId="5CBA8B0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000000"/>
                      <w:sz w:val="21"/>
                      <w:szCs w:val="21"/>
                      <w:u w:val="none" w:color="auto"/>
                      <w:lang w:val="en-US" w:eastAsia="zh-CN"/>
                    </w:rPr>
                    <w:t>无</w:t>
                  </w:r>
                </w:p>
              </w:tc>
              <w:tc>
                <w:tcPr>
                  <w:tcW w:w="713" w:type="dxa"/>
                  <w:tcBorders>
                    <w:tl2br w:val="nil"/>
                    <w:tr2bl w:val="nil"/>
                  </w:tcBorders>
                  <w:shd w:val="clear" w:color="auto" w:fill="auto"/>
                  <w:noWrap w:val="0"/>
                  <w:vAlign w:val="center"/>
                </w:tcPr>
                <w:p w14:paraId="15BADA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0.6</w:t>
                  </w:r>
                </w:p>
              </w:tc>
              <w:tc>
                <w:tcPr>
                  <w:tcW w:w="1261" w:type="dxa"/>
                  <w:tcBorders>
                    <w:tl2br w:val="nil"/>
                    <w:tr2bl w:val="nil"/>
                  </w:tcBorders>
                  <w:noWrap w:val="0"/>
                  <w:vAlign w:val="center"/>
                </w:tcPr>
                <w:p w14:paraId="3BB5850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管材库</w:t>
                  </w:r>
                </w:p>
              </w:tc>
            </w:tr>
            <w:tr w14:paraId="364AE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B8F00D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11576460">
                  <w:pPr>
                    <w:pStyle w:val="43"/>
                    <w:jc w:val="center"/>
                    <w:rPr>
                      <w:rFonts w:hint="eastAsia"/>
                      <w:color w:val="000000"/>
                      <w:sz w:val="21"/>
                      <w:szCs w:val="21"/>
                      <w:u w:val="none" w:color="auto"/>
                      <w:lang w:val="en-US" w:eastAsia="zh-CN"/>
                    </w:rPr>
                  </w:pPr>
                  <w:r>
                    <w:rPr>
                      <w:rFonts w:hint="eastAsia" w:ascii="Times New Roman" w:hAnsi="Times New Roman" w:eastAsia="宋体" w:cs="Times New Roman"/>
                      <w:color w:val="000000"/>
                      <w:kern w:val="2"/>
                      <w:sz w:val="21"/>
                      <w:szCs w:val="21"/>
                      <w:u w:val="none" w:color="auto"/>
                      <w:lang w:val="en-US" w:eastAsia="zh-CN" w:bidi="ar-SA"/>
                    </w:rPr>
                    <w:t>铜弯头</w:t>
                  </w:r>
                </w:p>
              </w:tc>
              <w:tc>
                <w:tcPr>
                  <w:tcW w:w="510" w:type="dxa"/>
                  <w:tcBorders>
                    <w:tl2br w:val="nil"/>
                    <w:tr2bl w:val="nil"/>
                  </w:tcBorders>
                  <w:noWrap w:val="0"/>
                  <w:vAlign w:val="center"/>
                </w:tcPr>
                <w:p w14:paraId="07D0DF5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6F857E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47611D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0.3</w:t>
                  </w:r>
                </w:p>
              </w:tc>
              <w:tc>
                <w:tcPr>
                  <w:tcW w:w="945" w:type="dxa"/>
                  <w:tcBorders>
                    <w:tl2br w:val="nil"/>
                    <w:tr2bl w:val="nil"/>
                  </w:tcBorders>
                  <w:noWrap w:val="0"/>
                  <w:vAlign w:val="center"/>
                </w:tcPr>
                <w:p w14:paraId="700D7AE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+0.3</w:t>
                  </w:r>
                </w:p>
              </w:tc>
              <w:tc>
                <w:tcPr>
                  <w:tcW w:w="741" w:type="dxa"/>
                  <w:tcBorders>
                    <w:tl2br w:val="nil"/>
                    <w:tr2bl w:val="nil"/>
                  </w:tcBorders>
                  <w:shd w:val="clear" w:color="auto" w:fill="auto"/>
                  <w:noWrap w:val="0"/>
                  <w:vAlign w:val="center"/>
                </w:tcPr>
                <w:p w14:paraId="13F8045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固态</w:t>
                  </w:r>
                </w:p>
              </w:tc>
              <w:tc>
                <w:tcPr>
                  <w:tcW w:w="700" w:type="dxa"/>
                  <w:tcBorders>
                    <w:tl2br w:val="nil"/>
                    <w:tr2bl w:val="nil"/>
                  </w:tcBorders>
                  <w:shd w:val="clear" w:color="auto" w:fill="auto"/>
                  <w:noWrap w:val="0"/>
                  <w:vAlign w:val="center"/>
                </w:tcPr>
                <w:p w14:paraId="2E34473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000000"/>
                      <w:sz w:val="21"/>
                      <w:szCs w:val="21"/>
                      <w:u w:val="none" w:color="auto"/>
                      <w:lang w:val="en-US" w:eastAsia="zh-CN"/>
                    </w:rPr>
                    <w:t>无</w:t>
                  </w:r>
                </w:p>
              </w:tc>
              <w:tc>
                <w:tcPr>
                  <w:tcW w:w="713" w:type="dxa"/>
                  <w:tcBorders>
                    <w:tl2br w:val="nil"/>
                    <w:tr2bl w:val="nil"/>
                  </w:tcBorders>
                  <w:shd w:val="clear" w:color="auto" w:fill="auto"/>
                  <w:noWrap w:val="0"/>
                  <w:vAlign w:val="center"/>
                </w:tcPr>
                <w:p w14:paraId="4FB13D2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0.1</w:t>
                  </w:r>
                </w:p>
              </w:tc>
              <w:tc>
                <w:tcPr>
                  <w:tcW w:w="1261" w:type="dxa"/>
                  <w:tcBorders>
                    <w:tl2br w:val="nil"/>
                    <w:tr2bl w:val="nil"/>
                  </w:tcBorders>
                  <w:noWrap w:val="0"/>
                  <w:vAlign w:val="center"/>
                </w:tcPr>
                <w:p w14:paraId="709EEC0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管材库</w:t>
                  </w:r>
                </w:p>
              </w:tc>
            </w:tr>
            <w:tr w14:paraId="20401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011C40D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522992F7">
                  <w:pPr>
                    <w:pStyle w:val="43"/>
                    <w:jc w:val="center"/>
                    <w:rPr>
                      <w:rFonts w:hint="eastAsia"/>
                      <w:color w:val="000000"/>
                      <w:sz w:val="21"/>
                      <w:szCs w:val="21"/>
                      <w:u w:val="none" w:color="auto"/>
                      <w:lang w:val="en-US" w:eastAsia="zh-CN"/>
                    </w:rPr>
                  </w:pPr>
                  <w:r>
                    <w:rPr>
                      <w:rFonts w:hint="eastAsia" w:ascii="Times New Roman" w:hAnsi="Times New Roman" w:eastAsia="宋体" w:cs="Times New Roman"/>
                      <w:color w:val="000000"/>
                      <w:kern w:val="2"/>
                      <w:sz w:val="21"/>
                      <w:szCs w:val="21"/>
                      <w:u w:val="none" w:color="auto"/>
                      <w:lang w:val="en-US" w:eastAsia="zh-CN" w:bidi="ar-SA"/>
                    </w:rPr>
                    <w:t>铝箔</w:t>
                  </w:r>
                </w:p>
              </w:tc>
              <w:tc>
                <w:tcPr>
                  <w:tcW w:w="510" w:type="dxa"/>
                  <w:tcBorders>
                    <w:tl2br w:val="nil"/>
                    <w:tr2bl w:val="nil"/>
                  </w:tcBorders>
                  <w:shd w:val="clear" w:color="auto" w:fill="auto"/>
                  <w:noWrap w:val="0"/>
                  <w:vAlign w:val="center"/>
                </w:tcPr>
                <w:p w14:paraId="4A0F613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shd w:val="clear" w:color="auto" w:fill="auto"/>
                  <w:noWrap w:val="0"/>
                  <w:vAlign w:val="center"/>
                </w:tcPr>
                <w:p w14:paraId="572842A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shd w:val="clear" w:color="auto" w:fill="auto"/>
                  <w:noWrap w:val="0"/>
                  <w:vAlign w:val="center"/>
                </w:tcPr>
                <w:p w14:paraId="007DF66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3</w:t>
                  </w:r>
                </w:p>
              </w:tc>
              <w:tc>
                <w:tcPr>
                  <w:tcW w:w="945" w:type="dxa"/>
                  <w:tcBorders>
                    <w:tl2br w:val="nil"/>
                    <w:tr2bl w:val="nil"/>
                  </w:tcBorders>
                  <w:shd w:val="clear" w:color="auto" w:fill="auto"/>
                  <w:noWrap w:val="0"/>
                  <w:vAlign w:val="center"/>
                </w:tcPr>
                <w:p w14:paraId="09BDA5F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+3</w:t>
                  </w:r>
                </w:p>
              </w:tc>
              <w:tc>
                <w:tcPr>
                  <w:tcW w:w="741" w:type="dxa"/>
                  <w:tcBorders>
                    <w:tl2br w:val="nil"/>
                    <w:tr2bl w:val="nil"/>
                  </w:tcBorders>
                  <w:shd w:val="clear" w:color="auto" w:fill="auto"/>
                  <w:noWrap w:val="0"/>
                  <w:vAlign w:val="center"/>
                </w:tcPr>
                <w:p w14:paraId="618F670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固态</w:t>
                  </w:r>
                </w:p>
              </w:tc>
              <w:tc>
                <w:tcPr>
                  <w:tcW w:w="700" w:type="dxa"/>
                  <w:tcBorders>
                    <w:tl2br w:val="nil"/>
                    <w:tr2bl w:val="nil"/>
                  </w:tcBorders>
                  <w:shd w:val="clear" w:color="auto" w:fill="auto"/>
                  <w:noWrap w:val="0"/>
                  <w:vAlign w:val="center"/>
                </w:tcPr>
                <w:p w14:paraId="3002A5C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000000"/>
                      <w:sz w:val="21"/>
                      <w:szCs w:val="21"/>
                      <w:u w:val="none" w:color="auto"/>
                      <w:lang w:val="en-US" w:eastAsia="zh-CN"/>
                    </w:rPr>
                    <w:t>无</w:t>
                  </w:r>
                </w:p>
              </w:tc>
              <w:tc>
                <w:tcPr>
                  <w:tcW w:w="713" w:type="dxa"/>
                  <w:tcBorders>
                    <w:tl2br w:val="nil"/>
                    <w:tr2bl w:val="nil"/>
                  </w:tcBorders>
                  <w:shd w:val="clear" w:color="auto" w:fill="auto"/>
                  <w:noWrap w:val="0"/>
                  <w:vAlign w:val="center"/>
                </w:tcPr>
                <w:p w14:paraId="7C17392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0.3</w:t>
                  </w:r>
                </w:p>
              </w:tc>
              <w:tc>
                <w:tcPr>
                  <w:tcW w:w="1261" w:type="dxa"/>
                  <w:tcBorders>
                    <w:tl2br w:val="nil"/>
                    <w:tr2bl w:val="nil"/>
                  </w:tcBorders>
                  <w:noWrap w:val="0"/>
                  <w:vAlign w:val="center"/>
                </w:tcPr>
                <w:p w14:paraId="1ECC7F0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管材库</w:t>
                  </w:r>
                </w:p>
              </w:tc>
            </w:tr>
            <w:tr w14:paraId="1A7C4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0FDFDF5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2FCC3993">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氧气</w:t>
                  </w:r>
                </w:p>
              </w:tc>
              <w:tc>
                <w:tcPr>
                  <w:tcW w:w="510" w:type="dxa"/>
                  <w:tcBorders>
                    <w:tl2br w:val="nil"/>
                    <w:tr2bl w:val="nil"/>
                  </w:tcBorders>
                  <w:noWrap w:val="0"/>
                  <w:vAlign w:val="center"/>
                </w:tcPr>
                <w:p w14:paraId="30E2072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73DE9CE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167DB4F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40</w:t>
                  </w:r>
                </w:p>
              </w:tc>
              <w:tc>
                <w:tcPr>
                  <w:tcW w:w="945" w:type="dxa"/>
                  <w:tcBorders>
                    <w:tl2br w:val="nil"/>
                    <w:tr2bl w:val="nil"/>
                  </w:tcBorders>
                  <w:noWrap w:val="0"/>
                  <w:vAlign w:val="center"/>
                </w:tcPr>
                <w:p w14:paraId="2B6B7D4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+40</w:t>
                  </w:r>
                </w:p>
              </w:tc>
              <w:tc>
                <w:tcPr>
                  <w:tcW w:w="741" w:type="dxa"/>
                  <w:tcBorders>
                    <w:tl2br w:val="nil"/>
                    <w:tr2bl w:val="nil"/>
                  </w:tcBorders>
                  <w:shd w:val="clear" w:color="auto" w:fill="auto"/>
                  <w:noWrap w:val="0"/>
                  <w:vAlign w:val="center"/>
                </w:tcPr>
                <w:p w14:paraId="5BF3577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181E73E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060685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261" w:type="dxa"/>
                  <w:tcBorders>
                    <w:tl2br w:val="nil"/>
                    <w:tr2bl w:val="nil"/>
                  </w:tcBorders>
                  <w:noWrap w:val="0"/>
                  <w:vAlign w:val="center"/>
                </w:tcPr>
                <w:p w14:paraId="2AA5360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气体库</w:t>
                  </w:r>
                </w:p>
              </w:tc>
            </w:tr>
            <w:tr w14:paraId="4241A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401AEF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3D8309DA">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丙烷</w:t>
                  </w:r>
                </w:p>
              </w:tc>
              <w:tc>
                <w:tcPr>
                  <w:tcW w:w="510" w:type="dxa"/>
                  <w:tcBorders>
                    <w:tl2br w:val="nil"/>
                    <w:tr2bl w:val="nil"/>
                  </w:tcBorders>
                  <w:noWrap w:val="0"/>
                  <w:vAlign w:val="center"/>
                </w:tcPr>
                <w:p w14:paraId="678DECD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7E6063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63456DA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20</w:t>
                  </w:r>
                </w:p>
              </w:tc>
              <w:tc>
                <w:tcPr>
                  <w:tcW w:w="945" w:type="dxa"/>
                  <w:tcBorders>
                    <w:tl2br w:val="nil"/>
                    <w:tr2bl w:val="nil"/>
                  </w:tcBorders>
                  <w:noWrap w:val="0"/>
                  <w:vAlign w:val="center"/>
                </w:tcPr>
                <w:p w14:paraId="4059E77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+20</w:t>
                  </w:r>
                </w:p>
              </w:tc>
              <w:tc>
                <w:tcPr>
                  <w:tcW w:w="741" w:type="dxa"/>
                  <w:tcBorders>
                    <w:tl2br w:val="nil"/>
                    <w:tr2bl w:val="nil"/>
                  </w:tcBorders>
                  <w:shd w:val="clear" w:color="auto" w:fill="auto"/>
                  <w:noWrap w:val="0"/>
                  <w:vAlign w:val="center"/>
                </w:tcPr>
                <w:p w14:paraId="78B44DC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6518780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07AEFDF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261" w:type="dxa"/>
                  <w:tcBorders>
                    <w:tl2br w:val="nil"/>
                    <w:tr2bl w:val="nil"/>
                  </w:tcBorders>
                  <w:noWrap w:val="0"/>
                  <w:vAlign w:val="center"/>
                </w:tcPr>
                <w:p w14:paraId="7D0054B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气体库</w:t>
                  </w:r>
                </w:p>
              </w:tc>
            </w:tr>
            <w:tr w14:paraId="46D80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B6E081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5A378059">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氩气</w:t>
                  </w:r>
                </w:p>
              </w:tc>
              <w:tc>
                <w:tcPr>
                  <w:tcW w:w="510" w:type="dxa"/>
                  <w:tcBorders>
                    <w:tl2br w:val="nil"/>
                    <w:tr2bl w:val="nil"/>
                  </w:tcBorders>
                  <w:noWrap w:val="0"/>
                  <w:vAlign w:val="center"/>
                </w:tcPr>
                <w:p w14:paraId="16AA88F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59EE52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1DF13E5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30</w:t>
                  </w:r>
                </w:p>
              </w:tc>
              <w:tc>
                <w:tcPr>
                  <w:tcW w:w="945" w:type="dxa"/>
                  <w:tcBorders>
                    <w:tl2br w:val="nil"/>
                    <w:tr2bl w:val="nil"/>
                  </w:tcBorders>
                  <w:noWrap w:val="0"/>
                  <w:vAlign w:val="center"/>
                </w:tcPr>
                <w:p w14:paraId="7C6873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+30</w:t>
                  </w:r>
                </w:p>
              </w:tc>
              <w:tc>
                <w:tcPr>
                  <w:tcW w:w="741" w:type="dxa"/>
                  <w:tcBorders>
                    <w:tl2br w:val="nil"/>
                    <w:tr2bl w:val="nil"/>
                  </w:tcBorders>
                  <w:shd w:val="clear" w:color="auto" w:fill="auto"/>
                  <w:noWrap w:val="0"/>
                  <w:vAlign w:val="center"/>
                </w:tcPr>
                <w:p w14:paraId="0C84028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3AC00E3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3396A71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261" w:type="dxa"/>
                  <w:tcBorders>
                    <w:tl2br w:val="nil"/>
                    <w:tr2bl w:val="nil"/>
                  </w:tcBorders>
                  <w:noWrap w:val="0"/>
                  <w:vAlign w:val="center"/>
                </w:tcPr>
                <w:p w14:paraId="351A020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气体库</w:t>
                  </w:r>
                </w:p>
              </w:tc>
            </w:tr>
            <w:tr w14:paraId="45A5B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E26F32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0BAAAF8B">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液氧</w:t>
                  </w:r>
                </w:p>
              </w:tc>
              <w:tc>
                <w:tcPr>
                  <w:tcW w:w="510" w:type="dxa"/>
                  <w:tcBorders>
                    <w:tl2br w:val="nil"/>
                    <w:tr2bl w:val="nil"/>
                  </w:tcBorders>
                  <w:noWrap w:val="0"/>
                  <w:vAlign w:val="center"/>
                </w:tcPr>
                <w:p w14:paraId="7579EBA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5CC7025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14DB913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4</w:t>
                  </w:r>
                </w:p>
              </w:tc>
              <w:tc>
                <w:tcPr>
                  <w:tcW w:w="945" w:type="dxa"/>
                  <w:tcBorders>
                    <w:tl2br w:val="nil"/>
                    <w:tr2bl w:val="nil"/>
                  </w:tcBorders>
                  <w:noWrap w:val="0"/>
                  <w:vAlign w:val="center"/>
                </w:tcPr>
                <w:p w14:paraId="33B723B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+4</w:t>
                  </w:r>
                </w:p>
              </w:tc>
              <w:tc>
                <w:tcPr>
                  <w:tcW w:w="741" w:type="dxa"/>
                  <w:tcBorders>
                    <w:tl2br w:val="nil"/>
                    <w:tr2bl w:val="nil"/>
                  </w:tcBorders>
                  <w:noWrap w:val="0"/>
                  <w:vAlign w:val="center"/>
                </w:tcPr>
                <w:p w14:paraId="12EBC0F4">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液态</w:t>
                  </w:r>
                </w:p>
              </w:tc>
              <w:tc>
                <w:tcPr>
                  <w:tcW w:w="700" w:type="dxa"/>
                  <w:tcBorders>
                    <w:tl2br w:val="nil"/>
                    <w:tr2bl w:val="nil"/>
                  </w:tcBorders>
                  <w:noWrap w:val="0"/>
                  <w:vAlign w:val="center"/>
                </w:tcPr>
                <w:p w14:paraId="421A57D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254797A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261" w:type="dxa"/>
                  <w:tcBorders>
                    <w:tl2br w:val="nil"/>
                    <w:tr2bl w:val="nil"/>
                  </w:tcBorders>
                  <w:noWrap w:val="0"/>
                  <w:vAlign w:val="center"/>
                </w:tcPr>
                <w:p w14:paraId="5F39D66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气体库</w:t>
                  </w:r>
                </w:p>
              </w:tc>
            </w:tr>
            <w:tr w14:paraId="3850F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5478DA0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6FD5B77F">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氮气</w:t>
                  </w:r>
                </w:p>
              </w:tc>
              <w:tc>
                <w:tcPr>
                  <w:tcW w:w="510" w:type="dxa"/>
                  <w:tcBorders>
                    <w:tl2br w:val="nil"/>
                    <w:tr2bl w:val="nil"/>
                  </w:tcBorders>
                  <w:noWrap w:val="0"/>
                  <w:vAlign w:val="center"/>
                </w:tcPr>
                <w:p w14:paraId="4603573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7D35A3F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2B44CE0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20</w:t>
                  </w:r>
                </w:p>
              </w:tc>
              <w:tc>
                <w:tcPr>
                  <w:tcW w:w="945" w:type="dxa"/>
                  <w:tcBorders>
                    <w:tl2br w:val="nil"/>
                    <w:tr2bl w:val="nil"/>
                  </w:tcBorders>
                  <w:noWrap w:val="0"/>
                  <w:vAlign w:val="center"/>
                </w:tcPr>
                <w:p w14:paraId="238FBFB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+20</w:t>
                  </w:r>
                </w:p>
              </w:tc>
              <w:tc>
                <w:tcPr>
                  <w:tcW w:w="741" w:type="dxa"/>
                  <w:tcBorders>
                    <w:tl2br w:val="nil"/>
                    <w:tr2bl w:val="nil"/>
                  </w:tcBorders>
                  <w:noWrap w:val="0"/>
                  <w:vAlign w:val="center"/>
                </w:tcPr>
                <w:p w14:paraId="1B718FB2">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212581E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34FA090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261" w:type="dxa"/>
                  <w:tcBorders>
                    <w:tl2br w:val="nil"/>
                    <w:tr2bl w:val="nil"/>
                  </w:tcBorders>
                  <w:noWrap w:val="0"/>
                  <w:vAlign w:val="center"/>
                </w:tcPr>
                <w:p w14:paraId="7791B39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气体库</w:t>
                  </w:r>
                </w:p>
              </w:tc>
            </w:tr>
            <w:tr w14:paraId="09C62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5090409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594B5DC7">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焊丝</w:t>
                  </w:r>
                </w:p>
              </w:tc>
              <w:tc>
                <w:tcPr>
                  <w:tcW w:w="510" w:type="dxa"/>
                  <w:tcBorders>
                    <w:tl2br w:val="nil"/>
                    <w:tr2bl w:val="nil"/>
                  </w:tcBorders>
                  <w:noWrap w:val="0"/>
                  <w:vAlign w:val="center"/>
                </w:tcPr>
                <w:p w14:paraId="4AEEC5C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12CF890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44B9AFF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0.5</w:t>
                  </w:r>
                </w:p>
              </w:tc>
              <w:tc>
                <w:tcPr>
                  <w:tcW w:w="945" w:type="dxa"/>
                  <w:tcBorders>
                    <w:tl2br w:val="nil"/>
                    <w:tr2bl w:val="nil"/>
                  </w:tcBorders>
                  <w:noWrap w:val="0"/>
                  <w:vAlign w:val="center"/>
                </w:tcPr>
                <w:p w14:paraId="4439538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+0.5</w:t>
                  </w:r>
                </w:p>
              </w:tc>
              <w:tc>
                <w:tcPr>
                  <w:tcW w:w="741" w:type="dxa"/>
                  <w:tcBorders>
                    <w:tl2br w:val="nil"/>
                    <w:tr2bl w:val="nil"/>
                  </w:tcBorders>
                  <w:noWrap w:val="0"/>
                  <w:vAlign w:val="center"/>
                </w:tcPr>
                <w:p w14:paraId="03E72532">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70FF7B7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塑料盒</w:t>
                  </w:r>
                </w:p>
              </w:tc>
              <w:tc>
                <w:tcPr>
                  <w:tcW w:w="713" w:type="dxa"/>
                  <w:tcBorders>
                    <w:tl2br w:val="nil"/>
                    <w:tr2bl w:val="nil"/>
                  </w:tcBorders>
                  <w:noWrap w:val="0"/>
                  <w:vAlign w:val="center"/>
                </w:tcPr>
                <w:p w14:paraId="747B532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0.1</w:t>
                  </w:r>
                </w:p>
              </w:tc>
              <w:tc>
                <w:tcPr>
                  <w:tcW w:w="1261" w:type="dxa"/>
                  <w:tcBorders>
                    <w:tl2br w:val="nil"/>
                    <w:tr2bl w:val="nil"/>
                  </w:tcBorders>
                  <w:noWrap w:val="0"/>
                  <w:vAlign w:val="center"/>
                </w:tcPr>
                <w:p w14:paraId="2A90599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u w:val="none"/>
                      <w:lang w:val="en-US" w:eastAsia="zh-CN"/>
                    </w:rPr>
                    <w:t>焊材库</w:t>
                  </w:r>
                </w:p>
              </w:tc>
            </w:tr>
            <w:tr w14:paraId="71723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restart"/>
                  <w:tcBorders>
                    <w:tl2br w:val="nil"/>
                    <w:tr2bl w:val="nil"/>
                  </w:tcBorders>
                  <w:noWrap w:val="0"/>
                  <w:vAlign w:val="center"/>
                </w:tcPr>
                <w:p w14:paraId="663E9CE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钢结构</w:t>
                  </w:r>
                </w:p>
              </w:tc>
              <w:tc>
                <w:tcPr>
                  <w:tcW w:w="1965" w:type="dxa"/>
                  <w:tcBorders>
                    <w:tl2br w:val="nil"/>
                    <w:tr2bl w:val="nil"/>
                  </w:tcBorders>
                  <w:noWrap w:val="0"/>
                  <w:vAlign w:val="center"/>
                </w:tcPr>
                <w:p w14:paraId="78E4616B">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不锈钢板</w:t>
                  </w:r>
                </w:p>
              </w:tc>
              <w:tc>
                <w:tcPr>
                  <w:tcW w:w="510" w:type="dxa"/>
                  <w:tcBorders>
                    <w:tl2br w:val="nil"/>
                    <w:tr2bl w:val="nil"/>
                  </w:tcBorders>
                  <w:noWrap w:val="0"/>
                  <w:vAlign w:val="center"/>
                </w:tcPr>
                <w:p w14:paraId="1E4FDED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413A245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66BD03F1">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150</w:t>
                  </w:r>
                </w:p>
              </w:tc>
              <w:tc>
                <w:tcPr>
                  <w:tcW w:w="945" w:type="dxa"/>
                  <w:tcBorders>
                    <w:tl2br w:val="nil"/>
                    <w:tr2bl w:val="nil"/>
                  </w:tcBorders>
                  <w:shd w:val="clear" w:color="auto" w:fill="auto"/>
                  <w:noWrap w:val="0"/>
                  <w:vAlign w:val="center"/>
                </w:tcPr>
                <w:p w14:paraId="5659903C">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150</w:t>
                  </w:r>
                </w:p>
              </w:tc>
              <w:tc>
                <w:tcPr>
                  <w:tcW w:w="741" w:type="dxa"/>
                  <w:tcBorders>
                    <w:tl2br w:val="nil"/>
                    <w:tr2bl w:val="nil"/>
                  </w:tcBorders>
                  <w:noWrap w:val="0"/>
                  <w:vAlign w:val="center"/>
                </w:tcPr>
                <w:p w14:paraId="4F6E01F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42B45CF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shd w:val="clear" w:color="auto" w:fill="auto"/>
                  <w:noWrap w:val="0"/>
                  <w:vAlign w:val="center"/>
                </w:tcPr>
                <w:p w14:paraId="72EE1D1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5</w:t>
                  </w:r>
                </w:p>
              </w:tc>
              <w:tc>
                <w:tcPr>
                  <w:tcW w:w="1261" w:type="dxa"/>
                  <w:tcBorders>
                    <w:tl2br w:val="nil"/>
                    <w:tr2bl w:val="nil"/>
                  </w:tcBorders>
                  <w:noWrap w:val="0"/>
                  <w:vAlign w:val="center"/>
                </w:tcPr>
                <w:p w14:paraId="593232E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000000"/>
                      <w:kern w:val="0"/>
                      <w:sz w:val="21"/>
                      <w:szCs w:val="21"/>
                      <w:u w:val="none" w:color="auto"/>
                      <w:lang w:val="en-US" w:eastAsia="zh-CN"/>
                    </w:rPr>
                  </w:pPr>
                  <w:r>
                    <w:rPr>
                      <w:rFonts w:hint="eastAsia"/>
                      <w:color w:val="auto"/>
                      <w:u w:val="none"/>
                      <w:lang w:val="en-US" w:eastAsia="zh-CN"/>
                    </w:rPr>
                    <w:t>大件原料堆放区/</w:t>
                  </w:r>
                  <w:r>
                    <w:rPr>
                      <w:rFonts w:hint="eastAsia" w:cs="Times New Roman"/>
                      <w:color w:val="auto"/>
                      <w:spacing w:val="0"/>
                      <w:position w:val="0"/>
                      <w:sz w:val="21"/>
                      <w:szCs w:val="21"/>
                      <w:u w:val="none" w:color="auto"/>
                      <w:lang w:eastAsia="zh-CN"/>
                    </w:rPr>
                    <w:t>板材库</w:t>
                  </w:r>
                </w:p>
              </w:tc>
            </w:tr>
            <w:tr w14:paraId="69412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4C875B8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5398DA1D">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碳钢板</w:t>
                  </w:r>
                </w:p>
              </w:tc>
              <w:tc>
                <w:tcPr>
                  <w:tcW w:w="510" w:type="dxa"/>
                  <w:tcBorders>
                    <w:tl2br w:val="nil"/>
                    <w:tr2bl w:val="nil"/>
                  </w:tcBorders>
                  <w:noWrap w:val="0"/>
                  <w:vAlign w:val="center"/>
                </w:tcPr>
                <w:p w14:paraId="4BD0931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07EDB04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309306FF">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320</w:t>
                  </w:r>
                </w:p>
              </w:tc>
              <w:tc>
                <w:tcPr>
                  <w:tcW w:w="945" w:type="dxa"/>
                  <w:tcBorders>
                    <w:tl2br w:val="nil"/>
                    <w:tr2bl w:val="nil"/>
                  </w:tcBorders>
                  <w:shd w:val="clear" w:color="auto" w:fill="auto"/>
                  <w:noWrap w:val="0"/>
                  <w:vAlign w:val="center"/>
                </w:tcPr>
                <w:p w14:paraId="51CDC24A">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320</w:t>
                  </w:r>
                </w:p>
              </w:tc>
              <w:tc>
                <w:tcPr>
                  <w:tcW w:w="741" w:type="dxa"/>
                  <w:tcBorders>
                    <w:tl2br w:val="nil"/>
                    <w:tr2bl w:val="nil"/>
                  </w:tcBorders>
                  <w:noWrap w:val="0"/>
                  <w:vAlign w:val="center"/>
                </w:tcPr>
                <w:p w14:paraId="4673542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608EB6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shd w:val="clear" w:color="auto" w:fill="auto"/>
                  <w:noWrap w:val="0"/>
                  <w:vAlign w:val="center"/>
                </w:tcPr>
                <w:p w14:paraId="7F3DC43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10</w:t>
                  </w:r>
                </w:p>
              </w:tc>
              <w:tc>
                <w:tcPr>
                  <w:tcW w:w="1261" w:type="dxa"/>
                  <w:tcBorders>
                    <w:tl2br w:val="nil"/>
                    <w:tr2bl w:val="nil"/>
                  </w:tcBorders>
                  <w:noWrap w:val="0"/>
                  <w:vAlign w:val="center"/>
                </w:tcPr>
                <w:p w14:paraId="650FD0B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000000"/>
                      <w:kern w:val="0"/>
                      <w:sz w:val="21"/>
                      <w:szCs w:val="21"/>
                      <w:u w:val="none" w:color="auto"/>
                      <w:lang w:val="en-US" w:eastAsia="zh-CN"/>
                    </w:rPr>
                  </w:pPr>
                  <w:r>
                    <w:rPr>
                      <w:rFonts w:hint="eastAsia"/>
                      <w:color w:val="auto"/>
                      <w:u w:val="none"/>
                      <w:lang w:val="en-US" w:eastAsia="zh-CN"/>
                    </w:rPr>
                    <w:t>大件原料堆放区/</w:t>
                  </w:r>
                  <w:r>
                    <w:rPr>
                      <w:rFonts w:hint="eastAsia" w:cs="Times New Roman"/>
                      <w:color w:val="auto"/>
                      <w:spacing w:val="0"/>
                      <w:position w:val="0"/>
                      <w:sz w:val="21"/>
                      <w:szCs w:val="21"/>
                      <w:u w:val="none" w:color="auto"/>
                      <w:lang w:eastAsia="zh-CN"/>
                    </w:rPr>
                    <w:t>板材库</w:t>
                  </w:r>
                </w:p>
              </w:tc>
            </w:tr>
            <w:tr w14:paraId="51A7E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2793FEF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1C15B7A8">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角钢</w:t>
                  </w:r>
                </w:p>
              </w:tc>
              <w:tc>
                <w:tcPr>
                  <w:tcW w:w="510" w:type="dxa"/>
                  <w:tcBorders>
                    <w:tl2br w:val="nil"/>
                    <w:tr2bl w:val="nil"/>
                  </w:tcBorders>
                  <w:noWrap w:val="0"/>
                  <w:vAlign w:val="center"/>
                </w:tcPr>
                <w:p w14:paraId="509E6F4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1619E74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6A438DEA">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260</w:t>
                  </w:r>
                </w:p>
              </w:tc>
              <w:tc>
                <w:tcPr>
                  <w:tcW w:w="945" w:type="dxa"/>
                  <w:tcBorders>
                    <w:tl2br w:val="nil"/>
                    <w:tr2bl w:val="nil"/>
                  </w:tcBorders>
                  <w:shd w:val="clear" w:color="auto" w:fill="auto"/>
                  <w:noWrap w:val="0"/>
                  <w:vAlign w:val="center"/>
                </w:tcPr>
                <w:p w14:paraId="49242CD8">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260</w:t>
                  </w:r>
                </w:p>
              </w:tc>
              <w:tc>
                <w:tcPr>
                  <w:tcW w:w="741" w:type="dxa"/>
                  <w:tcBorders>
                    <w:tl2br w:val="nil"/>
                    <w:tr2bl w:val="nil"/>
                  </w:tcBorders>
                  <w:noWrap w:val="0"/>
                  <w:vAlign w:val="center"/>
                </w:tcPr>
                <w:p w14:paraId="1490A6E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2DA927A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4AFE25C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3</w:t>
                  </w:r>
                </w:p>
              </w:tc>
              <w:tc>
                <w:tcPr>
                  <w:tcW w:w="1261" w:type="dxa"/>
                  <w:tcBorders>
                    <w:tl2br w:val="nil"/>
                    <w:tr2bl w:val="nil"/>
                  </w:tcBorders>
                  <w:noWrap w:val="0"/>
                  <w:vAlign w:val="center"/>
                </w:tcPr>
                <w:p w14:paraId="0112111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型材库</w:t>
                  </w:r>
                </w:p>
              </w:tc>
            </w:tr>
            <w:tr w14:paraId="3B809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620D259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7D0F41EB">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槽钢</w:t>
                  </w:r>
                </w:p>
              </w:tc>
              <w:tc>
                <w:tcPr>
                  <w:tcW w:w="510" w:type="dxa"/>
                  <w:tcBorders>
                    <w:tl2br w:val="nil"/>
                    <w:tr2bl w:val="nil"/>
                  </w:tcBorders>
                  <w:noWrap w:val="0"/>
                  <w:vAlign w:val="center"/>
                </w:tcPr>
                <w:p w14:paraId="322F02C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62F0D7F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3E4EBA9A">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360</w:t>
                  </w:r>
                </w:p>
              </w:tc>
              <w:tc>
                <w:tcPr>
                  <w:tcW w:w="945" w:type="dxa"/>
                  <w:tcBorders>
                    <w:tl2br w:val="nil"/>
                    <w:tr2bl w:val="nil"/>
                  </w:tcBorders>
                  <w:shd w:val="clear" w:color="auto" w:fill="auto"/>
                  <w:noWrap w:val="0"/>
                  <w:vAlign w:val="center"/>
                </w:tcPr>
                <w:p w14:paraId="5BF94DBA">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360</w:t>
                  </w:r>
                </w:p>
              </w:tc>
              <w:tc>
                <w:tcPr>
                  <w:tcW w:w="741" w:type="dxa"/>
                  <w:tcBorders>
                    <w:tl2br w:val="nil"/>
                    <w:tr2bl w:val="nil"/>
                  </w:tcBorders>
                  <w:noWrap w:val="0"/>
                  <w:vAlign w:val="center"/>
                </w:tcPr>
                <w:p w14:paraId="654D84E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15EFC4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19DD49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3</w:t>
                  </w:r>
                </w:p>
              </w:tc>
              <w:tc>
                <w:tcPr>
                  <w:tcW w:w="1261" w:type="dxa"/>
                  <w:tcBorders>
                    <w:tl2br w:val="nil"/>
                    <w:tr2bl w:val="nil"/>
                  </w:tcBorders>
                  <w:noWrap w:val="0"/>
                  <w:vAlign w:val="center"/>
                </w:tcPr>
                <w:p w14:paraId="0690232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型材库</w:t>
                  </w:r>
                </w:p>
              </w:tc>
            </w:tr>
            <w:tr w14:paraId="43560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73F9E59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5C1E6E7A">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工字钢</w:t>
                  </w:r>
                </w:p>
              </w:tc>
              <w:tc>
                <w:tcPr>
                  <w:tcW w:w="510" w:type="dxa"/>
                  <w:tcBorders>
                    <w:tl2br w:val="nil"/>
                    <w:tr2bl w:val="nil"/>
                  </w:tcBorders>
                  <w:noWrap w:val="0"/>
                  <w:vAlign w:val="center"/>
                </w:tcPr>
                <w:p w14:paraId="171207A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69CE3E8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179D445C">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120</w:t>
                  </w:r>
                </w:p>
              </w:tc>
              <w:tc>
                <w:tcPr>
                  <w:tcW w:w="945" w:type="dxa"/>
                  <w:tcBorders>
                    <w:tl2br w:val="nil"/>
                    <w:tr2bl w:val="nil"/>
                  </w:tcBorders>
                  <w:shd w:val="clear" w:color="auto" w:fill="auto"/>
                  <w:noWrap w:val="0"/>
                  <w:vAlign w:val="center"/>
                </w:tcPr>
                <w:p w14:paraId="60AEA3B3">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120</w:t>
                  </w:r>
                </w:p>
              </w:tc>
              <w:tc>
                <w:tcPr>
                  <w:tcW w:w="741" w:type="dxa"/>
                  <w:tcBorders>
                    <w:tl2br w:val="nil"/>
                    <w:tr2bl w:val="nil"/>
                  </w:tcBorders>
                  <w:noWrap w:val="0"/>
                  <w:vAlign w:val="center"/>
                </w:tcPr>
                <w:p w14:paraId="00955B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678C6F3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0F670A2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w:t>
                  </w:r>
                </w:p>
              </w:tc>
              <w:tc>
                <w:tcPr>
                  <w:tcW w:w="1261" w:type="dxa"/>
                  <w:tcBorders>
                    <w:tl2br w:val="nil"/>
                    <w:tr2bl w:val="nil"/>
                  </w:tcBorders>
                  <w:noWrap w:val="0"/>
                  <w:vAlign w:val="center"/>
                </w:tcPr>
                <w:p w14:paraId="0D13552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型材库</w:t>
                  </w:r>
                </w:p>
              </w:tc>
            </w:tr>
            <w:tr w14:paraId="1CE5D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0C6BCFC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74FCDEA6">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圆钢</w:t>
                  </w:r>
                </w:p>
              </w:tc>
              <w:tc>
                <w:tcPr>
                  <w:tcW w:w="510" w:type="dxa"/>
                  <w:tcBorders>
                    <w:tl2br w:val="nil"/>
                    <w:tr2bl w:val="nil"/>
                  </w:tcBorders>
                  <w:noWrap w:val="0"/>
                  <w:vAlign w:val="center"/>
                </w:tcPr>
                <w:p w14:paraId="7C84B4A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24EAD6A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786A29C5">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40</w:t>
                  </w:r>
                </w:p>
              </w:tc>
              <w:tc>
                <w:tcPr>
                  <w:tcW w:w="945" w:type="dxa"/>
                  <w:tcBorders>
                    <w:tl2br w:val="nil"/>
                    <w:tr2bl w:val="nil"/>
                  </w:tcBorders>
                  <w:shd w:val="clear" w:color="auto" w:fill="auto"/>
                  <w:noWrap w:val="0"/>
                  <w:vAlign w:val="center"/>
                </w:tcPr>
                <w:p w14:paraId="7356914D">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40</w:t>
                  </w:r>
                </w:p>
              </w:tc>
              <w:tc>
                <w:tcPr>
                  <w:tcW w:w="741" w:type="dxa"/>
                  <w:tcBorders>
                    <w:tl2br w:val="nil"/>
                    <w:tr2bl w:val="nil"/>
                  </w:tcBorders>
                  <w:noWrap w:val="0"/>
                  <w:vAlign w:val="center"/>
                </w:tcPr>
                <w:p w14:paraId="56A45F5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41AB8C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1B3F40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w:t>
                  </w:r>
                </w:p>
              </w:tc>
              <w:tc>
                <w:tcPr>
                  <w:tcW w:w="1261" w:type="dxa"/>
                  <w:tcBorders>
                    <w:tl2br w:val="nil"/>
                    <w:tr2bl w:val="nil"/>
                  </w:tcBorders>
                  <w:noWrap w:val="0"/>
                  <w:vAlign w:val="center"/>
                </w:tcPr>
                <w:p w14:paraId="3C29628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型材库</w:t>
                  </w:r>
                </w:p>
              </w:tc>
            </w:tr>
            <w:tr w14:paraId="455A2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49A5182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18DB8F16">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H型钢</w:t>
                  </w:r>
                </w:p>
              </w:tc>
              <w:tc>
                <w:tcPr>
                  <w:tcW w:w="510" w:type="dxa"/>
                  <w:tcBorders>
                    <w:tl2br w:val="nil"/>
                    <w:tr2bl w:val="nil"/>
                  </w:tcBorders>
                  <w:noWrap w:val="0"/>
                  <w:vAlign w:val="center"/>
                </w:tcPr>
                <w:p w14:paraId="341B8F7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4E6C9BD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1DBAB95E">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700</w:t>
                  </w:r>
                </w:p>
              </w:tc>
              <w:tc>
                <w:tcPr>
                  <w:tcW w:w="945" w:type="dxa"/>
                  <w:tcBorders>
                    <w:tl2br w:val="nil"/>
                    <w:tr2bl w:val="nil"/>
                  </w:tcBorders>
                  <w:shd w:val="clear" w:color="auto" w:fill="auto"/>
                  <w:noWrap w:val="0"/>
                  <w:vAlign w:val="center"/>
                </w:tcPr>
                <w:p w14:paraId="0759BF90">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700</w:t>
                  </w:r>
                </w:p>
              </w:tc>
              <w:tc>
                <w:tcPr>
                  <w:tcW w:w="741" w:type="dxa"/>
                  <w:tcBorders>
                    <w:tl2br w:val="nil"/>
                    <w:tr2bl w:val="nil"/>
                  </w:tcBorders>
                  <w:noWrap w:val="0"/>
                  <w:vAlign w:val="center"/>
                </w:tcPr>
                <w:p w14:paraId="7B150F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75FD4A9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784623D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w:t>
                  </w:r>
                </w:p>
              </w:tc>
              <w:tc>
                <w:tcPr>
                  <w:tcW w:w="1261" w:type="dxa"/>
                  <w:tcBorders>
                    <w:tl2br w:val="nil"/>
                    <w:tr2bl w:val="nil"/>
                  </w:tcBorders>
                  <w:noWrap w:val="0"/>
                  <w:vAlign w:val="center"/>
                </w:tcPr>
                <w:p w14:paraId="7262914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型材库</w:t>
                  </w:r>
                </w:p>
              </w:tc>
            </w:tr>
            <w:tr w14:paraId="5AB9D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7DE4E8C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2F401DA6">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不锈钢管材</w:t>
                  </w:r>
                </w:p>
              </w:tc>
              <w:tc>
                <w:tcPr>
                  <w:tcW w:w="510" w:type="dxa"/>
                  <w:tcBorders>
                    <w:tl2br w:val="nil"/>
                    <w:tr2bl w:val="nil"/>
                  </w:tcBorders>
                  <w:noWrap w:val="0"/>
                  <w:vAlign w:val="center"/>
                </w:tcPr>
                <w:p w14:paraId="5D061DF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5169416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5EFA7840">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30</w:t>
                  </w:r>
                </w:p>
              </w:tc>
              <w:tc>
                <w:tcPr>
                  <w:tcW w:w="945" w:type="dxa"/>
                  <w:tcBorders>
                    <w:tl2br w:val="nil"/>
                    <w:tr2bl w:val="nil"/>
                  </w:tcBorders>
                  <w:shd w:val="clear" w:color="auto" w:fill="auto"/>
                  <w:noWrap w:val="0"/>
                  <w:vAlign w:val="center"/>
                </w:tcPr>
                <w:p w14:paraId="631E4166">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30</w:t>
                  </w:r>
                </w:p>
              </w:tc>
              <w:tc>
                <w:tcPr>
                  <w:tcW w:w="741" w:type="dxa"/>
                  <w:tcBorders>
                    <w:tl2br w:val="nil"/>
                    <w:tr2bl w:val="nil"/>
                  </w:tcBorders>
                  <w:noWrap w:val="0"/>
                  <w:vAlign w:val="center"/>
                </w:tcPr>
                <w:p w14:paraId="7D858C2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5DD48EE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7D1BAA6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0.5</w:t>
                  </w:r>
                </w:p>
              </w:tc>
              <w:tc>
                <w:tcPr>
                  <w:tcW w:w="1261" w:type="dxa"/>
                  <w:tcBorders>
                    <w:tl2br w:val="nil"/>
                    <w:tr2bl w:val="nil"/>
                  </w:tcBorders>
                  <w:noWrap w:val="0"/>
                  <w:vAlign w:val="center"/>
                </w:tcPr>
                <w:p w14:paraId="384AB17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管材库</w:t>
                  </w:r>
                </w:p>
              </w:tc>
            </w:tr>
            <w:tr w14:paraId="50393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6A7180D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430583AF">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不锈钢型材</w:t>
                  </w:r>
                </w:p>
              </w:tc>
              <w:tc>
                <w:tcPr>
                  <w:tcW w:w="510" w:type="dxa"/>
                  <w:tcBorders>
                    <w:tl2br w:val="nil"/>
                    <w:tr2bl w:val="nil"/>
                  </w:tcBorders>
                  <w:noWrap w:val="0"/>
                  <w:vAlign w:val="center"/>
                </w:tcPr>
                <w:p w14:paraId="615E7F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1EED580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0023AA3D">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40</w:t>
                  </w:r>
                </w:p>
              </w:tc>
              <w:tc>
                <w:tcPr>
                  <w:tcW w:w="945" w:type="dxa"/>
                  <w:tcBorders>
                    <w:tl2br w:val="nil"/>
                    <w:tr2bl w:val="nil"/>
                  </w:tcBorders>
                  <w:shd w:val="clear" w:color="auto" w:fill="auto"/>
                  <w:noWrap w:val="0"/>
                  <w:vAlign w:val="center"/>
                </w:tcPr>
                <w:p w14:paraId="3EE2461D">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40</w:t>
                  </w:r>
                </w:p>
              </w:tc>
              <w:tc>
                <w:tcPr>
                  <w:tcW w:w="741" w:type="dxa"/>
                  <w:tcBorders>
                    <w:tl2br w:val="nil"/>
                    <w:tr2bl w:val="nil"/>
                  </w:tcBorders>
                  <w:noWrap w:val="0"/>
                  <w:vAlign w:val="center"/>
                </w:tcPr>
                <w:p w14:paraId="325CD03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1BE90E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339A33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0.5</w:t>
                  </w:r>
                </w:p>
              </w:tc>
              <w:tc>
                <w:tcPr>
                  <w:tcW w:w="1261" w:type="dxa"/>
                  <w:tcBorders>
                    <w:tl2br w:val="nil"/>
                    <w:tr2bl w:val="nil"/>
                  </w:tcBorders>
                  <w:noWrap w:val="0"/>
                  <w:vAlign w:val="center"/>
                </w:tcPr>
                <w:p w14:paraId="0599CC6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管材库</w:t>
                  </w:r>
                </w:p>
              </w:tc>
            </w:tr>
            <w:tr w14:paraId="2293E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49D9EC2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2E03FB7E">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碳钢管材</w:t>
                  </w:r>
                </w:p>
              </w:tc>
              <w:tc>
                <w:tcPr>
                  <w:tcW w:w="510" w:type="dxa"/>
                  <w:tcBorders>
                    <w:tl2br w:val="nil"/>
                    <w:tr2bl w:val="nil"/>
                  </w:tcBorders>
                  <w:noWrap w:val="0"/>
                  <w:vAlign w:val="center"/>
                </w:tcPr>
                <w:p w14:paraId="68EFCC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1AA0245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7945687E">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70</w:t>
                  </w:r>
                </w:p>
              </w:tc>
              <w:tc>
                <w:tcPr>
                  <w:tcW w:w="945" w:type="dxa"/>
                  <w:tcBorders>
                    <w:tl2br w:val="nil"/>
                    <w:tr2bl w:val="nil"/>
                  </w:tcBorders>
                  <w:shd w:val="clear" w:color="auto" w:fill="auto"/>
                  <w:noWrap w:val="0"/>
                  <w:vAlign w:val="center"/>
                </w:tcPr>
                <w:p w14:paraId="6B8BE12E">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70</w:t>
                  </w:r>
                </w:p>
              </w:tc>
              <w:tc>
                <w:tcPr>
                  <w:tcW w:w="741" w:type="dxa"/>
                  <w:tcBorders>
                    <w:tl2br w:val="nil"/>
                    <w:tr2bl w:val="nil"/>
                  </w:tcBorders>
                  <w:noWrap w:val="0"/>
                  <w:vAlign w:val="center"/>
                </w:tcPr>
                <w:p w14:paraId="55535B1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332033A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41568F0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0.5</w:t>
                  </w:r>
                </w:p>
              </w:tc>
              <w:tc>
                <w:tcPr>
                  <w:tcW w:w="1261" w:type="dxa"/>
                  <w:tcBorders>
                    <w:tl2br w:val="nil"/>
                    <w:tr2bl w:val="nil"/>
                  </w:tcBorders>
                  <w:noWrap w:val="0"/>
                  <w:vAlign w:val="center"/>
                </w:tcPr>
                <w:p w14:paraId="011C25C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管材库</w:t>
                  </w:r>
                </w:p>
              </w:tc>
            </w:tr>
            <w:tr w14:paraId="22CD8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5712AF4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1C0D188E">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方管</w:t>
                  </w:r>
                </w:p>
              </w:tc>
              <w:tc>
                <w:tcPr>
                  <w:tcW w:w="510" w:type="dxa"/>
                  <w:tcBorders>
                    <w:tl2br w:val="nil"/>
                    <w:tr2bl w:val="nil"/>
                  </w:tcBorders>
                  <w:noWrap w:val="0"/>
                  <w:vAlign w:val="center"/>
                </w:tcPr>
                <w:p w14:paraId="7D5F36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6693565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4E8519D7">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10</w:t>
                  </w:r>
                </w:p>
              </w:tc>
              <w:tc>
                <w:tcPr>
                  <w:tcW w:w="945" w:type="dxa"/>
                  <w:tcBorders>
                    <w:tl2br w:val="nil"/>
                    <w:tr2bl w:val="nil"/>
                  </w:tcBorders>
                  <w:shd w:val="clear" w:color="auto" w:fill="auto"/>
                  <w:noWrap w:val="0"/>
                  <w:vAlign w:val="center"/>
                </w:tcPr>
                <w:p w14:paraId="58D09FA7">
                  <w:pPr>
                    <w:pStyle w:val="43"/>
                    <w:ind w:left="0" w:leftChars="0" w:right="0" w:rightChars="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w:t>
                  </w:r>
                  <w:r>
                    <w:rPr>
                      <w:rFonts w:hint="eastAsia" w:ascii="Times New Roman" w:hAnsi="Times New Roman" w:eastAsia="宋体" w:cs="Times New Roman"/>
                      <w:color w:val="000000"/>
                      <w:kern w:val="2"/>
                      <w:sz w:val="21"/>
                      <w:szCs w:val="21"/>
                      <w:u w:val="none" w:color="auto"/>
                      <w:lang w:val="en-US" w:eastAsia="zh-CN" w:bidi="ar-SA"/>
                    </w:rPr>
                    <w:t>10</w:t>
                  </w:r>
                </w:p>
              </w:tc>
              <w:tc>
                <w:tcPr>
                  <w:tcW w:w="741" w:type="dxa"/>
                  <w:tcBorders>
                    <w:tl2br w:val="nil"/>
                    <w:tr2bl w:val="nil"/>
                  </w:tcBorders>
                  <w:noWrap w:val="0"/>
                  <w:vAlign w:val="center"/>
                </w:tcPr>
                <w:p w14:paraId="0961DDB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60E8C1E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无</w:t>
                  </w:r>
                </w:p>
              </w:tc>
              <w:tc>
                <w:tcPr>
                  <w:tcW w:w="713" w:type="dxa"/>
                  <w:tcBorders>
                    <w:tl2br w:val="nil"/>
                    <w:tr2bl w:val="nil"/>
                  </w:tcBorders>
                  <w:noWrap w:val="0"/>
                  <w:vAlign w:val="center"/>
                </w:tcPr>
                <w:p w14:paraId="0B6919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0.3</w:t>
                  </w:r>
                </w:p>
              </w:tc>
              <w:tc>
                <w:tcPr>
                  <w:tcW w:w="1261" w:type="dxa"/>
                  <w:tcBorders>
                    <w:tl2br w:val="nil"/>
                    <w:tr2bl w:val="nil"/>
                  </w:tcBorders>
                  <w:noWrap w:val="0"/>
                  <w:vAlign w:val="center"/>
                </w:tcPr>
                <w:p w14:paraId="594708A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s="Times New Roman"/>
                      <w:color w:val="auto"/>
                      <w:spacing w:val="0"/>
                      <w:position w:val="0"/>
                      <w:sz w:val="21"/>
                      <w:szCs w:val="21"/>
                      <w:u w:val="none" w:color="auto"/>
                      <w:lang w:eastAsia="zh-CN"/>
                    </w:rPr>
                    <w:t>管材库</w:t>
                  </w:r>
                </w:p>
              </w:tc>
            </w:tr>
            <w:tr w14:paraId="4C80F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2843943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65CB71E1">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铁红醇酸防锈底漆</w:t>
                  </w:r>
                </w:p>
              </w:tc>
              <w:tc>
                <w:tcPr>
                  <w:tcW w:w="510" w:type="dxa"/>
                  <w:tcBorders>
                    <w:tl2br w:val="nil"/>
                    <w:tr2bl w:val="nil"/>
                  </w:tcBorders>
                  <w:shd w:val="clear" w:color="auto" w:fill="auto"/>
                  <w:noWrap w:val="0"/>
                  <w:vAlign w:val="center"/>
                </w:tcPr>
                <w:p w14:paraId="14596FB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shd w:val="clear" w:color="auto" w:fill="auto"/>
                  <w:noWrap w:val="0"/>
                  <w:vAlign w:val="center"/>
                </w:tcPr>
                <w:p w14:paraId="6749E12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2"/>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shd w:val="clear" w:color="auto" w:fill="auto"/>
                  <w:noWrap w:val="0"/>
                  <w:vAlign w:val="center"/>
                </w:tcPr>
                <w:p w14:paraId="5AD54EA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0.3</w:t>
                  </w:r>
                </w:p>
              </w:tc>
              <w:tc>
                <w:tcPr>
                  <w:tcW w:w="945" w:type="dxa"/>
                  <w:tcBorders>
                    <w:tl2br w:val="nil"/>
                    <w:tr2bl w:val="nil"/>
                  </w:tcBorders>
                  <w:shd w:val="clear" w:color="auto" w:fill="auto"/>
                  <w:noWrap w:val="0"/>
                  <w:vAlign w:val="center"/>
                </w:tcPr>
                <w:p w14:paraId="5BB0636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+0.3</w:t>
                  </w:r>
                </w:p>
              </w:tc>
              <w:tc>
                <w:tcPr>
                  <w:tcW w:w="741" w:type="dxa"/>
                  <w:tcBorders>
                    <w:tl2br w:val="nil"/>
                    <w:tr2bl w:val="nil"/>
                  </w:tcBorders>
                  <w:noWrap w:val="0"/>
                  <w:vAlign w:val="center"/>
                </w:tcPr>
                <w:p w14:paraId="32DAFF3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kern w:val="0"/>
                      <w:sz w:val="21"/>
                      <w:szCs w:val="21"/>
                      <w:u w:val="none"/>
                      <w:lang w:val="en-US" w:eastAsia="zh-CN"/>
                    </w:rPr>
                    <w:t>液态</w:t>
                  </w:r>
                </w:p>
              </w:tc>
              <w:tc>
                <w:tcPr>
                  <w:tcW w:w="700" w:type="dxa"/>
                  <w:tcBorders>
                    <w:tl2br w:val="nil"/>
                    <w:tr2bl w:val="nil"/>
                  </w:tcBorders>
                  <w:noWrap w:val="0"/>
                  <w:vAlign w:val="center"/>
                </w:tcPr>
                <w:p w14:paraId="59AF8C4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eastAsia="宋体"/>
                      <w:color w:val="000000"/>
                      <w:kern w:val="0"/>
                      <w:sz w:val="21"/>
                      <w:szCs w:val="21"/>
                      <w:u w:val="none"/>
                      <w:lang w:val="en-US" w:eastAsia="zh-CN"/>
                    </w:rPr>
                    <w:t>桶装</w:t>
                  </w:r>
                </w:p>
              </w:tc>
              <w:tc>
                <w:tcPr>
                  <w:tcW w:w="713" w:type="dxa"/>
                  <w:tcBorders>
                    <w:tl2br w:val="nil"/>
                    <w:tr2bl w:val="nil"/>
                  </w:tcBorders>
                  <w:noWrap w:val="0"/>
                  <w:vAlign w:val="center"/>
                </w:tcPr>
                <w:p w14:paraId="0142214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ascii="Times New Roman" w:hAnsi="Times New Roman" w:eastAsia="宋体" w:cs="Times New Roman"/>
                      <w:color w:val="000000"/>
                      <w:kern w:val="0"/>
                      <w:sz w:val="21"/>
                      <w:szCs w:val="21"/>
                      <w:u w:val="none"/>
                      <w:lang w:val="en-US" w:eastAsia="zh-CN"/>
                    </w:rPr>
                    <w:t>0.1</w:t>
                  </w:r>
                </w:p>
              </w:tc>
              <w:tc>
                <w:tcPr>
                  <w:tcW w:w="1261" w:type="dxa"/>
                  <w:tcBorders>
                    <w:tl2br w:val="nil"/>
                    <w:tr2bl w:val="nil"/>
                  </w:tcBorders>
                  <w:noWrap w:val="0"/>
                  <w:vAlign w:val="center"/>
                </w:tcPr>
                <w:p w14:paraId="076B384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104CF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7C7BF0A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327004AD">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醇酸面漆</w:t>
                  </w:r>
                </w:p>
              </w:tc>
              <w:tc>
                <w:tcPr>
                  <w:tcW w:w="510" w:type="dxa"/>
                  <w:tcBorders>
                    <w:tl2br w:val="nil"/>
                    <w:tr2bl w:val="nil"/>
                  </w:tcBorders>
                  <w:noWrap w:val="0"/>
                  <w:vAlign w:val="center"/>
                </w:tcPr>
                <w:p w14:paraId="305A153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3B915E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shd w:val="clear" w:color="auto" w:fill="auto"/>
                  <w:noWrap w:val="0"/>
                  <w:vAlign w:val="center"/>
                </w:tcPr>
                <w:p w14:paraId="6E7D4CD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0.3</w:t>
                  </w:r>
                </w:p>
              </w:tc>
              <w:tc>
                <w:tcPr>
                  <w:tcW w:w="945" w:type="dxa"/>
                  <w:tcBorders>
                    <w:tl2br w:val="nil"/>
                    <w:tr2bl w:val="nil"/>
                  </w:tcBorders>
                  <w:shd w:val="clear" w:color="auto" w:fill="auto"/>
                  <w:noWrap w:val="0"/>
                  <w:vAlign w:val="center"/>
                </w:tcPr>
                <w:p w14:paraId="6EC5DC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+0.3</w:t>
                  </w:r>
                </w:p>
              </w:tc>
              <w:tc>
                <w:tcPr>
                  <w:tcW w:w="741" w:type="dxa"/>
                  <w:tcBorders>
                    <w:tl2br w:val="nil"/>
                    <w:tr2bl w:val="nil"/>
                  </w:tcBorders>
                  <w:noWrap w:val="0"/>
                  <w:vAlign w:val="center"/>
                </w:tcPr>
                <w:p w14:paraId="5EDB8D2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lang w:val="en-US" w:eastAsia="zh-CN"/>
                    </w:rPr>
                    <w:t>液态</w:t>
                  </w:r>
                </w:p>
              </w:tc>
              <w:tc>
                <w:tcPr>
                  <w:tcW w:w="700" w:type="dxa"/>
                  <w:tcBorders>
                    <w:tl2br w:val="nil"/>
                    <w:tr2bl w:val="nil"/>
                  </w:tcBorders>
                  <w:noWrap w:val="0"/>
                  <w:vAlign w:val="center"/>
                </w:tcPr>
                <w:p w14:paraId="408B99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eastAsia="宋体"/>
                      <w:color w:val="000000"/>
                      <w:kern w:val="0"/>
                      <w:sz w:val="21"/>
                      <w:szCs w:val="21"/>
                      <w:u w:val="none"/>
                      <w:lang w:val="en-US" w:eastAsia="zh-CN"/>
                    </w:rPr>
                    <w:t>桶装</w:t>
                  </w:r>
                </w:p>
              </w:tc>
              <w:tc>
                <w:tcPr>
                  <w:tcW w:w="713" w:type="dxa"/>
                  <w:tcBorders>
                    <w:tl2br w:val="nil"/>
                    <w:tr2bl w:val="nil"/>
                  </w:tcBorders>
                  <w:noWrap w:val="0"/>
                  <w:vAlign w:val="center"/>
                </w:tcPr>
                <w:p w14:paraId="32A924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ascii="Times New Roman" w:hAnsi="Times New Roman" w:eastAsia="宋体" w:cs="Times New Roman"/>
                      <w:color w:val="000000"/>
                      <w:kern w:val="0"/>
                      <w:sz w:val="21"/>
                      <w:szCs w:val="21"/>
                      <w:u w:val="none"/>
                      <w:lang w:val="en-US" w:eastAsia="zh-CN"/>
                    </w:rPr>
                    <w:t>0.1</w:t>
                  </w:r>
                </w:p>
              </w:tc>
              <w:tc>
                <w:tcPr>
                  <w:tcW w:w="1261" w:type="dxa"/>
                  <w:tcBorders>
                    <w:tl2br w:val="nil"/>
                    <w:tr2bl w:val="nil"/>
                  </w:tcBorders>
                  <w:noWrap w:val="0"/>
                  <w:vAlign w:val="center"/>
                </w:tcPr>
                <w:p w14:paraId="3BAFF4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78BA0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7B144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64F57658">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环氧富锌底漆</w:t>
                  </w:r>
                </w:p>
              </w:tc>
              <w:tc>
                <w:tcPr>
                  <w:tcW w:w="510" w:type="dxa"/>
                  <w:tcBorders>
                    <w:tl2br w:val="nil"/>
                    <w:tr2bl w:val="nil"/>
                  </w:tcBorders>
                  <w:noWrap w:val="0"/>
                  <w:vAlign w:val="center"/>
                </w:tcPr>
                <w:p w14:paraId="2E9099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6DAEF37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shd w:val="clear" w:color="auto" w:fill="auto"/>
                  <w:noWrap w:val="0"/>
                  <w:vAlign w:val="center"/>
                </w:tcPr>
                <w:p w14:paraId="60F6790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1.3</w:t>
                  </w:r>
                </w:p>
              </w:tc>
              <w:tc>
                <w:tcPr>
                  <w:tcW w:w="945" w:type="dxa"/>
                  <w:tcBorders>
                    <w:tl2br w:val="nil"/>
                    <w:tr2bl w:val="nil"/>
                  </w:tcBorders>
                  <w:shd w:val="clear" w:color="auto" w:fill="auto"/>
                  <w:noWrap w:val="0"/>
                  <w:vAlign w:val="center"/>
                </w:tcPr>
                <w:p w14:paraId="0EE6A20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+1.3</w:t>
                  </w:r>
                </w:p>
              </w:tc>
              <w:tc>
                <w:tcPr>
                  <w:tcW w:w="741" w:type="dxa"/>
                  <w:tcBorders>
                    <w:tl2br w:val="nil"/>
                    <w:tr2bl w:val="nil"/>
                  </w:tcBorders>
                  <w:noWrap w:val="0"/>
                  <w:vAlign w:val="center"/>
                </w:tcPr>
                <w:p w14:paraId="7651BE8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kern w:val="0"/>
                      <w:sz w:val="21"/>
                      <w:szCs w:val="21"/>
                      <w:u w:val="none"/>
                      <w:lang w:val="en-US" w:eastAsia="zh-CN"/>
                    </w:rPr>
                    <w:t>液态</w:t>
                  </w:r>
                </w:p>
              </w:tc>
              <w:tc>
                <w:tcPr>
                  <w:tcW w:w="700" w:type="dxa"/>
                  <w:tcBorders>
                    <w:tl2br w:val="nil"/>
                    <w:tr2bl w:val="nil"/>
                  </w:tcBorders>
                  <w:noWrap w:val="0"/>
                  <w:vAlign w:val="center"/>
                </w:tcPr>
                <w:p w14:paraId="6848C7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eastAsia="宋体"/>
                      <w:color w:val="000000"/>
                      <w:kern w:val="0"/>
                      <w:sz w:val="21"/>
                      <w:szCs w:val="21"/>
                      <w:u w:val="none"/>
                      <w:lang w:val="en-US" w:eastAsia="zh-CN"/>
                    </w:rPr>
                    <w:t>桶装</w:t>
                  </w:r>
                </w:p>
              </w:tc>
              <w:tc>
                <w:tcPr>
                  <w:tcW w:w="713" w:type="dxa"/>
                  <w:tcBorders>
                    <w:tl2br w:val="nil"/>
                    <w:tr2bl w:val="nil"/>
                  </w:tcBorders>
                  <w:shd w:val="clear" w:color="auto" w:fill="auto"/>
                  <w:noWrap w:val="0"/>
                  <w:vAlign w:val="center"/>
                </w:tcPr>
                <w:p w14:paraId="04F6921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lang w:val="en-US" w:eastAsia="zh-CN" w:bidi="ar-SA"/>
                    </w:rPr>
                  </w:pPr>
                  <w:r>
                    <w:rPr>
                      <w:rFonts w:hint="eastAsia" w:ascii="Times New Roman" w:hAnsi="Times New Roman" w:eastAsia="宋体" w:cs="Times New Roman"/>
                      <w:color w:val="000000"/>
                      <w:kern w:val="0"/>
                      <w:sz w:val="21"/>
                      <w:szCs w:val="21"/>
                      <w:u w:val="none"/>
                      <w:lang w:val="en-US" w:eastAsia="zh-CN"/>
                    </w:rPr>
                    <w:t>0.1</w:t>
                  </w:r>
                </w:p>
              </w:tc>
              <w:tc>
                <w:tcPr>
                  <w:tcW w:w="1261" w:type="dxa"/>
                  <w:tcBorders>
                    <w:tl2br w:val="nil"/>
                    <w:tr2bl w:val="nil"/>
                  </w:tcBorders>
                  <w:noWrap w:val="0"/>
                  <w:vAlign w:val="center"/>
                </w:tcPr>
                <w:p w14:paraId="07DB6F4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4F882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4FE25A4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3FC21D1A">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环氧云铁中间漆</w:t>
                  </w:r>
                </w:p>
              </w:tc>
              <w:tc>
                <w:tcPr>
                  <w:tcW w:w="510" w:type="dxa"/>
                  <w:tcBorders>
                    <w:tl2br w:val="nil"/>
                    <w:tr2bl w:val="nil"/>
                  </w:tcBorders>
                  <w:noWrap w:val="0"/>
                  <w:vAlign w:val="center"/>
                </w:tcPr>
                <w:p w14:paraId="0A2997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32AE9BC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shd w:val="clear" w:color="auto" w:fill="auto"/>
                  <w:noWrap w:val="0"/>
                  <w:vAlign w:val="center"/>
                </w:tcPr>
                <w:p w14:paraId="18FD4A4D">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1.3</w:t>
                  </w:r>
                </w:p>
              </w:tc>
              <w:tc>
                <w:tcPr>
                  <w:tcW w:w="945" w:type="dxa"/>
                  <w:tcBorders>
                    <w:tl2br w:val="nil"/>
                    <w:tr2bl w:val="nil"/>
                  </w:tcBorders>
                  <w:shd w:val="clear" w:color="auto" w:fill="auto"/>
                  <w:noWrap w:val="0"/>
                  <w:vAlign w:val="center"/>
                </w:tcPr>
                <w:p w14:paraId="37BDB5A9">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+1.3</w:t>
                  </w:r>
                </w:p>
              </w:tc>
              <w:tc>
                <w:tcPr>
                  <w:tcW w:w="741" w:type="dxa"/>
                  <w:tcBorders>
                    <w:tl2br w:val="nil"/>
                    <w:tr2bl w:val="nil"/>
                  </w:tcBorders>
                  <w:noWrap w:val="0"/>
                  <w:vAlign w:val="center"/>
                </w:tcPr>
                <w:p w14:paraId="0B31D2A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lang w:val="en-US" w:eastAsia="zh-CN"/>
                    </w:rPr>
                    <w:t>液态</w:t>
                  </w:r>
                </w:p>
              </w:tc>
              <w:tc>
                <w:tcPr>
                  <w:tcW w:w="700" w:type="dxa"/>
                  <w:tcBorders>
                    <w:tl2br w:val="nil"/>
                    <w:tr2bl w:val="nil"/>
                  </w:tcBorders>
                  <w:noWrap w:val="0"/>
                  <w:vAlign w:val="center"/>
                </w:tcPr>
                <w:p w14:paraId="6777178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eastAsia="宋体"/>
                      <w:color w:val="000000"/>
                      <w:kern w:val="0"/>
                      <w:sz w:val="21"/>
                      <w:szCs w:val="21"/>
                      <w:u w:val="none"/>
                      <w:lang w:val="en-US" w:eastAsia="zh-CN"/>
                    </w:rPr>
                    <w:t>桶装</w:t>
                  </w:r>
                </w:p>
              </w:tc>
              <w:tc>
                <w:tcPr>
                  <w:tcW w:w="713" w:type="dxa"/>
                  <w:tcBorders>
                    <w:tl2br w:val="nil"/>
                    <w:tr2bl w:val="nil"/>
                  </w:tcBorders>
                  <w:shd w:val="clear" w:color="auto" w:fill="auto"/>
                  <w:noWrap w:val="0"/>
                  <w:vAlign w:val="center"/>
                </w:tcPr>
                <w:p w14:paraId="7E099CD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lang w:val="en-US" w:eastAsia="zh-CN" w:bidi="ar-SA"/>
                    </w:rPr>
                  </w:pPr>
                  <w:r>
                    <w:rPr>
                      <w:rFonts w:hint="eastAsia" w:ascii="Times New Roman" w:hAnsi="Times New Roman" w:eastAsia="宋体" w:cs="Times New Roman"/>
                      <w:color w:val="000000"/>
                      <w:kern w:val="0"/>
                      <w:sz w:val="21"/>
                      <w:szCs w:val="21"/>
                      <w:u w:val="none"/>
                      <w:lang w:val="en-US" w:eastAsia="zh-CN"/>
                    </w:rPr>
                    <w:t>0.1</w:t>
                  </w:r>
                </w:p>
              </w:tc>
              <w:tc>
                <w:tcPr>
                  <w:tcW w:w="1261" w:type="dxa"/>
                  <w:tcBorders>
                    <w:tl2br w:val="nil"/>
                    <w:tr2bl w:val="nil"/>
                  </w:tcBorders>
                  <w:noWrap w:val="0"/>
                  <w:vAlign w:val="center"/>
                </w:tcPr>
                <w:p w14:paraId="3BE2CA0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2734B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76CB602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6B9469A3">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聚氨</w:t>
                  </w:r>
                  <w:r>
                    <w:rPr>
                      <w:rFonts w:hint="eastAsia" w:ascii="Times New Roman" w:hAnsi="Times New Roman" w:cs="Times New Roman"/>
                      <w:bCs/>
                      <w:color w:val="auto"/>
                      <w:spacing w:val="0"/>
                      <w:kern w:val="2"/>
                      <w:position w:val="0"/>
                      <w:sz w:val="21"/>
                      <w:szCs w:val="21"/>
                      <w:highlight w:val="none"/>
                      <w:u w:val="none" w:color="auto"/>
                      <w:lang w:val="en-US" w:eastAsia="zh-CN" w:bidi="ar-SA"/>
                    </w:rPr>
                    <w:t>酯</w:t>
                  </w:r>
                  <w:r>
                    <w:rPr>
                      <w:rFonts w:hint="eastAsia" w:ascii="Times New Roman" w:hAnsi="Times New Roman" w:eastAsia="宋体" w:cs="Times New Roman"/>
                      <w:color w:val="000000"/>
                      <w:kern w:val="2"/>
                      <w:sz w:val="21"/>
                      <w:szCs w:val="21"/>
                      <w:u w:val="none" w:color="auto"/>
                      <w:lang w:val="en-US" w:eastAsia="zh-CN" w:bidi="ar-SA"/>
                    </w:rPr>
                    <w:t>面漆</w:t>
                  </w:r>
                </w:p>
              </w:tc>
              <w:tc>
                <w:tcPr>
                  <w:tcW w:w="510" w:type="dxa"/>
                  <w:tcBorders>
                    <w:tl2br w:val="nil"/>
                    <w:tr2bl w:val="nil"/>
                  </w:tcBorders>
                  <w:noWrap w:val="0"/>
                  <w:vAlign w:val="center"/>
                </w:tcPr>
                <w:p w14:paraId="272522F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4424100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shd w:val="clear" w:color="auto" w:fill="auto"/>
                  <w:noWrap w:val="0"/>
                  <w:vAlign w:val="center"/>
                </w:tcPr>
                <w:p w14:paraId="71C74540">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1.3</w:t>
                  </w:r>
                </w:p>
              </w:tc>
              <w:tc>
                <w:tcPr>
                  <w:tcW w:w="945" w:type="dxa"/>
                  <w:tcBorders>
                    <w:tl2br w:val="nil"/>
                    <w:tr2bl w:val="nil"/>
                  </w:tcBorders>
                  <w:shd w:val="clear" w:color="auto" w:fill="auto"/>
                  <w:noWrap w:val="0"/>
                  <w:vAlign w:val="center"/>
                </w:tcPr>
                <w:p w14:paraId="2E7FE32B">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+1.3</w:t>
                  </w:r>
                </w:p>
              </w:tc>
              <w:tc>
                <w:tcPr>
                  <w:tcW w:w="741" w:type="dxa"/>
                  <w:tcBorders>
                    <w:tl2br w:val="nil"/>
                    <w:tr2bl w:val="nil"/>
                  </w:tcBorders>
                  <w:noWrap w:val="0"/>
                  <w:vAlign w:val="center"/>
                </w:tcPr>
                <w:p w14:paraId="7F36C47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kern w:val="0"/>
                      <w:sz w:val="21"/>
                      <w:szCs w:val="21"/>
                      <w:u w:val="none"/>
                      <w:lang w:val="en-US" w:eastAsia="zh-CN"/>
                    </w:rPr>
                    <w:t>液态</w:t>
                  </w:r>
                </w:p>
              </w:tc>
              <w:tc>
                <w:tcPr>
                  <w:tcW w:w="700" w:type="dxa"/>
                  <w:tcBorders>
                    <w:tl2br w:val="nil"/>
                    <w:tr2bl w:val="nil"/>
                  </w:tcBorders>
                  <w:noWrap w:val="0"/>
                  <w:vAlign w:val="center"/>
                </w:tcPr>
                <w:p w14:paraId="6810890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eastAsia="宋体"/>
                      <w:color w:val="000000"/>
                      <w:kern w:val="0"/>
                      <w:sz w:val="21"/>
                      <w:szCs w:val="21"/>
                      <w:u w:val="none"/>
                      <w:lang w:val="en-US" w:eastAsia="zh-CN"/>
                    </w:rPr>
                    <w:t>桶装</w:t>
                  </w:r>
                </w:p>
              </w:tc>
              <w:tc>
                <w:tcPr>
                  <w:tcW w:w="713" w:type="dxa"/>
                  <w:tcBorders>
                    <w:tl2br w:val="nil"/>
                    <w:tr2bl w:val="nil"/>
                  </w:tcBorders>
                  <w:shd w:val="clear" w:color="auto" w:fill="auto"/>
                  <w:noWrap w:val="0"/>
                  <w:vAlign w:val="center"/>
                </w:tcPr>
                <w:p w14:paraId="433CABC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lang w:val="en-US" w:eastAsia="zh-CN" w:bidi="ar-SA"/>
                    </w:rPr>
                  </w:pPr>
                  <w:r>
                    <w:rPr>
                      <w:rFonts w:hint="eastAsia" w:ascii="Times New Roman" w:hAnsi="Times New Roman" w:eastAsia="宋体" w:cs="Times New Roman"/>
                      <w:color w:val="000000"/>
                      <w:kern w:val="0"/>
                      <w:sz w:val="21"/>
                      <w:szCs w:val="21"/>
                      <w:u w:val="none"/>
                      <w:lang w:val="en-US" w:eastAsia="zh-CN"/>
                    </w:rPr>
                    <w:t>0.1</w:t>
                  </w:r>
                </w:p>
              </w:tc>
              <w:tc>
                <w:tcPr>
                  <w:tcW w:w="1261" w:type="dxa"/>
                  <w:tcBorders>
                    <w:tl2br w:val="nil"/>
                    <w:tr2bl w:val="nil"/>
                  </w:tcBorders>
                  <w:noWrap w:val="0"/>
                  <w:vAlign w:val="center"/>
                </w:tcPr>
                <w:p w14:paraId="3447C69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188D4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3DD98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1981D9B1">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稀释剂</w:t>
                  </w:r>
                </w:p>
              </w:tc>
              <w:tc>
                <w:tcPr>
                  <w:tcW w:w="510" w:type="dxa"/>
                  <w:tcBorders>
                    <w:tl2br w:val="nil"/>
                    <w:tr2bl w:val="nil"/>
                  </w:tcBorders>
                  <w:noWrap w:val="0"/>
                  <w:vAlign w:val="center"/>
                </w:tcPr>
                <w:p w14:paraId="4B5DB37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6D2702B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shd w:val="clear" w:color="auto" w:fill="auto"/>
                  <w:noWrap w:val="0"/>
                  <w:vAlign w:val="center"/>
                </w:tcPr>
                <w:p w14:paraId="1BABF6B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0.45</w:t>
                  </w:r>
                </w:p>
              </w:tc>
              <w:tc>
                <w:tcPr>
                  <w:tcW w:w="945" w:type="dxa"/>
                  <w:tcBorders>
                    <w:tl2br w:val="nil"/>
                    <w:tr2bl w:val="nil"/>
                  </w:tcBorders>
                  <w:shd w:val="clear" w:color="auto" w:fill="auto"/>
                  <w:noWrap w:val="0"/>
                  <w:vAlign w:val="center"/>
                </w:tcPr>
                <w:p w14:paraId="4019BBF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+0.45</w:t>
                  </w:r>
                </w:p>
              </w:tc>
              <w:tc>
                <w:tcPr>
                  <w:tcW w:w="741" w:type="dxa"/>
                  <w:tcBorders>
                    <w:tl2br w:val="nil"/>
                    <w:tr2bl w:val="nil"/>
                  </w:tcBorders>
                  <w:noWrap w:val="0"/>
                  <w:vAlign w:val="center"/>
                </w:tcPr>
                <w:p w14:paraId="2D2691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lang w:val="en-US" w:eastAsia="zh-CN"/>
                    </w:rPr>
                    <w:t>液态</w:t>
                  </w:r>
                </w:p>
              </w:tc>
              <w:tc>
                <w:tcPr>
                  <w:tcW w:w="700" w:type="dxa"/>
                  <w:tcBorders>
                    <w:tl2br w:val="nil"/>
                    <w:tr2bl w:val="nil"/>
                  </w:tcBorders>
                  <w:noWrap w:val="0"/>
                  <w:vAlign w:val="center"/>
                </w:tcPr>
                <w:p w14:paraId="3B39CD6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eastAsia="宋体"/>
                      <w:color w:val="000000"/>
                      <w:kern w:val="0"/>
                      <w:sz w:val="21"/>
                      <w:szCs w:val="21"/>
                      <w:u w:val="none"/>
                      <w:lang w:val="en-US" w:eastAsia="zh-CN"/>
                    </w:rPr>
                    <w:t>桶装</w:t>
                  </w:r>
                </w:p>
              </w:tc>
              <w:tc>
                <w:tcPr>
                  <w:tcW w:w="713" w:type="dxa"/>
                  <w:tcBorders>
                    <w:tl2br w:val="nil"/>
                    <w:tr2bl w:val="nil"/>
                  </w:tcBorders>
                  <w:noWrap w:val="0"/>
                  <w:vAlign w:val="center"/>
                </w:tcPr>
                <w:p w14:paraId="2D258D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ascii="Times New Roman" w:hAnsi="Times New Roman" w:eastAsia="宋体" w:cs="Times New Roman"/>
                      <w:color w:val="000000"/>
                      <w:kern w:val="0"/>
                      <w:sz w:val="21"/>
                      <w:szCs w:val="21"/>
                      <w:u w:val="none"/>
                      <w:lang w:val="en-US" w:eastAsia="zh-CN"/>
                    </w:rPr>
                    <w:t>0.05</w:t>
                  </w:r>
                </w:p>
              </w:tc>
              <w:tc>
                <w:tcPr>
                  <w:tcW w:w="1261" w:type="dxa"/>
                  <w:tcBorders>
                    <w:tl2br w:val="nil"/>
                    <w:tr2bl w:val="nil"/>
                  </w:tcBorders>
                  <w:noWrap w:val="0"/>
                  <w:vAlign w:val="center"/>
                </w:tcPr>
                <w:p w14:paraId="0EB7829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7465A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EDFD8A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0829D1F7">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cs="Times New Roman"/>
                      <w:color w:val="000000"/>
                      <w:kern w:val="2"/>
                      <w:sz w:val="21"/>
                      <w:szCs w:val="21"/>
                      <w:u w:val="none" w:color="auto"/>
                      <w:lang w:val="en-US" w:eastAsia="zh-CN" w:bidi="ar-SA"/>
                    </w:rPr>
                    <w:t>固化剂</w:t>
                  </w:r>
                </w:p>
              </w:tc>
              <w:tc>
                <w:tcPr>
                  <w:tcW w:w="510" w:type="dxa"/>
                  <w:tcBorders>
                    <w:tl2br w:val="nil"/>
                    <w:tr2bl w:val="nil"/>
                  </w:tcBorders>
                  <w:shd w:val="clear" w:color="auto" w:fill="auto"/>
                  <w:noWrap w:val="0"/>
                  <w:vAlign w:val="center"/>
                </w:tcPr>
                <w:p w14:paraId="5D72345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t</w:t>
                  </w:r>
                </w:p>
              </w:tc>
              <w:tc>
                <w:tcPr>
                  <w:tcW w:w="735" w:type="dxa"/>
                  <w:tcBorders>
                    <w:tl2br w:val="nil"/>
                    <w:tr2bl w:val="nil"/>
                  </w:tcBorders>
                  <w:shd w:val="clear" w:color="auto" w:fill="auto"/>
                  <w:noWrap w:val="0"/>
                  <w:vAlign w:val="center"/>
                </w:tcPr>
                <w:p w14:paraId="32E8AF0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u w:val="none" w:color="auto"/>
                      <w:lang w:val="en-US" w:eastAsia="zh-CN" w:bidi="ar-SA"/>
                    </w:rPr>
                  </w:pPr>
                  <w:r>
                    <w:rPr>
                      <w:rFonts w:hint="eastAsia"/>
                      <w:color w:val="auto"/>
                      <w:kern w:val="0"/>
                      <w:sz w:val="21"/>
                      <w:szCs w:val="21"/>
                      <w:u w:val="none" w:color="auto"/>
                      <w:lang w:val="en-US" w:eastAsia="zh-CN"/>
                    </w:rPr>
                    <w:t>0</w:t>
                  </w:r>
                </w:p>
              </w:tc>
              <w:tc>
                <w:tcPr>
                  <w:tcW w:w="795" w:type="dxa"/>
                  <w:tcBorders>
                    <w:tl2br w:val="nil"/>
                    <w:tr2bl w:val="nil"/>
                  </w:tcBorders>
                  <w:shd w:val="clear" w:color="auto" w:fill="auto"/>
                  <w:noWrap w:val="0"/>
                  <w:vAlign w:val="center"/>
                </w:tcPr>
                <w:p w14:paraId="482AAF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1.17</w:t>
                  </w:r>
                </w:p>
              </w:tc>
              <w:tc>
                <w:tcPr>
                  <w:tcW w:w="945" w:type="dxa"/>
                  <w:tcBorders>
                    <w:tl2br w:val="nil"/>
                    <w:tr2bl w:val="nil"/>
                  </w:tcBorders>
                  <w:shd w:val="clear" w:color="auto" w:fill="auto"/>
                  <w:noWrap w:val="0"/>
                  <w:vAlign w:val="center"/>
                </w:tcPr>
                <w:p w14:paraId="33232D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u w:val="none"/>
                      <w:lang w:val="en-US" w:eastAsia="zh-CN" w:bidi="ar-SA"/>
                    </w:rPr>
                  </w:pPr>
                  <w:r>
                    <w:rPr>
                      <w:rFonts w:hint="eastAsia"/>
                      <w:color w:val="auto"/>
                      <w:kern w:val="0"/>
                      <w:sz w:val="21"/>
                      <w:szCs w:val="21"/>
                      <w:u w:val="none"/>
                      <w:lang w:val="en-US" w:eastAsia="zh-CN"/>
                    </w:rPr>
                    <w:t>+1.17</w:t>
                  </w:r>
                </w:p>
              </w:tc>
              <w:tc>
                <w:tcPr>
                  <w:tcW w:w="741" w:type="dxa"/>
                  <w:tcBorders>
                    <w:tl2br w:val="nil"/>
                    <w:tr2bl w:val="nil"/>
                  </w:tcBorders>
                  <w:noWrap w:val="0"/>
                  <w:vAlign w:val="center"/>
                </w:tcPr>
                <w:p w14:paraId="30386E5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kern w:val="0"/>
                      <w:sz w:val="21"/>
                      <w:szCs w:val="21"/>
                      <w:u w:val="none"/>
                      <w:lang w:val="en-US" w:eastAsia="zh-CN"/>
                    </w:rPr>
                    <w:t>液态</w:t>
                  </w:r>
                </w:p>
              </w:tc>
              <w:tc>
                <w:tcPr>
                  <w:tcW w:w="700" w:type="dxa"/>
                  <w:tcBorders>
                    <w:tl2br w:val="nil"/>
                    <w:tr2bl w:val="nil"/>
                  </w:tcBorders>
                  <w:noWrap w:val="0"/>
                  <w:vAlign w:val="center"/>
                </w:tcPr>
                <w:p w14:paraId="6F71AD6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eastAsia="宋体"/>
                      <w:color w:val="000000"/>
                      <w:kern w:val="0"/>
                      <w:sz w:val="21"/>
                      <w:szCs w:val="21"/>
                      <w:u w:val="none"/>
                      <w:lang w:val="en-US" w:eastAsia="zh-CN"/>
                    </w:rPr>
                    <w:t>桶装</w:t>
                  </w:r>
                </w:p>
              </w:tc>
              <w:tc>
                <w:tcPr>
                  <w:tcW w:w="713" w:type="dxa"/>
                  <w:tcBorders>
                    <w:tl2br w:val="nil"/>
                    <w:tr2bl w:val="nil"/>
                  </w:tcBorders>
                  <w:noWrap w:val="0"/>
                  <w:vAlign w:val="center"/>
                </w:tcPr>
                <w:p w14:paraId="58C4BE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ascii="Times New Roman" w:hAnsi="Times New Roman" w:eastAsia="宋体" w:cs="Times New Roman"/>
                      <w:color w:val="000000"/>
                      <w:kern w:val="0"/>
                      <w:sz w:val="21"/>
                      <w:szCs w:val="21"/>
                      <w:u w:val="none"/>
                      <w:lang w:val="en-US" w:eastAsia="zh-CN"/>
                    </w:rPr>
                    <w:t>0.05</w:t>
                  </w:r>
                </w:p>
              </w:tc>
              <w:tc>
                <w:tcPr>
                  <w:tcW w:w="1261" w:type="dxa"/>
                  <w:tcBorders>
                    <w:tl2br w:val="nil"/>
                    <w:tr2bl w:val="nil"/>
                  </w:tcBorders>
                  <w:noWrap w:val="0"/>
                  <w:vAlign w:val="center"/>
                </w:tcPr>
                <w:p w14:paraId="6FDA0F2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危化库</w:t>
                  </w:r>
                </w:p>
              </w:tc>
            </w:tr>
            <w:tr w14:paraId="7B8A0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6491AD0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087276BA">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氧气</w:t>
                  </w:r>
                </w:p>
              </w:tc>
              <w:tc>
                <w:tcPr>
                  <w:tcW w:w="510" w:type="dxa"/>
                  <w:tcBorders>
                    <w:tl2br w:val="nil"/>
                    <w:tr2bl w:val="nil"/>
                  </w:tcBorders>
                  <w:noWrap w:val="0"/>
                  <w:vAlign w:val="center"/>
                </w:tcPr>
                <w:p w14:paraId="689E641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0392DA8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1E6515AD">
                  <w:pPr>
                    <w:pStyle w:val="43"/>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200</w:t>
                  </w:r>
                </w:p>
              </w:tc>
              <w:tc>
                <w:tcPr>
                  <w:tcW w:w="945" w:type="dxa"/>
                  <w:tcBorders>
                    <w:tl2br w:val="nil"/>
                    <w:tr2bl w:val="nil"/>
                  </w:tcBorders>
                  <w:noWrap w:val="0"/>
                  <w:vAlign w:val="center"/>
                </w:tcPr>
                <w:p w14:paraId="6E6FC5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+200</w:t>
                  </w:r>
                </w:p>
              </w:tc>
              <w:tc>
                <w:tcPr>
                  <w:tcW w:w="741" w:type="dxa"/>
                  <w:tcBorders>
                    <w:tl2br w:val="nil"/>
                    <w:tr2bl w:val="nil"/>
                  </w:tcBorders>
                  <w:noWrap w:val="0"/>
                  <w:vAlign w:val="center"/>
                </w:tcPr>
                <w:p w14:paraId="6B5EFA9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4D4E3A0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2EB3AFF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5</w:t>
                  </w:r>
                </w:p>
              </w:tc>
              <w:tc>
                <w:tcPr>
                  <w:tcW w:w="1261" w:type="dxa"/>
                  <w:tcBorders>
                    <w:tl2br w:val="nil"/>
                    <w:tr2bl w:val="nil"/>
                  </w:tcBorders>
                  <w:noWrap w:val="0"/>
                  <w:vAlign w:val="center"/>
                </w:tcPr>
                <w:p w14:paraId="4926A72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气体库</w:t>
                  </w:r>
                </w:p>
              </w:tc>
            </w:tr>
            <w:tr w14:paraId="4B661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2B15EBF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7378BBC6">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乙炔</w:t>
                  </w:r>
                </w:p>
              </w:tc>
              <w:tc>
                <w:tcPr>
                  <w:tcW w:w="510" w:type="dxa"/>
                  <w:tcBorders>
                    <w:tl2br w:val="nil"/>
                    <w:tr2bl w:val="nil"/>
                  </w:tcBorders>
                  <w:noWrap w:val="0"/>
                  <w:vAlign w:val="center"/>
                </w:tcPr>
                <w:p w14:paraId="3CBF6FE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0EAFE8B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30DA3EE4">
                  <w:pPr>
                    <w:pStyle w:val="43"/>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cs="Times New Roman"/>
                      <w:color w:val="auto"/>
                      <w:kern w:val="2"/>
                      <w:sz w:val="21"/>
                      <w:szCs w:val="21"/>
                      <w:u w:val="none" w:color="auto"/>
                      <w:lang w:val="en-US" w:eastAsia="zh-CN" w:bidi="ar-SA"/>
                    </w:rPr>
                    <w:t>100</w:t>
                  </w:r>
                </w:p>
              </w:tc>
              <w:tc>
                <w:tcPr>
                  <w:tcW w:w="945" w:type="dxa"/>
                  <w:tcBorders>
                    <w:tl2br w:val="nil"/>
                    <w:tr2bl w:val="nil"/>
                  </w:tcBorders>
                  <w:noWrap w:val="0"/>
                  <w:vAlign w:val="center"/>
                </w:tcPr>
                <w:p w14:paraId="404FF82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+100</w:t>
                  </w:r>
                </w:p>
              </w:tc>
              <w:tc>
                <w:tcPr>
                  <w:tcW w:w="741" w:type="dxa"/>
                  <w:tcBorders>
                    <w:tl2br w:val="nil"/>
                    <w:tr2bl w:val="nil"/>
                  </w:tcBorders>
                  <w:noWrap w:val="0"/>
                  <w:vAlign w:val="center"/>
                </w:tcPr>
                <w:p w14:paraId="1B106B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29D9706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41A1AEC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w:t>
                  </w:r>
                </w:p>
              </w:tc>
              <w:tc>
                <w:tcPr>
                  <w:tcW w:w="1261" w:type="dxa"/>
                  <w:tcBorders>
                    <w:tl2br w:val="nil"/>
                    <w:tr2bl w:val="nil"/>
                  </w:tcBorders>
                  <w:noWrap w:val="0"/>
                  <w:vAlign w:val="center"/>
                </w:tcPr>
                <w:p w14:paraId="6D6BB2E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sz w:val="21"/>
                      <w:szCs w:val="21"/>
                      <w:u w:val="none" w:color="auto"/>
                      <w:lang w:val="en-US" w:eastAsia="zh-CN"/>
                    </w:rPr>
                    <w:t>乙炔</w:t>
                  </w:r>
                  <w:r>
                    <w:rPr>
                      <w:rFonts w:hint="eastAsia"/>
                      <w:color w:val="000000"/>
                      <w:kern w:val="0"/>
                      <w:sz w:val="21"/>
                      <w:szCs w:val="21"/>
                      <w:u w:val="none" w:color="auto"/>
                      <w:lang w:val="en-US" w:eastAsia="zh-CN"/>
                    </w:rPr>
                    <w:t>库</w:t>
                  </w:r>
                </w:p>
              </w:tc>
            </w:tr>
            <w:tr w14:paraId="1224D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11ECECD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252DA616">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二氧化碳</w:t>
                  </w:r>
                </w:p>
              </w:tc>
              <w:tc>
                <w:tcPr>
                  <w:tcW w:w="510" w:type="dxa"/>
                  <w:tcBorders>
                    <w:tl2br w:val="nil"/>
                    <w:tr2bl w:val="nil"/>
                  </w:tcBorders>
                  <w:noWrap w:val="0"/>
                  <w:vAlign w:val="center"/>
                </w:tcPr>
                <w:p w14:paraId="65742A8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3EF6924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5C52FB23">
                  <w:pPr>
                    <w:pStyle w:val="43"/>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16</w:t>
                  </w:r>
                </w:p>
              </w:tc>
              <w:tc>
                <w:tcPr>
                  <w:tcW w:w="945" w:type="dxa"/>
                  <w:tcBorders>
                    <w:tl2br w:val="nil"/>
                    <w:tr2bl w:val="nil"/>
                  </w:tcBorders>
                  <w:noWrap w:val="0"/>
                  <w:vAlign w:val="center"/>
                </w:tcPr>
                <w:p w14:paraId="243BFBE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+16</w:t>
                  </w:r>
                </w:p>
              </w:tc>
              <w:tc>
                <w:tcPr>
                  <w:tcW w:w="741" w:type="dxa"/>
                  <w:tcBorders>
                    <w:tl2br w:val="nil"/>
                    <w:tr2bl w:val="nil"/>
                  </w:tcBorders>
                  <w:noWrap w:val="0"/>
                  <w:vAlign w:val="center"/>
                </w:tcPr>
                <w:p w14:paraId="79645A2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409427E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649D8F9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w:t>
                  </w:r>
                </w:p>
              </w:tc>
              <w:tc>
                <w:tcPr>
                  <w:tcW w:w="1261" w:type="dxa"/>
                  <w:tcBorders>
                    <w:tl2br w:val="nil"/>
                    <w:tr2bl w:val="nil"/>
                  </w:tcBorders>
                  <w:noWrap w:val="0"/>
                  <w:vAlign w:val="center"/>
                </w:tcPr>
                <w:p w14:paraId="03A4F0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气体库</w:t>
                  </w:r>
                </w:p>
              </w:tc>
            </w:tr>
            <w:tr w14:paraId="3D9F5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460E325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41D4C11C">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混合气体</w:t>
                  </w:r>
                </w:p>
              </w:tc>
              <w:tc>
                <w:tcPr>
                  <w:tcW w:w="510" w:type="dxa"/>
                  <w:tcBorders>
                    <w:tl2br w:val="nil"/>
                    <w:tr2bl w:val="nil"/>
                  </w:tcBorders>
                  <w:noWrap w:val="0"/>
                  <w:vAlign w:val="center"/>
                </w:tcPr>
                <w:p w14:paraId="473E1D3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29C246A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0B6A3880">
                  <w:pPr>
                    <w:pStyle w:val="43"/>
                    <w:ind w:left="0" w:leftChars="0" w:right="0" w:right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16</w:t>
                  </w:r>
                </w:p>
              </w:tc>
              <w:tc>
                <w:tcPr>
                  <w:tcW w:w="945" w:type="dxa"/>
                  <w:tcBorders>
                    <w:tl2br w:val="nil"/>
                    <w:tr2bl w:val="nil"/>
                  </w:tcBorders>
                  <w:noWrap w:val="0"/>
                  <w:vAlign w:val="center"/>
                </w:tcPr>
                <w:p w14:paraId="3980C91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+16</w:t>
                  </w:r>
                </w:p>
              </w:tc>
              <w:tc>
                <w:tcPr>
                  <w:tcW w:w="741" w:type="dxa"/>
                  <w:tcBorders>
                    <w:tl2br w:val="nil"/>
                    <w:tr2bl w:val="nil"/>
                  </w:tcBorders>
                  <w:noWrap w:val="0"/>
                  <w:vAlign w:val="center"/>
                </w:tcPr>
                <w:p w14:paraId="1D0EB95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131C33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338F84F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2</w:t>
                  </w:r>
                </w:p>
              </w:tc>
              <w:tc>
                <w:tcPr>
                  <w:tcW w:w="1261" w:type="dxa"/>
                  <w:tcBorders>
                    <w:tl2br w:val="nil"/>
                    <w:tr2bl w:val="nil"/>
                  </w:tcBorders>
                  <w:noWrap w:val="0"/>
                  <w:vAlign w:val="center"/>
                </w:tcPr>
                <w:p w14:paraId="7A020FD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气体库</w:t>
                  </w:r>
                </w:p>
              </w:tc>
            </w:tr>
            <w:tr w14:paraId="23DC5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4D6419E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46EE6966">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氩气</w:t>
                  </w:r>
                </w:p>
              </w:tc>
              <w:tc>
                <w:tcPr>
                  <w:tcW w:w="510" w:type="dxa"/>
                  <w:tcBorders>
                    <w:tl2br w:val="nil"/>
                    <w:tr2bl w:val="nil"/>
                  </w:tcBorders>
                  <w:noWrap w:val="0"/>
                  <w:vAlign w:val="center"/>
                </w:tcPr>
                <w:p w14:paraId="137A7F8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264EDAD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032BCAFC">
                  <w:pPr>
                    <w:pStyle w:val="43"/>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14</w:t>
                  </w:r>
                </w:p>
              </w:tc>
              <w:tc>
                <w:tcPr>
                  <w:tcW w:w="945" w:type="dxa"/>
                  <w:tcBorders>
                    <w:tl2br w:val="nil"/>
                    <w:tr2bl w:val="nil"/>
                  </w:tcBorders>
                  <w:noWrap w:val="0"/>
                  <w:vAlign w:val="center"/>
                </w:tcPr>
                <w:p w14:paraId="577605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+14</w:t>
                  </w:r>
                </w:p>
              </w:tc>
              <w:tc>
                <w:tcPr>
                  <w:tcW w:w="741" w:type="dxa"/>
                  <w:tcBorders>
                    <w:tl2br w:val="nil"/>
                    <w:tr2bl w:val="nil"/>
                  </w:tcBorders>
                  <w:noWrap w:val="0"/>
                  <w:vAlign w:val="center"/>
                </w:tcPr>
                <w:p w14:paraId="735F8DA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气态</w:t>
                  </w:r>
                </w:p>
              </w:tc>
              <w:tc>
                <w:tcPr>
                  <w:tcW w:w="700" w:type="dxa"/>
                  <w:tcBorders>
                    <w:tl2br w:val="nil"/>
                    <w:tr2bl w:val="nil"/>
                  </w:tcBorders>
                  <w:noWrap w:val="0"/>
                  <w:vAlign w:val="center"/>
                </w:tcPr>
                <w:p w14:paraId="70A02D1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095D33B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261" w:type="dxa"/>
                  <w:tcBorders>
                    <w:tl2br w:val="nil"/>
                    <w:tr2bl w:val="nil"/>
                  </w:tcBorders>
                  <w:noWrap w:val="0"/>
                  <w:vAlign w:val="center"/>
                </w:tcPr>
                <w:p w14:paraId="0D42C28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气体库</w:t>
                  </w:r>
                </w:p>
              </w:tc>
            </w:tr>
            <w:tr w14:paraId="014D0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AFC79A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2181D6B7">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液氧</w:t>
                  </w:r>
                </w:p>
              </w:tc>
              <w:tc>
                <w:tcPr>
                  <w:tcW w:w="510" w:type="dxa"/>
                  <w:tcBorders>
                    <w:tl2br w:val="nil"/>
                    <w:tr2bl w:val="nil"/>
                  </w:tcBorders>
                  <w:noWrap w:val="0"/>
                  <w:vAlign w:val="center"/>
                </w:tcPr>
                <w:p w14:paraId="3B9D471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瓶</w:t>
                  </w:r>
                </w:p>
              </w:tc>
              <w:tc>
                <w:tcPr>
                  <w:tcW w:w="735" w:type="dxa"/>
                  <w:tcBorders>
                    <w:tl2br w:val="nil"/>
                    <w:tr2bl w:val="nil"/>
                  </w:tcBorders>
                  <w:noWrap w:val="0"/>
                  <w:vAlign w:val="center"/>
                </w:tcPr>
                <w:p w14:paraId="0283BE7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5EB8E07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kern w:val="0"/>
                      <w:sz w:val="21"/>
                      <w:szCs w:val="21"/>
                      <w:u w:val="none" w:color="auto"/>
                      <w:lang w:val="en-US" w:eastAsia="zh-CN"/>
                    </w:rPr>
                    <w:t>1</w:t>
                  </w:r>
                </w:p>
              </w:tc>
              <w:tc>
                <w:tcPr>
                  <w:tcW w:w="945" w:type="dxa"/>
                  <w:tcBorders>
                    <w:tl2br w:val="nil"/>
                    <w:tr2bl w:val="nil"/>
                  </w:tcBorders>
                  <w:noWrap w:val="0"/>
                  <w:vAlign w:val="center"/>
                </w:tcPr>
                <w:p w14:paraId="402374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741" w:type="dxa"/>
                  <w:tcBorders>
                    <w:tl2br w:val="nil"/>
                    <w:tr2bl w:val="nil"/>
                  </w:tcBorders>
                  <w:shd w:val="clear" w:color="auto" w:fill="auto"/>
                  <w:noWrap w:val="0"/>
                  <w:vAlign w:val="center"/>
                </w:tcPr>
                <w:p w14:paraId="124ACFCC">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液态</w:t>
                  </w:r>
                </w:p>
              </w:tc>
              <w:tc>
                <w:tcPr>
                  <w:tcW w:w="700" w:type="dxa"/>
                  <w:tcBorders>
                    <w:tl2br w:val="nil"/>
                    <w:tr2bl w:val="nil"/>
                  </w:tcBorders>
                  <w:shd w:val="clear" w:color="auto" w:fill="auto"/>
                  <w:noWrap w:val="0"/>
                  <w:vAlign w:val="center"/>
                </w:tcPr>
                <w:p w14:paraId="13A7BBD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ascii="Times New Roman" w:hAnsi="Times New Roman" w:eastAsia="宋体" w:cs="Times New Roman"/>
                      <w:color w:val="000000"/>
                      <w:kern w:val="0"/>
                      <w:sz w:val="21"/>
                      <w:szCs w:val="21"/>
                      <w:u w:val="none" w:color="auto"/>
                      <w:lang w:val="en-US" w:eastAsia="zh-CN" w:bidi="ar-SA"/>
                    </w:rPr>
                  </w:pPr>
                  <w:r>
                    <w:rPr>
                      <w:rFonts w:hint="eastAsia"/>
                      <w:color w:val="000000"/>
                      <w:kern w:val="0"/>
                      <w:sz w:val="21"/>
                      <w:szCs w:val="21"/>
                      <w:u w:val="none" w:color="auto"/>
                      <w:lang w:val="en-US" w:eastAsia="zh-CN"/>
                    </w:rPr>
                    <w:t>瓶装</w:t>
                  </w:r>
                </w:p>
              </w:tc>
              <w:tc>
                <w:tcPr>
                  <w:tcW w:w="713" w:type="dxa"/>
                  <w:tcBorders>
                    <w:tl2br w:val="nil"/>
                    <w:tr2bl w:val="nil"/>
                  </w:tcBorders>
                  <w:noWrap w:val="0"/>
                  <w:vAlign w:val="center"/>
                </w:tcPr>
                <w:p w14:paraId="7EF0F55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261" w:type="dxa"/>
                  <w:tcBorders>
                    <w:tl2br w:val="nil"/>
                    <w:tr2bl w:val="nil"/>
                  </w:tcBorders>
                  <w:noWrap w:val="0"/>
                  <w:vAlign w:val="center"/>
                </w:tcPr>
                <w:p w14:paraId="270ED2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气体库</w:t>
                  </w:r>
                </w:p>
              </w:tc>
            </w:tr>
            <w:tr w14:paraId="6E44C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7B9ED3A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1DE17472">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焊条</w:t>
                  </w:r>
                </w:p>
              </w:tc>
              <w:tc>
                <w:tcPr>
                  <w:tcW w:w="510" w:type="dxa"/>
                  <w:tcBorders>
                    <w:tl2br w:val="nil"/>
                    <w:tr2bl w:val="nil"/>
                  </w:tcBorders>
                  <w:noWrap w:val="0"/>
                  <w:vAlign w:val="center"/>
                </w:tcPr>
                <w:p w14:paraId="0587155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6712324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50A8A86D">
                  <w:pPr>
                    <w:pStyle w:val="43"/>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5</w:t>
                  </w:r>
                </w:p>
              </w:tc>
              <w:tc>
                <w:tcPr>
                  <w:tcW w:w="945" w:type="dxa"/>
                  <w:tcBorders>
                    <w:tl2br w:val="nil"/>
                    <w:tr2bl w:val="nil"/>
                  </w:tcBorders>
                  <w:noWrap w:val="0"/>
                  <w:vAlign w:val="center"/>
                </w:tcPr>
                <w:p w14:paraId="3707F44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lang w:val="en-US" w:eastAsia="zh-CN"/>
                    </w:rPr>
                    <w:t>+5</w:t>
                  </w:r>
                </w:p>
              </w:tc>
              <w:tc>
                <w:tcPr>
                  <w:tcW w:w="741" w:type="dxa"/>
                  <w:tcBorders>
                    <w:tl2br w:val="nil"/>
                    <w:tr2bl w:val="nil"/>
                  </w:tcBorders>
                  <w:noWrap w:val="0"/>
                  <w:vAlign w:val="center"/>
                </w:tcPr>
                <w:p w14:paraId="1A4A50AF">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0CA2A07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塑料盒</w:t>
                  </w:r>
                </w:p>
              </w:tc>
              <w:tc>
                <w:tcPr>
                  <w:tcW w:w="713" w:type="dxa"/>
                  <w:tcBorders>
                    <w:tl2br w:val="nil"/>
                    <w:tr2bl w:val="nil"/>
                  </w:tcBorders>
                  <w:noWrap w:val="0"/>
                  <w:vAlign w:val="center"/>
                </w:tcPr>
                <w:p w14:paraId="4A6F62A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261" w:type="dxa"/>
                  <w:tcBorders>
                    <w:tl2br w:val="nil"/>
                    <w:tr2bl w:val="nil"/>
                  </w:tcBorders>
                  <w:noWrap w:val="0"/>
                  <w:vAlign w:val="center"/>
                </w:tcPr>
                <w:p w14:paraId="1D75A22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u w:val="none"/>
                      <w:lang w:val="en-US" w:eastAsia="zh-CN"/>
                    </w:rPr>
                    <w:t>焊材库</w:t>
                  </w:r>
                </w:p>
              </w:tc>
            </w:tr>
            <w:tr w14:paraId="22894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5D41212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u w:val="none" w:color="auto"/>
                      <w:lang w:val="en-US" w:eastAsia="zh-CN" w:bidi="ar-SA"/>
                    </w:rPr>
                  </w:pPr>
                </w:p>
              </w:tc>
              <w:tc>
                <w:tcPr>
                  <w:tcW w:w="1965" w:type="dxa"/>
                  <w:tcBorders>
                    <w:tl2br w:val="nil"/>
                    <w:tr2bl w:val="nil"/>
                  </w:tcBorders>
                  <w:noWrap w:val="0"/>
                  <w:vAlign w:val="center"/>
                </w:tcPr>
                <w:p w14:paraId="3D437748">
                  <w:pPr>
                    <w:pStyle w:val="43"/>
                    <w:jc w:val="center"/>
                    <w:rPr>
                      <w:rFonts w:hint="eastAsia" w:ascii="Times New Roman" w:hAnsi="Times New Roman" w:eastAsia="宋体" w:cs="Times New Roman"/>
                      <w:color w:val="000000"/>
                      <w:kern w:val="2"/>
                      <w:sz w:val="21"/>
                      <w:szCs w:val="21"/>
                      <w:u w:val="none" w:color="auto"/>
                      <w:lang w:val="en-US" w:eastAsia="zh-CN" w:bidi="ar-SA"/>
                    </w:rPr>
                  </w:pPr>
                  <w:r>
                    <w:rPr>
                      <w:rFonts w:hint="eastAsia" w:ascii="Times New Roman" w:hAnsi="Times New Roman" w:eastAsia="宋体" w:cs="Times New Roman"/>
                      <w:color w:val="000000"/>
                      <w:kern w:val="2"/>
                      <w:sz w:val="21"/>
                      <w:szCs w:val="21"/>
                      <w:u w:val="none" w:color="auto"/>
                      <w:lang w:val="en-US" w:eastAsia="zh-CN" w:bidi="ar-SA"/>
                    </w:rPr>
                    <w:t>焊丝</w:t>
                  </w:r>
                </w:p>
              </w:tc>
              <w:tc>
                <w:tcPr>
                  <w:tcW w:w="510" w:type="dxa"/>
                  <w:tcBorders>
                    <w:tl2br w:val="nil"/>
                    <w:tr2bl w:val="nil"/>
                  </w:tcBorders>
                  <w:noWrap w:val="0"/>
                  <w:vAlign w:val="center"/>
                </w:tcPr>
                <w:p w14:paraId="68CA817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t</w:t>
                  </w:r>
                </w:p>
              </w:tc>
              <w:tc>
                <w:tcPr>
                  <w:tcW w:w="735" w:type="dxa"/>
                  <w:tcBorders>
                    <w:tl2br w:val="nil"/>
                    <w:tr2bl w:val="nil"/>
                  </w:tcBorders>
                  <w:noWrap w:val="0"/>
                  <w:vAlign w:val="center"/>
                </w:tcPr>
                <w:p w14:paraId="12DFF84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0</w:t>
                  </w:r>
                </w:p>
              </w:tc>
              <w:tc>
                <w:tcPr>
                  <w:tcW w:w="795" w:type="dxa"/>
                  <w:tcBorders>
                    <w:tl2br w:val="nil"/>
                    <w:tr2bl w:val="nil"/>
                  </w:tcBorders>
                  <w:noWrap w:val="0"/>
                  <w:vAlign w:val="center"/>
                </w:tcPr>
                <w:p w14:paraId="1474EE8D">
                  <w:pPr>
                    <w:pStyle w:val="43"/>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9.5</w:t>
                  </w:r>
                </w:p>
              </w:tc>
              <w:tc>
                <w:tcPr>
                  <w:tcW w:w="945" w:type="dxa"/>
                  <w:tcBorders>
                    <w:tl2br w:val="nil"/>
                    <w:tr2bl w:val="nil"/>
                  </w:tcBorders>
                  <w:noWrap w:val="0"/>
                  <w:vAlign w:val="center"/>
                </w:tcPr>
                <w:p w14:paraId="50D216F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lang w:val="en-US" w:eastAsia="zh-CN"/>
                    </w:rPr>
                    <w:t>+</w:t>
                  </w:r>
                  <w:r>
                    <w:rPr>
                      <w:rFonts w:hint="eastAsia" w:ascii="Times New Roman" w:hAnsi="Times New Roman" w:cs="Times New Roman"/>
                      <w:color w:val="auto"/>
                      <w:kern w:val="2"/>
                      <w:sz w:val="21"/>
                      <w:szCs w:val="21"/>
                      <w:u w:val="none" w:color="auto"/>
                      <w:lang w:val="en-US" w:eastAsia="zh-CN" w:bidi="ar-SA"/>
                    </w:rPr>
                    <w:t>9.5</w:t>
                  </w:r>
                </w:p>
              </w:tc>
              <w:tc>
                <w:tcPr>
                  <w:tcW w:w="741" w:type="dxa"/>
                  <w:tcBorders>
                    <w:tl2br w:val="nil"/>
                    <w:tr2bl w:val="nil"/>
                  </w:tcBorders>
                  <w:noWrap w:val="0"/>
                  <w:vAlign w:val="center"/>
                </w:tcPr>
                <w:p w14:paraId="258208CD">
                  <w:pPr>
                    <w:keepNext w:val="0"/>
                    <w:keepLines w:val="0"/>
                    <w:pageBreakBefore w:val="0"/>
                    <w:suppressLineNumbers w:val="0"/>
                    <w:tabs>
                      <w:tab w:val="left" w:pos="554"/>
                    </w:tabs>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固态</w:t>
                  </w:r>
                </w:p>
              </w:tc>
              <w:tc>
                <w:tcPr>
                  <w:tcW w:w="700" w:type="dxa"/>
                  <w:tcBorders>
                    <w:tl2br w:val="nil"/>
                    <w:tr2bl w:val="nil"/>
                  </w:tcBorders>
                  <w:noWrap w:val="0"/>
                  <w:vAlign w:val="center"/>
                </w:tcPr>
                <w:p w14:paraId="4292706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color w:val="000000"/>
                      <w:kern w:val="0"/>
                      <w:sz w:val="21"/>
                      <w:szCs w:val="21"/>
                      <w:u w:val="none" w:color="auto"/>
                      <w:lang w:val="en-US" w:eastAsia="zh-CN"/>
                    </w:rPr>
                  </w:pPr>
                  <w:r>
                    <w:rPr>
                      <w:rFonts w:hint="eastAsia"/>
                      <w:color w:val="000000"/>
                      <w:kern w:val="0"/>
                      <w:sz w:val="21"/>
                      <w:szCs w:val="21"/>
                      <w:u w:val="none" w:color="auto"/>
                      <w:lang w:val="en-US" w:eastAsia="zh-CN"/>
                    </w:rPr>
                    <w:t>塑料盒</w:t>
                  </w:r>
                </w:p>
              </w:tc>
              <w:tc>
                <w:tcPr>
                  <w:tcW w:w="713" w:type="dxa"/>
                  <w:tcBorders>
                    <w:tl2br w:val="nil"/>
                    <w:tr2bl w:val="nil"/>
                  </w:tcBorders>
                  <w:noWrap w:val="0"/>
                  <w:vAlign w:val="center"/>
                </w:tcPr>
                <w:p w14:paraId="55D0EB4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w:t>
                  </w:r>
                </w:p>
              </w:tc>
              <w:tc>
                <w:tcPr>
                  <w:tcW w:w="1261" w:type="dxa"/>
                  <w:tcBorders>
                    <w:tl2br w:val="nil"/>
                    <w:tr2bl w:val="nil"/>
                  </w:tcBorders>
                  <w:noWrap w:val="0"/>
                  <w:vAlign w:val="center"/>
                </w:tcPr>
                <w:p w14:paraId="1E46B44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000000"/>
                      <w:kern w:val="0"/>
                      <w:sz w:val="21"/>
                      <w:szCs w:val="21"/>
                      <w:u w:val="none" w:color="auto"/>
                      <w:lang w:val="en-US" w:eastAsia="zh-CN"/>
                    </w:rPr>
                  </w:pPr>
                  <w:r>
                    <w:rPr>
                      <w:rFonts w:hint="eastAsia"/>
                      <w:color w:val="auto"/>
                      <w:u w:val="none"/>
                      <w:lang w:val="en-US" w:eastAsia="zh-CN"/>
                    </w:rPr>
                    <w:t>焊材库</w:t>
                  </w:r>
                </w:p>
              </w:tc>
            </w:tr>
            <w:tr w14:paraId="43EB0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restart"/>
                  <w:tcBorders>
                    <w:tl2br w:val="nil"/>
                    <w:tr2bl w:val="nil"/>
                  </w:tcBorders>
                  <w:noWrap w:val="0"/>
                  <w:vAlign w:val="center"/>
                </w:tcPr>
                <w:p w14:paraId="08331E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000000"/>
                      <w:sz w:val="21"/>
                      <w:szCs w:val="21"/>
                      <w:u w:val="none" w:color="auto"/>
                      <w:lang w:val="en-US" w:eastAsia="zh-CN"/>
                    </w:rPr>
                  </w:pPr>
                  <w:r>
                    <w:rPr>
                      <w:rFonts w:hint="eastAsia"/>
                      <w:color w:val="000000"/>
                      <w:sz w:val="21"/>
                      <w:szCs w:val="21"/>
                      <w:u w:val="none" w:color="auto"/>
                      <w:lang w:val="en-US" w:eastAsia="zh-CN"/>
                    </w:rPr>
                    <w:t>能源</w:t>
                  </w:r>
                </w:p>
              </w:tc>
              <w:tc>
                <w:tcPr>
                  <w:tcW w:w="1965" w:type="dxa"/>
                  <w:tcBorders>
                    <w:tl2br w:val="nil"/>
                    <w:tr2bl w:val="nil"/>
                  </w:tcBorders>
                  <w:noWrap w:val="0"/>
                  <w:vAlign w:val="center"/>
                </w:tcPr>
                <w:p w14:paraId="6910AAE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auto"/>
                      <w:kern w:val="0"/>
                      <w:sz w:val="21"/>
                      <w:szCs w:val="21"/>
                      <w:u w:val="none" w:color="auto"/>
                      <w:lang w:eastAsia="zh-CN"/>
                    </w:rPr>
                  </w:pPr>
                  <w:r>
                    <w:rPr>
                      <w:rFonts w:hint="eastAsia"/>
                      <w:color w:val="auto"/>
                      <w:kern w:val="0"/>
                      <w:sz w:val="21"/>
                      <w:szCs w:val="21"/>
                      <w:u w:val="none" w:color="auto"/>
                      <w:lang w:eastAsia="zh-CN"/>
                    </w:rPr>
                    <w:t>水</w:t>
                  </w:r>
                </w:p>
              </w:tc>
              <w:tc>
                <w:tcPr>
                  <w:tcW w:w="510" w:type="dxa"/>
                  <w:tcBorders>
                    <w:tl2br w:val="nil"/>
                    <w:tr2bl w:val="nil"/>
                  </w:tcBorders>
                  <w:noWrap w:val="0"/>
                  <w:vAlign w:val="center"/>
                </w:tcPr>
                <w:p w14:paraId="32D33EF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m³</w:t>
                  </w:r>
                </w:p>
              </w:tc>
              <w:tc>
                <w:tcPr>
                  <w:tcW w:w="735" w:type="dxa"/>
                  <w:tcBorders>
                    <w:tl2br w:val="nil"/>
                    <w:tr2bl w:val="nil"/>
                  </w:tcBorders>
                  <w:noWrap w:val="0"/>
                  <w:vAlign w:val="center"/>
                </w:tcPr>
                <w:p w14:paraId="5360A46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2000</w:t>
                  </w:r>
                </w:p>
              </w:tc>
              <w:tc>
                <w:tcPr>
                  <w:tcW w:w="795" w:type="dxa"/>
                  <w:tcBorders>
                    <w:tl2br w:val="nil"/>
                    <w:tr2bl w:val="nil"/>
                  </w:tcBorders>
                  <w:noWrap w:val="0"/>
                  <w:vAlign w:val="center"/>
                </w:tcPr>
                <w:p w14:paraId="2FC8199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2112</w:t>
                  </w:r>
                </w:p>
              </w:tc>
              <w:tc>
                <w:tcPr>
                  <w:tcW w:w="945" w:type="dxa"/>
                  <w:tcBorders>
                    <w:tl2br w:val="nil"/>
                    <w:tr2bl w:val="nil"/>
                  </w:tcBorders>
                  <w:noWrap w:val="0"/>
                  <w:vAlign w:val="center"/>
                </w:tcPr>
                <w:p w14:paraId="10491EA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kern w:val="0"/>
                      <w:sz w:val="21"/>
                      <w:szCs w:val="21"/>
                      <w:u w:val="none" w:color="auto"/>
                      <w:lang w:val="en-US" w:eastAsia="zh-CN"/>
                    </w:rPr>
                  </w:pPr>
                  <w:r>
                    <w:rPr>
                      <w:rFonts w:hint="eastAsia"/>
                      <w:color w:val="auto"/>
                      <w:kern w:val="0"/>
                      <w:sz w:val="21"/>
                      <w:szCs w:val="21"/>
                      <w:u w:val="none" w:color="auto"/>
                      <w:lang w:val="en-US" w:eastAsia="zh-CN"/>
                    </w:rPr>
                    <w:t>+112</w:t>
                  </w:r>
                </w:p>
              </w:tc>
              <w:tc>
                <w:tcPr>
                  <w:tcW w:w="741" w:type="dxa"/>
                  <w:tcBorders>
                    <w:tl2br w:val="nil"/>
                    <w:tr2bl w:val="nil"/>
                  </w:tcBorders>
                  <w:noWrap w:val="0"/>
                  <w:vAlign w:val="center"/>
                </w:tcPr>
                <w:p w14:paraId="41CA92F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液态</w:t>
                  </w:r>
                </w:p>
              </w:tc>
              <w:tc>
                <w:tcPr>
                  <w:tcW w:w="700" w:type="dxa"/>
                  <w:tcBorders>
                    <w:tl2br w:val="nil"/>
                    <w:tr2bl w:val="nil"/>
                  </w:tcBorders>
                  <w:noWrap w:val="0"/>
                  <w:vAlign w:val="center"/>
                </w:tcPr>
                <w:p w14:paraId="7078B50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auto"/>
                      <w:kern w:val="0"/>
                      <w:sz w:val="21"/>
                      <w:szCs w:val="21"/>
                      <w:u w:val="none" w:color="auto"/>
                      <w:lang w:eastAsia="zh-CN"/>
                    </w:rPr>
                  </w:pPr>
                  <w:r>
                    <w:rPr>
                      <w:rFonts w:hint="eastAsia"/>
                      <w:color w:val="auto"/>
                      <w:kern w:val="0"/>
                      <w:sz w:val="21"/>
                      <w:szCs w:val="21"/>
                      <w:u w:val="none" w:color="auto"/>
                      <w:lang w:val="en-US" w:eastAsia="zh-CN"/>
                    </w:rPr>
                    <w:t>/</w:t>
                  </w:r>
                </w:p>
              </w:tc>
              <w:tc>
                <w:tcPr>
                  <w:tcW w:w="713" w:type="dxa"/>
                  <w:tcBorders>
                    <w:tl2br w:val="nil"/>
                    <w:tr2bl w:val="nil"/>
                  </w:tcBorders>
                  <w:noWrap w:val="0"/>
                  <w:vAlign w:val="center"/>
                </w:tcPr>
                <w:p w14:paraId="2A8FFC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auto"/>
                      <w:kern w:val="0"/>
                      <w:sz w:val="21"/>
                      <w:szCs w:val="21"/>
                      <w:u w:val="none" w:color="auto"/>
                      <w:lang w:val="en-US" w:eastAsia="zh-CN"/>
                    </w:rPr>
                  </w:pPr>
                  <w:r>
                    <w:rPr>
                      <w:rFonts w:hint="eastAsia" w:eastAsia="宋体"/>
                      <w:color w:val="auto"/>
                      <w:kern w:val="0"/>
                      <w:sz w:val="21"/>
                      <w:szCs w:val="21"/>
                      <w:u w:val="none" w:color="auto"/>
                      <w:lang w:val="en-US" w:eastAsia="zh-CN"/>
                    </w:rPr>
                    <w:t>/</w:t>
                  </w:r>
                </w:p>
              </w:tc>
              <w:tc>
                <w:tcPr>
                  <w:tcW w:w="1261" w:type="dxa"/>
                  <w:tcBorders>
                    <w:tl2br w:val="nil"/>
                    <w:tr2bl w:val="nil"/>
                  </w:tcBorders>
                  <w:noWrap w:val="0"/>
                  <w:vAlign w:val="center"/>
                </w:tcPr>
                <w:p w14:paraId="055B8AC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eastAsia="宋体"/>
                      <w:color w:val="auto"/>
                      <w:kern w:val="0"/>
                      <w:sz w:val="21"/>
                      <w:szCs w:val="21"/>
                      <w:u w:val="none" w:color="auto"/>
                      <w:lang w:eastAsia="zh-CN"/>
                    </w:rPr>
                  </w:pPr>
                  <w:r>
                    <w:rPr>
                      <w:rFonts w:hint="eastAsia"/>
                      <w:color w:val="auto"/>
                      <w:kern w:val="0"/>
                      <w:sz w:val="21"/>
                      <w:szCs w:val="21"/>
                      <w:u w:val="none" w:color="auto"/>
                      <w:lang w:eastAsia="zh-CN"/>
                    </w:rPr>
                    <w:t>市政供水</w:t>
                  </w:r>
                </w:p>
              </w:tc>
            </w:tr>
            <w:tr w14:paraId="6ABCD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9" w:type="dxa"/>
                  <w:vMerge w:val="continue"/>
                  <w:tcBorders>
                    <w:tl2br w:val="nil"/>
                    <w:tr2bl w:val="nil"/>
                  </w:tcBorders>
                  <w:noWrap w:val="0"/>
                  <w:vAlign w:val="center"/>
                </w:tcPr>
                <w:p w14:paraId="3C4B3F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000000"/>
                      <w:sz w:val="21"/>
                      <w:szCs w:val="21"/>
                      <w:u w:val="none" w:color="auto"/>
                      <w:lang w:val="en-US" w:eastAsia="zh-CN"/>
                    </w:rPr>
                  </w:pPr>
                </w:p>
              </w:tc>
              <w:tc>
                <w:tcPr>
                  <w:tcW w:w="1965" w:type="dxa"/>
                  <w:tcBorders>
                    <w:tl2br w:val="nil"/>
                    <w:tr2bl w:val="nil"/>
                  </w:tcBorders>
                  <w:noWrap w:val="0"/>
                  <w:vAlign w:val="center"/>
                </w:tcPr>
                <w:p w14:paraId="0FAC52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000000"/>
                      <w:sz w:val="21"/>
                      <w:szCs w:val="21"/>
                      <w:u w:val="none" w:color="auto"/>
                      <w:lang w:eastAsia="zh-CN"/>
                    </w:rPr>
                  </w:pPr>
                  <w:r>
                    <w:rPr>
                      <w:rFonts w:hint="eastAsia"/>
                      <w:color w:val="000000"/>
                      <w:sz w:val="21"/>
                      <w:szCs w:val="21"/>
                      <w:u w:val="none" w:color="auto"/>
                      <w:lang w:eastAsia="zh-CN"/>
                    </w:rPr>
                    <w:t>电</w:t>
                  </w:r>
                </w:p>
              </w:tc>
              <w:tc>
                <w:tcPr>
                  <w:tcW w:w="510" w:type="dxa"/>
                  <w:tcBorders>
                    <w:tl2br w:val="nil"/>
                    <w:tr2bl w:val="nil"/>
                  </w:tcBorders>
                  <w:noWrap w:val="0"/>
                  <w:vAlign w:val="center"/>
                </w:tcPr>
                <w:p w14:paraId="18CB983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kwh</w:t>
                  </w:r>
                </w:p>
              </w:tc>
              <w:tc>
                <w:tcPr>
                  <w:tcW w:w="735" w:type="dxa"/>
                  <w:tcBorders>
                    <w:tl2br w:val="nil"/>
                    <w:tr2bl w:val="nil"/>
                  </w:tcBorders>
                  <w:noWrap w:val="0"/>
                  <w:vAlign w:val="center"/>
                </w:tcPr>
                <w:p w14:paraId="3D38BD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335万</w:t>
                  </w:r>
                </w:p>
              </w:tc>
              <w:tc>
                <w:tcPr>
                  <w:tcW w:w="795" w:type="dxa"/>
                  <w:tcBorders>
                    <w:tl2br w:val="nil"/>
                    <w:tr2bl w:val="nil"/>
                  </w:tcBorders>
                  <w:noWrap w:val="0"/>
                  <w:vAlign w:val="center"/>
                </w:tcPr>
                <w:p w14:paraId="3B3AF15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500万</w:t>
                  </w:r>
                </w:p>
              </w:tc>
              <w:tc>
                <w:tcPr>
                  <w:tcW w:w="945" w:type="dxa"/>
                  <w:tcBorders>
                    <w:tl2br w:val="nil"/>
                    <w:tr2bl w:val="nil"/>
                  </w:tcBorders>
                  <w:noWrap w:val="0"/>
                  <w:vAlign w:val="center"/>
                </w:tcPr>
                <w:p w14:paraId="3C111A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+165万</w:t>
                  </w:r>
                </w:p>
              </w:tc>
              <w:tc>
                <w:tcPr>
                  <w:tcW w:w="741" w:type="dxa"/>
                  <w:tcBorders>
                    <w:tl2br w:val="nil"/>
                    <w:tr2bl w:val="nil"/>
                  </w:tcBorders>
                  <w:noWrap w:val="0"/>
                  <w:vAlign w:val="center"/>
                </w:tcPr>
                <w:p w14:paraId="5A14091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olor w:val="000000"/>
                      <w:sz w:val="21"/>
                      <w:szCs w:val="21"/>
                      <w:u w:val="none" w:color="auto"/>
                      <w:lang w:val="en-US" w:eastAsia="zh-CN"/>
                    </w:rPr>
                  </w:pPr>
                  <w:r>
                    <w:rPr>
                      <w:rFonts w:hint="eastAsia"/>
                      <w:color w:val="000000"/>
                      <w:sz w:val="21"/>
                      <w:szCs w:val="21"/>
                      <w:u w:val="none" w:color="auto"/>
                      <w:lang w:val="en-US" w:eastAsia="zh-CN"/>
                    </w:rPr>
                    <w:t>/</w:t>
                  </w:r>
                </w:p>
              </w:tc>
              <w:tc>
                <w:tcPr>
                  <w:tcW w:w="700" w:type="dxa"/>
                  <w:tcBorders>
                    <w:tl2br w:val="nil"/>
                    <w:tr2bl w:val="nil"/>
                  </w:tcBorders>
                  <w:noWrap w:val="0"/>
                  <w:vAlign w:val="center"/>
                </w:tcPr>
                <w:p w14:paraId="0E197A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000000"/>
                      <w:sz w:val="21"/>
                      <w:szCs w:val="21"/>
                      <w:u w:val="none" w:color="auto"/>
                      <w:lang w:val="en-US" w:eastAsia="zh-CN"/>
                    </w:rPr>
                  </w:pPr>
                  <w:r>
                    <w:rPr>
                      <w:rFonts w:hint="eastAsia" w:eastAsia="宋体"/>
                      <w:color w:val="000000"/>
                      <w:sz w:val="21"/>
                      <w:szCs w:val="21"/>
                      <w:u w:val="none" w:color="auto"/>
                      <w:lang w:val="en-US" w:eastAsia="zh-CN"/>
                    </w:rPr>
                    <w:t>/</w:t>
                  </w:r>
                </w:p>
              </w:tc>
              <w:tc>
                <w:tcPr>
                  <w:tcW w:w="713" w:type="dxa"/>
                  <w:tcBorders>
                    <w:tl2br w:val="nil"/>
                    <w:tr2bl w:val="nil"/>
                  </w:tcBorders>
                  <w:noWrap w:val="0"/>
                  <w:vAlign w:val="center"/>
                </w:tcPr>
                <w:p w14:paraId="75CFBE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eastAsia="宋体"/>
                      <w:color w:val="000000"/>
                      <w:sz w:val="21"/>
                      <w:szCs w:val="21"/>
                      <w:u w:val="none" w:color="auto"/>
                      <w:lang w:val="en-US" w:eastAsia="zh-CN"/>
                    </w:rPr>
                  </w:pPr>
                  <w:r>
                    <w:rPr>
                      <w:rFonts w:hint="eastAsia" w:eastAsia="宋体"/>
                      <w:color w:val="000000"/>
                      <w:sz w:val="21"/>
                      <w:szCs w:val="21"/>
                      <w:u w:val="none" w:color="auto"/>
                      <w:lang w:val="en-US" w:eastAsia="zh-CN"/>
                    </w:rPr>
                    <w:t>/</w:t>
                  </w:r>
                </w:p>
              </w:tc>
              <w:tc>
                <w:tcPr>
                  <w:tcW w:w="1261" w:type="dxa"/>
                  <w:tcBorders>
                    <w:tl2br w:val="nil"/>
                    <w:tr2bl w:val="nil"/>
                  </w:tcBorders>
                  <w:noWrap w:val="0"/>
                  <w:vAlign w:val="center"/>
                </w:tcPr>
                <w:p w14:paraId="05D8FBB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eastAsia="宋体"/>
                      <w:color w:val="000000"/>
                      <w:kern w:val="0"/>
                      <w:sz w:val="21"/>
                      <w:szCs w:val="21"/>
                      <w:u w:val="none" w:color="auto"/>
                      <w:lang w:eastAsia="zh-CN"/>
                    </w:rPr>
                  </w:pPr>
                  <w:r>
                    <w:rPr>
                      <w:rFonts w:hint="eastAsia"/>
                      <w:color w:val="000000"/>
                      <w:kern w:val="0"/>
                      <w:sz w:val="21"/>
                      <w:szCs w:val="21"/>
                      <w:u w:val="none" w:color="auto"/>
                      <w:lang w:eastAsia="zh-CN"/>
                    </w:rPr>
                    <w:t>市政供电</w:t>
                  </w:r>
                </w:p>
              </w:tc>
            </w:tr>
          </w:tbl>
          <w:p w14:paraId="01BA22AF">
            <w:pPr>
              <w:pStyle w:val="7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ind w:left="0" w:right="0" w:firstLine="480" w:firstLineChars="200"/>
              <w:jc w:val="both"/>
              <w:textAlignment w:val="auto"/>
              <w:outlineLvl w:val="9"/>
              <w:rPr>
                <w:rFonts w:hint="default" w:ascii="Times New Roman" w:hAnsi="Times New Roman" w:eastAsia="宋体" w:cs="Times New Roman"/>
                <w:bCs/>
                <w:color w:val="auto"/>
                <w:spacing w:val="0"/>
                <w:position w:val="0"/>
                <w:szCs w:val="24"/>
                <w:highlight w:val="none"/>
                <w:u w:val="none" w:color="auto"/>
                <w:lang w:eastAsia="zh-CN"/>
              </w:rPr>
            </w:pPr>
            <w:r>
              <w:rPr>
                <w:rFonts w:hint="eastAsia" w:eastAsia="宋体" w:cs="Times New Roman"/>
                <w:bCs/>
                <w:color w:val="auto"/>
                <w:spacing w:val="0"/>
                <w:position w:val="0"/>
                <w:szCs w:val="24"/>
                <w:highlight w:val="none"/>
                <w:u w:val="none" w:color="auto"/>
                <w:lang w:eastAsia="zh-CN"/>
              </w:rPr>
              <w:t>本项目</w:t>
            </w:r>
            <w:r>
              <w:rPr>
                <w:rFonts w:hint="default" w:ascii="Times New Roman" w:hAnsi="Times New Roman" w:eastAsia="宋体" w:cs="Times New Roman"/>
                <w:bCs/>
                <w:color w:val="auto"/>
                <w:spacing w:val="0"/>
                <w:position w:val="0"/>
                <w:szCs w:val="24"/>
                <w:highlight w:val="none"/>
                <w:u w:val="none" w:color="auto"/>
                <w:lang w:eastAsia="zh-CN"/>
              </w:rPr>
              <w:t>主要原辅材料理化性质</w:t>
            </w:r>
            <w:r>
              <w:rPr>
                <w:rFonts w:hint="eastAsia" w:eastAsia="宋体" w:cs="Times New Roman"/>
                <w:bCs/>
                <w:color w:val="auto"/>
                <w:spacing w:val="0"/>
                <w:position w:val="0"/>
                <w:szCs w:val="24"/>
                <w:highlight w:val="none"/>
                <w:u w:val="none" w:color="auto"/>
                <w:lang w:eastAsia="zh-CN"/>
              </w:rPr>
              <w:t>见下表</w:t>
            </w:r>
            <w:r>
              <w:rPr>
                <w:rFonts w:hint="default" w:ascii="Times New Roman" w:hAnsi="Times New Roman" w:eastAsia="宋体" w:cs="Times New Roman"/>
                <w:bCs/>
                <w:color w:val="auto"/>
                <w:spacing w:val="0"/>
                <w:position w:val="0"/>
                <w:szCs w:val="24"/>
                <w:highlight w:val="none"/>
                <w:u w:val="none" w:color="auto"/>
                <w:lang w:eastAsia="zh-CN"/>
              </w:rPr>
              <w:t>：</w:t>
            </w:r>
          </w:p>
          <w:p w14:paraId="024684F9">
            <w:pPr>
              <w:pStyle w:val="7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pacing w:val="0"/>
                <w:position w:val="0"/>
                <w:sz w:val="24"/>
                <w:szCs w:val="24"/>
                <w:highlight w:val="yellow"/>
                <w:u w:val="none" w:color="auto"/>
                <w:lang w:val="en-US" w:eastAsia="zh-CN"/>
              </w:rPr>
            </w:pPr>
            <w:r>
              <w:rPr>
                <w:rFonts w:hint="default" w:ascii="Times New Roman" w:hAnsi="Times New Roman" w:eastAsia="宋体" w:cs="Times New Roman"/>
                <w:b/>
                <w:bCs w:val="0"/>
                <w:color w:val="auto"/>
                <w:spacing w:val="0"/>
                <w:position w:val="0"/>
                <w:sz w:val="24"/>
                <w:szCs w:val="24"/>
                <w:highlight w:val="none"/>
                <w:u w:val="none" w:color="auto"/>
                <w:lang w:eastAsia="zh-CN"/>
              </w:rPr>
              <w:t>表</w:t>
            </w:r>
            <w:r>
              <w:rPr>
                <w:rFonts w:hint="default" w:ascii="Times New Roman" w:hAnsi="Times New Roman" w:eastAsia="宋体" w:cs="Times New Roman"/>
                <w:b/>
                <w:bCs w:val="0"/>
                <w:color w:val="auto"/>
                <w:spacing w:val="0"/>
                <w:position w:val="0"/>
                <w:sz w:val="24"/>
                <w:szCs w:val="24"/>
                <w:highlight w:val="none"/>
                <w:u w:val="none" w:color="auto"/>
                <w:lang w:val="en-US" w:eastAsia="zh-CN"/>
              </w:rPr>
              <w:t>2-</w:t>
            </w:r>
            <w:r>
              <w:rPr>
                <w:rFonts w:hint="eastAsia" w:eastAsia="宋体" w:cs="Times New Roman"/>
                <w:b/>
                <w:bCs w:val="0"/>
                <w:color w:val="auto"/>
                <w:spacing w:val="0"/>
                <w:position w:val="0"/>
                <w:sz w:val="24"/>
                <w:szCs w:val="24"/>
                <w:highlight w:val="none"/>
                <w:u w:val="none" w:color="auto"/>
                <w:lang w:val="en-US" w:eastAsia="zh-CN"/>
              </w:rPr>
              <w:t>5</w:t>
            </w:r>
            <w:r>
              <w:rPr>
                <w:rFonts w:hint="default" w:ascii="Times New Roman" w:hAnsi="Times New Roman" w:eastAsia="宋体" w:cs="Times New Roman"/>
                <w:b/>
                <w:bCs w:val="0"/>
                <w:color w:val="auto"/>
                <w:spacing w:val="0"/>
                <w:position w:val="0"/>
                <w:sz w:val="24"/>
                <w:szCs w:val="24"/>
                <w:highlight w:val="none"/>
                <w:u w:val="none" w:color="auto"/>
                <w:lang w:val="en-US" w:eastAsia="zh-CN"/>
              </w:rPr>
              <w:t xml:space="preserve">   </w:t>
            </w:r>
            <w:r>
              <w:rPr>
                <w:rFonts w:hint="eastAsia" w:eastAsia="宋体" w:cs="Times New Roman"/>
                <w:b/>
                <w:bCs w:val="0"/>
                <w:color w:val="auto"/>
                <w:spacing w:val="0"/>
                <w:position w:val="0"/>
                <w:sz w:val="24"/>
                <w:szCs w:val="24"/>
                <w:highlight w:val="none"/>
                <w:u w:val="none" w:color="auto"/>
                <w:lang w:val="en-US" w:eastAsia="zh-CN"/>
              </w:rPr>
              <w:t>本项目</w:t>
            </w:r>
            <w:r>
              <w:rPr>
                <w:rFonts w:hint="default" w:ascii="Times New Roman" w:hAnsi="Times New Roman" w:eastAsia="宋体" w:cs="Times New Roman"/>
                <w:b/>
                <w:bCs w:val="0"/>
                <w:color w:val="auto"/>
                <w:spacing w:val="0"/>
                <w:position w:val="0"/>
                <w:sz w:val="24"/>
                <w:szCs w:val="24"/>
                <w:highlight w:val="none"/>
                <w:u w:val="none" w:color="auto"/>
                <w:lang w:val="en-US" w:eastAsia="zh-CN"/>
              </w:rPr>
              <w:t>主要原辅材料理化性质一览表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0"/>
              <w:gridCol w:w="7733"/>
            </w:tblGrid>
            <w:tr w14:paraId="749BB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tcBorders>
                    <w:tl2br w:val="nil"/>
                    <w:tr2bl w:val="nil"/>
                  </w:tcBorders>
                  <w:shd w:val="clear" w:color="auto" w:fill="auto"/>
                  <w:noWrap w:val="0"/>
                  <w:vAlign w:val="center"/>
                </w:tcPr>
                <w:p w14:paraId="33616687">
                  <w:pPr>
                    <w:pStyle w:val="7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pacing w:val="0"/>
                      <w:position w:val="0"/>
                      <w:sz w:val="21"/>
                      <w:szCs w:val="21"/>
                      <w:highlight w:val="none"/>
                      <w:u w:val="none" w:color="auto"/>
                      <w:vertAlign w:val="baseline"/>
                      <w:lang w:eastAsia="zh-CN"/>
                    </w:rPr>
                  </w:pPr>
                  <w:r>
                    <w:rPr>
                      <w:rFonts w:hint="default" w:ascii="Times New Roman" w:hAnsi="Times New Roman" w:eastAsia="宋体" w:cs="Times New Roman"/>
                      <w:b/>
                      <w:bCs w:val="0"/>
                      <w:color w:val="auto"/>
                      <w:spacing w:val="0"/>
                      <w:position w:val="0"/>
                      <w:sz w:val="21"/>
                      <w:szCs w:val="21"/>
                      <w:highlight w:val="none"/>
                      <w:u w:val="none" w:color="auto"/>
                      <w:vertAlign w:val="baseline"/>
                      <w:lang w:eastAsia="zh-CN"/>
                    </w:rPr>
                    <w:t>名称</w:t>
                  </w:r>
                </w:p>
              </w:tc>
              <w:tc>
                <w:tcPr>
                  <w:tcW w:w="4494" w:type="pct"/>
                  <w:tcBorders>
                    <w:tl2br w:val="nil"/>
                    <w:tr2bl w:val="nil"/>
                  </w:tcBorders>
                  <w:shd w:val="clear" w:color="auto" w:fill="auto"/>
                  <w:noWrap w:val="0"/>
                  <w:vAlign w:val="center"/>
                </w:tcPr>
                <w:p w14:paraId="039D3CDA">
                  <w:pPr>
                    <w:pStyle w:val="7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pacing w:val="0"/>
                      <w:position w:val="0"/>
                      <w:sz w:val="21"/>
                      <w:szCs w:val="21"/>
                      <w:highlight w:val="none"/>
                      <w:u w:val="none" w:color="auto"/>
                      <w:vertAlign w:val="baseline"/>
                      <w:lang w:eastAsia="zh-CN"/>
                    </w:rPr>
                  </w:pPr>
                  <w:r>
                    <w:rPr>
                      <w:rFonts w:hint="default" w:ascii="Times New Roman" w:hAnsi="Times New Roman" w:eastAsia="宋体" w:cs="Times New Roman"/>
                      <w:b/>
                      <w:bCs w:val="0"/>
                      <w:color w:val="auto"/>
                      <w:spacing w:val="0"/>
                      <w:position w:val="0"/>
                      <w:sz w:val="21"/>
                      <w:szCs w:val="21"/>
                      <w:highlight w:val="none"/>
                      <w:u w:val="none" w:color="auto"/>
                      <w:vertAlign w:val="baseline"/>
                      <w:lang w:eastAsia="zh-CN"/>
                    </w:rPr>
                    <w:t>理化性质</w:t>
                  </w:r>
                </w:p>
              </w:tc>
            </w:tr>
            <w:tr w14:paraId="6991A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tcBorders>
                    <w:tl2br w:val="nil"/>
                    <w:tr2bl w:val="nil"/>
                  </w:tcBorders>
                  <w:shd w:val="clear" w:color="auto" w:fill="auto"/>
                  <w:noWrap w:val="0"/>
                  <w:vAlign w:val="center"/>
                </w:tcPr>
                <w:p w14:paraId="08A0051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Cs/>
                      <w:color w:val="auto"/>
                      <w:spacing w:val="0"/>
                      <w:kern w:val="2"/>
                      <w:position w:val="0"/>
                      <w:sz w:val="21"/>
                      <w:szCs w:val="21"/>
                      <w:highlight w:val="none"/>
                      <w:u w:val="none" w:color="auto"/>
                      <w:lang w:val="en-US" w:eastAsia="zh-CN" w:bidi="ar-SA"/>
                    </w:rPr>
                  </w:pPr>
                  <w:r>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t>铁红醇酸防锈底漆</w:t>
                  </w:r>
                </w:p>
              </w:tc>
              <w:tc>
                <w:tcPr>
                  <w:tcW w:w="4494" w:type="pct"/>
                  <w:tcBorders>
                    <w:tl2br w:val="nil"/>
                    <w:tr2bl w:val="nil"/>
                  </w:tcBorders>
                  <w:shd w:val="clear" w:color="auto" w:fill="auto"/>
                  <w:noWrap w:val="0"/>
                  <w:vAlign w:val="center"/>
                </w:tcPr>
                <w:p w14:paraId="0EDBBC07">
                  <w:pPr>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0"/>
                      <w:position w:val="0"/>
                      <w:sz w:val="21"/>
                      <w:szCs w:val="21"/>
                      <w:highlight w:val="none"/>
                      <w:u w:val="none" w:color="auto"/>
                      <w:vertAlign w:val="baseline"/>
                      <w:lang w:val="en-US" w:eastAsia="zh-CN"/>
                    </w:rPr>
                  </w:pPr>
                  <w:r>
                    <w:rPr>
                      <w:rFonts w:hint="eastAsia"/>
                      <w:color w:val="auto"/>
                      <w:sz w:val="21"/>
                      <w:szCs w:val="21"/>
                      <w:u w:val="none" w:color="auto"/>
                      <w:lang w:val="en-US" w:eastAsia="zh-CN"/>
                    </w:rPr>
                    <w:t>醇酸防锈</w:t>
                  </w:r>
                  <w:r>
                    <w:rPr>
                      <w:rFonts w:hint="eastAsia" w:eastAsia="宋体" w:cs="Times New Roman"/>
                      <w:color w:val="auto"/>
                      <w:spacing w:val="0"/>
                      <w:w w:val="100"/>
                      <w:sz w:val="21"/>
                      <w:szCs w:val="21"/>
                      <w:u w:val="none" w:color="auto"/>
                      <w:lang w:eastAsia="zh-CN"/>
                    </w:rPr>
                    <w:t>底漆</w:t>
                  </w:r>
                  <w:r>
                    <w:rPr>
                      <w:rFonts w:hint="eastAsia" w:ascii="Times New Roman" w:hAnsi="Times New Roman" w:eastAsia="宋体" w:cs="Times New Roman"/>
                      <w:color w:val="auto"/>
                      <w:spacing w:val="0"/>
                      <w:w w:val="100"/>
                      <w:sz w:val="21"/>
                      <w:szCs w:val="21"/>
                      <w:u w:val="none" w:color="auto"/>
                      <w:lang w:val="en-US" w:eastAsia="zh-CN"/>
                    </w:rPr>
                    <w:t>主要成分为铁红、</w:t>
                  </w:r>
                  <w:r>
                    <w:rPr>
                      <w:rFonts w:hint="default" w:ascii="Times New Roman" w:hAnsi="Times New Roman" w:eastAsia="宋体" w:cs="Times New Roman"/>
                      <w:color w:val="auto"/>
                      <w:spacing w:val="0"/>
                      <w:w w:val="100"/>
                      <w:sz w:val="21"/>
                      <w:szCs w:val="21"/>
                      <w:u w:val="none" w:color="auto"/>
                      <w:lang w:val="en-US" w:eastAsia="zh-CN"/>
                    </w:rPr>
                    <w:fldChar w:fldCharType="begin"/>
                  </w:r>
                  <w:r>
                    <w:rPr>
                      <w:rFonts w:hint="default" w:ascii="Times New Roman" w:hAnsi="Times New Roman" w:eastAsia="宋体" w:cs="Times New Roman"/>
                      <w:color w:val="auto"/>
                      <w:spacing w:val="0"/>
                      <w:w w:val="100"/>
                      <w:sz w:val="21"/>
                      <w:szCs w:val="21"/>
                      <w:u w:val="none" w:color="auto"/>
                      <w:lang w:val="en-US" w:eastAsia="zh-CN"/>
                    </w:rPr>
                    <w:instrText xml:space="preserve"> HYPERLINK "https://baike.so.com/doc/588175-622637.html" \t "https://baike.so.com/doc/_blank" </w:instrText>
                  </w:r>
                  <w:r>
                    <w:rPr>
                      <w:rFonts w:hint="default" w:ascii="Times New Roman" w:hAnsi="Times New Roman" w:eastAsia="宋体" w:cs="Times New Roman"/>
                      <w:color w:val="auto"/>
                      <w:spacing w:val="0"/>
                      <w:w w:val="100"/>
                      <w:sz w:val="21"/>
                      <w:szCs w:val="21"/>
                      <w:u w:val="none" w:color="auto"/>
                      <w:lang w:val="en-US" w:eastAsia="zh-CN"/>
                    </w:rPr>
                    <w:fldChar w:fldCharType="separate"/>
                  </w:r>
                  <w:r>
                    <w:rPr>
                      <w:rFonts w:hint="default" w:ascii="Times New Roman" w:hAnsi="Times New Roman" w:eastAsia="宋体" w:cs="Times New Roman"/>
                      <w:color w:val="auto"/>
                      <w:spacing w:val="0"/>
                      <w:w w:val="100"/>
                      <w:sz w:val="21"/>
                      <w:szCs w:val="21"/>
                      <w:u w:val="none" w:color="auto"/>
                      <w:lang w:val="en-US" w:eastAsia="zh-CN"/>
                    </w:rPr>
                    <w:t>醇酸树脂</w:t>
                  </w:r>
                  <w:r>
                    <w:rPr>
                      <w:rFonts w:hint="default" w:ascii="Times New Roman" w:hAnsi="Times New Roman" w:eastAsia="宋体" w:cs="Times New Roman"/>
                      <w:color w:val="auto"/>
                      <w:spacing w:val="0"/>
                      <w:w w:val="100"/>
                      <w:sz w:val="21"/>
                      <w:szCs w:val="21"/>
                      <w:u w:val="none" w:color="auto"/>
                      <w:lang w:val="en-US" w:eastAsia="zh-CN"/>
                    </w:rPr>
                    <w:fldChar w:fldCharType="end"/>
                  </w:r>
                  <w:r>
                    <w:rPr>
                      <w:rFonts w:hint="default" w:ascii="Times New Roman" w:hAnsi="Times New Roman" w:eastAsia="宋体" w:cs="Times New Roman"/>
                      <w:color w:val="auto"/>
                      <w:spacing w:val="0"/>
                      <w:w w:val="100"/>
                      <w:sz w:val="21"/>
                      <w:szCs w:val="21"/>
                      <w:u w:val="none" w:color="auto"/>
                      <w:lang w:val="en-US" w:eastAsia="zh-CN"/>
                    </w:rPr>
                    <w:t>、防锈颜料、填料、助剂、溶剂</w:t>
                  </w:r>
                  <w:r>
                    <w:rPr>
                      <w:rFonts w:hint="eastAsia" w:ascii="Times New Roman" w:hAnsi="Times New Roman" w:eastAsia="宋体" w:cs="Times New Roman"/>
                      <w:color w:val="auto"/>
                      <w:spacing w:val="0"/>
                      <w:w w:val="100"/>
                      <w:sz w:val="21"/>
                      <w:szCs w:val="21"/>
                      <w:u w:val="none" w:color="auto"/>
                      <w:lang w:val="en-US" w:eastAsia="zh-CN"/>
                    </w:rPr>
                    <w:t>。主要成分及含量为：醇酸树脂</w:t>
                  </w:r>
                  <w:r>
                    <w:rPr>
                      <w:rFonts w:hint="eastAsia" w:cs="Times New Roman"/>
                      <w:color w:val="auto"/>
                      <w:spacing w:val="0"/>
                      <w:w w:val="100"/>
                      <w:sz w:val="21"/>
                      <w:szCs w:val="21"/>
                      <w:u w:val="none" w:color="auto"/>
                      <w:lang w:val="en-US" w:eastAsia="zh-CN"/>
                    </w:rPr>
                    <w:t>30-60</w:t>
                  </w:r>
                  <w:r>
                    <w:rPr>
                      <w:rFonts w:hint="default" w:ascii="Times New Roman" w:hAnsi="Times New Roman" w:eastAsia="宋体"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、颜填料</w:t>
                  </w:r>
                  <w:r>
                    <w:rPr>
                      <w:rFonts w:hint="eastAsia" w:cs="Times New Roman"/>
                      <w:color w:val="auto"/>
                      <w:spacing w:val="0"/>
                      <w:w w:val="100"/>
                      <w:sz w:val="21"/>
                      <w:szCs w:val="21"/>
                      <w:u w:val="none" w:color="auto"/>
                      <w:lang w:val="en-US" w:eastAsia="zh-CN"/>
                    </w:rPr>
                    <w:t>10-40</w:t>
                  </w:r>
                  <w:r>
                    <w:rPr>
                      <w:rFonts w:hint="default" w:ascii="Times New Roman" w:hAnsi="Times New Roman" w:eastAsia="宋体" w:cs="Times New Roman"/>
                      <w:color w:val="auto"/>
                      <w:spacing w:val="0"/>
                      <w:w w:val="100"/>
                      <w:sz w:val="21"/>
                      <w:szCs w:val="21"/>
                      <w:u w:val="none" w:color="auto"/>
                      <w:lang w:val="en-US" w:eastAsia="zh-CN"/>
                    </w:rPr>
                    <w:t>%</w:t>
                  </w:r>
                  <w:r>
                    <w:rPr>
                      <w:rFonts w:hint="eastAsia" w:cs="Times New Roman"/>
                      <w:color w:val="auto"/>
                      <w:spacing w:val="0"/>
                      <w:w w:val="100"/>
                      <w:sz w:val="21"/>
                      <w:szCs w:val="21"/>
                      <w:u w:val="none" w:color="auto"/>
                      <w:lang w:val="en-US" w:eastAsia="zh-CN"/>
                    </w:rPr>
                    <w:t>、助剂0-5</w:t>
                  </w:r>
                  <w:r>
                    <w:rPr>
                      <w:rFonts w:hint="default" w:ascii="Times New Roman" w:hAnsi="Times New Roman" w:eastAsia="宋体"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、溶剂</w:t>
                  </w:r>
                  <w:r>
                    <w:rPr>
                      <w:rFonts w:hint="eastAsia" w:cs="Times New Roman"/>
                      <w:color w:val="auto"/>
                      <w:spacing w:val="0"/>
                      <w:w w:val="100"/>
                      <w:sz w:val="21"/>
                      <w:szCs w:val="21"/>
                      <w:u w:val="none" w:color="auto"/>
                      <w:lang w:val="en-US" w:eastAsia="zh-CN"/>
                    </w:rPr>
                    <w:t>汽油5-10</w:t>
                  </w:r>
                  <w:r>
                    <w:rPr>
                      <w:rFonts w:hint="default" w:ascii="Times New Roman" w:hAnsi="Times New Roman" w:eastAsia="宋体"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w:t>
                  </w:r>
                  <w:r>
                    <w:rPr>
                      <w:rFonts w:hint="eastAsia" w:eastAsia="宋体" w:cs="Times New Roman"/>
                      <w:color w:val="auto"/>
                      <w:spacing w:val="0"/>
                      <w:w w:val="100"/>
                      <w:sz w:val="21"/>
                      <w:szCs w:val="21"/>
                      <w:u w:val="none" w:color="auto"/>
                      <w:lang w:eastAsia="zh-CN"/>
                    </w:rPr>
                    <w:t>底漆与稀释剂按</w:t>
                  </w:r>
                  <w:r>
                    <w:rPr>
                      <w:rFonts w:hint="eastAsia" w:eastAsia="宋体" w:cs="Times New Roman"/>
                      <w:color w:val="auto"/>
                      <w:spacing w:val="0"/>
                      <w:w w:val="100"/>
                      <w:sz w:val="21"/>
                      <w:szCs w:val="21"/>
                      <w:u w:val="none" w:color="auto"/>
                      <w:lang w:val="en-US" w:eastAsia="zh-CN"/>
                    </w:rPr>
                    <w:t>5：0.5的比例混合。</w:t>
                  </w:r>
                  <w:r>
                    <w:rPr>
                      <w:rFonts w:hint="eastAsia"/>
                      <w:color w:val="auto"/>
                    </w:rPr>
                    <w:t>外观与性状:粘稠透明或有色液体。气味:有刺激性气味。PH值:不适用。熔点/凝固点:≤50</w:t>
                  </w:r>
                  <w:r>
                    <w:rPr>
                      <w:rFonts w:hint="eastAsia" w:ascii="宋体" w:hAnsi="宋体" w:eastAsia="宋体" w:cs="宋体"/>
                      <w:color w:val="auto"/>
                    </w:rPr>
                    <w:t>℃</w:t>
                  </w:r>
                  <w:r>
                    <w:rPr>
                      <w:rFonts w:hint="eastAsia" w:eastAsia="宋体"/>
                      <w:color w:val="auto"/>
                      <w:lang w:eastAsia="zh-CN"/>
                    </w:rPr>
                    <w:t>。</w:t>
                  </w:r>
                  <w:r>
                    <w:rPr>
                      <w:rFonts w:hint="eastAsia"/>
                      <w:color w:val="auto"/>
                    </w:rPr>
                    <w:t>沸点、初沸点:在沸腾前已经分解</w:t>
                  </w:r>
                  <w:r>
                    <w:rPr>
                      <w:rFonts w:hint="eastAsia"/>
                      <w:color w:val="auto"/>
                      <w:lang w:eastAsia="zh-CN"/>
                    </w:rPr>
                    <w:t>。</w:t>
                  </w:r>
                  <w:r>
                    <w:rPr>
                      <w:rFonts w:hint="eastAsia"/>
                      <w:color w:val="auto"/>
                    </w:rPr>
                    <w:t>闪点</w:t>
                  </w:r>
                  <w:r>
                    <w:rPr>
                      <w:rFonts w:hint="eastAsia"/>
                      <w:color w:val="auto"/>
                      <w:lang w:eastAsia="zh-CN"/>
                    </w:rPr>
                    <w:t>：</w:t>
                  </w:r>
                  <w:r>
                    <w:rPr>
                      <w:rFonts w:hint="eastAsia"/>
                      <w:color w:val="auto"/>
                    </w:rPr>
                    <w:t>28-34</w:t>
                  </w:r>
                  <w:r>
                    <w:rPr>
                      <w:rFonts w:hint="eastAsia" w:ascii="宋体" w:hAnsi="宋体" w:eastAsia="宋体" w:cs="宋体"/>
                      <w:color w:val="auto"/>
                    </w:rPr>
                    <w:t>℃</w:t>
                  </w:r>
                  <w:r>
                    <w:rPr>
                      <w:rFonts w:hint="eastAsia"/>
                      <w:color w:val="auto"/>
                      <w:lang w:eastAsia="zh-CN"/>
                    </w:rPr>
                    <w:t>。</w:t>
                  </w:r>
                  <w:r>
                    <w:rPr>
                      <w:rFonts w:hint="eastAsia"/>
                      <w:color w:val="auto"/>
                    </w:rPr>
                    <w:t>爆炸下限[%(v/v)]</w:t>
                  </w:r>
                  <w:r>
                    <w:rPr>
                      <w:rFonts w:hint="eastAsia"/>
                      <w:color w:val="auto"/>
                      <w:lang w:eastAsia="zh-CN"/>
                    </w:rPr>
                    <w:t>：</w:t>
                  </w:r>
                  <w:r>
                    <w:rPr>
                      <w:rFonts w:hint="eastAsia"/>
                      <w:color w:val="auto"/>
                    </w:rPr>
                    <w:t>1.1</w:t>
                  </w:r>
                  <w:r>
                    <w:rPr>
                      <w:rFonts w:hint="eastAsia"/>
                      <w:color w:val="auto"/>
                      <w:lang w:eastAsia="zh-CN"/>
                    </w:rPr>
                    <w:t>。</w:t>
                  </w:r>
                  <w:r>
                    <w:rPr>
                      <w:rFonts w:hint="eastAsia"/>
                      <w:color w:val="auto"/>
                    </w:rPr>
                    <w:t>爆炸上限[%(v/v)]</w:t>
                  </w:r>
                  <w:r>
                    <w:rPr>
                      <w:rFonts w:hint="eastAsia"/>
                      <w:color w:val="auto"/>
                      <w:lang w:eastAsia="zh-CN"/>
                    </w:rPr>
                    <w:t>：</w:t>
                  </w:r>
                  <w:r>
                    <w:rPr>
                      <w:rFonts w:hint="eastAsia"/>
                      <w:color w:val="auto"/>
                    </w:rPr>
                    <w:t>12.7</w:t>
                  </w:r>
                  <w:r>
                    <w:rPr>
                      <w:rFonts w:hint="eastAsia"/>
                      <w:color w:val="auto"/>
                      <w:lang w:eastAsia="zh-CN"/>
                    </w:rPr>
                    <w:t>。</w:t>
                  </w:r>
                  <w:r>
                    <w:rPr>
                      <w:rFonts w:hint="eastAsia"/>
                      <w:color w:val="auto"/>
                    </w:rPr>
                    <w:t>蒸气密度</w:t>
                  </w:r>
                  <w:r>
                    <w:rPr>
                      <w:rFonts w:hint="eastAsia"/>
                      <w:color w:val="auto"/>
                      <w:lang w:eastAsia="zh-CN"/>
                    </w:rPr>
                    <w:t>：</w:t>
                  </w:r>
                  <w:r>
                    <w:rPr>
                      <w:rFonts w:hint="eastAsia"/>
                      <w:color w:val="auto"/>
                    </w:rPr>
                    <w:t>2.5~4. 1</w:t>
                  </w:r>
                  <w:r>
                    <w:rPr>
                      <w:rFonts w:hint="eastAsia"/>
                      <w:color w:val="auto"/>
                      <w:lang w:eastAsia="zh-CN"/>
                    </w:rPr>
                    <w:t>。</w:t>
                  </w:r>
                  <w:r>
                    <w:rPr>
                      <w:rFonts w:hint="eastAsia"/>
                      <w:color w:val="auto"/>
                    </w:rPr>
                    <w:t>密度/相对密度</w:t>
                  </w:r>
                  <w:r>
                    <w:rPr>
                      <w:rFonts w:hint="eastAsia"/>
                      <w:color w:val="auto"/>
                      <w:lang w:eastAsia="zh-CN"/>
                    </w:rPr>
                    <w:t>：</w:t>
                  </w:r>
                  <w:r>
                    <w:rPr>
                      <w:rFonts w:hint="eastAsia"/>
                      <w:color w:val="auto"/>
                    </w:rPr>
                    <w:t xml:space="preserve">(水=1) </w:t>
                  </w:r>
                  <w:r>
                    <w:rPr>
                      <w:rFonts w:hint="eastAsia"/>
                      <w:color w:val="auto"/>
                      <w:lang w:eastAsia="zh-CN"/>
                    </w:rPr>
                    <w:t>：</w:t>
                  </w:r>
                  <w:r>
                    <w:rPr>
                      <w:rFonts w:hint="eastAsia"/>
                      <w:color w:val="auto"/>
                    </w:rPr>
                    <w:t>0.85- 1.45。溶解性:不溶于水，溶于酮、酯、醇、醚、苯等有机溶剂。</w:t>
                  </w:r>
                  <w:r>
                    <w:rPr>
                      <w:rFonts w:hint="eastAsia"/>
                      <w:color w:val="auto"/>
                      <w:lang w:eastAsia="zh-CN"/>
                    </w:rPr>
                    <w:t>易燃性：易燃液体。</w:t>
                  </w:r>
                  <w:r>
                    <w:rPr>
                      <w:rFonts w:hint="eastAsia"/>
                      <w:color w:val="auto"/>
                    </w:rPr>
                    <w:t>稳定性:常温下稳定。应避免的条件:高热、明火，静电。不相容的物质:强酸、强碱、强氧化剂。聚合危害:不聚合。危险的分解产物:燃烧分解会产生氮氧化物。主要用途:主要用于物体表面装饰、保护。</w:t>
                  </w:r>
                </w:p>
              </w:tc>
            </w:tr>
            <w:tr w14:paraId="31A41C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tcBorders>
                    <w:tl2br w:val="nil"/>
                    <w:tr2bl w:val="nil"/>
                  </w:tcBorders>
                  <w:shd w:val="clear" w:color="auto" w:fill="auto"/>
                  <w:noWrap w:val="0"/>
                  <w:vAlign w:val="center"/>
                </w:tcPr>
                <w:p w14:paraId="1AFC674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Cs/>
                      <w:color w:val="auto"/>
                      <w:spacing w:val="0"/>
                      <w:kern w:val="2"/>
                      <w:position w:val="0"/>
                      <w:sz w:val="21"/>
                      <w:szCs w:val="21"/>
                      <w:highlight w:val="none"/>
                      <w:u w:val="none" w:color="auto"/>
                      <w:lang w:val="en-US" w:eastAsia="zh-CN" w:bidi="ar-SA"/>
                    </w:rPr>
                  </w:pPr>
                  <w:r>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t>醇酸面漆</w:t>
                  </w:r>
                </w:p>
              </w:tc>
              <w:tc>
                <w:tcPr>
                  <w:tcW w:w="4494" w:type="pct"/>
                  <w:tcBorders>
                    <w:tl2br w:val="nil"/>
                    <w:tr2bl w:val="nil"/>
                  </w:tcBorders>
                  <w:shd w:val="clear" w:color="auto" w:fill="auto"/>
                  <w:noWrap w:val="0"/>
                  <w:vAlign w:val="center"/>
                </w:tcPr>
                <w:p w14:paraId="76F50817">
                  <w:pPr>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0"/>
                      <w:kern w:val="2"/>
                      <w:position w:val="0"/>
                      <w:sz w:val="21"/>
                      <w:szCs w:val="21"/>
                      <w:highlight w:val="none"/>
                      <w:u w:val="none" w:color="auto"/>
                      <w:vertAlign w:val="baseline"/>
                      <w:lang w:val="en-US" w:eastAsia="zh-CN" w:bidi="ar-SA"/>
                    </w:rPr>
                  </w:pPr>
                  <w:r>
                    <w:rPr>
                      <w:rFonts w:hint="eastAsia" w:ascii="Times New Roman" w:hAnsi="Times New Roman" w:eastAsia="宋体" w:cs="Times New Roman"/>
                      <w:color w:val="auto"/>
                      <w:spacing w:val="0"/>
                      <w:w w:val="100"/>
                      <w:sz w:val="21"/>
                      <w:szCs w:val="21"/>
                      <w:u w:val="none" w:color="auto"/>
                      <w:lang w:val="en-US" w:eastAsia="zh-CN"/>
                    </w:rPr>
                    <w:t>醇酸面漆是一种单组份醇酸树脂面漆，可制成多种颜色。醇酸面漆是防护涂料可用于多种工业环境，包括海上设施、石化厂和化工厂。适用于需要经济性能的单组份面漆、略受化学品腐蚀的部位。这种面漆比较美观，与其它醇酸树脂涂料配套，可用于室外或室内。醇酸面漆成分：</w:t>
                  </w:r>
                  <w:r>
                    <w:rPr>
                      <w:rFonts w:hint="default" w:ascii="Times New Roman" w:hAnsi="Times New Roman" w:eastAsia="宋体" w:cs="Times New Roman"/>
                      <w:color w:val="auto"/>
                      <w:spacing w:val="0"/>
                      <w:w w:val="100"/>
                      <w:sz w:val="21"/>
                      <w:szCs w:val="21"/>
                      <w:u w:val="none" w:color="auto"/>
                      <w:lang w:val="en-US" w:eastAsia="zh-CN"/>
                    </w:rPr>
                    <w:fldChar w:fldCharType="begin"/>
                  </w:r>
                  <w:r>
                    <w:rPr>
                      <w:rFonts w:hint="default" w:ascii="Times New Roman" w:hAnsi="Times New Roman" w:eastAsia="宋体" w:cs="Times New Roman"/>
                      <w:color w:val="auto"/>
                      <w:spacing w:val="0"/>
                      <w:w w:val="100"/>
                      <w:sz w:val="21"/>
                      <w:szCs w:val="21"/>
                      <w:u w:val="none" w:color="auto"/>
                      <w:lang w:val="en-US" w:eastAsia="zh-CN"/>
                    </w:rPr>
                    <w:instrText xml:space="preserve"> HYPERLINK "https://baike.so.com/doc/588175-622637.html" \t "https://baike.so.com/doc/_blank" </w:instrText>
                  </w:r>
                  <w:r>
                    <w:rPr>
                      <w:rFonts w:hint="default" w:ascii="Times New Roman" w:hAnsi="Times New Roman" w:eastAsia="宋体" w:cs="Times New Roman"/>
                      <w:color w:val="auto"/>
                      <w:spacing w:val="0"/>
                      <w:w w:val="100"/>
                      <w:sz w:val="21"/>
                      <w:szCs w:val="21"/>
                      <w:u w:val="none" w:color="auto"/>
                      <w:lang w:val="en-US" w:eastAsia="zh-CN"/>
                    </w:rPr>
                    <w:fldChar w:fldCharType="separate"/>
                  </w:r>
                  <w:r>
                    <w:rPr>
                      <w:rFonts w:hint="default" w:ascii="Times New Roman" w:hAnsi="Times New Roman" w:eastAsia="宋体" w:cs="Times New Roman"/>
                      <w:color w:val="auto"/>
                      <w:spacing w:val="0"/>
                      <w:w w:val="100"/>
                      <w:sz w:val="21"/>
                      <w:szCs w:val="21"/>
                      <w:u w:val="none" w:color="auto"/>
                      <w:lang w:val="en-US" w:eastAsia="zh-CN"/>
                    </w:rPr>
                    <w:t>醇酸树脂</w:t>
                  </w:r>
                  <w:r>
                    <w:rPr>
                      <w:rFonts w:hint="default" w:ascii="Times New Roman" w:hAnsi="Times New Roman" w:eastAsia="宋体" w:cs="Times New Roman"/>
                      <w:color w:val="auto"/>
                      <w:spacing w:val="0"/>
                      <w:w w:val="100"/>
                      <w:sz w:val="21"/>
                      <w:szCs w:val="21"/>
                      <w:u w:val="none" w:color="auto"/>
                      <w:lang w:val="en-US" w:eastAsia="zh-CN"/>
                    </w:rPr>
                    <w:fldChar w:fldCharType="end"/>
                  </w:r>
                  <w:r>
                    <w:rPr>
                      <w:rFonts w:hint="default" w:ascii="Times New Roman" w:hAnsi="Times New Roman" w:eastAsia="宋体" w:cs="Times New Roman"/>
                      <w:color w:val="auto"/>
                      <w:spacing w:val="0"/>
                      <w:w w:val="100"/>
                      <w:sz w:val="21"/>
                      <w:szCs w:val="21"/>
                      <w:u w:val="none" w:color="auto"/>
                      <w:lang w:val="en-US" w:eastAsia="zh-CN"/>
                    </w:rPr>
                    <w:t>、颜料、填料、助剂、溶剂</w:t>
                  </w:r>
                  <w:r>
                    <w:rPr>
                      <w:rFonts w:hint="eastAsia" w:ascii="Times New Roman" w:hAnsi="Times New Roman" w:eastAsia="宋体" w:cs="Times New Roman"/>
                      <w:color w:val="auto"/>
                      <w:spacing w:val="0"/>
                      <w:w w:val="100"/>
                      <w:sz w:val="21"/>
                      <w:szCs w:val="21"/>
                      <w:u w:val="none" w:color="auto"/>
                      <w:lang w:val="en-US" w:eastAsia="zh-CN"/>
                    </w:rPr>
                    <w:t>。各成分及比例为：醇酸树脂50</w:t>
                  </w:r>
                  <w:r>
                    <w:rPr>
                      <w:rFonts w:hint="eastAsia" w:cs="Times New Roman"/>
                      <w:color w:val="auto"/>
                      <w:spacing w:val="0"/>
                      <w:w w:val="100"/>
                      <w:sz w:val="21"/>
                      <w:szCs w:val="21"/>
                      <w:u w:val="none" w:color="auto"/>
                      <w:lang w:val="en-US" w:eastAsia="zh-CN"/>
                    </w:rPr>
                    <w:t>-65</w:t>
                  </w:r>
                  <w:r>
                    <w:rPr>
                      <w:rFonts w:hint="eastAsia" w:ascii="Times New Roman" w:hAnsi="Times New Roman" w:eastAsia="宋体" w:cs="Times New Roman"/>
                      <w:color w:val="auto"/>
                      <w:spacing w:val="0"/>
                      <w:w w:val="100"/>
                      <w:sz w:val="21"/>
                      <w:szCs w:val="21"/>
                      <w:u w:val="none" w:color="auto"/>
                      <w:lang w:val="en-US" w:eastAsia="zh-CN"/>
                    </w:rPr>
                    <w:t>%，颜料</w:t>
                  </w:r>
                  <w:r>
                    <w:rPr>
                      <w:rFonts w:hint="eastAsia" w:cs="Times New Roman"/>
                      <w:color w:val="auto"/>
                      <w:spacing w:val="0"/>
                      <w:w w:val="100"/>
                      <w:sz w:val="21"/>
                      <w:szCs w:val="21"/>
                      <w:u w:val="none" w:color="auto"/>
                      <w:lang w:val="en-US" w:eastAsia="zh-CN"/>
                    </w:rPr>
                    <w:t>10-</w:t>
                  </w:r>
                  <w:r>
                    <w:rPr>
                      <w:rFonts w:hint="eastAsia" w:ascii="Times New Roman" w:hAnsi="Times New Roman" w:eastAsia="宋体" w:cs="Times New Roman"/>
                      <w:color w:val="auto"/>
                      <w:spacing w:val="0"/>
                      <w:w w:val="100"/>
                      <w:sz w:val="21"/>
                      <w:szCs w:val="21"/>
                      <w:u w:val="none" w:color="auto"/>
                      <w:lang w:val="en-US" w:eastAsia="zh-CN"/>
                    </w:rPr>
                    <w:t>30%，填料</w:t>
                  </w:r>
                  <w:r>
                    <w:rPr>
                      <w:rFonts w:hint="eastAsia" w:cs="Times New Roman"/>
                      <w:color w:val="auto"/>
                      <w:spacing w:val="0"/>
                      <w:w w:val="100"/>
                      <w:sz w:val="21"/>
                      <w:szCs w:val="21"/>
                      <w:u w:val="none" w:color="auto"/>
                      <w:lang w:val="en-US" w:eastAsia="zh-CN"/>
                    </w:rPr>
                    <w:t>0-</w:t>
                  </w:r>
                  <w:r>
                    <w:rPr>
                      <w:rFonts w:hint="eastAsia" w:ascii="Times New Roman" w:hAnsi="Times New Roman" w:eastAsia="宋体" w:cs="Times New Roman"/>
                      <w:color w:val="auto"/>
                      <w:spacing w:val="0"/>
                      <w:w w:val="100"/>
                      <w:sz w:val="21"/>
                      <w:szCs w:val="21"/>
                      <w:u w:val="none" w:color="auto"/>
                      <w:lang w:val="en-US" w:eastAsia="zh-CN"/>
                    </w:rPr>
                    <w:t>30%，</w:t>
                  </w:r>
                  <w:r>
                    <w:rPr>
                      <w:rFonts w:hint="eastAsia" w:cs="Times New Roman"/>
                      <w:color w:val="auto"/>
                      <w:spacing w:val="0"/>
                      <w:w w:val="100"/>
                      <w:sz w:val="21"/>
                      <w:szCs w:val="21"/>
                      <w:u w:val="none" w:color="auto"/>
                      <w:lang w:val="en-US" w:eastAsia="zh-CN"/>
                    </w:rPr>
                    <w:t>助剂0-5</w:t>
                  </w:r>
                  <w:r>
                    <w:rPr>
                      <w:rFonts w:hint="default" w:ascii="Times New Roman" w:hAnsi="Times New Roman" w:eastAsia="宋体"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、溶剂</w:t>
                  </w:r>
                  <w:r>
                    <w:rPr>
                      <w:rFonts w:hint="eastAsia" w:cs="Times New Roman"/>
                      <w:color w:val="auto"/>
                      <w:spacing w:val="0"/>
                      <w:w w:val="100"/>
                      <w:sz w:val="21"/>
                      <w:szCs w:val="21"/>
                      <w:u w:val="none" w:color="auto"/>
                      <w:lang w:val="en-US" w:eastAsia="zh-CN"/>
                    </w:rPr>
                    <w:t>汽油5-10</w:t>
                  </w:r>
                  <w:r>
                    <w:rPr>
                      <w:rFonts w:hint="default" w:ascii="Times New Roman" w:hAnsi="Times New Roman" w:eastAsia="宋体"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w:t>
                  </w:r>
                  <w:r>
                    <w:rPr>
                      <w:rFonts w:hint="eastAsia" w:eastAsia="宋体" w:cs="Times New Roman"/>
                      <w:color w:val="auto"/>
                      <w:spacing w:val="0"/>
                      <w:w w:val="100"/>
                      <w:sz w:val="21"/>
                      <w:szCs w:val="21"/>
                      <w:u w:val="none" w:color="auto"/>
                      <w:lang w:eastAsia="zh-CN"/>
                    </w:rPr>
                    <w:t>面漆与稀释剂按</w:t>
                  </w:r>
                  <w:r>
                    <w:rPr>
                      <w:rFonts w:hint="eastAsia" w:eastAsia="宋体" w:cs="Times New Roman"/>
                      <w:color w:val="auto"/>
                      <w:spacing w:val="0"/>
                      <w:w w:val="100"/>
                      <w:sz w:val="21"/>
                      <w:szCs w:val="21"/>
                      <w:u w:val="none" w:color="auto"/>
                      <w:lang w:val="en-US" w:eastAsia="zh-CN"/>
                    </w:rPr>
                    <w:t>5：0.5的比例混合。</w:t>
                  </w:r>
                  <w:r>
                    <w:rPr>
                      <w:rFonts w:hint="eastAsia"/>
                      <w:color w:val="auto"/>
                    </w:rPr>
                    <w:t>外观与性状:粘稠透明或有色液体。气味:有刺激性气味。PH值:不适用。熔点/凝固点:≤50</w:t>
                  </w:r>
                  <w:r>
                    <w:rPr>
                      <w:rFonts w:hint="eastAsia" w:ascii="宋体" w:hAnsi="宋体" w:eastAsia="宋体" w:cs="宋体"/>
                      <w:color w:val="auto"/>
                    </w:rPr>
                    <w:t>℃</w:t>
                  </w:r>
                  <w:r>
                    <w:rPr>
                      <w:rFonts w:hint="eastAsia" w:eastAsia="宋体"/>
                      <w:color w:val="auto"/>
                      <w:lang w:eastAsia="zh-CN"/>
                    </w:rPr>
                    <w:t>。</w:t>
                  </w:r>
                  <w:r>
                    <w:rPr>
                      <w:rFonts w:hint="eastAsia"/>
                      <w:color w:val="auto"/>
                    </w:rPr>
                    <w:t>沸点、初沸点:在沸腾前已经分解</w:t>
                  </w:r>
                  <w:r>
                    <w:rPr>
                      <w:rFonts w:hint="eastAsia"/>
                      <w:color w:val="auto"/>
                      <w:lang w:eastAsia="zh-CN"/>
                    </w:rPr>
                    <w:t>。</w:t>
                  </w:r>
                  <w:r>
                    <w:rPr>
                      <w:rFonts w:hint="eastAsia"/>
                      <w:color w:val="auto"/>
                    </w:rPr>
                    <w:t>闪点</w:t>
                  </w:r>
                  <w:r>
                    <w:rPr>
                      <w:rFonts w:hint="eastAsia"/>
                      <w:color w:val="auto"/>
                      <w:lang w:eastAsia="zh-CN"/>
                    </w:rPr>
                    <w:t>：</w:t>
                  </w:r>
                  <w:r>
                    <w:rPr>
                      <w:rFonts w:hint="eastAsia"/>
                      <w:color w:val="auto"/>
                    </w:rPr>
                    <w:t>28-34</w:t>
                  </w:r>
                  <w:r>
                    <w:rPr>
                      <w:rFonts w:hint="eastAsia" w:ascii="宋体" w:hAnsi="宋体" w:eastAsia="宋体" w:cs="宋体"/>
                      <w:color w:val="auto"/>
                    </w:rPr>
                    <w:t>℃</w:t>
                  </w:r>
                  <w:r>
                    <w:rPr>
                      <w:rFonts w:hint="eastAsia"/>
                      <w:color w:val="auto"/>
                      <w:lang w:eastAsia="zh-CN"/>
                    </w:rPr>
                    <w:t>。</w:t>
                  </w:r>
                  <w:r>
                    <w:rPr>
                      <w:rFonts w:hint="eastAsia"/>
                      <w:color w:val="auto"/>
                    </w:rPr>
                    <w:t>爆炸下限[%(v/v)]</w:t>
                  </w:r>
                  <w:r>
                    <w:rPr>
                      <w:rFonts w:hint="eastAsia"/>
                      <w:color w:val="auto"/>
                      <w:lang w:eastAsia="zh-CN"/>
                    </w:rPr>
                    <w:t>：</w:t>
                  </w:r>
                  <w:r>
                    <w:rPr>
                      <w:rFonts w:hint="eastAsia"/>
                      <w:color w:val="auto"/>
                    </w:rPr>
                    <w:t>1.1</w:t>
                  </w:r>
                  <w:r>
                    <w:rPr>
                      <w:rFonts w:hint="eastAsia"/>
                      <w:color w:val="auto"/>
                      <w:lang w:eastAsia="zh-CN"/>
                    </w:rPr>
                    <w:t>。</w:t>
                  </w:r>
                  <w:r>
                    <w:rPr>
                      <w:rFonts w:hint="eastAsia"/>
                      <w:color w:val="auto"/>
                    </w:rPr>
                    <w:t>爆炸上限[%(v/v)]</w:t>
                  </w:r>
                  <w:r>
                    <w:rPr>
                      <w:rFonts w:hint="eastAsia"/>
                      <w:color w:val="auto"/>
                      <w:lang w:eastAsia="zh-CN"/>
                    </w:rPr>
                    <w:t>：</w:t>
                  </w:r>
                  <w:r>
                    <w:rPr>
                      <w:rFonts w:hint="eastAsia"/>
                      <w:color w:val="auto"/>
                    </w:rPr>
                    <w:t>12.7</w:t>
                  </w:r>
                  <w:r>
                    <w:rPr>
                      <w:rFonts w:hint="eastAsia"/>
                      <w:color w:val="auto"/>
                      <w:lang w:eastAsia="zh-CN"/>
                    </w:rPr>
                    <w:t>。</w:t>
                  </w:r>
                  <w:r>
                    <w:rPr>
                      <w:rFonts w:hint="eastAsia"/>
                      <w:color w:val="auto"/>
                    </w:rPr>
                    <w:t>蒸气密度</w:t>
                  </w:r>
                  <w:r>
                    <w:rPr>
                      <w:rFonts w:hint="eastAsia"/>
                      <w:color w:val="auto"/>
                      <w:lang w:eastAsia="zh-CN"/>
                    </w:rPr>
                    <w:t>：</w:t>
                  </w:r>
                  <w:r>
                    <w:rPr>
                      <w:rFonts w:hint="eastAsia"/>
                      <w:color w:val="auto"/>
                    </w:rPr>
                    <w:t>2.5~4. 1</w:t>
                  </w:r>
                  <w:r>
                    <w:rPr>
                      <w:rFonts w:hint="eastAsia"/>
                      <w:color w:val="auto"/>
                      <w:lang w:eastAsia="zh-CN"/>
                    </w:rPr>
                    <w:t>。</w:t>
                  </w:r>
                  <w:r>
                    <w:rPr>
                      <w:rFonts w:hint="eastAsia"/>
                      <w:color w:val="auto"/>
                    </w:rPr>
                    <w:t>密度/相对密度</w:t>
                  </w:r>
                  <w:r>
                    <w:rPr>
                      <w:rFonts w:hint="eastAsia"/>
                      <w:color w:val="auto"/>
                      <w:lang w:eastAsia="zh-CN"/>
                    </w:rPr>
                    <w:t>：</w:t>
                  </w:r>
                  <w:r>
                    <w:rPr>
                      <w:rFonts w:hint="eastAsia"/>
                      <w:color w:val="auto"/>
                    </w:rPr>
                    <w:t xml:space="preserve">(水=1) </w:t>
                  </w:r>
                  <w:r>
                    <w:rPr>
                      <w:rFonts w:hint="eastAsia"/>
                      <w:color w:val="auto"/>
                      <w:lang w:eastAsia="zh-CN"/>
                    </w:rPr>
                    <w:t>：</w:t>
                  </w:r>
                  <w:r>
                    <w:rPr>
                      <w:rFonts w:hint="eastAsia"/>
                      <w:color w:val="auto"/>
                    </w:rPr>
                    <w:t>0.85- 1.45。溶解性:不溶于水，溶于酮、酯、醇、醚、苯等有机溶剂。</w:t>
                  </w:r>
                  <w:r>
                    <w:rPr>
                      <w:rFonts w:hint="eastAsia"/>
                      <w:color w:val="auto"/>
                      <w:lang w:eastAsia="zh-CN"/>
                    </w:rPr>
                    <w:t>易燃性：易燃液体。稳定性:常温下稳定。</w:t>
                  </w:r>
                  <w:r>
                    <w:rPr>
                      <w:rFonts w:hint="eastAsia"/>
                      <w:color w:val="auto"/>
                    </w:rPr>
                    <w:t>应避免的条件:高热、明火，静电。不相容的物质:强酸、强碱、强氧化剂。聚合危害:不聚合。危险的分解产物:燃烧分解会产生氮氧化物。主要用途:主要用于物体表面装饰、保护。</w:t>
                  </w:r>
                </w:p>
              </w:tc>
            </w:tr>
            <w:tr w14:paraId="5D4D4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tcBorders>
                    <w:tl2br w:val="nil"/>
                    <w:tr2bl w:val="nil"/>
                  </w:tcBorders>
                  <w:shd w:val="clear" w:color="auto" w:fill="auto"/>
                  <w:noWrap w:val="0"/>
                  <w:vAlign w:val="center"/>
                </w:tcPr>
                <w:p w14:paraId="3A254BC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Cs/>
                      <w:color w:val="auto"/>
                      <w:spacing w:val="0"/>
                      <w:kern w:val="2"/>
                      <w:position w:val="0"/>
                      <w:sz w:val="21"/>
                      <w:szCs w:val="21"/>
                      <w:highlight w:val="none"/>
                      <w:u w:val="none" w:color="auto"/>
                      <w:lang w:val="en-US" w:eastAsia="zh-CN" w:bidi="ar-SA"/>
                    </w:rPr>
                  </w:pPr>
                  <w:r>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t>环氧富锌底漆</w:t>
                  </w:r>
                </w:p>
              </w:tc>
              <w:tc>
                <w:tcPr>
                  <w:tcW w:w="4494" w:type="pct"/>
                  <w:tcBorders>
                    <w:tl2br w:val="nil"/>
                    <w:tr2bl w:val="nil"/>
                  </w:tcBorders>
                  <w:shd w:val="clear" w:color="auto" w:fill="auto"/>
                  <w:noWrap w:val="0"/>
                  <w:vAlign w:val="center"/>
                </w:tcPr>
                <w:p w14:paraId="4D388931">
                  <w:pPr>
                    <w:keepNext w:val="0"/>
                    <w:keepLines w:val="0"/>
                    <w:suppressLineNumbers w:val="0"/>
                    <w:spacing w:before="0" w:beforeLines="0" w:beforeAutospacing="0" w:after="0" w:afterLines="0" w:afterAutospacing="0" w:line="240" w:lineRule="auto"/>
                    <w:ind w:left="0" w:right="0"/>
                    <w:jc w:val="left"/>
                    <w:rPr>
                      <w:rFonts w:hint="eastAsia" w:ascii="Times New Roman" w:hAnsi="Times New Roman" w:eastAsia="宋体" w:cs="Times New Roman"/>
                      <w:bCs/>
                      <w:color w:val="auto"/>
                      <w:spacing w:val="0"/>
                      <w:position w:val="0"/>
                      <w:sz w:val="21"/>
                      <w:szCs w:val="21"/>
                      <w:highlight w:val="none"/>
                      <w:u w:val="none" w:color="auto"/>
                      <w:vertAlign w:val="baseline"/>
                      <w:lang w:eastAsia="zh-CN"/>
                    </w:rPr>
                  </w:pPr>
                  <w:r>
                    <w:rPr>
                      <w:rFonts w:hint="default" w:ascii="Times New Roman" w:hAnsi="Times New Roman" w:eastAsia="宋体" w:cs="Times New Roman"/>
                      <w:color w:val="auto"/>
                      <w:spacing w:val="0"/>
                      <w:w w:val="100"/>
                      <w:sz w:val="21"/>
                      <w:szCs w:val="21"/>
                      <w:u w:val="none" w:color="auto"/>
                      <w:lang w:val="en-US" w:eastAsia="zh-CN"/>
                    </w:rPr>
                    <w:t>环氧富锌底漆是</w:t>
                  </w:r>
                  <w:r>
                    <w:rPr>
                      <w:rFonts w:hint="eastAsia" w:ascii="Times New Roman" w:hAnsi="Times New Roman" w:eastAsia="宋体" w:cs="Times New Roman"/>
                      <w:color w:val="auto"/>
                      <w:spacing w:val="0"/>
                      <w:w w:val="100"/>
                      <w:sz w:val="21"/>
                      <w:szCs w:val="21"/>
                      <w:u w:val="none" w:color="auto"/>
                      <w:lang w:val="en-US" w:eastAsia="zh-CN"/>
                    </w:rPr>
                    <w:t>由</w:t>
                  </w:r>
                  <w:r>
                    <w:rPr>
                      <w:rFonts w:hint="default" w:ascii="Times New Roman" w:hAnsi="Times New Roman" w:eastAsia="宋体" w:cs="Times New Roman"/>
                      <w:color w:val="auto"/>
                      <w:spacing w:val="0"/>
                      <w:w w:val="100"/>
                      <w:sz w:val="21"/>
                      <w:szCs w:val="21"/>
                      <w:u w:val="none" w:color="auto"/>
                      <w:lang w:val="en-US" w:eastAsia="zh-CN"/>
                    </w:rPr>
                    <w:fldChar w:fldCharType="begin"/>
                  </w:r>
                  <w:r>
                    <w:rPr>
                      <w:rFonts w:hint="default" w:ascii="Times New Roman" w:hAnsi="Times New Roman" w:eastAsia="宋体" w:cs="Times New Roman"/>
                      <w:color w:val="auto"/>
                      <w:spacing w:val="0"/>
                      <w:w w:val="100"/>
                      <w:sz w:val="21"/>
                      <w:szCs w:val="21"/>
                      <w:u w:val="none" w:color="auto"/>
                      <w:lang w:val="en-US" w:eastAsia="zh-CN"/>
                    </w:rPr>
                    <w:instrText xml:space="preserve"> HYPERLINK "https://baike.so.com/doc/995574-1052438.html" \t "https://baike.so.com/doc/_blank" </w:instrText>
                  </w:r>
                  <w:r>
                    <w:rPr>
                      <w:rFonts w:hint="default" w:ascii="Times New Roman" w:hAnsi="Times New Roman" w:eastAsia="宋体" w:cs="Times New Roman"/>
                      <w:color w:val="auto"/>
                      <w:spacing w:val="0"/>
                      <w:w w:val="100"/>
                      <w:sz w:val="21"/>
                      <w:szCs w:val="21"/>
                      <w:u w:val="none" w:color="auto"/>
                      <w:lang w:val="en-US" w:eastAsia="zh-CN"/>
                    </w:rPr>
                    <w:fldChar w:fldCharType="separate"/>
                  </w:r>
                  <w:r>
                    <w:rPr>
                      <w:rFonts w:hint="default" w:ascii="Times New Roman" w:hAnsi="Times New Roman" w:eastAsia="宋体" w:cs="Times New Roman"/>
                      <w:color w:val="auto"/>
                      <w:spacing w:val="0"/>
                      <w:w w:val="100"/>
                      <w:sz w:val="21"/>
                      <w:szCs w:val="21"/>
                      <w:u w:val="none" w:color="auto"/>
                      <w:lang w:val="en-US" w:eastAsia="zh-CN"/>
                    </w:rPr>
                    <w:t>环氧树脂</w:t>
                  </w:r>
                  <w:r>
                    <w:rPr>
                      <w:rFonts w:hint="default" w:ascii="Times New Roman" w:hAnsi="Times New Roman" w:eastAsia="宋体" w:cs="Times New Roman"/>
                      <w:color w:val="auto"/>
                      <w:spacing w:val="0"/>
                      <w:w w:val="100"/>
                      <w:sz w:val="21"/>
                      <w:szCs w:val="21"/>
                      <w:u w:val="none" w:color="auto"/>
                      <w:lang w:val="en-US" w:eastAsia="zh-CN"/>
                    </w:rPr>
                    <w:fldChar w:fldCharType="end"/>
                  </w:r>
                  <w:r>
                    <w:rPr>
                      <w:rFonts w:hint="default" w:ascii="Times New Roman" w:hAnsi="Times New Roman" w:eastAsia="宋体" w:cs="Times New Roman"/>
                      <w:color w:val="auto"/>
                      <w:spacing w:val="0"/>
                      <w:w w:val="100"/>
                      <w:sz w:val="21"/>
                      <w:szCs w:val="21"/>
                      <w:u w:val="none" w:color="auto"/>
                      <w:lang w:val="en-US" w:eastAsia="zh-CN"/>
                    </w:rPr>
                    <w:t>为基料配以锌粉、助剂、聚酰胺而成</w:t>
                  </w:r>
                  <w:r>
                    <w:rPr>
                      <w:rFonts w:hint="eastAsia" w:ascii="Times New Roman" w:hAnsi="Times New Roman" w:eastAsia="宋体" w:cs="Times New Roman"/>
                      <w:color w:val="auto"/>
                      <w:spacing w:val="0"/>
                      <w:w w:val="100"/>
                      <w:sz w:val="21"/>
                      <w:szCs w:val="21"/>
                      <w:u w:val="none" w:color="auto"/>
                      <w:lang w:val="en-US" w:eastAsia="zh-CN"/>
                    </w:rPr>
                    <w:t>的</w:t>
                  </w:r>
                  <w:r>
                    <w:rPr>
                      <w:rFonts w:hint="default" w:ascii="Times New Roman" w:hAnsi="Times New Roman" w:eastAsia="宋体" w:cs="Times New Roman"/>
                      <w:color w:val="auto"/>
                      <w:spacing w:val="0"/>
                      <w:w w:val="100"/>
                      <w:sz w:val="21"/>
                      <w:szCs w:val="21"/>
                      <w:u w:val="none" w:color="auto"/>
                      <w:lang w:val="en-US" w:eastAsia="zh-CN"/>
                    </w:rPr>
                    <w:fldChar w:fldCharType="begin"/>
                  </w:r>
                  <w:r>
                    <w:rPr>
                      <w:rFonts w:hint="default" w:ascii="Times New Roman" w:hAnsi="Times New Roman" w:eastAsia="宋体" w:cs="Times New Roman"/>
                      <w:color w:val="auto"/>
                      <w:spacing w:val="0"/>
                      <w:w w:val="100"/>
                      <w:sz w:val="21"/>
                      <w:szCs w:val="21"/>
                      <w:u w:val="none" w:color="auto"/>
                      <w:lang w:val="en-US" w:eastAsia="zh-CN"/>
                    </w:rPr>
                    <w:instrText xml:space="preserve"> HYPERLINK "https://baike.so.com/doc/2559671-2703283.html" \t "https://baike.so.com/doc/_blank" </w:instrText>
                  </w:r>
                  <w:r>
                    <w:rPr>
                      <w:rFonts w:hint="default" w:ascii="Times New Roman" w:hAnsi="Times New Roman" w:eastAsia="宋体" w:cs="Times New Roman"/>
                      <w:color w:val="auto"/>
                      <w:spacing w:val="0"/>
                      <w:w w:val="100"/>
                      <w:sz w:val="21"/>
                      <w:szCs w:val="21"/>
                      <w:u w:val="none" w:color="auto"/>
                      <w:lang w:val="en-US" w:eastAsia="zh-CN"/>
                    </w:rPr>
                    <w:fldChar w:fldCharType="separate"/>
                  </w:r>
                  <w:r>
                    <w:rPr>
                      <w:rFonts w:hint="default" w:ascii="Times New Roman" w:hAnsi="Times New Roman" w:eastAsia="宋体" w:cs="Times New Roman"/>
                      <w:color w:val="auto"/>
                      <w:spacing w:val="0"/>
                      <w:w w:val="100"/>
                      <w:sz w:val="21"/>
                      <w:szCs w:val="21"/>
                      <w:u w:val="none" w:color="auto"/>
                      <w:lang w:val="en-US" w:eastAsia="zh-CN"/>
                    </w:rPr>
                    <w:t>特种涂料</w:t>
                  </w:r>
                  <w:r>
                    <w:rPr>
                      <w:rFonts w:hint="default" w:ascii="Times New Roman" w:hAnsi="Times New Roman" w:eastAsia="宋体" w:cs="Times New Roman"/>
                      <w:color w:val="auto"/>
                      <w:spacing w:val="0"/>
                      <w:w w:val="100"/>
                      <w:sz w:val="21"/>
                      <w:szCs w:val="21"/>
                      <w:u w:val="none" w:color="auto"/>
                      <w:lang w:val="en-US" w:eastAsia="zh-CN"/>
                    </w:rPr>
                    <w:fldChar w:fldCharType="end"/>
                  </w:r>
                  <w:r>
                    <w:rPr>
                      <w:rFonts w:hint="default" w:ascii="Times New Roman" w:hAnsi="Times New Roman" w:eastAsia="宋体" w:cs="Times New Roman"/>
                      <w:color w:val="auto"/>
                      <w:spacing w:val="0"/>
                      <w:w w:val="100"/>
                      <w:sz w:val="21"/>
                      <w:szCs w:val="21"/>
                      <w:u w:val="none" w:color="auto"/>
                      <w:lang w:val="en-US" w:eastAsia="zh-CN"/>
                    </w:rPr>
                    <w:t>产品</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防腐性能优异，附著力强，漆膜中锌粉含量高，具有阴极保护作用，耐水性能优异。作重</w:t>
                  </w:r>
                  <w:r>
                    <w:rPr>
                      <w:rFonts w:hint="default" w:ascii="Times New Roman" w:hAnsi="Times New Roman" w:eastAsia="宋体" w:cs="Times New Roman"/>
                      <w:color w:val="auto"/>
                      <w:spacing w:val="0"/>
                      <w:w w:val="100"/>
                      <w:sz w:val="21"/>
                      <w:szCs w:val="21"/>
                      <w:u w:val="none" w:color="auto"/>
                      <w:lang w:val="en-US" w:eastAsia="zh-CN"/>
                    </w:rPr>
                    <w:fldChar w:fldCharType="begin"/>
                  </w:r>
                  <w:r>
                    <w:rPr>
                      <w:rFonts w:hint="default" w:ascii="Times New Roman" w:hAnsi="Times New Roman" w:eastAsia="宋体" w:cs="Times New Roman"/>
                      <w:color w:val="auto"/>
                      <w:spacing w:val="0"/>
                      <w:w w:val="100"/>
                      <w:sz w:val="21"/>
                      <w:szCs w:val="21"/>
                      <w:u w:val="none" w:color="auto"/>
                      <w:lang w:val="en-US" w:eastAsia="zh-CN"/>
                    </w:rPr>
                    <w:instrText xml:space="preserve"> HYPERLINK "https://baike.so.com/doc/3474862-3655983.html" \t "https://baike.so.com/doc/_blank" </w:instrText>
                  </w:r>
                  <w:r>
                    <w:rPr>
                      <w:rFonts w:hint="default" w:ascii="Times New Roman" w:hAnsi="Times New Roman" w:eastAsia="宋体" w:cs="Times New Roman"/>
                      <w:color w:val="auto"/>
                      <w:spacing w:val="0"/>
                      <w:w w:val="100"/>
                      <w:sz w:val="21"/>
                      <w:szCs w:val="21"/>
                      <w:u w:val="none" w:color="auto"/>
                      <w:lang w:val="en-US" w:eastAsia="zh-CN"/>
                    </w:rPr>
                    <w:fldChar w:fldCharType="separate"/>
                  </w:r>
                  <w:r>
                    <w:rPr>
                      <w:rFonts w:hint="default" w:ascii="Times New Roman" w:hAnsi="Times New Roman" w:eastAsia="宋体" w:cs="Times New Roman"/>
                      <w:color w:val="auto"/>
                      <w:spacing w:val="0"/>
                      <w:w w:val="100"/>
                      <w:sz w:val="21"/>
                      <w:szCs w:val="21"/>
                      <w:u w:val="none" w:color="auto"/>
                      <w:lang w:val="en-US" w:eastAsia="zh-CN"/>
                    </w:rPr>
                    <w:t>防腐涂层</w:t>
                  </w:r>
                  <w:r>
                    <w:rPr>
                      <w:rFonts w:hint="default" w:ascii="Times New Roman" w:hAnsi="Times New Roman" w:eastAsia="宋体" w:cs="Times New Roman"/>
                      <w:color w:val="auto"/>
                      <w:spacing w:val="0"/>
                      <w:w w:val="100"/>
                      <w:sz w:val="21"/>
                      <w:szCs w:val="21"/>
                      <w:u w:val="none" w:color="auto"/>
                      <w:lang w:val="en-US" w:eastAsia="zh-CN"/>
                    </w:rPr>
                    <w:fldChar w:fldCharType="end"/>
                  </w:r>
                  <w:r>
                    <w:rPr>
                      <w:rFonts w:hint="default" w:ascii="Times New Roman" w:hAnsi="Times New Roman" w:eastAsia="宋体" w:cs="Times New Roman"/>
                      <w:color w:val="auto"/>
                      <w:spacing w:val="0"/>
                      <w:w w:val="100"/>
                      <w:sz w:val="21"/>
                      <w:szCs w:val="21"/>
                      <w:u w:val="none" w:color="auto"/>
                      <w:lang w:val="en-US" w:eastAsia="zh-CN"/>
                    </w:rPr>
                    <w:t>的配套底漆，有阴极保护作用，适用于储罐、集装箱、钢结构、钢管、海洋平台、船舶、海港设施以及恶劣防腐蚀环境的底涂层等。</w:t>
                  </w:r>
                  <w:r>
                    <w:rPr>
                      <w:rFonts w:hint="eastAsia" w:ascii="Times New Roman" w:hAnsi="Times New Roman" w:eastAsia="宋体" w:cs="Times New Roman"/>
                      <w:color w:val="auto"/>
                      <w:spacing w:val="0"/>
                      <w:w w:val="100"/>
                      <w:sz w:val="21"/>
                      <w:szCs w:val="21"/>
                      <w:u w:val="none" w:color="auto"/>
                      <w:lang w:val="en-US" w:eastAsia="zh-CN"/>
                    </w:rPr>
                    <w:t>根据建设方提供资料，本项目使用环氧富锌底漆主要成分及含量为：</w:t>
                  </w:r>
                  <w:r>
                    <w:rPr>
                      <w:rFonts w:hint="eastAsia"/>
                      <w:lang w:val="en-US" w:eastAsia="zh-CN"/>
                    </w:rPr>
                    <w:t>环氧树脂20-25%；助剂2-3%；锌粉45-70%。</w:t>
                  </w:r>
                  <w:r>
                    <w:rPr>
                      <w:rFonts w:hint="default"/>
                      <w:lang w:val="en-US" w:eastAsia="zh-CN"/>
                    </w:rPr>
                    <w:t>物理状态:液体。PH:无意义。熔点:无意义。沸点:无资料。气味:特定的。颜色:特定的。闪点:闭杯</w:t>
                  </w:r>
                  <w:r>
                    <w:rPr>
                      <w:rFonts w:hint="eastAsia"/>
                      <w:lang w:val="en-US" w:eastAsia="zh-CN"/>
                    </w:rPr>
                    <w:t>：</w:t>
                  </w:r>
                  <w:r>
                    <w:rPr>
                      <w:rFonts w:hint="default"/>
                      <w:lang w:val="en-US" w:eastAsia="zh-CN"/>
                    </w:rPr>
                    <w:t>&gt;63°C(73.4F)</w:t>
                  </w:r>
                  <w:r>
                    <w:rPr>
                      <w:rFonts w:hint="eastAsia"/>
                      <w:lang w:val="en-US" w:eastAsia="zh-CN"/>
                    </w:rPr>
                    <w:t>；</w:t>
                  </w:r>
                  <w:r>
                    <w:rPr>
                      <w:rFonts w:hint="default"/>
                      <w:lang w:val="en-US" w:eastAsia="zh-CN"/>
                    </w:rPr>
                    <w:t>密度:2-2.2 g/cm</w:t>
                  </w:r>
                  <w:r>
                    <w:rPr>
                      <w:rFonts w:hint="default"/>
                      <w:vertAlign w:val="superscript"/>
                      <w:lang w:val="en-US" w:eastAsia="zh-CN"/>
                    </w:rPr>
                    <w:t>3</w:t>
                  </w:r>
                  <w:r>
                    <w:rPr>
                      <w:rFonts w:hint="eastAsia"/>
                      <w:lang w:val="en-US" w:eastAsia="zh-CN"/>
                    </w:rPr>
                    <w:t>；</w:t>
                  </w:r>
                  <w:r>
                    <w:rPr>
                      <w:rFonts w:hint="default"/>
                      <w:lang w:val="en-US" w:eastAsia="zh-CN"/>
                    </w:rPr>
                    <w:t>已知的爆炸范围是:较低的1.5%</w:t>
                  </w:r>
                  <w:r>
                    <w:rPr>
                      <w:rFonts w:hint="eastAsia"/>
                      <w:lang w:val="en-US" w:eastAsia="zh-CN"/>
                    </w:rPr>
                    <w:t>，</w:t>
                  </w:r>
                  <w:r>
                    <w:rPr>
                      <w:rFonts w:hint="default"/>
                      <w:lang w:val="en-US" w:eastAsia="zh-CN"/>
                    </w:rPr>
                    <w:t>较高的11.4%</w:t>
                  </w:r>
                  <w:r>
                    <w:rPr>
                      <w:rFonts w:hint="eastAsia"/>
                      <w:lang w:val="en-US" w:eastAsia="zh-CN"/>
                    </w:rPr>
                    <w:t>；</w:t>
                  </w:r>
                  <w:r>
                    <w:rPr>
                      <w:rFonts w:hint="default"/>
                      <w:lang w:val="en-US" w:eastAsia="zh-CN"/>
                    </w:rPr>
                    <w:t>溶解度:溶于水，热水</w:t>
                  </w:r>
                  <w:r>
                    <w:rPr>
                      <w:rFonts w:hint="eastAsia"/>
                      <w:lang w:val="en-US" w:eastAsia="zh-CN"/>
                    </w:rPr>
                    <w:t>。燃烧性：易燃。</w:t>
                  </w:r>
                </w:p>
              </w:tc>
            </w:tr>
            <w:tr w14:paraId="1DA1C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tcBorders>
                    <w:tl2br w:val="nil"/>
                    <w:tr2bl w:val="nil"/>
                  </w:tcBorders>
                  <w:shd w:val="clear" w:color="auto" w:fill="auto"/>
                  <w:noWrap w:val="0"/>
                  <w:vAlign w:val="center"/>
                </w:tcPr>
                <w:p w14:paraId="518A8590">
                  <w:pPr>
                    <w:pStyle w:val="43"/>
                    <w:spacing w:line="240" w:lineRule="auto"/>
                    <w:ind w:left="0" w:leftChars="0" w:right="0" w:rightChars="0"/>
                    <w:jc w:val="center"/>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pPr>
                  <w:r>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t>环氧云铁中间漆</w:t>
                  </w:r>
                </w:p>
              </w:tc>
              <w:tc>
                <w:tcPr>
                  <w:tcW w:w="4494" w:type="pct"/>
                  <w:tcBorders>
                    <w:tl2br w:val="nil"/>
                    <w:tr2bl w:val="nil"/>
                  </w:tcBorders>
                  <w:shd w:val="clear" w:color="auto" w:fill="auto"/>
                  <w:noWrap w:val="0"/>
                  <w:vAlign w:val="center"/>
                </w:tcPr>
                <w:p w14:paraId="02A381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Times New Roman"/>
                      <w:bCs/>
                      <w:color w:val="auto"/>
                      <w:spacing w:val="0"/>
                      <w:position w:val="0"/>
                      <w:sz w:val="21"/>
                      <w:szCs w:val="21"/>
                      <w:highlight w:val="none"/>
                      <w:u w:val="none" w:color="auto"/>
                      <w:vertAlign w:val="baseline"/>
                      <w:lang w:eastAsia="zh-CN"/>
                    </w:rPr>
                  </w:pPr>
                  <w:r>
                    <w:rPr>
                      <w:rFonts w:hint="eastAsia" w:ascii="Times New Roman" w:hAnsi="Times New Roman" w:eastAsia="宋体" w:cs="Times New Roman"/>
                      <w:color w:val="auto"/>
                      <w:spacing w:val="0"/>
                      <w:w w:val="100"/>
                      <w:sz w:val="21"/>
                      <w:szCs w:val="21"/>
                      <w:u w:val="none" w:color="auto"/>
                      <w:lang w:val="en-US" w:eastAsia="zh-CN"/>
                    </w:rPr>
                    <w:t>主要成分为</w:t>
                  </w:r>
                  <w:r>
                    <w:rPr>
                      <w:rFonts w:hint="eastAsia" w:ascii="Times New Roman" w:hAnsi="Times New Roman" w:cs="Times New Roman"/>
                      <w:color w:val="auto"/>
                      <w:spacing w:val="0"/>
                      <w:w w:val="100"/>
                      <w:sz w:val="21"/>
                      <w:szCs w:val="21"/>
                      <w:u w:val="none" w:color="auto"/>
                      <w:lang w:val="en-US" w:eastAsia="zh-CN"/>
                    </w:rPr>
                    <w:t>：</w:t>
                  </w:r>
                  <w:r>
                    <w:rPr>
                      <w:rFonts w:hint="eastAsia"/>
                      <w:lang w:val="en-US" w:eastAsia="zh-CN"/>
                    </w:rPr>
                    <w:t>环氧树脂：30-35%；粉料：7-9%；增稠剂：3-4%；铝银浆：3-6%；助剂：0.5-1.5%；云母氧化铁：35-40%。危险性类别：第3.3类，液体；侵入途径：吸入、皮肤、眼、误服；环境危害：对水生生物无毒,会对水生环境产生有害作用。燃烧性：不易燃。物理状态：液体。PH：无意义。熔点：无意义。沸点：无资料。气味：特定的。颜色：特定的。闪点：闭杯：&gt;63</w:t>
                  </w:r>
                  <w:r>
                    <w:rPr>
                      <w:rFonts w:hint="eastAsia" w:ascii="宋体" w:hAnsi="宋体" w:eastAsia="宋体" w:cs="宋体"/>
                      <w:lang w:val="en-US" w:eastAsia="zh-CN"/>
                    </w:rPr>
                    <w:t>℃</w:t>
                  </w:r>
                  <w:r>
                    <w:rPr>
                      <w:rFonts w:hint="eastAsia"/>
                      <w:lang w:val="en-US" w:eastAsia="zh-CN"/>
                    </w:rPr>
                    <w:t>(73.4</w:t>
                  </w:r>
                  <w:r>
                    <w:rPr>
                      <w:rFonts w:hint="eastAsia" w:ascii="Times New Roman" w:hAnsi="Times New Roman" w:cs="Times New Roman"/>
                      <w:lang w:val="en-US" w:eastAsia="zh-CN"/>
                    </w:rPr>
                    <w:t>℉</w:t>
                  </w:r>
                  <w:r>
                    <w:rPr>
                      <w:rFonts w:hint="eastAsia"/>
                      <w:lang w:val="en-US" w:eastAsia="zh-CN"/>
                    </w:rPr>
                    <w:t>)；密度：1.65-1.70 g/cm</w:t>
                  </w:r>
                  <w:r>
                    <w:rPr>
                      <w:rFonts w:hint="eastAsia"/>
                      <w:vertAlign w:val="superscript"/>
                      <w:lang w:val="en-US" w:eastAsia="zh-CN"/>
                    </w:rPr>
                    <w:t>3</w:t>
                  </w:r>
                  <w:r>
                    <w:rPr>
                      <w:rFonts w:hint="eastAsia"/>
                      <w:lang w:val="en-US" w:eastAsia="zh-CN"/>
                    </w:rPr>
                    <w:t>；已知的爆炸范围是：较低的1.5%，较高的11.4%；溶解度：溶于水，热水。</w:t>
                  </w:r>
                </w:p>
              </w:tc>
            </w:tr>
            <w:tr w14:paraId="13DDA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tcBorders>
                    <w:tl2br w:val="nil"/>
                    <w:tr2bl w:val="nil"/>
                  </w:tcBorders>
                  <w:shd w:val="clear" w:color="auto" w:fill="auto"/>
                  <w:noWrap w:val="0"/>
                  <w:vAlign w:val="center"/>
                </w:tcPr>
                <w:p w14:paraId="315F8F38">
                  <w:pPr>
                    <w:pStyle w:val="43"/>
                    <w:spacing w:line="240" w:lineRule="auto"/>
                    <w:ind w:left="0" w:leftChars="0" w:right="0" w:rightChars="0"/>
                    <w:jc w:val="center"/>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pPr>
                  <w:r>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t>聚氨</w:t>
                  </w:r>
                  <w:r>
                    <w:rPr>
                      <w:rFonts w:hint="eastAsia" w:ascii="Times New Roman" w:hAnsi="Times New Roman" w:cs="Times New Roman"/>
                      <w:bCs/>
                      <w:color w:val="auto"/>
                      <w:spacing w:val="0"/>
                      <w:kern w:val="2"/>
                      <w:position w:val="0"/>
                      <w:sz w:val="21"/>
                      <w:szCs w:val="21"/>
                      <w:highlight w:val="none"/>
                      <w:u w:val="none" w:color="auto"/>
                      <w:lang w:val="en-US" w:eastAsia="zh-CN" w:bidi="ar-SA"/>
                    </w:rPr>
                    <w:t>酯</w:t>
                  </w:r>
                  <w:r>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t>面漆</w:t>
                  </w:r>
                </w:p>
              </w:tc>
              <w:tc>
                <w:tcPr>
                  <w:tcW w:w="4494" w:type="pct"/>
                  <w:tcBorders>
                    <w:tl2br w:val="nil"/>
                    <w:tr2bl w:val="nil"/>
                  </w:tcBorders>
                  <w:shd w:val="clear" w:color="auto" w:fill="auto"/>
                  <w:noWrap w:val="0"/>
                  <w:vAlign w:val="center"/>
                </w:tcPr>
                <w:p w14:paraId="1EE92D35">
                  <w:pPr>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Times New Roman"/>
                      <w:bCs/>
                      <w:color w:val="auto"/>
                      <w:spacing w:val="0"/>
                      <w:position w:val="0"/>
                      <w:sz w:val="21"/>
                      <w:szCs w:val="21"/>
                      <w:highlight w:val="none"/>
                      <w:u w:val="none" w:color="auto"/>
                      <w:vertAlign w:val="baseline"/>
                      <w:lang w:val="en-US" w:eastAsia="zh-CN"/>
                    </w:rPr>
                  </w:pPr>
                  <w:r>
                    <w:rPr>
                      <w:rFonts w:hint="eastAsia" w:ascii="Times New Roman" w:hAnsi="Times New Roman" w:eastAsia="宋体" w:cs="Times New Roman"/>
                      <w:color w:val="auto"/>
                      <w:spacing w:val="0"/>
                      <w:w w:val="100"/>
                      <w:sz w:val="21"/>
                      <w:szCs w:val="21"/>
                      <w:u w:val="none" w:color="auto"/>
                      <w:lang w:val="en-US" w:eastAsia="zh-CN"/>
                    </w:rPr>
                    <w:t>主要成分为</w:t>
                  </w:r>
                  <w:r>
                    <w:rPr>
                      <w:rFonts w:hint="eastAsia" w:ascii="Times New Roman" w:hAnsi="Times New Roman" w:cs="Times New Roman"/>
                      <w:color w:val="auto"/>
                      <w:spacing w:val="0"/>
                      <w:w w:val="100"/>
                      <w:sz w:val="21"/>
                      <w:szCs w:val="21"/>
                      <w:u w:val="none" w:color="auto"/>
                      <w:lang w:val="en-US" w:eastAsia="zh-CN"/>
                    </w:rPr>
                    <w:t>：</w:t>
                  </w:r>
                  <w:r>
                    <w:rPr>
                      <w:rFonts w:hint="eastAsia"/>
                      <w:lang w:val="en-US" w:eastAsia="zh-CN"/>
                    </w:rPr>
                    <w:t>热塑性丙烯酸树脂40-45%；钛白粉30-35%；二甲苯8-10%；C9-C12的芳香烃5-7%；乙苯3-5%；重晶石粉5-10%；助剂1-2%；滑石粉5-10%。危险性类别：第3.3类，高闪点易燃液体；颜色：白色的。闪点：闭杯：28</w:t>
                  </w:r>
                  <w:r>
                    <w:rPr>
                      <w:rFonts w:hint="eastAsia" w:ascii="宋体" w:hAnsi="宋体" w:eastAsia="宋体" w:cs="宋体"/>
                      <w:lang w:val="en-US" w:eastAsia="zh-CN"/>
                    </w:rPr>
                    <w:t>℃</w:t>
                  </w:r>
                  <w:r>
                    <w:rPr>
                      <w:rFonts w:hint="eastAsia"/>
                      <w:lang w:val="en-US" w:eastAsia="zh-CN"/>
                    </w:rPr>
                    <w:t xml:space="preserve"> (82.4°F)；密度：1.10-1.15g/cm</w:t>
                  </w:r>
                  <w:r>
                    <w:rPr>
                      <w:rFonts w:hint="eastAsia"/>
                      <w:vertAlign w:val="superscript"/>
                      <w:lang w:val="en-US" w:eastAsia="zh-CN"/>
                    </w:rPr>
                    <w:t>3</w:t>
                  </w:r>
                  <w:r>
                    <w:rPr>
                      <w:rFonts w:hint="eastAsia"/>
                      <w:lang w:val="en-US" w:eastAsia="zh-CN"/>
                    </w:rPr>
                    <w:t>；溶解度：不溶于冷水，热水。环境危害：对水生生物有毒。对水生环境可能引起有长期有害作用。</w:t>
                  </w:r>
                </w:p>
              </w:tc>
            </w:tr>
            <w:tr w14:paraId="21B6B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tcBorders>
                    <w:tl2br w:val="nil"/>
                    <w:tr2bl w:val="nil"/>
                  </w:tcBorders>
                  <w:shd w:val="clear" w:color="auto" w:fill="auto"/>
                  <w:noWrap w:val="0"/>
                  <w:vAlign w:val="center"/>
                </w:tcPr>
                <w:p w14:paraId="37411A4F">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pPr>
                  <w:r>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t>稀释剂</w:t>
                  </w:r>
                </w:p>
              </w:tc>
              <w:tc>
                <w:tcPr>
                  <w:tcW w:w="4494" w:type="pct"/>
                  <w:tcBorders>
                    <w:tl2br w:val="nil"/>
                    <w:tr2bl w:val="nil"/>
                  </w:tcBorders>
                  <w:shd w:val="clear" w:color="auto" w:fill="auto"/>
                  <w:noWrap w:val="0"/>
                  <w:vAlign w:val="center"/>
                </w:tcPr>
                <w:p w14:paraId="30F885CD">
                  <w:pPr>
                    <w:keepNext w:val="0"/>
                    <w:keepLines w:val="0"/>
                    <w:numPr>
                      <w:ilvl w:val="0"/>
                      <w:numId w:val="0"/>
                    </w:numPr>
                    <w:suppressLineNumbers w:val="0"/>
                    <w:spacing w:before="0" w:beforeAutospacing="0" w:after="0" w:afterAutospacing="0"/>
                    <w:ind w:left="0" w:right="0"/>
                    <w:rPr>
                      <w:rFonts w:hint="eastAsia" w:ascii="Times New Roman" w:hAnsi="Times New Roman" w:eastAsia="宋体" w:cs="Times New Roman"/>
                      <w:bCs/>
                      <w:color w:val="auto"/>
                      <w:spacing w:val="0"/>
                      <w:position w:val="0"/>
                      <w:sz w:val="21"/>
                      <w:szCs w:val="21"/>
                      <w:highlight w:val="none"/>
                      <w:u w:val="none" w:color="auto"/>
                      <w:vertAlign w:val="baseline"/>
                      <w:lang w:eastAsia="zh-CN"/>
                    </w:rPr>
                  </w:pPr>
                  <w:r>
                    <w:rPr>
                      <w:rFonts w:hint="eastAsia" w:ascii="Times New Roman" w:hAnsi="Times New Roman" w:eastAsia="宋体" w:cs="Times New Roman"/>
                      <w:color w:val="auto"/>
                      <w:spacing w:val="0"/>
                      <w:w w:val="100"/>
                      <w:sz w:val="21"/>
                      <w:szCs w:val="21"/>
                      <w:u w:val="none" w:color="auto"/>
                      <w:lang w:val="en-US" w:eastAsia="zh-CN"/>
                    </w:rPr>
                    <w:t>主要用于稀释溶剂型油漆。主要成分为</w:t>
                  </w:r>
                  <w:r>
                    <w:rPr>
                      <w:rFonts w:hint="eastAsia" w:ascii="Times New Roman" w:hAnsi="Times New Roman" w:cs="Times New Roman"/>
                      <w:color w:val="auto"/>
                      <w:spacing w:val="0"/>
                      <w:w w:val="100"/>
                      <w:sz w:val="21"/>
                      <w:szCs w:val="21"/>
                      <w:u w:val="none" w:color="auto"/>
                      <w:lang w:val="en-US" w:eastAsia="zh-CN"/>
                    </w:rPr>
                    <w:t>：</w:t>
                  </w:r>
                  <w:r>
                    <w:rPr>
                      <w:rFonts w:hint="eastAsia"/>
                      <w:lang w:val="en-US" w:eastAsia="zh-CN"/>
                    </w:rPr>
                    <w:t>1-</w:t>
                  </w:r>
                  <w:r>
                    <w:rPr>
                      <w:rFonts w:hint="eastAsia"/>
                    </w:rPr>
                    <w:t>乙酰基-2-丙二醇酯20-25</w:t>
                  </w:r>
                  <w:r>
                    <w:rPr>
                      <w:rFonts w:hint="eastAsia"/>
                      <w:lang w:val="en-US" w:eastAsia="zh-CN"/>
                    </w:rPr>
                    <w:t>%、</w:t>
                  </w:r>
                  <w:r>
                    <w:rPr>
                      <w:rFonts w:hint="eastAsia"/>
                    </w:rPr>
                    <w:t>二甲苯75-80</w:t>
                  </w:r>
                  <w:r>
                    <w:rPr>
                      <w:rFonts w:hint="eastAsia"/>
                      <w:lang w:val="en-US" w:eastAsia="zh-CN"/>
                    </w:rPr>
                    <w:t>%；物理形态：流体；比重(25</w:t>
                  </w:r>
                  <w:r>
                    <w:rPr>
                      <w:rFonts w:hint="eastAsia" w:ascii="宋体" w:hAnsi="宋体" w:eastAsia="宋体" w:cs="宋体"/>
                      <w:lang w:val="en-US" w:eastAsia="zh-CN"/>
                    </w:rPr>
                    <w:t>℃</w:t>
                  </w:r>
                  <w:r>
                    <w:rPr>
                      <w:rFonts w:hint="eastAsia"/>
                      <w:lang w:val="en-US" w:eastAsia="zh-CN"/>
                    </w:rPr>
                    <w:t>)：0. 9kg/L；闪点：&gt;45</w:t>
                  </w:r>
                  <w:r>
                    <w:rPr>
                      <w:rFonts w:hint="eastAsia" w:ascii="宋体" w:hAnsi="宋体" w:eastAsia="宋体" w:cs="宋体"/>
                      <w:lang w:val="en-US" w:eastAsia="zh-CN"/>
                    </w:rPr>
                    <w:t>℃</w:t>
                  </w:r>
                  <w:r>
                    <w:rPr>
                      <w:rFonts w:hint="eastAsia"/>
                      <w:lang w:val="en-US" w:eastAsia="zh-CN"/>
                    </w:rPr>
                    <w:t>；挥发速率：比乙醇慢；蒸汽密度：比空气轻；蒸汽压： /；水溶性：不溶；稳定性： 一般情况下稳定的；避免条件：避免高温和强氧化性物质接触；燃烧产物：产生的烟雾及气体有毒；自聚合危险性：无。</w:t>
                  </w:r>
                </w:p>
              </w:tc>
            </w:tr>
            <w:tr w14:paraId="503EB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pct"/>
                  <w:tcBorders>
                    <w:tl2br w:val="nil"/>
                    <w:tr2bl w:val="nil"/>
                  </w:tcBorders>
                  <w:shd w:val="clear" w:color="auto" w:fill="auto"/>
                  <w:noWrap w:val="0"/>
                  <w:vAlign w:val="center"/>
                </w:tcPr>
                <w:p w14:paraId="3BE0DEC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pPr>
                  <w:r>
                    <w:rPr>
                      <w:rFonts w:hint="eastAsia" w:ascii="Times New Roman" w:hAnsi="Times New Roman" w:eastAsia="宋体" w:cs="Times New Roman"/>
                      <w:bCs/>
                      <w:color w:val="auto"/>
                      <w:spacing w:val="0"/>
                      <w:kern w:val="2"/>
                      <w:position w:val="0"/>
                      <w:sz w:val="21"/>
                      <w:szCs w:val="21"/>
                      <w:highlight w:val="none"/>
                      <w:u w:val="none" w:color="auto"/>
                      <w:lang w:val="en-US" w:eastAsia="zh-CN" w:bidi="ar-SA"/>
                    </w:rPr>
                    <w:t>固化剂</w:t>
                  </w:r>
                </w:p>
              </w:tc>
              <w:tc>
                <w:tcPr>
                  <w:tcW w:w="4494" w:type="pct"/>
                  <w:tcBorders>
                    <w:tl2br w:val="nil"/>
                    <w:tr2bl w:val="nil"/>
                  </w:tcBorders>
                  <w:shd w:val="clear" w:color="auto" w:fill="auto"/>
                  <w:noWrap w:val="0"/>
                  <w:vAlign w:val="center"/>
                </w:tcPr>
                <w:p w14:paraId="31D5393B">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eastAsia="宋体" w:cs="Times New Roman"/>
                      <w:bCs/>
                      <w:color w:val="auto"/>
                      <w:spacing w:val="0"/>
                      <w:position w:val="0"/>
                      <w:sz w:val="21"/>
                      <w:szCs w:val="21"/>
                      <w:highlight w:val="none"/>
                      <w:u w:val="none" w:color="auto"/>
                      <w:vertAlign w:val="baseline"/>
                      <w:lang w:eastAsia="zh-CN"/>
                    </w:rPr>
                  </w:pPr>
                  <w:r>
                    <w:rPr>
                      <w:rFonts w:hint="eastAsia" w:ascii="Times New Roman" w:hAnsi="Times New Roman" w:eastAsia="宋体" w:cs="Times New Roman"/>
                      <w:color w:val="auto"/>
                      <w:spacing w:val="0"/>
                      <w:w w:val="100"/>
                      <w:sz w:val="21"/>
                      <w:szCs w:val="21"/>
                      <w:u w:val="none" w:color="auto"/>
                      <w:lang w:val="en-US" w:eastAsia="zh-CN"/>
                    </w:rPr>
                    <w:t>改性胺类环氧固化剂，用于环氧类涂料固化，主要用于</w:t>
                  </w:r>
                  <w:r>
                    <w:rPr>
                      <w:rFonts w:hint="default" w:ascii="Times New Roman" w:hAnsi="Times New Roman" w:eastAsia="宋体" w:cs="Times New Roman"/>
                      <w:color w:val="auto"/>
                      <w:spacing w:val="0"/>
                      <w:w w:val="100"/>
                      <w:sz w:val="21"/>
                      <w:szCs w:val="21"/>
                      <w:u w:val="none" w:color="auto"/>
                      <w:lang w:val="en-US" w:eastAsia="zh-CN"/>
                    </w:rPr>
                    <w:t>工业及民用（金属、木器等）物品防锈、防腐、装饰</w:t>
                  </w:r>
                  <w:r>
                    <w:rPr>
                      <w:rFonts w:hint="eastAsia" w:ascii="Times New Roman" w:hAnsi="Times New Roman" w:eastAsia="宋体" w:cs="Times New Roman"/>
                      <w:color w:val="auto"/>
                      <w:spacing w:val="0"/>
                      <w:w w:val="100"/>
                      <w:sz w:val="21"/>
                      <w:szCs w:val="21"/>
                      <w:u w:val="none" w:color="auto"/>
                      <w:lang w:val="en-US" w:eastAsia="zh-CN"/>
                    </w:rPr>
                    <w:t>。主要成分为：</w:t>
                  </w:r>
                  <w:r>
                    <w:rPr>
                      <w:rFonts w:hint="eastAsia" w:ascii="Times New Roman" w:hAnsi="Times New Roman" w:cs="Times New Roman"/>
                      <w:color w:val="auto"/>
                      <w:spacing w:val="0"/>
                      <w:w w:val="100"/>
                      <w:sz w:val="21"/>
                      <w:szCs w:val="21"/>
                      <w:u w:val="none" w:color="auto"/>
                      <w:lang w:val="en-US" w:eastAsia="zh-CN"/>
                    </w:rPr>
                    <w:t>聚酰胺50-</w:t>
                  </w:r>
                  <w:r>
                    <w:rPr>
                      <w:rFonts w:hint="eastAsia" w:ascii="Times New Roman" w:hAnsi="Times New Roman" w:eastAsia="宋体" w:cs="Times New Roman"/>
                      <w:color w:val="auto"/>
                      <w:spacing w:val="0"/>
                      <w:w w:val="100"/>
                      <w:sz w:val="21"/>
                      <w:szCs w:val="21"/>
                      <w:u w:val="none" w:color="auto"/>
                      <w:lang w:val="en-US" w:eastAsia="zh-CN"/>
                    </w:rPr>
                    <w:t>60%</w:t>
                  </w:r>
                  <w:r>
                    <w:rPr>
                      <w:rFonts w:hint="eastAsia" w:ascii="Times New Roman" w:hAnsi="Times New Roman" w:cs="Times New Roman"/>
                      <w:color w:val="auto"/>
                      <w:spacing w:val="0"/>
                      <w:w w:val="100"/>
                      <w:sz w:val="21"/>
                      <w:szCs w:val="21"/>
                      <w:u w:val="none" w:color="auto"/>
                      <w:lang w:val="en-US" w:eastAsia="zh-CN"/>
                    </w:rPr>
                    <w:t>、正丁醇5-1</w:t>
                  </w:r>
                  <w:r>
                    <w:rPr>
                      <w:rFonts w:hint="eastAsia" w:ascii="Times New Roman" w:hAnsi="Times New Roman" w:eastAsia="宋体" w:cs="Times New Roman"/>
                      <w:color w:val="auto"/>
                      <w:spacing w:val="0"/>
                      <w:w w:val="100"/>
                      <w:sz w:val="21"/>
                      <w:szCs w:val="21"/>
                      <w:u w:val="none" w:color="auto"/>
                      <w:lang w:val="en-US" w:eastAsia="zh-CN"/>
                    </w:rPr>
                    <w:t>0%</w:t>
                  </w:r>
                  <w:r>
                    <w:rPr>
                      <w:rFonts w:hint="eastAsia" w:ascii="Times New Roman" w:hAnsi="Times New Roman" w:cs="Times New Roman"/>
                      <w:color w:val="auto"/>
                      <w:spacing w:val="0"/>
                      <w:w w:val="100"/>
                      <w:sz w:val="21"/>
                      <w:szCs w:val="21"/>
                      <w:u w:val="none" w:color="auto"/>
                      <w:lang w:val="en-US" w:eastAsia="zh-CN"/>
                    </w:rPr>
                    <w:t>、二甲苯20-30%、三亚乙基四胺1-3</w:t>
                  </w:r>
                  <w:r>
                    <w:rPr>
                      <w:rFonts w:hint="eastAsia" w:ascii="Times New Roman" w:hAnsi="Times New Roman" w:eastAsia="宋体" w:cs="Times New Roman"/>
                      <w:color w:val="auto"/>
                      <w:spacing w:val="0"/>
                      <w:w w:val="100"/>
                      <w:sz w:val="21"/>
                      <w:szCs w:val="21"/>
                      <w:u w:val="none" w:color="auto"/>
                      <w:lang w:val="en-US" w:eastAsia="zh-CN"/>
                    </w:rPr>
                    <w:t>%。沸程</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150C-190C</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熔点</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比重(</w:t>
                  </w:r>
                  <w:r>
                    <w:rPr>
                      <w:rFonts w:hint="eastAsia" w:ascii="Times New Roman" w:hAnsi="Times New Roman" w:cs="Times New Roman"/>
                      <w:color w:val="auto"/>
                      <w:spacing w:val="0"/>
                      <w:w w:val="100"/>
                      <w:sz w:val="21"/>
                      <w:szCs w:val="21"/>
                      <w:u w:val="none" w:color="auto"/>
                      <w:lang w:val="en-US" w:eastAsia="zh-CN"/>
                    </w:rPr>
                    <w:t>25</w:t>
                  </w:r>
                  <w:r>
                    <w:rPr>
                      <w:rFonts w:hint="eastAsia" w:ascii="宋体" w:hAnsi="宋体" w:eastAsia="宋体" w:cs="宋体"/>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 xml:space="preserve">1. 02 </w:t>
                  </w:r>
                  <w:r>
                    <w:rPr>
                      <w:rFonts w:hint="eastAsia"/>
                      <w:lang w:val="en-US" w:eastAsia="zh-CN"/>
                    </w:rPr>
                    <w:t>kg</w:t>
                  </w:r>
                  <w:r>
                    <w:rPr>
                      <w:rFonts w:hint="eastAsia" w:ascii="Times New Roman" w:hAnsi="Times New Roman" w:eastAsia="宋体" w:cs="Times New Roman"/>
                      <w:color w:val="auto"/>
                      <w:spacing w:val="0"/>
                      <w:w w:val="100"/>
                      <w:sz w:val="21"/>
                      <w:szCs w:val="21"/>
                      <w:u w:val="none" w:color="auto"/>
                      <w:lang w:val="en-US" w:eastAsia="zh-CN"/>
                    </w:rPr>
                    <w:t>/L</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闪点</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&gt;25</w:t>
                  </w:r>
                  <w:r>
                    <w:rPr>
                      <w:rFonts w:hint="eastAsia" w:ascii="宋体" w:hAnsi="宋体" w:eastAsia="宋体" w:cs="宋体"/>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(阿内尔)</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挥发性成份含量</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40% (重量比)</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挥发速率</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比乙醚慢</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蒸气密度</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比空气重</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蒸气压</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水中溶解度</w:t>
                  </w:r>
                  <w:r>
                    <w:rPr>
                      <w:rFonts w:hint="eastAsia" w:ascii="Times New Roman" w:hAnsi="Times New Roman" w:cs="Times New Roman"/>
                      <w:color w:val="auto"/>
                      <w:spacing w:val="0"/>
                      <w:w w:val="100"/>
                      <w:sz w:val="21"/>
                      <w:szCs w:val="21"/>
                      <w:u w:val="none" w:color="auto"/>
                      <w:lang w:val="en-US" w:eastAsia="zh-CN"/>
                    </w:rPr>
                    <w:t>：</w:t>
                  </w:r>
                  <w:r>
                    <w:rPr>
                      <w:rFonts w:hint="eastAsia" w:ascii="Times New Roman" w:hAnsi="Times New Roman" w:eastAsia="宋体" w:cs="Times New Roman"/>
                      <w:color w:val="auto"/>
                      <w:spacing w:val="0"/>
                      <w:w w:val="100"/>
                      <w:sz w:val="21"/>
                      <w:szCs w:val="21"/>
                      <w:u w:val="none" w:color="auto"/>
                      <w:lang w:val="en-US" w:eastAsia="zh-CN"/>
                    </w:rPr>
                    <w:t>不溶</w:t>
                  </w:r>
                  <w:r>
                    <w:rPr>
                      <w:rFonts w:hint="eastAsia" w:ascii="Times New Roman" w:hAnsi="Times New Roman" w:cs="Times New Roman"/>
                      <w:color w:val="auto"/>
                      <w:spacing w:val="0"/>
                      <w:w w:val="100"/>
                      <w:sz w:val="21"/>
                      <w:szCs w:val="21"/>
                      <w:u w:val="none" w:color="auto"/>
                      <w:lang w:val="en-US" w:eastAsia="zh-CN"/>
                    </w:rPr>
                    <w:t>。稳定性：一般情况下是稳定的；接触禁忌：避免接触强氧化性物质；燃烧的危险产物：主要产生碳氧化物(CO、CO</w:t>
                  </w:r>
                  <w:r>
                    <w:rPr>
                      <w:rFonts w:hint="eastAsia" w:ascii="Times New Roman" w:hAnsi="Times New Roman" w:cs="Times New Roman"/>
                      <w:color w:val="auto"/>
                      <w:spacing w:val="0"/>
                      <w:w w:val="100"/>
                      <w:sz w:val="21"/>
                      <w:szCs w:val="21"/>
                      <w:u w:val="none" w:color="auto"/>
                      <w:vertAlign w:val="subscript"/>
                      <w:lang w:val="en-US" w:eastAsia="zh-CN"/>
                    </w:rPr>
                    <w:t>2</w:t>
                  </w:r>
                  <w:r>
                    <w:rPr>
                      <w:rFonts w:hint="eastAsia" w:ascii="Times New Roman" w:hAnsi="Times New Roman" w:cs="Times New Roman"/>
                      <w:color w:val="auto"/>
                      <w:spacing w:val="0"/>
                      <w:w w:val="100"/>
                      <w:sz w:val="21"/>
                      <w:szCs w:val="21"/>
                      <w:u w:val="none" w:color="auto"/>
                      <w:lang w:val="en-US" w:eastAsia="zh-CN"/>
                    </w:rPr>
                    <w:t>) 和氮氧化物(NO、NO</w:t>
                  </w:r>
                  <w:r>
                    <w:rPr>
                      <w:rFonts w:hint="eastAsia" w:ascii="Times New Roman" w:hAnsi="Times New Roman" w:cs="Times New Roman"/>
                      <w:color w:val="auto"/>
                      <w:spacing w:val="0"/>
                      <w:w w:val="100"/>
                      <w:sz w:val="21"/>
                      <w:szCs w:val="21"/>
                      <w:u w:val="none" w:color="auto"/>
                      <w:vertAlign w:val="subscript"/>
                      <w:lang w:val="en-US" w:eastAsia="zh-CN"/>
                    </w:rPr>
                    <w:t>2</w:t>
                  </w:r>
                  <w:r>
                    <w:rPr>
                      <w:rFonts w:hint="eastAsia" w:ascii="Times New Roman" w:hAnsi="Times New Roman" w:cs="Times New Roman"/>
                      <w:color w:val="auto"/>
                      <w:spacing w:val="0"/>
                      <w:w w:val="100"/>
                      <w:sz w:val="21"/>
                      <w:szCs w:val="21"/>
                      <w:u w:val="none" w:color="auto"/>
                      <w:lang w:val="en-US" w:eastAsia="zh-CN"/>
                    </w:rPr>
                    <w:t>)；聚合反应危险：无。</w:t>
                  </w:r>
                </w:p>
              </w:tc>
            </w:tr>
          </w:tbl>
          <w:p w14:paraId="53B2E7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eastAsia" w:cs="Times New Roman"/>
                <w:b/>
                <w:bCs/>
                <w:color w:val="auto"/>
                <w:spacing w:val="0"/>
                <w:position w:val="0"/>
                <w:sz w:val="24"/>
                <w:szCs w:val="24"/>
                <w:u w:val="none" w:color="auto"/>
                <w:lang w:val="en-US" w:eastAsia="zh-CN"/>
              </w:rPr>
              <w:t>7</w:t>
            </w:r>
            <w:r>
              <w:rPr>
                <w:rFonts w:hint="default" w:ascii="Times New Roman" w:hAnsi="Times New Roman" w:eastAsia="宋体" w:cs="Times New Roman"/>
                <w:b/>
                <w:bCs/>
                <w:color w:val="auto"/>
                <w:spacing w:val="0"/>
                <w:position w:val="0"/>
                <w:sz w:val="24"/>
                <w:szCs w:val="24"/>
                <w:u w:val="none" w:color="auto"/>
                <w:lang w:val="en-US" w:eastAsia="zh-CN"/>
              </w:rPr>
              <w:t>、项目生产设备</w:t>
            </w:r>
          </w:p>
          <w:p w14:paraId="10825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
                <w:color w:val="auto"/>
                <w:spacing w:val="0"/>
                <w:position w:val="0"/>
                <w:sz w:val="24"/>
                <w:szCs w:val="24"/>
                <w:u w:val="none" w:color="auto"/>
              </w:rPr>
            </w:pPr>
            <w:r>
              <w:rPr>
                <w:rFonts w:hint="eastAsia" w:cs="Times New Roman"/>
                <w:color w:val="auto"/>
                <w:spacing w:val="0"/>
                <w:position w:val="0"/>
                <w:sz w:val="24"/>
                <w:szCs w:val="24"/>
                <w:u w:val="none" w:color="auto"/>
                <w:lang w:eastAsia="zh-CN"/>
              </w:rPr>
              <w:t>本项目部分设备与现有项目共用，项目</w:t>
            </w:r>
            <w:r>
              <w:rPr>
                <w:rFonts w:hint="default" w:ascii="Times New Roman" w:hAnsi="Times New Roman" w:eastAsia="宋体" w:cs="Times New Roman"/>
                <w:color w:val="auto"/>
                <w:spacing w:val="0"/>
                <w:position w:val="0"/>
                <w:sz w:val="24"/>
                <w:szCs w:val="24"/>
                <w:u w:val="none" w:color="auto"/>
              </w:rPr>
              <w:t>主要</w:t>
            </w:r>
            <w:r>
              <w:rPr>
                <w:rFonts w:hint="default" w:ascii="Times New Roman" w:hAnsi="Times New Roman" w:cs="Times New Roman"/>
                <w:color w:val="auto"/>
                <w:spacing w:val="0"/>
                <w:position w:val="0"/>
                <w:sz w:val="24"/>
                <w:szCs w:val="24"/>
                <w:u w:val="none" w:color="auto"/>
                <w:lang w:eastAsia="zh-CN"/>
              </w:rPr>
              <w:t>生产</w:t>
            </w:r>
            <w:r>
              <w:rPr>
                <w:rFonts w:hint="default" w:ascii="Times New Roman" w:hAnsi="Times New Roman" w:eastAsia="宋体" w:cs="Times New Roman"/>
                <w:color w:val="auto"/>
                <w:spacing w:val="0"/>
                <w:position w:val="0"/>
                <w:sz w:val="24"/>
                <w:szCs w:val="24"/>
                <w:u w:val="none" w:color="auto"/>
              </w:rPr>
              <w:t>设备见</w:t>
            </w:r>
            <w:r>
              <w:rPr>
                <w:rFonts w:hint="eastAsia" w:cs="Times New Roman"/>
                <w:color w:val="auto"/>
                <w:spacing w:val="0"/>
                <w:position w:val="0"/>
                <w:sz w:val="24"/>
                <w:szCs w:val="24"/>
                <w:u w:val="none" w:color="auto"/>
                <w:lang w:eastAsia="zh-CN"/>
              </w:rPr>
              <w:t>下</w:t>
            </w:r>
            <w:r>
              <w:rPr>
                <w:rFonts w:hint="default" w:ascii="Times New Roman" w:hAnsi="Times New Roman" w:eastAsia="宋体" w:cs="Times New Roman"/>
                <w:color w:val="auto"/>
                <w:spacing w:val="0"/>
                <w:position w:val="0"/>
                <w:sz w:val="24"/>
                <w:szCs w:val="24"/>
                <w:u w:val="none" w:color="auto"/>
              </w:rPr>
              <w:t>表。</w:t>
            </w:r>
          </w:p>
          <w:p w14:paraId="1655B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val="0"/>
                <w:color w:val="auto"/>
                <w:spacing w:val="0"/>
                <w:position w:val="0"/>
                <w:sz w:val="24"/>
                <w:szCs w:val="24"/>
                <w:u w:val="none" w:color="auto"/>
                <w:lang w:val="en-US" w:eastAsia="zh-CN"/>
              </w:rPr>
            </w:pPr>
            <w:r>
              <w:rPr>
                <w:rFonts w:hint="default" w:ascii="Times New Roman" w:hAnsi="Times New Roman" w:eastAsia="宋体" w:cs="Times New Roman"/>
                <w:b/>
                <w:bCs w:val="0"/>
                <w:color w:val="auto"/>
                <w:spacing w:val="0"/>
                <w:position w:val="0"/>
                <w:sz w:val="24"/>
                <w:szCs w:val="24"/>
                <w:u w:val="none" w:color="auto"/>
                <w:lang w:val="en-US" w:eastAsia="zh-CN"/>
              </w:rPr>
              <w:t>表2-</w:t>
            </w:r>
            <w:r>
              <w:rPr>
                <w:rFonts w:hint="eastAsia" w:cs="Times New Roman"/>
                <w:b/>
                <w:bCs w:val="0"/>
                <w:color w:val="auto"/>
                <w:spacing w:val="0"/>
                <w:position w:val="0"/>
                <w:sz w:val="24"/>
                <w:szCs w:val="24"/>
                <w:u w:val="none" w:color="auto"/>
                <w:lang w:val="en-US" w:eastAsia="zh-CN"/>
              </w:rPr>
              <w:t>6</w:t>
            </w:r>
            <w:r>
              <w:rPr>
                <w:rFonts w:hint="default" w:ascii="Times New Roman" w:hAnsi="Times New Roman" w:cs="Times New Roman"/>
                <w:b/>
                <w:bCs w:val="0"/>
                <w:color w:val="auto"/>
                <w:spacing w:val="0"/>
                <w:position w:val="0"/>
                <w:sz w:val="24"/>
                <w:szCs w:val="24"/>
                <w:u w:val="none" w:color="auto"/>
                <w:lang w:val="en-US" w:eastAsia="zh-CN"/>
              </w:rPr>
              <w:t xml:space="preserve">   </w:t>
            </w:r>
            <w:r>
              <w:rPr>
                <w:rFonts w:hint="default" w:ascii="Times New Roman" w:hAnsi="Times New Roman" w:eastAsia="宋体" w:cs="Times New Roman"/>
                <w:b/>
                <w:bCs w:val="0"/>
                <w:color w:val="auto"/>
                <w:spacing w:val="0"/>
                <w:position w:val="0"/>
                <w:sz w:val="24"/>
                <w:szCs w:val="24"/>
                <w:u w:val="none" w:color="auto"/>
                <w:lang w:val="en-US" w:eastAsia="zh-CN"/>
              </w:rPr>
              <w:t>主要</w:t>
            </w:r>
            <w:r>
              <w:rPr>
                <w:rFonts w:hint="default" w:ascii="Times New Roman" w:hAnsi="Times New Roman" w:cs="Times New Roman"/>
                <w:b/>
                <w:bCs w:val="0"/>
                <w:color w:val="auto"/>
                <w:spacing w:val="0"/>
                <w:position w:val="0"/>
                <w:sz w:val="24"/>
                <w:szCs w:val="24"/>
                <w:u w:val="none" w:color="auto"/>
                <w:lang w:val="en-US" w:eastAsia="zh-CN"/>
              </w:rPr>
              <w:t>生产</w:t>
            </w:r>
            <w:r>
              <w:rPr>
                <w:rFonts w:hint="default" w:ascii="Times New Roman" w:hAnsi="Times New Roman" w:eastAsia="宋体" w:cs="Times New Roman"/>
                <w:b/>
                <w:bCs w:val="0"/>
                <w:color w:val="auto"/>
                <w:spacing w:val="0"/>
                <w:position w:val="0"/>
                <w:sz w:val="24"/>
                <w:szCs w:val="24"/>
                <w:u w:val="none" w:color="auto"/>
                <w:lang w:val="en-US" w:eastAsia="zh-CN"/>
              </w:rPr>
              <w:t>设备</w:t>
            </w:r>
            <w:r>
              <w:rPr>
                <w:rFonts w:hint="default" w:ascii="Times New Roman" w:hAnsi="Times New Roman" w:cs="Times New Roman"/>
                <w:b/>
                <w:bCs w:val="0"/>
                <w:color w:val="auto"/>
                <w:spacing w:val="0"/>
                <w:position w:val="0"/>
                <w:sz w:val="24"/>
                <w:szCs w:val="24"/>
                <w:u w:val="none" w:color="auto"/>
                <w:lang w:val="en-US" w:eastAsia="zh-CN"/>
              </w:rPr>
              <w:t>一览</w:t>
            </w:r>
            <w:r>
              <w:rPr>
                <w:rFonts w:hint="default" w:ascii="Times New Roman" w:hAnsi="Times New Roman" w:eastAsia="宋体" w:cs="Times New Roman"/>
                <w:b/>
                <w:bCs w:val="0"/>
                <w:color w:val="auto"/>
                <w:spacing w:val="0"/>
                <w:position w:val="0"/>
                <w:sz w:val="24"/>
                <w:szCs w:val="24"/>
                <w:u w:val="none" w:color="auto"/>
                <w:lang w:val="en-US" w:eastAsia="zh-CN"/>
              </w:rPr>
              <w:t>表</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30"/>
              <w:gridCol w:w="1637"/>
              <w:gridCol w:w="1875"/>
              <w:gridCol w:w="435"/>
              <w:gridCol w:w="525"/>
              <w:gridCol w:w="1905"/>
              <w:gridCol w:w="1899"/>
            </w:tblGrid>
            <w:tr w14:paraId="6DEEA3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tcBorders>
                    <w:tl2br w:val="nil"/>
                    <w:tr2bl w:val="nil"/>
                  </w:tcBorders>
                  <w:noWrap/>
                  <w:vAlign w:val="center"/>
                </w:tcPr>
                <w:p w14:paraId="749624C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ascii="Times New Roman" w:hAnsi="Times New Roman" w:eastAsia="宋体" w:cs="Times New Roman"/>
                      <w:b/>
                      <w:color w:val="auto"/>
                      <w:kern w:val="0"/>
                      <w:sz w:val="21"/>
                      <w:szCs w:val="21"/>
                      <w:lang w:eastAsia="zh-CN"/>
                    </w:rPr>
                  </w:pPr>
                  <w:r>
                    <w:rPr>
                      <w:rFonts w:hint="eastAsia" w:ascii="Times New Roman" w:hAnsi="Times New Roman" w:cs="Times New Roman"/>
                      <w:b/>
                      <w:color w:val="auto"/>
                      <w:kern w:val="0"/>
                      <w:sz w:val="21"/>
                      <w:szCs w:val="21"/>
                      <w:lang w:eastAsia="zh-CN"/>
                    </w:rPr>
                    <w:t>类型</w:t>
                  </w:r>
                </w:p>
              </w:tc>
              <w:tc>
                <w:tcPr>
                  <w:tcW w:w="1637" w:type="dxa"/>
                  <w:tcBorders>
                    <w:tl2br w:val="nil"/>
                    <w:tr2bl w:val="nil"/>
                  </w:tcBorders>
                  <w:noWrap w:val="0"/>
                  <w:vAlign w:val="center"/>
                </w:tcPr>
                <w:p w14:paraId="0A12F12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设备名称</w:t>
                  </w:r>
                </w:p>
              </w:tc>
              <w:tc>
                <w:tcPr>
                  <w:tcW w:w="1875" w:type="dxa"/>
                  <w:tcBorders>
                    <w:tl2br w:val="nil"/>
                    <w:tr2bl w:val="nil"/>
                  </w:tcBorders>
                  <w:noWrap/>
                  <w:vAlign w:val="center"/>
                </w:tcPr>
                <w:p w14:paraId="3AC6E9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规格型号</w:t>
                  </w:r>
                </w:p>
              </w:tc>
              <w:tc>
                <w:tcPr>
                  <w:tcW w:w="435" w:type="dxa"/>
                  <w:tcBorders>
                    <w:tl2br w:val="nil"/>
                    <w:tr2bl w:val="nil"/>
                  </w:tcBorders>
                  <w:noWrap w:val="0"/>
                  <w:vAlign w:val="center"/>
                </w:tcPr>
                <w:p w14:paraId="690F477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b/>
                      <w:color w:val="auto"/>
                      <w:kern w:val="0"/>
                      <w:sz w:val="21"/>
                      <w:szCs w:val="21"/>
                      <w:lang w:eastAsia="zh-CN"/>
                    </w:rPr>
                  </w:pPr>
                  <w:r>
                    <w:rPr>
                      <w:rFonts w:hint="eastAsia" w:ascii="Times New Roman" w:hAnsi="Times New Roman" w:cs="Times New Roman"/>
                      <w:b/>
                      <w:color w:val="auto"/>
                      <w:kern w:val="0"/>
                      <w:sz w:val="21"/>
                      <w:szCs w:val="21"/>
                      <w:lang w:eastAsia="zh-CN"/>
                    </w:rPr>
                    <w:t>单位</w:t>
                  </w:r>
                </w:p>
              </w:tc>
              <w:tc>
                <w:tcPr>
                  <w:tcW w:w="525" w:type="dxa"/>
                  <w:tcBorders>
                    <w:tl2br w:val="nil"/>
                    <w:tr2bl w:val="nil"/>
                  </w:tcBorders>
                  <w:noWrap w:val="0"/>
                  <w:vAlign w:val="center"/>
                </w:tcPr>
                <w:p w14:paraId="67E3BC2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eastAsiaTheme="minorEastAsia"/>
                      <w:b/>
                      <w:color w:val="auto"/>
                      <w:kern w:val="0"/>
                      <w:sz w:val="21"/>
                      <w:szCs w:val="21"/>
                      <w:lang w:eastAsia="zh-CN"/>
                    </w:rPr>
                  </w:pPr>
                  <w:r>
                    <w:rPr>
                      <w:rFonts w:hint="eastAsia" w:ascii="Times New Roman" w:hAnsi="Times New Roman" w:cs="Times New Roman"/>
                      <w:b/>
                      <w:color w:val="auto"/>
                      <w:kern w:val="0"/>
                      <w:sz w:val="21"/>
                      <w:szCs w:val="21"/>
                      <w:lang w:eastAsia="zh-CN"/>
                    </w:rPr>
                    <w:t>数量</w:t>
                  </w:r>
                </w:p>
              </w:tc>
              <w:tc>
                <w:tcPr>
                  <w:tcW w:w="1905" w:type="dxa"/>
                  <w:tcBorders>
                    <w:tl2br w:val="nil"/>
                    <w:tr2bl w:val="nil"/>
                  </w:tcBorders>
                  <w:noWrap/>
                  <w:vAlign w:val="center"/>
                </w:tcPr>
                <w:p w14:paraId="4F2C1BF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用途</w:t>
                  </w:r>
                </w:p>
              </w:tc>
              <w:tc>
                <w:tcPr>
                  <w:tcW w:w="1899" w:type="dxa"/>
                  <w:tcBorders>
                    <w:tl2br w:val="nil"/>
                    <w:tr2bl w:val="nil"/>
                  </w:tcBorders>
                  <w:noWrap/>
                  <w:vAlign w:val="center"/>
                </w:tcPr>
                <w:p w14:paraId="4C04A27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eastAsiaTheme="minorEastAsia"/>
                      <w:b/>
                      <w:color w:val="auto"/>
                      <w:kern w:val="0"/>
                      <w:sz w:val="21"/>
                      <w:szCs w:val="21"/>
                      <w:lang w:eastAsia="zh-CN"/>
                    </w:rPr>
                  </w:pPr>
                  <w:r>
                    <w:rPr>
                      <w:rFonts w:hint="eastAsia" w:ascii="Times New Roman" w:hAnsi="Times New Roman" w:cs="Times New Roman"/>
                      <w:b/>
                      <w:color w:val="auto"/>
                      <w:kern w:val="0"/>
                      <w:sz w:val="21"/>
                      <w:szCs w:val="21"/>
                      <w:lang w:eastAsia="zh-CN"/>
                    </w:rPr>
                    <w:t>备注</w:t>
                  </w:r>
                </w:p>
              </w:tc>
            </w:tr>
            <w:tr w14:paraId="39E9F9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restart"/>
                  <w:tcBorders>
                    <w:tl2br w:val="nil"/>
                    <w:tr2bl w:val="nil"/>
                  </w:tcBorders>
                  <w:noWrap/>
                  <w:vAlign w:val="center"/>
                </w:tcPr>
                <w:p w14:paraId="45D1B17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r>
                    <w:rPr>
                      <w:rFonts w:hint="eastAsia" w:ascii="Times New Roman" w:hAnsi="Times New Roman" w:cs="Times New Roman"/>
                      <w:b/>
                      <w:color w:val="auto"/>
                      <w:kern w:val="0"/>
                      <w:sz w:val="21"/>
                      <w:szCs w:val="21"/>
                      <w:lang w:val="en-US" w:eastAsia="zh-CN"/>
                    </w:rPr>
                    <w:t>水冷散热器</w:t>
                  </w:r>
                </w:p>
              </w:tc>
              <w:tc>
                <w:tcPr>
                  <w:tcW w:w="1637" w:type="dxa"/>
                  <w:tcBorders>
                    <w:tl2br w:val="nil"/>
                    <w:tr2bl w:val="nil"/>
                  </w:tcBorders>
                  <w:noWrap w:val="0"/>
                  <w:vAlign w:val="center"/>
                </w:tcPr>
                <w:p w14:paraId="2236186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激光下料机</w:t>
                  </w:r>
                </w:p>
              </w:tc>
              <w:tc>
                <w:tcPr>
                  <w:tcW w:w="1875" w:type="dxa"/>
                  <w:tcBorders>
                    <w:tl2br w:val="nil"/>
                    <w:tr2bl w:val="nil"/>
                  </w:tcBorders>
                  <w:shd w:val="clear" w:color="auto" w:fill="auto"/>
                  <w:noWrap/>
                  <w:vAlign w:val="center"/>
                </w:tcPr>
                <w:p w14:paraId="53020C5E">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2060</w:t>
                  </w:r>
                </w:p>
              </w:tc>
              <w:tc>
                <w:tcPr>
                  <w:tcW w:w="435" w:type="dxa"/>
                  <w:tcBorders>
                    <w:tl2br w:val="nil"/>
                    <w:tr2bl w:val="nil"/>
                  </w:tcBorders>
                  <w:shd w:val="clear" w:color="auto" w:fill="auto"/>
                  <w:noWrap w:val="0"/>
                  <w:vAlign w:val="center"/>
                </w:tcPr>
                <w:p w14:paraId="20506EAB">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2CA1D8EC">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905" w:type="dxa"/>
                  <w:tcBorders>
                    <w:tl2br w:val="nil"/>
                    <w:tr2bl w:val="nil"/>
                  </w:tcBorders>
                  <w:noWrap/>
                  <w:vAlign w:val="center"/>
                </w:tcPr>
                <w:p w14:paraId="418523A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i w:val="0"/>
                      <w:iCs w:val="0"/>
                      <w:color w:val="auto"/>
                      <w:sz w:val="21"/>
                      <w:szCs w:val="21"/>
                      <w:u w:val="none"/>
                      <w:lang w:eastAsia="zh-CN"/>
                    </w:rPr>
                    <w:t>下料</w:t>
                  </w:r>
                </w:p>
              </w:tc>
              <w:tc>
                <w:tcPr>
                  <w:tcW w:w="1899" w:type="dxa"/>
                  <w:tcBorders>
                    <w:tl2br w:val="nil"/>
                    <w:tr2bl w:val="nil"/>
                  </w:tcBorders>
                  <w:noWrap/>
                  <w:vAlign w:val="center"/>
                </w:tcPr>
                <w:p w14:paraId="7ABB92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与</w:t>
                  </w:r>
                  <w:r>
                    <w:rPr>
                      <w:rFonts w:hint="eastAsia" w:ascii="Times New Roman" w:hAnsi="Times New Roman" w:eastAsia="宋体" w:cs="Times New Roman"/>
                      <w:i w:val="0"/>
                      <w:iCs w:val="0"/>
                      <w:color w:val="auto"/>
                      <w:sz w:val="21"/>
                      <w:szCs w:val="21"/>
                      <w:u w:val="none"/>
                      <w:lang w:val="en-US" w:eastAsia="zh-CN"/>
                    </w:rPr>
                    <w:t>压力容器线共用</w:t>
                  </w:r>
                </w:p>
              </w:tc>
            </w:tr>
            <w:tr w14:paraId="0A6D82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0095AC6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796AE76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折弯机</w:t>
                  </w:r>
                </w:p>
              </w:tc>
              <w:tc>
                <w:tcPr>
                  <w:tcW w:w="1875" w:type="dxa"/>
                  <w:tcBorders>
                    <w:tl2br w:val="nil"/>
                    <w:tr2bl w:val="nil"/>
                  </w:tcBorders>
                  <w:noWrap/>
                  <w:vAlign w:val="center"/>
                </w:tcPr>
                <w:p w14:paraId="14C58E8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i w:val="0"/>
                      <w:iCs w:val="0"/>
                      <w:color w:val="auto"/>
                      <w:sz w:val="21"/>
                      <w:szCs w:val="21"/>
                      <w:u w:val="none"/>
                      <w:lang w:val="en-US" w:eastAsia="zh-CN"/>
                    </w:rPr>
                    <w:t>WC67K-160T3200</w:t>
                  </w:r>
                </w:p>
              </w:tc>
              <w:tc>
                <w:tcPr>
                  <w:tcW w:w="435" w:type="dxa"/>
                  <w:tcBorders>
                    <w:tl2br w:val="nil"/>
                    <w:tr2bl w:val="nil"/>
                  </w:tcBorders>
                  <w:noWrap w:val="0"/>
                  <w:vAlign w:val="center"/>
                </w:tcPr>
                <w:p w14:paraId="7570E4E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b/>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noWrap w:val="0"/>
                  <w:vAlign w:val="center"/>
                </w:tcPr>
                <w:p w14:paraId="21BDE9E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lang w:val="en-US" w:eastAsia="zh-CN"/>
                    </w:rPr>
                  </w:pPr>
                  <w:r>
                    <w:rPr>
                      <w:rFonts w:hint="eastAsia" w:ascii="Times New Roman" w:hAnsi="Times New Roman" w:cs="Times New Roman"/>
                      <w:b w:val="0"/>
                      <w:bCs/>
                      <w:color w:val="auto"/>
                      <w:kern w:val="0"/>
                      <w:sz w:val="21"/>
                      <w:szCs w:val="21"/>
                      <w:lang w:val="en-US" w:eastAsia="zh-CN"/>
                    </w:rPr>
                    <w:t>1</w:t>
                  </w:r>
                </w:p>
              </w:tc>
              <w:tc>
                <w:tcPr>
                  <w:tcW w:w="1905" w:type="dxa"/>
                  <w:tcBorders>
                    <w:tl2br w:val="nil"/>
                    <w:tr2bl w:val="nil"/>
                  </w:tcBorders>
                  <w:noWrap/>
                  <w:vAlign w:val="center"/>
                </w:tcPr>
                <w:p w14:paraId="4B5E069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eastAsiaTheme="minorEastAsia"/>
                      <w:b/>
                      <w:color w:val="auto"/>
                      <w:kern w:val="0"/>
                      <w:sz w:val="21"/>
                      <w:szCs w:val="21"/>
                      <w:lang w:eastAsia="zh-CN"/>
                    </w:rPr>
                  </w:pPr>
                  <w:r>
                    <w:rPr>
                      <w:rFonts w:hint="eastAsia" w:ascii="Times New Roman" w:hAnsi="Times New Roman" w:cs="Times New Roman"/>
                      <w:b w:val="0"/>
                      <w:bCs/>
                      <w:color w:val="auto"/>
                      <w:kern w:val="0"/>
                      <w:sz w:val="21"/>
                      <w:szCs w:val="21"/>
                      <w:lang w:eastAsia="zh-CN"/>
                    </w:rPr>
                    <w:t>折</w:t>
                  </w:r>
                  <w:r>
                    <w:rPr>
                      <w:rFonts w:hint="eastAsia" w:ascii="Times New Roman" w:hAnsi="Times New Roman" w:eastAsia="宋体" w:cs="Times New Roman"/>
                      <w:i w:val="0"/>
                      <w:iCs w:val="0"/>
                      <w:color w:val="auto"/>
                      <w:sz w:val="21"/>
                      <w:szCs w:val="21"/>
                      <w:u w:val="none"/>
                      <w:lang w:val="en-US" w:eastAsia="zh-CN"/>
                    </w:rPr>
                    <w:t>弯</w:t>
                  </w:r>
                </w:p>
              </w:tc>
              <w:tc>
                <w:tcPr>
                  <w:tcW w:w="1899" w:type="dxa"/>
                  <w:tcBorders>
                    <w:tl2br w:val="nil"/>
                    <w:tr2bl w:val="nil"/>
                  </w:tcBorders>
                  <w:noWrap/>
                  <w:vAlign w:val="center"/>
                </w:tcPr>
                <w:p w14:paraId="02D3327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b w:val="0"/>
                      <w:bCs/>
                      <w:color w:val="auto"/>
                      <w:kern w:val="0"/>
                      <w:sz w:val="21"/>
                      <w:szCs w:val="21"/>
                      <w:lang w:eastAsia="zh-CN"/>
                    </w:rPr>
                  </w:pPr>
                  <w:r>
                    <w:rPr>
                      <w:rFonts w:hint="eastAsia" w:ascii="Times New Roman" w:hAnsi="Times New Roman" w:eastAsia="宋体" w:cs="Times New Roman"/>
                      <w:i w:val="0"/>
                      <w:iCs w:val="0"/>
                      <w:color w:val="auto"/>
                      <w:sz w:val="21"/>
                      <w:szCs w:val="21"/>
                      <w:u w:val="none"/>
                      <w:lang w:eastAsia="zh-CN"/>
                    </w:rPr>
                    <w:t>与</w:t>
                  </w:r>
                  <w:r>
                    <w:rPr>
                      <w:rFonts w:hint="eastAsia" w:ascii="Times New Roman" w:hAnsi="Times New Roman" w:eastAsia="宋体" w:cs="Times New Roman"/>
                      <w:i w:val="0"/>
                      <w:iCs w:val="0"/>
                      <w:color w:val="auto"/>
                      <w:sz w:val="21"/>
                      <w:szCs w:val="21"/>
                      <w:u w:val="none"/>
                      <w:lang w:val="en-US" w:eastAsia="zh-CN"/>
                    </w:rPr>
                    <w:t>压力容器线共用</w:t>
                  </w:r>
                </w:p>
              </w:tc>
            </w:tr>
            <w:tr w14:paraId="2BB415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7D14910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11E439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机械冲床</w:t>
                  </w:r>
                </w:p>
              </w:tc>
              <w:tc>
                <w:tcPr>
                  <w:tcW w:w="1875" w:type="dxa"/>
                  <w:tcBorders>
                    <w:tl2br w:val="nil"/>
                    <w:tr2bl w:val="nil"/>
                  </w:tcBorders>
                  <w:shd w:val="clear" w:color="auto" w:fill="auto"/>
                  <w:noWrap/>
                  <w:vAlign w:val="center"/>
                </w:tcPr>
                <w:p w14:paraId="06A646E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J23-40T</w:t>
                  </w:r>
                </w:p>
              </w:tc>
              <w:tc>
                <w:tcPr>
                  <w:tcW w:w="435" w:type="dxa"/>
                  <w:tcBorders>
                    <w:tl2br w:val="nil"/>
                    <w:tr2bl w:val="nil"/>
                  </w:tcBorders>
                  <w:shd w:val="clear" w:color="auto" w:fill="auto"/>
                  <w:noWrap w:val="0"/>
                  <w:vAlign w:val="center"/>
                </w:tcPr>
                <w:p w14:paraId="75B47D5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3E5FC20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5C4ADA8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散热器冲孔用</w:t>
                  </w:r>
                </w:p>
              </w:tc>
              <w:tc>
                <w:tcPr>
                  <w:tcW w:w="1899" w:type="dxa"/>
                  <w:tcBorders>
                    <w:tl2br w:val="nil"/>
                    <w:tr2bl w:val="nil"/>
                  </w:tcBorders>
                  <w:shd w:val="clear" w:color="auto" w:fill="auto"/>
                  <w:noWrap/>
                  <w:vAlign w:val="center"/>
                </w:tcPr>
                <w:p w14:paraId="329B013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新增</w:t>
                  </w:r>
                </w:p>
              </w:tc>
            </w:tr>
            <w:tr w14:paraId="102FDD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39C1CAA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3F7062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管孔翻边模具</w:t>
                  </w:r>
                </w:p>
              </w:tc>
              <w:tc>
                <w:tcPr>
                  <w:tcW w:w="1875" w:type="dxa"/>
                  <w:tcBorders>
                    <w:tl2br w:val="nil"/>
                    <w:tr2bl w:val="nil"/>
                  </w:tcBorders>
                  <w:shd w:val="clear" w:color="auto" w:fill="auto"/>
                  <w:noWrap/>
                  <w:vAlign w:val="center"/>
                </w:tcPr>
                <w:p w14:paraId="5AFD6F1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435" w:type="dxa"/>
                  <w:tcBorders>
                    <w:tl2br w:val="nil"/>
                    <w:tr2bl w:val="nil"/>
                  </w:tcBorders>
                  <w:shd w:val="clear" w:color="auto" w:fill="auto"/>
                  <w:noWrap w:val="0"/>
                  <w:vAlign w:val="center"/>
                </w:tcPr>
                <w:p w14:paraId="707C03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套</w:t>
                  </w:r>
                </w:p>
              </w:tc>
              <w:tc>
                <w:tcPr>
                  <w:tcW w:w="525" w:type="dxa"/>
                  <w:tcBorders>
                    <w:tl2br w:val="nil"/>
                    <w:tr2bl w:val="nil"/>
                  </w:tcBorders>
                  <w:shd w:val="clear" w:color="auto" w:fill="auto"/>
                  <w:noWrap w:val="0"/>
                  <w:vAlign w:val="center"/>
                </w:tcPr>
                <w:p w14:paraId="0B36AA3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0D6E808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cs="Times New Roman"/>
                      <w:i w:val="0"/>
                      <w:iCs w:val="0"/>
                      <w:color w:val="auto"/>
                      <w:sz w:val="21"/>
                      <w:szCs w:val="21"/>
                      <w:u w:val="none"/>
                      <w:lang w:eastAsia="zh-CN"/>
                    </w:rPr>
                    <w:t>散热器管孔翻边</w:t>
                  </w:r>
                </w:p>
              </w:tc>
              <w:tc>
                <w:tcPr>
                  <w:tcW w:w="1899" w:type="dxa"/>
                  <w:tcBorders>
                    <w:tl2br w:val="nil"/>
                    <w:tr2bl w:val="nil"/>
                  </w:tcBorders>
                  <w:shd w:val="clear" w:color="auto" w:fill="auto"/>
                  <w:noWrap/>
                  <w:vAlign w:val="center"/>
                </w:tcPr>
                <w:p w14:paraId="4718F9D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新增</w:t>
                  </w:r>
                </w:p>
              </w:tc>
            </w:tr>
            <w:tr w14:paraId="71F30D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3E90D3D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1659753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翅片冲床</w:t>
                  </w:r>
                </w:p>
              </w:tc>
              <w:tc>
                <w:tcPr>
                  <w:tcW w:w="1875" w:type="dxa"/>
                  <w:tcBorders>
                    <w:tl2br w:val="nil"/>
                    <w:tr2bl w:val="nil"/>
                  </w:tcBorders>
                  <w:shd w:val="clear" w:color="auto" w:fill="auto"/>
                  <w:noWrap/>
                  <w:vAlign w:val="center"/>
                </w:tcPr>
                <w:p w14:paraId="6B338B4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JF-45C</w:t>
                  </w:r>
                </w:p>
              </w:tc>
              <w:tc>
                <w:tcPr>
                  <w:tcW w:w="435" w:type="dxa"/>
                  <w:tcBorders>
                    <w:tl2br w:val="nil"/>
                    <w:tr2bl w:val="nil"/>
                  </w:tcBorders>
                  <w:shd w:val="clear" w:color="auto" w:fill="auto"/>
                  <w:noWrap w:val="0"/>
                  <w:vAlign w:val="center"/>
                </w:tcPr>
                <w:p w14:paraId="529C58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6BC02F1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37E12B8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散热器翅片下料用</w:t>
                  </w:r>
                </w:p>
              </w:tc>
              <w:tc>
                <w:tcPr>
                  <w:tcW w:w="1899" w:type="dxa"/>
                  <w:tcBorders>
                    <w:tl2br w:val="nil"/>
                    <w:tr2bl w:val="nil"/>
                  </w:tcBorders>
                  <w:shd w:val="clear" w:color="auto" w:fill="auto"/>
                  <w:noWrap/>
                  <w:vAlign w:val="center"/>
                </w:tcPr>
                <w:p w14:paraId="26737E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新增</w:t>
                  </w:r>
                </w:p>
              </w:tc>
            </w:tr>
            <w:tr w14:paraId="37B16A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77DDF5C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0B608D9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胀管机</w:t>
                  </w:r>
                </w:p>
              </w:tc>
              <w:tc>
                <w:tcPr>
                  <w:tcW w:w="1875" w:type="dxa"/>
                  <w:tcBorders>
                    <w:tl2br w:val="nil"/>
                    <w:tr2bl w:val="nil"/>
                  </w:tcBorders>
                  <w:shd w:val="clear" w:color="auto" w:fill="auto"/>
                  <w:noWrap/>
                  <w:vAlign w:val="center"/>
                </w:tcPr>
                <w:p w14:paraId="52C4C35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JSZ-2(9.25*25)</w:t>
                  </w:r>
                </w:p>
              </w:tc>
              <w:tc>
                <w:tcPr>
                  <w:tcW w:w="435" w:type="dxa"/>
                  <w:tcBorders>
                    <w:tl2br w:val="nil"/>
                    <w:tr2bl w:val="nil"/>
                  </w:tcBorders>
                  <w:shd w:val="clear" w:color="auto" w:fill="auto"/>
                  <w:noWrap w:val="0"/>
                  <w:vAlign w:val="center"/>
                </w:tcPr>
                <w:p w14:paraId="5A4DF2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0B23E70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7E2F1A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散热器铜管胀管用</w:t>
                  </w:r>
                </w:p>
              </w:tc>
              <w:tc>
                <w:tcPr>
                  <w:tcW w:w="1899" w:type="dxa"/>
                  <w:tcBorders>
                    <w:tl2br w:val="nil"/>
                    <w:tr2bl w:val="nil"/>
                  </w:tcBorders>
                  <w:shd w:val="clear" w:color="auto" w:fill="auto"/>
                  <w:noWrap/>
                  <w:vAlign w:val="center"/>
                </w:tcPr>
                <w:p w14:paraId="7998692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新增</w:t>
                  </w:r>
                </w:p>
              </w:tc>
            </w:tr>
            <w:tr w14:paraId="19C30A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3F37723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44D223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空压机</w:t>
                  </w:r>
                </w:p>
              </w:tc>
              <w:tc>
                <w:tcPr>
                  <w:tcW w:w="1875" w:type="dxa"/>
                  <w:tcBorders>
                    <w:tl2br w:val="nil"/>
                    <w:tr2bl w:val="nil"/>
                  </w:tcBorders>
                  <w:shd w:val="clear" w:color="auto" w:fill="auto"/>
                  <w:noWrap/>
                  <w:vAlign w:val="center"/>
                </w:tcPr>
                <w:p w14:paraId="6EC1F1D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BK7.5-8G</w:t>
                  </w:r>
                </w:p>
              </w:tc>
              <w:tc>
                <w:tcPr>
                  <w:tcW w:w="435" w:type="dxa"/>
                  <w:tcBorders>
                    <w:tl2br w:val="nil"/>
                    <w:tr2bl w:val="nil"/>
                  </w:tcBorders>
                  <w:shd w:val="clear" w:color="auto" w:fill="auto"/>
                  <w:noWrap w:val="0"/>
                  <w:vAlign w:val="center"/>
                </w:tcPr>
                <w:p w14:paraId="19FFDF7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2936A04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5FACC01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翅片冲床配套用</w:t>
                  </w:r>
                </w:p>
              </w:tc>
              <w:tc>
                <w:tcPr>
                  <w:tcW w:w="1899" w:type="dxa"/>
                  <w:tcBorders>
                    <w:tl2br w:val="nil"/>
                    <w:tr2bl w:val="nil"/>
                  </w:tcBorders>
                  <w:shd w:val="clear" w:color="auto" w:fill="auto"/>
                  <w:noWrap/>
                  <w:vAlign w:val="center"/>
                </w:tcPr>
                <w:p w14:paraId="674471B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新增</w:t>
                  </w:r>
                </w:p>
              </w:tc>
            </w:tr>
            <w:tr w14:paraId="3D4BD8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5304374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6516206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校直切断机</w:t>
                  </w:r>
                </w:p>
              </w:tc>
              <w:tc>
                <w:tcPr>
                  <w:tcW w:w="1875" w:type="dxa"/>
                  <w:tcBorders>
                    <w:tl2br w:val="nil"/>
                    <w:tr2bl w:val="nil"/>
                  </w:tcBorders>
                  <w:shd w:val="clear" w:color="auto" w:fill="auto"/>
                  <w:noWrap/>
                  <w:vAlign w:val="center"/>
                </w:tcPr>
                <w:p w14:paraId="74E548C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JXL-2（9.25*0.6）</w:t>
                  </w:r>
                </w:p>
              </w:tc>
              <w:tc>
                <w:tcPr>
                  <w:tcW w:w="435" w:type="dxa"/>
                  <w:tcBorders>
                    <w:tl2br w:val="nil"/>
                    <w:tr2bl w:val="nil"/>
                  </w:tcBorders>
                  <w:shd w:val="clear" w:color="auto" w:fill="auto"/>
                  <w:noWrap w:val="0"/>
                  <w:vAlign w:val="center"/>
                </w:tcPr>
                <w:p w14:paraId="7E31048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22A71CC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4C0ECC8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散热器铜管下料用</w:t>
                  </w:r>
                </w:p>
              </w:tc>
              <w:tc>
                <w:tcPr>
                  <w:tcW w:w="1899" w:type="dxa"/>
                  <w:tcBorders>
                    <w:tl2br w:val="nil"/>
                    <w:tr2bl w:val="nil"/>
                  </w:tcBorders>
                  <w:shd w:val="clear" w:color="auto" w:fill="auto"/>
                  <w:noWrap/>
                  <w:vAlign w:val="center"/>
                </w:tcPr>
                <w:p w14:paraId="5B202CA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新增</w:t>
                  </w:r>
                </w:p>
              </w:tc>
            </w:tr>
            <w:tr w14:paraId="45C5D4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7E7EA69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7ED3469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109" w:rightChars="-52"/>
                    <w:jc w:val="both"/>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手动长U弯管机</w:t>
                  </w:r>
                </w:p>
              </w:tc>
              <w:tc>
                <w:tcPr>
                  <w:tcW w:w="1875" w:type="dxa"/>
                  <w:tcBorders>
                    <w:tl2br w:val="nil"/>
                    <w:tr2bl w:val="nil"/>
                  </w:tcBorders>
                  <w:shd w:val="clear" w:color="auto" w:fill="auto"/>
                  <w:noWrap/>
                  <w:vAlign w:val="center"/>
                </w:tcPr>
                <w:p w14:paraId="1D98D0F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JWS-1(9.25*0.6)</w:t>
                  </w:r>
                </w:p>
              </w:tc>
              <w:tc>
                <w:tcPr>
                  <w:tcW w:w="435" w:type="dxa"/>
                  <w:tcBorders>
                    <w:tl2br w:val="nil"/>
                    <w:tr2bl w:val="nil"/>
                  </w:tcBorders>
                  <w:shd w:val="clear" w:color="auto" w:fill="auto"/>
                  <w:noWrap w:val="0"/>
                  <w:vAlign w:val="center"/>
                </w:tcPr>
                <w:p w14:paraId="38D19A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6F35751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1C7A58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散热器弯管用</w:t>
                  </w:r>
                </w:p>
              </w:tc>
              <w:tc>
                <w:tcPr>
                  <w:tcW w:w="1899" w:type="dxa"/>
                  <w:tcBorders>
                    <w:tl2br w:val="nil"/>
                    <w:tr2bl w:val="nil"/>
                  </w:tcBorders>
                  <w:shd w:val="clear" w:color="auto" w:fill="auto"/>
                  <w:noWrap/>
                  <w:vAlign w:val="center"/>
                </w:tcPr>
                <w:p w14:paraId="171CFC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新增</w:t>
                  </w:r>
                </w:p>
              </w:tc>
            </w:tr>
            <w:tr w14:paraId="5BC5DE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5B76316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590A074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智能氩弧焊</w:t>
                  </w:r>
                </w:p>
              </w:tc>
              <w:tc>
                <w:tcPr>
                  <w:tcW w:w="1875" w:type="dxa"/>
                  <w:tcBorders>
                    <w:tl2br w:val="nil"/>
                    <w:tr2bl w:val="nil"/>
                  </w:tcBorders>
                  <w:shd w:val="clear" w:color="auto" w:fill="auto"/>
                  <w:noWrap/>
                  <w:vAlign w:val="center"/>
                </w:tcPr>
                <w:p w14:paraId="0366459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TIG 300K</w:t>
                  </w:r>
                </w:p>
              </w:tc>
              <w:tc>
                <w:tcPr>
                  <w:tcW w:w="435" w:type="dxa"/>
                  <w:tcBorders>
                    <w:tl2br w:val="nil"/>
                    <w:tr2bl w:val="nil"/>
                  </w:tcBorders>
                  <w:shd w:val="clear" w:color="auto" w:fill="auto"/>
                  <w:noWrap w:val="0"/>
                  <w:vAlign w:val="center"/>
                </w:tcPr>
                <w:p w14:paraId="02A2347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02C7EFB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34B5F3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散热器点焊用</w:t>
                  </w:r>
                </w:p>
              </w:tc>
              <w:tc>
                <w:tcPr>
                  <w:tcW w:w="1899" w:type="dxa"/>
                  <w:tcBorders>
                    <w:tl2br w:val="nil"/>
                    <w:tr2bl w:val="nil"/>
                  </w:tcBorders>
                  <w:shd w:val="clear" w:color="auto" w:fill="auto"/>
                  <w:noWrap/>
                  <w:vAlign w:val="center"/>
                </w:tcPr>
                <w:p w14:paraId="0AFB199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新增</w:t>
                  </w:r>
                </w:p>
              </w:tc>
            </w:tr>
            <w:tr w14:paraId="265E22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0D76D53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291DEAE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both"/>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双丝激光焊机</w:t>
                  </w:r>
                </w:p>
              </w:tc>
              <w:tc>
                <w:tcPr>
                  <w:tcW w:w="1875" w:type="dxa"/>
                  <w:tcBorders>
                    <w:tl2br w:val="nil"/>
                    <w:tr2bl w:val="nil"/>
                  </w:tcBorders>
                  <w:shd w:val="clear" w:color="auto" w:fill="auto"/>
                  <w:noWrap/>
                  <w:vAlign w:val="center"/>
                </w:tcPr>
                <w:p w14:paraId="2973A19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LS-2000F</w:t>
                  </w:r>
                </w:p>
              </w:tc>
              <w:tc>
                <w:tcPr>
                  <w:tcW w:w="435" w:type="dxa"/>
                  <w:tcBorders>
                    <w:tl2br w:val="nil"/>
                    <w:tr2bl w:val="nil"/>
                  </w:tcBorders>
                  <w:shd w:val="clear" w:color="auto" w:fill="auto"/>
                  <w:noWrap w:val="0"/>
                  <w:vAlign w:val="center"/>
                </w:tcPr>
                <w:p w14:paraId="4012C62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0F04C7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3112522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散热器点焊用</w:t>
                  </w:r>
                </w:p>
              </w:tc>
              <w:tc>
                <w:tcPr>
                  <w:tcW w:w="1899" w:type="dxa"/>
                  <w:tcBorders>
                    <w:tl2br w:val="nil"/>
                    <w:tr2bl w:val="nil"/>
                  </w:tcBorders>
                  <w:shd w:val="clear" w:color="auto" w:fill="auto"/>
                  <w:noWrap/>
                  <w:vAlign w:val="center"/>
                </w:tcPr>
                <w:p w14:paraId="6763879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新增</w:t>
                  </w:r>
                </w:p>
              </w:tc>
            </w:tr>
            <w:tr w14:paraId="174D23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5E718F6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40762A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氧</w:t>
                  </w:r>
                  <w:r>
                    <w:rPr>
                      <w:rFonts w:hint="eastAsia" w:cs="Times New Roman"/>
                      <w:i w:val="0"/>
                      <w:iCs w:val="0"/>
                      <w:color w:val="auto"/>
                      <w:kern w:val="0"/>
                      <w:sz w:val="21"/>
                      <w:szCs w:val="21"/>
                      <w:u w:val="none"/>
                      <w:lang w:val="en-US" w:eastAsia="zh-CN" w:bidi="ar"/>
                    </w:rPr>
                    <w:t>-乙炔切割</w:t>
                  </w:r>
                </w:p>
              </w:tc>
              <w:tc>
                <w:tcPr>
                  <w:tcW w:w="1875" w:type="dxa"/>
                  <w:tcBorders>
                    <w:tl2br w:val="nil"/>
                    <w:tr2bl w:val="nil"/>
                  </w:tcBorders>
                  <w:noWrap/>
                  <w:vAlign w:val="center"/>
                </w:tcPr>
                <w:p w14:paraId="0E6A92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color w:val="auto"/>
                      <w:kern w:val="0"/>
                      <w:sz w:val="21"/>
                      <w:szCs w:val="21"/>
                      <w:lang w:val="en-US" w:eastAsia="zh-CN"/>
                    </w:rPr>
                  </w:pPr>
                  <w:r>
                    <w:rPr>
                      <w:rFonts w:hint="eastAsia" w:cs="Times New Roman"/>
                      <w:b w:val="0"/>
                      <w:bCs/>
                      <w:color w:val="auto"/>
                      <w:kern w:val="0"/>
                      <w:sz w:val="21"/>
                      <w:szCs w:val="21"/>
                      <w:lang w:val="en-US" w:eastAsia="zh-CN"/>
                    </w:rPr>
                    <w:t>G01-100</w:t>
                  </w:r>
                </w:p>
              </w:tc>
              <w:tc>
                <w:tcPr>
                  <w:tcW w:w="435" w:type="dxa"/>
                  <w:tcBorders>
                    <w:tl2br w:val="nil"/>
                    <w:tr2bl w:val="nil"/>
                  </w:tcBorders>
                  <w:noWrap w:val="0"/>
                  <w:vAlign w:val="center"/>
                </w:tcPr>
                <w:p w14:paraId="0A7F471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lang w:val="en-US" w:eastAsia="zh-CN"/>
                    </w:rPr>
                  </w:pPr>
                  <w:r>
                    <w:rPr>
                      <w:rFonts w:hint="eastAsia" w:cs="Times New Roman"/>
                      <w:b w:val="0"/>
                      <w:bCs/>
                      <w:color w:val="auto"/>
                      <w:kern w:val="0"/>
                      <w:sz w:val="21"/>
                      <w:szCs w:val="21"/>
                      <w:lang w:val="en-US" w:eastAsia="zh-CN"/>
                    </w:rPr>
                    <w:t>套</w:t>
                  </w:r>
                </w:p>
              </w:tc>
              <w:tc>
                <w:tcPr>
                  <w:tcW w:w="525" w:type="dxa"/>
                  <w:tcBorders>
                    <w:tl2br w:val="nil"/>
                    <w:tr2bl w:val="nil"/>
                  </w:tcBorders>
                  <w:noWrap w:val="0"/>
                  <w:vAlign w:val="center"/>
                </w:tcPr>
                <w:p w14:paraId="335237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lang w:val="en-US" w:eastAsia="zh-CN"/>
                    </w:rPr>
                  </w:pPr>
                  <w:r>
                    <w:rPr>
                      <w:rFonts w:hint="eastAsia" w:cs="Times New Roman"/>
                      <w:b w:val="0"/>
                      <w:bCs/>
                      <w:color w:val="auto"/>
                      <w:kern w:val="0"/>
                      <w:sz w:val="21"/>
                      <w:szCs w:val="21"/>
                      <w:lang w:val="en-US" w:eastAsia="zh-CN"/>
                    </w:rPr>
                    <w:t>2</w:t>
                  </w:r>
                </w:p>
              </w:tc>
              <w:tc>
                <w:tcPr>
                  <w:tcW w:w="1905" w:type="dxa"/>
                  <w:tcBorders>
                    <w:tl2br w:val="nil"/>
                    <w:tr2bl w:val="nil"/>
                  </w:tcBorders>
                  <w:noWrap/>
                  <w:vAlign w:val="center"/>
                </w:tcPr>
                <w:p w14:paraId="4FDFFF0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b/>
                      <w:color w:val="auto"/>
                      <w:kern w:val="0"/>
                      <w:sz w:val="21"/>
                      <w:szCs w:val="21"/>
                      <w:lang w:eastAsia="zh-CN"/>
                    </w:rPr>
                  </w:pPr>
                  <w:r>
                    <w:rPr>
                      <w:rFonts w:hint="eastAsia" w:ascii="Times New Roman" w:hAnsi="Times New Roman" w:cs="Times New Roman"/>
                      <w:b w:val="0"/>
                      <w:bCs/>
                      <w:color w:val="auto"/>
                      <w:kern w:val="0"/>
                      <w:sz w:val="21"/>
                      <w:szCs w:val="21"/>
                      <w:lang w:eastAsia="zh-CN"/>
                    </w:rPr>
                    <w:t>切割</w:t>
                  </w:r>
                </w:p>
              </w:tc>
              <w:tc>
                <w:tcPr>
                  <w:tcW w:w="1899" w:type="dxa"/>
                  <w:tcBorders>
                    <w:tl2br w:val="nil"/>
                    <w:tr2bl w:val="nil"/>
                  </w:tcBorders>
                  <w:noWrap/>
                  <w:vAlign w:val="center"/>
                </w:tcPr>
                <w:p w14:paraId="2791C8B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eastAsia" w:ascii="Times New Roman" w:hAnsi="Times New Roman" w:eastAsia="宋体" w:cs="Times New Roman"/>
                      <w:i w:val="0"/>
                      <w:iCs w:val="0"/>
                      <w:color w:val="auto"/>
                      <w:sz w:val="21"/>
                      <w:szCs w:val="21"/>
                      <w:u w:val="none"/>
                      <w:lang w:eastAsia="zh-CN"/>
                    </w:rPr>
                    <w:t>新增</w:t>
                  </w:r>
                </w:p>
              </w:tc>
            </w:tr>
            <w:tr w14:paraId="005E1E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restart"/>
                  <w:tcBorders>
                    <w:tl2br w:val="nil"/>
                    <w:tr2bl w:val="nil"/>
                  </w:tcBorders>
                  <w:noWrap/>
                  <w:vAlign w:val="center"/>
                </w:tcPr>
                <w:p w14:paraId="01548B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eastAsia" w:ascii="Times New Roman" w:hAnsi="Times New Roman" w:cs="Times New Roman"/>
                      <w:b/>
                      <w:color w:val="auto"/>
                      <w:kern w:val="0"/>
                      <w:sz w:val="21"/>
                      <w:szCs w:val="21"/>
                      <w:lang w:val="en-US" w:eastAsia="zh-CN"/>
                    </w:rPr>
                  </w:pPr>
                  <w:r>
                    <w:rPr>
                      <w:rFonts w:hint="eastAsia" w:ascii="Times New Roman" w:hAnsi="Times New Roman" w:cs="Times New Roman"/>
                      <w:b/>
                      <w:color w:val="auto"/>
                      <w:kern w:val="0"/>
                      <w:sz w:val="21"/>
                      <w:szCs w:val="21"/>
                      <w:lang w:val="en-US" w:eastAsia="zh-CN"/>
                    </w:rPr>
                    <w:t>钢结构</w:t>
                  </w:r>
                </w:p>
                <w:p w14:paraId="598C133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p w14:paraId="789DA8D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3D378D2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激光下料机</w:t>
                  </w:r>
                </w:p>
              </w:tc>
              <w:tc>
                <w:tcPr>
                  <w:tcW w:w="1875" w:type="dxa"/>
                  <w:tcBorders>
                    <w:tl2br w:val="nil"/>
                    <w:tr2bl w:val="nil"/>
                  </w:tcBorders>
                  <w:noWrap/>
                  <w:vAlign w:val="center"/>
                </w:tcPr>
                <w:p w14:paraId="6E0E533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i w:val="0"/>
                      <w:iCs w:val="0"/>
                      <w:color w:val="auto"/>
                      <w:sz w:val="21"/>
                      <w:szCs w:val="21"/>
                      <w:u w:val="none"/>
                      <w:lang w:val="en-US" w:eastAsia="zh-CN"/>
                    </w:rPr>
                    <w:t>2060</w:t>
                  </w:r>
                </w:p>
              </w:tc>
              <w:tc>
                <w:tcPr>
                  <w:tcW w:w="435" w:type="dxa"/>
                  <w:tcBorders>
                    <w:tl2br w:val="nil"/>
                    <w:tr2bl w:val="nil"/>
                  </w:tcBorders>
                  <w:shd w:val="clear" w:color="auto" w:fill="auto"/>
                  <w:noWrap w:val="0"/>
                  <w:vAlign w:val="center"/>
                </w:tcPr>
                <w:p w14:paraId="448B04EA">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04F16A2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905" w:type="dxa"/>
                  <w:tcBorders>
                    <w:tl2br w:val="nil"/>
                    <w:tr2bl w:val="nil"/>
                  </w:tcBorders>
                  <w:shd w:val="clear" w:color="auto" w:fill="auto"/>
                  <w:noWrap/>
                  <w:vAlign w:val="center"/>
                </w:tcPr>
                <w:p w14:paraId="04C1FA0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eastAsiaTheme="minorEastAsia"/>
                      <w:b/>
                      <w:color w:val="auto"/>
                      <w:kern w:val="0"/>
                      <w:sz w:val="21"/>
                      <w:szCs w:val="21"/>
                      <w:lang w:val="en-US" w:eastAsia="zh-CN" w:bidi="ar-SA"/>
                    </w:rPr>
                  </w:pPr>
                  <w:r>
                    <w:rPr>
                      <w:rFonts w:hint="default" w:ascii="Times New Roman" w:hAnsi="Times New Roman" w:eastAsia="宋体" w:cs="Times New Roman"/>
                      <w:i w:val="0"/>
                      <w:iCs w:val="0"/>
                      <w:color w:val="auto"/>
                      <w:sz w:val="21"/>
                      <w:szCs w:val="21"/>
                      <w:u w:val="none"/>
                      <w:lang w:eastAsia="zh-CN"/>
                    </w:rPr>
                    <w:t>下料</w:t>
                  </w:r>
                </w:p>
              </w:tc>
              <w:tc>
                <w:tcPr>
                  <w:tcW w:w="1899" w:type="dxa"/>
                  <w:tcBorders>
                    <w:tl2br w:val="nil"/>
                    <w:tr2bl w:val="nil"/>
                  </w:tcBorders>
                  <w:shd w:val="clear" w:color="auto" w:fill="auto"/>
                  <w:noWrap/>
                  <w:vAlign w:val="center"/>
                </w:tcPr>
                <w:p w14:paraId="0CA1F0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与</w:t>
                  </w:r>
                  <w:r>
                    <w:rPr>
                      <w:rFonts w:hint="eastAsia" w:ascii="Times New Roman" w:hAnsi="Times New Roman" w:eastAsia="宋体" w:cs="Times New Roman"/>
                      <w:i w:val="0"/>
                      <w:iCs w:val="0"/>
                      <w:color w:val="auto"/>
                      <w:sz w:val="21"/>
                      <w:szCs w:val="21"/>
                      <w:u w:val="none"/>
                      <w:lang w:val="en-US" w:eastAsia="zh-CN"/>
                    </w:rPr>
                    <w:t>压力容器线共用</w:t>
                  </w:r>
                </w:p>
              </w:tc>
            </w:tr>
            <w:tr w14:paraId="7844A1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3A3B149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58B3398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抛丸机</w:t>
                  </w:r>
                </w:p>
              </w:tc>
              <w:tc>
                <w:tcPr>
                  <w:tcW w:w="1875" w:type="dxa"/>
                  <w:tcBorders>
                    <w:tl2br w:val="nil"/>
                    <w:tr2bl w:val="nil"/>
                  </w:tcBorders>
                  <w:shd w:val="clear" w:color="auto" w:fill="auto"/>
                  <w:noWrap/>
                  <w:vAlign w:val="center"/>
                </w:tcPr>
                <w:p w14:paraId="00F56B1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Q6927</w:t>
                  </w:r>
                </w:p>
              </w:tc>
              <w:tc>
                <w:tcPr>
                  <w:tcW w:w="435" w:type="dxa"/>
                  <w:tcBorders>
                    <w:tl2br w:val="nil"/>
                    <w:tr2bl w:val="nil"/>
                  </w:tcBorders>
                  <w:shd w:val="clear" w:color="auto" w:fill="auto"/>
                  <w:noWrap w:val="0"/>
                  <w:vAlign w:val="center"/>
                </w:tcPr>
                <w:p w14:paraId="717A69A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46A62B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905" w:type="dxa"/>
                  <w:tcBorders>
                    <w:tl2br w:val="nil"/>
                    <w:tr2bl w:val="nil"/>
                  </w:tcBorders>
                  <w:shd w:val="clear" w:color="auto" w:fill="auto"/>
                  <w:noWrap/>
                  <w:vAlign w:val="center"/>
                </w:tcPr>
                <w:p w14:paraId="6A7E466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抛丸除锈</w:t>
                  </w:r>
                </w:p>
              </w:tc>
              <w:tc>
                <w:tcPr>
                  <w:tcW w:w="1899" w:type="dxa"/>
                  <w:tcBorders>
                    <w:tl2br w:val="nil"/>
                    <w:tr2bl w:val="nil"/>
                  </w:tcBorders>
                  <w:shd w:val="clear" w:color="auto" w:fill="auto"/>
                  <w:noWrap/>
                  <w:vAlign w:val="center"/>
                </w:tcPr>
                <w:p w14:paraId="49AA71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与压力容器线共用</w:t>
                  </w:r>
                </w:p>
              </w:tc>
            </w:tr>
            <w:tr w14:paraId="0B440F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0A0DE35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39D279D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空压机</w:t>
                  </w:r>
                </w:p>
              </w:tc>
              <w:tc>
                <w:tcPr>
                  <w:tcW w:w="1875" w:type="dxa"/>
                  <w:tcBorders>
                    <w:tl2br w:val="nil"/>
                    <w:tr2bl w:val="nil"/>
                  </w:tcBorders>
                  <w:shd w:val="clear" w:color="auto" w:fill="auto"/>
                  <w:noWrap/>
                  <w:vAlign w:val="center"/>
                </w:tcPr>
                <w:p w14:paraId="4174A09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50升</w:t>
                  </w:r>
                </w:p>
              </w:tc>
              <w:tc>
                <w:tcPr>
                  <w:tcW w:w="435" w:type="dxa"/>
                  <w:tcBorders>
                    <w:tl2br w:val="nil"/>
                    <w:tr2bl w:val="nil"/>
                  </w:tcBorders>
                  <w:shd w:val="clear" w:color="auto" w:fill="auto"/>
                  <w:noWrap w:val="0"/>
                  <w:vAlign w:val="center"/>
                </w:tcPr>
                <w:p w14:paraId="579C14C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40E9EB4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157BE34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等离子切割机</w:t>
                  </w:r>
                  <w:r>
                    <w:rPr>
                      <w:rFonts w:hint="eastAsia" w:ascii="Times New Roman" w:hAnsi="Times New Roman" w:eastAsia="宋体" w:cs="Times New Roman"/>
                      <w:i w:val="0"/>
                      <w:iCs w:val="0"/>
                      <w:color w:val="auto"/>
                      <w:kern w:val="0"/>
                      <w:sz w:val="21"/>
                      <w:szCs w:val="21"/>
                      <w:u w:val="none"/>
                      <w:lang w:val="en-US" w:eastAsia="zh-CN" w:bidi="ar"/>
                    </w:rPr>
                    <w:t>用</w:t>
                  </w:r>
                </w:p>
              </w:tc>
              <w:tc>
                <w:tcPr>
                  <w:tcW w:w="1899" w:type="dxa"/>
                  <w:tcBorders>
                    <w:tl2br w:val="nil"/>
                    <w:tr2bl w:val="nil"/>
                  </w:tcBorders>
                  <w:shd w:val="clear" w:color="auto" w:fill="auto"/>
                  <w:noWrap/>
                  <w:vAlign w:val="center"/>
                </w:tcPr>
                <w:p w14:paraId="34BF260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sz w:val="21"/>
                      <w:szCs w:val="21"/>
                      <w:u w:val="none"/>
                      <w:lang w:eastAsia="zh-CN"/>
                    </w:rPr>
                    <w:t>新增</w:t>
                  </w:r>
                </w:p>
              </w:tc>
            </w:tr>
            <w:tr w14:paraId="7942CB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2B525C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0B21AF2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氧</w:t>
                  </w:r>
                  <w:r>
                    <w:rPr>
                      <w:rFonts w:hint="eastAsia" w:cs="Times New Roman"/>
                      <w:i w:val="0"/>
                      <w:iCs w:val="0"/>
                      <w:color w:val="auto"/>
                      <w:kern w:val="0"/>
                      <w:sz w:val="21"/>
                      <w:szCs w:val="21"/>
                      <w:u w:val="none"/>
                      <w:lang w:val="en-US" w:eastAsia="zh-CN" w:bidi="ar"/>
                    </w:rPr>
                    <w:t>-乙炔切割</w:t>
                  </w:r>
                </w:p>
              </w:tc>
              <w:tc>
                <w:tcPr>
                  <w:tcW w:w="1875" w:type="dxa"/>
                  <w:tcBorders>
                    <w:tl2br w:val="nil"/>
                    <w:tr2bl w:val="nil"/>
                  </w:tcBorders>
                  <w:noWrap/>
                  <w:vAlign w:val="center"/>
                </w:tcPr>
                <w:p w14:paraId="3B0BA10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cs="Times New Roman"/>
                      <w:b/>
                      <w:color w:val="FF0000"/>
                      <w:kern w:val="0"/>
                      <w:sz w:val="21"/>
                      <w:szCs w:val="21"/>
                    </w:rPr>
                  </w:pPr>
                  <w:r>
                    <w:rPr>
                      <w:rFonts w:hint="eastAsia" w:cs="Times New Roman"/>
                      <w:b w:val="0"/>
                      <w:bCs/>
                      <w:color w:val="auto"/>
                      <w:kern w:val="0"/>
                      <w:sz w:val="21"/>
                      <w:szCs w:val="21"/>
                      <w:lang w:val="en-US" w:eastAsia="zh-CN"/>
                    </w:rPr>
                    <w:t>G01-100</w:t>
                  </w:r>
                </w:p>
              </w:tc>
              <w:tc>
                <w:tcPr>
                  <w:tcW w:w="435" w:type="dxa"/>
                  <w:tcBorders>
                    <w:tl2br w:val="nil"/>
                    <w:tr2bl w:val="nil"/>
                  </w:tcBorders>
                  <w:noWrap w:val="0"/>
                  <w:vAlign w:val="center"/>
                </w:tcPr>
                <w:p w14:paraId="5534D06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b/>
                      <w:color w:val="auto"/>
                      <w:kern w:val="0"/>
                      <w:sz w:val="21"/>
                      <w:szCs w:val="21"/>
                      <w:lang w:eastAsia="zh-CN"/>
                    </w:rPr>
                  </w:pPr>
                  <w:r>
                    <w:rPr>
                      <w:rFonts w:hint="eastAsia" w:cs="Times New Roman"/>
                      <w:b w:val="0"/>
                      <w:bCs/>
                      <w:color w:val="auto"/>
                      <w:kern w:val="0"/>
                      <w:sz w:val="21"/>
                      <w:szCs w:val="21"/>
                      <w:lang w:val="en-US" w:eastAsia="zh-CN"/>
                    </w:rPr>
                    <w:t>套</w:t>
                  </w:r>
                </w:p>
              </w:tc>
              <w:tc>
                <w:tcPr>
                  <w:tcW w:w="525" w:type="dxa"/>
                  <w:tcBorders>
                    <w:tl2br w:val="nil"/>
                    <w:tr2bl w:val="nil"/>
                  </w:tcBorders>
                  <w:noWrap w:val="0"/>
                  <w:vAlign w:val="center"/>
                </w:tcPr>
                <w:p w14:paraId="59DEC4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lang w:val="en-US" w:eastAsia="zh-CN"/>
                    </w:rPr>
                  </w:pPr>
                  <w:r>
                    <w:rPr>
                      <w:rFonts w:hint="eastAsia" w:cs="Times New Roman"/>
                      <w:b w:val="0"/>
                      <w:bCs/>
                      <w:color w:val="auto"/>
                      <w:kern w:val="0"/>
                      <w:sz w:val="21"/>
                      <w:szCs w:val="21"/>
                      <w:lang w:val="en-US" w:eastAsia="zh-CN"/>
                    </w:rPr>
                    <w:t>2</w:t>
                  </w:r>
                </w:p>
              </w:tc>
              <w:tc>
                <w:tcPr>
                  <w:tcW w:w="1905" w:type="dxa"/>
                  <w:tcBorders>
                    <w:tl2br w:val="nil"/>
                    <w:tr2bl w:val="nil"/>
                  </w:tcBorders>
                  <w:noWrap/>
                  <w:vAlign w:val="center"/>
                </w:tcPr>
                <w:p w14:paraId="6E2E9C0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eastAsia" w:ascii="Times New Roman" w:hAnsi="Times New Roman" w:cs="Times New Roman"/>
                      <w:b w:val="0"/>
                      <w:bCs/>
                      <w:color w:val="auto"/>
                      <w:kern w:val="0"/>
                      <w:sz w:val="21"/>
                      <w:szCs w:val="21"/>
                      <w:lang w:eastAsia="zh-CN"/>
                    </w:rPr>
                    <w:t>切割</w:t>
                  </w:r>
                </w:p>
              </w:tc>
              <w:tc>
                <w:tcPr>
                  <w:tcW w:w="1899" w:type="dxa"/>
                  <w:tcBorders>
                    <w:tl2br w:val="nil"/>
                    <w:tr2bl w:val="nil"/>
                  </w:tcBorders>
                  <w:noWrap/>
                  <w:vAlign w:val="center"/>
                </w:tcPr>
                <w:p w14:paraId="6756173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eastAsia" w:ascii="Times New Roman" w:hAnsi="Times New Roman" w:eastAsia="宋体" w:cs="Times New Roman"/>
                      <w:i w:val="0"/>
                      <w:iCs w:val="0"/>
                      <w:color w:val="auto"/>
                      <w:sz w:val="21"/>
                      <w:szCs w:val="21"/>
                      <w:u w:val="none"/>
                      <w:lang w:eastAsia="zh-CN"/>
                    </w:rPr>
                    <w:t>新增</w:t>
                  </w:r>
                </w:p>
              </w:tc>
            </w:tr>
            <w:tr w14:paraId="56FB97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07403DC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338F74C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摇臂钻床</w:t>
                  </w:r>
                </w:p>
              </w:tc>
              <w:tc>
                <w:tcPr>
                  <w:tcW w:w="1875" w:type="dxa"/>
                  <w:tcBorders>
                    <w:tl2br w:val="nil"/>
                    <w:tr2bl w:val="nil"/>
                  </w:tcBorders>
                  <w:shd w:val="clear" w:color="auto" w:fill="auto"/>
                  <w:noWrap/>
                  <w:vAlign w:val="center"/>
                </w:tcPr>
                <w:p w14:paraId="781B07C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Z3063×20/1</w:t>
                  </w:r>
                </w:p>
              </w:tc>
              <w:tc>
                <w:tcPr>
                  <w:tcW w:w="435" w:type="dxa"/>
                  <w:tcBorders>
                    <w:tl2br w:val="nil"/>
                    <w:tr2bl w:val="nil"/>
                  </w:tcBorders>
                  <w:noWrap w:val="0"/>
                  <w:vAlign w:val="center"/>
                </w:tcPr>
                <w:p w14:paraId="2321EE1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b/>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noWrap w:val="0"/>
                  <w:vAlign w:val="center"/>
                </w:tcPr>
                <w:p w14:paraId="3A2A426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val="0"/>
                      <w:bCs/>
                      <w:color w:val="auto"/>
                      <w:kern w:val="0"/>
                      <w:sz w:val="21"/>
                      <w:szCs w:val="21"/>
                      <w:lang w:val="en-US" w:eastAsia="zh-CN"/>
                    </w:rPr>
                  </w:pPr>
                  <w:r>
                    <w:rPr>
                      <w:rFonts w:hint="eastAsia" w:ascii="Times New Roman" w:hAnsi="Times New Roman" w:cs="Times New Roman"/>
                      <w:b w:val="0"/>
                      <w:bCs/>
                      <w:color w:val="auto"/>
                      <w:kern w:val="0"/>
                      <w:sz w:val="21"/>
                      <w:szCs w:val="21"/>
                      <w:lang w:val="en-US" w:eastAsia="zh-CN"/>
                    </w:rPr>
                    <w:t>1</w:t>
                  </w:r>
                </w:p>
              </w:tc>
              <w:tc>
                <w:tcPr>
                  <w:tcW w:w="1905" w:type="dxa"/>
                  <w:tcBorders>
                    <w:tl2br w:val="nil"/>
                    <w:tr2bl w:val="nil"/>
                  </w:tcBorders>
                  <w:noWrap/>
                  <w:vAlign w:val="center"/>
                </w:tcPr>
                <w:p w14:paraId="3563E1F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eastAsiaTheme="minorEastAsia"/>
                      <w:b/>
                      <w:color w:val="auto"/>
                      <w:kern w:val="0"/>
                      <w:sz w:val="21"/>
                      <w:szCs w:val="21"/>
                      <w:lang w:eastAsia="zh-CN"/>
                    </w:rPr>
                  </w:pPr>
                  <w:r>
                    <w:rPr>
                      <w:rFonts w:hint="eastAsia" w:ascii="Times New Roman" w:hAnsi="Times New Roman" w:cs="Times New Roman"/>
                      <w:b w:val="0"/>
                      <w:bCs/>
                      <w:color w:val="auto"/>
                      <w:kern w:val="0"/>
                      <w:sz w:val="21"/>
                      <w:szCs w:val="21"/>
                      <w:lang w:eastAsia="zh-CN"/>
                    </w:rPr>
                    <w:t>大件加工孔</w:t>
                  </w:r>
                </w:p>
              </w:tc>
              <w:tc>
                <w:tcPr>
                  <w:tcW w:w="1899" w:type="dxa"/>
                  <w:tcBorders>
                    <w:tl2br w:val="nil"/>
                    <w:tr2bl w:val="nil"/>
                  </w:tcBorders>
                  <w:shd w:val="clear" w:color="auto" w:fill="auto"/>
                  <w:noWrap/>
                  <w:vAlign w:val="center"/>
                </w:tcPr>
                <w:p w14:paraId="7140896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eastAsiaTheme="minorEastAsia"/>
                      <w:b/>
                      <w:color w:val="auto"/>
                      <w:kern w:val="0"/>
                      <w:sz w:val="21"/>
                      <w:szCs w:val="21"/>
                      <w:lang w:val="en-US" w:eastAsia="zh-CN" w:bidi="ar-SA"/>
                    </w:rPr>
                  </w:pPr>
                  <w:r>
                    <w:rPr>
                      <w:rFonts w:hint="eastAsia" w:ascii="Times New Roman" w:hAnsi="Times New Roman" w:eastAsia="宋体" w:cs="Times New Roman"/>
                      <w:i w:val="0"/>
                      <w:iCs w:val="0"/>
                      <w:color w:val="auto"/>
                      <w:sz w:val="21"/>
                      <w:szCs w:val="21"/>
                      <w:u w:val="none"/>
                      <w:lang w:eastAsia="zh-CN"/>
                    </w:rPr>
                    <w:t>与</w:t>
                  </w:r>
                  <w:r>
                    <w:rPr>
                      <w:rFonts w:hint="eastAsia" w:ascii="Times New Roman" w:hAnsi="Times New Roman" w:eastAsia="宋体" w:cs="Times New Roman"/>
                      <w:i w:val="0"/>
                      <w:iCs w:val="0"/>
                      <w:color w:val="auto"/>
                      <w:sz w:val="21"/>
                      <w:szCs w:val="21"/>
                      <w:u w:val="none"/>
                      <w:lang w:val="en-US" w:eastAsia="zh-CN"/>
                    </w:rPr>
                    <w:t>压力容器线共用</w:t>
                  </w:r>
                </w:p>
              </w:tc>
            </w:tr>
            <w:tr w14:paraId="2EC698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6FAE4BD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01F9808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台钻</w:t>
                  </w:r>
                </w:p>
              </w:tc>
              <w:tc>
                <w:tcPr>
                  <w:tcW w:w="1875" w:type="dxa"/>
                  <w:tcBorders>
                    <w:tl2br w:val="nil"/>
                    <w:tr2bl w:val="nil"/>
                  </w:tcBorders>
                  <w:shd w:val="clear" w:color="auto" w:fill="auto"/>
                  <w:noWrap/>
                  <w:vAlign w:val="center"/>
                </w:tcPr>
                <w:p w14:paraId="6FC935A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Z4120</w:t>
                  </w:r>
                </w:p>
              </w:tc>
              <w:tc>
                <w:tcPr>
                  <w:tcW w:w="435" w:type="dxa"/>
                  <w:tcBorders>
                    <w:tl2br w:val="nil"/>
                    <w:tr2bl w:val="nil"/>
                  </w:tcBorders>
                  <w:noWrap w:val="0"/>
                  <w:vAlign w:val="center"/>
                </w:tcPr>
                <w:p w14:paraId="0481C04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b/>
                      <w:color w:val="auto"/>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noWrap w:val="0"/>
                  <w:vAlign w:val="center"/>
                </w:tcPr>
                <w:p w14:paraId="46C551E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val="0"/>
                      <w:bCs/>
                      <w:color w:val="auto"/>
                      <w:kern w:val="0"/>
                      <w:sz w:val="21"/>
                      <w:szCs w:val="21"/>
                      <w:lang w:val="en-US" w:eastAsia="zh-CN"/>
                    </w:rPr>
                  </w:pPr>
                  <w:r>
                    <w:rPr>
                      <w:rFonts w:hint="eastAsia" w:ascii="Times New Roman" w:hAnsi="Times New Roman" w:cs="Times New Roman"/>
                      <w:b w:val="0"/>
                      <w:bCs/>
                      <w:color w:val="auto"/>
                      <w:kern w:val="0"/>
                      <w:sz w:val="21"/>
                      <w:szCs w:val="21"/>
                      <w:lang w:val="en-US" w:eastAsia="zh-CN"/>
                    </w:rPr>
                    <w:t>1</w:t>
                  </w:r>
                </w:p>
              </w:tc>
              <w:tc>
                <w:tcPr>
                  <w:tcW w:w="1905" w:type="dxa"/>
                  <w:tcBorders>
                    <w:tl2br w:val="nil"/>
                    <w:tr2bl w:val="nil"/>
                  </w:tcBorders>
                  <w:noWrap/>
                  <w:vAlign w:val="center"/>
                </w:tcPr>
                <w:p w14:paraId="16AC5EE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eastAsiaTheme="minorEastAsia"/>
                      <w:b/>
                      <w:color w:val="auto"/>
                      <w:kern w:val="0"/>
                      <w:sz w:val="21"/>
                      <w:szCs w:val="21"/>
                      <w:lang w:eastAsia="zh-CN"/>
                    </w:rPr>
                  </w:pPr>
                  <w:r>
                    <w:rPr>
                      <w:rFonts w:hint="eastAsia" w:ascii="Times New Roman" w:hAnsi="Times New Roman" w:cs="Times New Roman"/>
                      <w:b w:val="0"/>
                      <w:bCs/>
                      <w:color w:val="auto"/>
                      <w:kern w:val="0"/>
                      <w:sz w:val="21"/>
                      <w:szCs w:val="21"/>
                      <w:lang w:eastAsia="zh-CN"/>
                    </w:rPr>
                    <w:t>小型孔加工</w:t>
                  </w:r>
                </w:p>
              </w:tc>
              <w:tc>
                <w:tcPr>
                  <w:tcW w:w="1899" w:type="dxa"/>
                  <w:tcBorders>
                    <w:tl2br w:val="nil"/>
                    <w:tr2bl w:val="nil"/>
                  </w:tcBorders>
                  <w:shd w:val="clear" w:color="auto" w:fill="auto"/>
                  <w:noWrap/>
                  <w:vAlign w:val="center"/>
                </w:tcPr>
                <w:p w14:paraId="2BD1A27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eastAsiaTheme="minorEastAsia"/>
                      <w:b/>
                      <w:color w:val="auto"/>
                      <w:kern w:val="0"/>
                      <w:sz w:val="21"/>
                      <w:szCs w:val="21"/>
                      <w:lang w:val="en-US" w:eastAsia="zh-CN" w:bidi="ar-SA"/>
                    </w:rPr>
                  </w:pPr>
                  <w:r>
                    <w:rPr>
                      <w:rFonts w:hint="eastAsia" w:ascii="Times New Roman" w:hAnsi="Times New Roman" w:eastAsia="宋体" w:cs="Times New Roman"/>
                      <w:i w:val="0"/>
                      <w:iCs w:val="0"/>
                      <w:color w:val="auto"/>
                      <w:sz w:val="21"/>
                      <w:szCs w:val="21"/>
                      <w:u w:val="none"/>
                      <w:lang w:eastAsia="zh-CN"/>
                    </w:rPr>
                    <w:t>与</w:t>
                  </w:r>
                  <w:r>
                    <w:rPr>
                      <w:rFonts w:hint="eastAsia" w:ascii="Times New Roman" w:hAnsi="Times New Roman" w:eastAsia="宋体" w:cs="Times New Roman"/>
                      <w:i w:val="0"/>
                      <w:iCs w:val="0"/>
                      <w:color w:val="auto"/>
                      <w:sz w:val="21"/>
                      <w:szCs w:val="21"/>
                      <w:u w:val="none"/>
                      <w:lang w:val="en-US" w:eastAsia="zh-CN"/>
                    </w:rPr>
                    <w:t>压力容器线共用</w:t>
                  </w:r>
                </w:p>
              </w:tc>
            </w:tr>
            <w:tr w14:paraId="51F663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13D137C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28715D8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电焊机</w:t>
                  </w:r>
                </w:p>
              </w:tc>
              <w:tc>
                <w:tcPr>
                  <w:tcW w:w="1875" w:type="dxa"/>
                  <w:tcBorders>
                    <w:tl2br w:val="nil"/>
                    <w:tr2bl w:val="nil"/>
                  </w:tcBorders>
                  <w:noWrap/>
                  <w:vAlign w:val="center"/>
                </w:tcPr>
                <w:p w14:paraId="5B707B8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i w:val="0"/>
                      <w:iCs w:val="0"/>
                      <w:color w:val="auto"/>
                      <w:sz w:val="21"/>
                      <w:szCs w:val="21"/>
                      <w:u w:val="none"/>
                      <w:lang w:val="en-US" w:eastAsia="zh-CN"/>
                    </w:rPr>
                    <w:t>ARC315SⅡ</w:t>
                  </w:r>
                </w:p>
              </w:tc>
              <w:tc>
                <w:tcPr>
                  <w:tcW w:w="435" w:type="dxa"/>
                  <w:tcBorders>
                    <w:tl2br w:val="nil"/>
                    <w:tr2bl w:val="nil"/>
                  </w:tcBorders>
                  <w:noWrap w:val="0"/>
                  <w:vAlign w:val="center"/>
                </w:tcPr>
                <w:p w14:paraId="277A3AA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b/>
                      <w:color w:val="FF0000"/>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noWrap w:val="0"/>
                  <w:vAlign w:val="center"/>
                </w:tcPr>
                <w:p w14:paraId="580F5C0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val="0"/>
                      <w:bCs/>
                      <w:color w:val="auto"/>
                      <w:kern w:val="0"/>
                      <w:sz w:val="21"/>
                      <w:szCs w:val="21"/>
                      <w:lang w:val="en-US" w:eastAsia="zh-CN"/>
                    </w:rPr>
                  </w:pPr>
                  <w:r>
                    <w:rPr>
                      <w:rFonts w:hint="eastAsia" w:ascii="Times New Roman" w:hAnsi="Times New Roman" w:cs="Times New Roman"/>
                      <w:b w:val="0"/>
                      <w:bCs/>
                      <w:color w:val="auto"/>
                      <w:kern w:val="0"/>
                      <w:sz w:val="21"/>
                      <w:szCs w:val="21"/>
                      <w:lang w:val="en-US" w:eastAsia="zh-CN"/>
                    </w:rPr>
                    <w:t>2</w:t>
                  </w:r>
                </w:p>
              </w:tc>
              <w:tc>
                <w:tcPr>
                  <w:tcW w:w="1905" w:type="dxa"/>
                  <w:tcBorders>
                    <w:tl2br w:val="nil"/>
                    <w:tr2bl w:val="nil"/>
                  </w:tcBorders>
                  <w:noWrap/>
                  <w:vAlign w:val="center"/>
                </w:tcPr>
                <w:p w14:paraId="327B156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i w:val="0"/>
                      <w:iCs w:val="0"/>
                      <w:color w:val="auto"/>
                      <w:sz w:val="21"/>
                      <w:szCs w:val="21"/>
                      <w:u w:val="none"/>
                      <w:lang w:eastAsia="zh-CN"/>
                    </w:rPr>
                    <w:t>焊接</w:t>
                  </w:r>
                </w:p>
              </w:tc>
              <w:tc>
                <w:tcPr>
                  <w:tcW w:w="1899" w:type="dxa"/>
                  <w:tcBorders>
                    <w:tl2br w:val="nil"/>
                    <w:tr2bl w:val="nil"/>
                  </w:tcBorders>
                  <w:noWrap/>
                  <w:vAlign w:val="center"/>
                </w:tcPr>
                <w:p w14:paraId="095B355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eastAsia" w:ascii="Times New Roman" w:hAnsi="Times New Roman" w:eastAsia="宋体" w:cs="Times New Roman"/>
                      <w:i w:val="0"/>
                      <w:iCs w:val="0"/>
                      <w:color w:val="auto"/>
                      <w:sz w:val="21"/>
                      <w:szCs w:val="21"/>
                      <w:u w:val="none"/>
                      <w:lang w:eastAsia="zh-CN"/>
                    </w:rPr>
                    <w:t>新增</w:t>
                  </w:r>
                </w:p>
              </w:tc>
            </w:tr>
            <w:tr w14:paraId="297AA3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0C5ECD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1AB85A9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埋弧自动焊</w:t>
                  </w:r>
                </w:p>
              </w:tc>
              <w:tc>
                <w:tcPr>
                  <w:tcW w:w="1875" w:type="dxa"/>
                  <w:tcBorders>
                    <w:tl2br w:val="nil"/>
                    <w:tr2bl w:val="nil"/>
                  </w:tcBorders>
                  <w:noWrap/>
                  <w:vAlign w:val="center"/>
                </w:tcPr>
                <w:p w14:paraId="21DA950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N27-1000</w:t>
                  </w:r>
                </w:p>
              </w:tc>
              <w:tc>
                <w:tcPr>
                  <w:tcW w:w="435" w:type="dxa"/>
                  <w:tcBorders>
                    <w:tl2br w:val="nil"/>
                    <w:tr2bl w:val="nil"/>
                  </w:tcBorders>
                  <w:noWrap w:val="0"/>
                  <w:vAlign w:val="center"/>
                </w:tcPr>
                <w:p w14:paraId="1CCE2D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b/>
                      <w:color w:val="FF0000"/>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noWrap w:val="0"/>
                  <w:vAlign w:val="center"/>
                </w:tcPr>
                <w:p w14:paraId="71AF07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val="0"/>
                      <w:bCs/>
                      <w:color w:val="auto"/>
                      <w:kern w:val="0"/>
                      <w:sz w:val="21"/>
                      <w:szCs w:val="21"/>
                      <w:lang w:val="en-US" w:eastAsia="zh-CN"/>
                    </w:rPr>
                  </w:pPr>
                  <w:r>
                    <w:rPr>
                      <w:rFonts w:hint="eastAsia" w:ascii="Times New Roman" w:hAnsi="Times New Roman" w:cs="Times New Roman"/>
                      <w:b w:val="0"/>
                      <w:bCs/>
                      <w:color w:val="auto"/>
                      <w:kern w:val="0"/>
                      <w:sz w:val="21"/>
                      <w:szCs w:val="21"/>
                      <w:lang w:val="en-US" w:eastAsia="zh-CN"/>
                    </w:rPr>
                    <w:t>1</w:t>
                  </w:r>
                </w:p>
              </w:tc>
              <w:tc>
                <w:tcPr>
                  <w:tcW w:w="1905" w:type="dxa"/>
                  <w:tcBorders>
                    <w:tl2br w:val="nil"/>
                    <w:tr2bl w:val="nil"/>
                  </w:tcBorders>
                  <w:noWrap/>
                  <w:vAlign w:val="center"/>
                </w:tcPr>
                <w:p w14:paraId="2393F1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i w:val="0"/>
                      <w:iCs w:val="0"/>
                      <w:color w:val="auto"/>
                      <w:sz w:val="21"/>
                      <w:szCs w:val="21"/>
                      <w:u w:val="none"/>
                      <w:lang w:eastAsia="zh-CN"/>
                    </w:rPr>
                    <w:t>焊接</w:t>
                  </w:r>
                </w:p>
              </w:tc>
              <w:tc>
                <w:tcPr>
                  <w:tcW w:w="1899" w:type="dxa"/>
                  <w:tcBorders>
                    <w:tl2br w:val="nil"/>
                    <w:tr2bl w:val="nil"/>
                  </w:tcBorders>
                  <w:noWrap/>
                  <w:vAlign w:val="center"/>
                </w:tcPr>
                <w:p w14:paraId="3F9F01A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与</w:t>
                  </w:r>
                  <w:r>
                    <w:rPr>
                      <w:rFonts w:hint="eastAsia" w:ascii="Times New Roman" w:hAnsi="Times New Roman" w:eastAsia="宋体" w:cs="Times New Roman"/>
                      <w:i w:val="0"/>
                      <w:iCs w:val="0"/>
                      <w:color w:val="auto"/>
                      <w:sz w:val="21"/>
                      <w:szCs w:val="21"/>
                      <w:u w:val="none"/>
                      <w:lang w:val="en-US" w:eastAsia="zh-CN"/>
                    </w:rPr>
                    <w:t>压力容器线共用</w:t>
                  </w:r>
                </w:p>
              </w:tc>
            </w:tr>
            <w:tr w14:paraId="6CBDFE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43DF47D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5A880AD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氩弧焊机</w:t>
                  </w:r>
                </w:p>
              </w:tc>
              <w:tc>
                <w:tcPr>
                  <w:tcW w:w="1875" w:type="dxa"/>
                  <w:tcBorders>
                    <w:tl2br w:val="nil"/>
                    <w:tr2bl w:val="nil"/>
                  </w:tcBorders>
                  <w:noWrap/>
                  <w:vAlign w:val="center"/>
                </w:tcPr>
                <w:p w14:paraId="70632E8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eastAsia" w:ascii="Times New Roman" w:hAnsi="Times New Roman" w:eastAsia="宋体" w:cs="Times New Roman"/>
                      <w:i w:val="0"/>
                      <w:iCs w:val="0"/>
                      <w:color w:val="auto"/>
                      <w:sz w:val="21"/>
                      <w:szCs w:val="21"/>
                      <w:u w:val="none"/>
                      <w:lang w:val="en-US" w:eastAsia="zh-CN"/>
                    </w:rPr>
                    <w:t>WSM-400</w:t>
                  </w:r>
                </w:p>
              </w:tc>
              <w:tc>
                <w:tcPr>
                  <w:tcW w:w="435" w:type="dxa"/>
                  <w:tcBorders>
                    <w:tl2br w:val="nil"/>
                    <w:tr2bl w:val="nil"/>
                  </w:tcBorders>
                  <w:noWrap w:val="0"/>
                  <w:vAlign w:val="center"/>
                </w:tcPr>
                <w:p w14:paraId="78DA272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b/>
                      <w:color w:val="FF0000"/>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noWrap w:val="0"/>
                  <w:vAlign w:val="center"/>
                </w:tcPr>
                <w:p w14:paraId="388EE63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val="0"/>
                      <w:bCs/>
                      <w:color w:val="auto"/>
                      <w:kern w:val="0"/>
                      <w:sz w:val="21"/>
                      <w:szCs w:val="21"/>
                      <w:lang w:val="en-US" w:eastAsia="zh-CN"/>
                    </w:rPr>
                  </w:pPr>
                  <w:r>
                    <w:rPr>
                      <w:rFonts w:hint="eastAsia" w:ascii="Times New Roman" w:hAnsi="Times New Roman" w:cs="Times New Roman"/>
                      <w:b w:val="0"/>
                      <w:bCs/>
                      <w:color w:val="auto"/>
                      <w:kern w:val="0"/>
                      <w:sz w:val="21"/>
                      <w:szCs w:val="21"/>
                      <w:lang w:val="en-US" w:eastAsia="zh-CN"/>
                    </w:rPr>
                    <w:t>4</w:t>
                  </w:r>
                </w:p>
              </w:tc>
              <w:tc>
                <w:tcPr>
                  <w:tcW w:w="1905" w:type="dxa"/>
                  <w:tcBorders>
                    <w:tl2br w:val="nil"/>
                    <w:tr2bl w:val="nil"/>
                  </w:tcBorders>
                  <w:noWrap/>
                  <w:vAlign w:val="center"/>
                </w:tcPr>
                <w:p w14:paraId="1B5C316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eastAsiaTheme="minorEastAsia"/>
                      <w:b/>
                      <w:color w:val="auto"/>
                      <w:kern w:val="0"/>
                      <w:sz w:val="21"/>
                      <w:szCs w:val="21"/>
                      <w:lang w:eastAsia="zh-CN"/>
                    </w:rPr>
                  </w:pPr>
                  <w:r>
                    <w:rPr>
                      <w:rFonts w:hint="eastAsia" w:ascii="Times New Roman" w:hAnsi="Times New Roman" w:cs="Times New Roman"/>
                      <w:b w:val="0"/>
                      <w:bCs/>
                      <w:color w:val="auto"/>
                      <w:kern w:val="0"/>
                      <w:sz w:val="21"/>
                      <w:szCs w:val="21"/>
                      <w:lang w:eastAsia="zh-CN"/>
                    </w:rPr>
                    <w:t>焊接</w:t>
                  </w:r>
                </w:p>
              </w:tc>
              <w:tc>
                <w:tcPr>
                  <w:tcW w:w="1899" w:type="dxa"/>
                  <w:tcBorders>
                    <w:tl2br w:val="nil"/>
                    <w:tr2bl w:val="nil"/>
                  </w:tcBorders>
                  <w:noWrap/>
                  <w:vAlign w:val="center"/>
                </w:tcPr>
                <w:p w14:paraId="7B784D6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b w:val="0"/>
                      <w:bCs/>
                      <w:color w:val="auto"/>
                      <w:kern w:val="0"/>
                      <w:sz w:val="21"/>
                      <w:szCs w:val="21"/>
                      <w:lang w:eastAsia="zh-CN"/>
                    </w:rPr>
                  </w:pPr>
                  <w:r>
                    <w:rPr>
                      <w:rFonts w:hint="eastAsia" w:ascii="Times New Roman" w:hAnsi="Times New Roman" w:eastAsia="宋体" w:cs="Times New Roman"/>
                      <w:i w:val="0"/>
                      <w:iCs w:val="0"/>
                      <w:color w:val="auto"/>
                      <w:sz w:val="21"/>
                      <w:szCs w:val="21"/>
                      <w:u w:val="none"/>
                      <w:lang w:eastAsia="zh-CN"/>
                    </w:rPr>
                    <w:t>新增</w:t>
                  </w:r>
                </w:p>
              </w:tc>
            </w:tr>
            <w:tr w14:paraId="56F585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71498E9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00B3859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等离子切割机</w:t>
                  </w:r>
                </w:p>
              </w:tc>
              <w:tc>
                <w:tcPr>
                  <w:tcW w:w="1875" w:type="dxa"/>
                  <w:tcBorders>
                    <w:tl2br w:val="nil"/>
                    <w:tr2bl w:val="nil"/>
                  </w:tcBorders>
                  <w:noWrap/>
                  <w:vAlign w:val="center"/>
                </w:tcPr>
                <w:p w14:paraId="5396A18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i w:val="0"/>
                      <w:iCs w:val="0"/>
                      <w:color w:val="auto"/>
                      <w:sz w:val="21"/>
                      <w:szCs w:val="21"/>
                      <w:u w:val="none"/>
                      <w:lang w:val="en-US" w:eastAsia="zh-CN"/>
                    </w:rPr>
                    <w:t>LGK-100T</w:t>
                  </w:r>
                </w:p>
              </w:tc>
              <w:tc>
                <w:tcPr>
                  <w:tcW w:w="435" w:type="dxa"/>
                  <w:tcBorders>
                    <w:tl2br w:val="nil"/>
                    <w:tr2bl w:val="nil"/>
                  </w:tcBorders>
                  <w:noWrap w:val="0"/>
                  <w:vAlign w:val="center"/>
                </w:tcPr>
                <w:p w14:paraId="3F41C3F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noWrap w:val="0"/>
                  <w:vAlign w:val="center"/>
                </w:tcPr>
                <w:p w14:paraId="71B3E71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cs="Times New Roman"/>
                      <w:b/>
                      <w:color w:val="FF0000"/>
                      <w:kern w:val="0"/>
                      <w:sz w:val="21"/>
                      <w:szCs w:val="21"/>
                      <w:lang w:eastAsia="zh-CN"/>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noWrap/>
                  <w:vAlign w:val="center"/>
                </w:tcPr>
                <w:p w14:paraId="616E35B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cs="Times New Roman"/>
                      <w:b/>
                      <w:color w:val="auto"/>
                      <w:kern w:val="0"/>
                      <w:sz w:val="21"/>
                      <w:szCs w:val="21"/>
                    </w:rPr>
                  </w:pPr>
                  <w:r>
                    <w:rPr>
                      <w:rFonts w:hint="default" w:ascii="Times New Roman" w:hAnsi="Times New Roman" w:eastAsia="宋体" w:cs="Times New Roman"/>
                      <w:i w:val="0"/>
                      <w:iCs w:val="0"/>
                      <w:color w:val="auto"/>
                      <w:sz w:val="21"/>
                      <w:szCs w:val="21"/>
                      <w:u w:val="none"/>
                      <w:lang w:eastAsia="zh-CN"/>
                    </w:rPr>
                    <w:t>下料</w:t>
                  </w:r>
                </w:p>
              </w:tc>
              <w:tc>
                <w:tcPr>
                  <w:tcW w:w="1899" w:type="dxa"/>
                  <w:tcBorders>
                    <w:tl2br w:val="nil"/>
                    <w:tr2bl w:val="nil"/>
                  </w:tcBorders>
                  <w:noWrap/>
                  <w:vAlign w:val="center"/>
                </w:tcPr>
                <w:p w14:paraId="11A0453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cs="Times New Roman"/>
                      <w:b/>
                      <w:color w:val="auto"/>
                      <w:kern w:val="0"/>
                      <w:sz w:val="21"/>
                      <w:szCs w:val="21"/>
                    </w:rPr>
                  </w:pPr>
                  <w:r>
                    <w:rPr>
                      <w:rFonts w:hint="eastAsia" w:ascii="Times New Roman" w:hAnsi="Times New Roman" w:eastAsia="宋体" w:cs="Times New Roman"/>
                      <w:i w:val="0"/>
                      <w:iCs w:val="0"/>
                      <w:color w:val="auto"/>
                      <w:sz w:val="21"/>
                      <w:szCs w:val="21"/>
                      <w:u w:val="none"/>
                      <w:lang w:eastAsia="zh-CN"/>
                    </w:rPr>
                    <w:t>新增</w:t>
                  </w:r>
                </w:p>
              </w:tc>
            </w:tr>
            <w:tr w14:paraId="5D871C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49CB1AF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1A163C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液压联合冲剪机</w:t>
                  </w:r>
                </w:p>
              </w:tc>
              <w:tc>
                <w:tcPr>
                  <w:tcW w:w="1875" w:type="dxa"/>
                  <w:tcBorders>
                    <w:tl2br w:val="nil"/>
                    <w:tr2bl w:val="nil"/>
                  </w:tcBorders>
                  <w:shd w:val="clear" w:color="auto" w:fill="auto"/>
                  <w:noWrap/>
                  <w:vAlign w:val="center"/>
                </w:tcPr>
                <w:p w14:paraId="534430D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Q35Y-25</w:t>
                  </w:r>
                </w:p>
              </w:tc>
              <w:tc>
                <w:tcPr>
                  <w:tcW w:w="435" w:type="dxa"/>
                  <w:tcBorders>
                    <w:tl2br w:val="nil"/>
                    <w:tr2bl w:val="nil"/>
                  </w:tcBorders>
                  <w:shd w:val="clear" w:color="auto" w:fill="auto"/>
                  <w:noWrap w:val="0"/>
                  <w:vAlign w:val="center"/>
                </w:tcPr>
                <w:p w14:paraId="2947571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582690D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noWrap/>
                  <w:vAlign w:val="center"/>
                </w:tcPr>
                <w:p w14:paraId="051E077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i w:val="0"/>
                      <w:iCs w:val="0"/>
                      <w:color w:val="auto"/>
                      <w:sz w:val="21"/>
                      <w:szCs w:val="21"/>
                      <w:u w:val="none"/>
                      <w:lang w:eastAsia="zh-CN"/>
                    </w:rPr>
                    <w:t>金属剪切、冲孔、剪板、折弯等</w:t>
                  </w:r>
                </w:p>
              </w:tc>
              <w:tc>
                <w:tcPr>
                  <w:tcW w:w="1899" w:type="dxa"/>
                  <w:tcBorders>
                    <w:tl2br w:val="nil"/>
                    <w:tr2bl w:val="nil"/>
                  </w:tcBorders>
                  <w:noWrap/>
                  <w:vAlign w:val="center"/>
                </w:tcPr>
                <w:p w14:paraId="3D3E1DD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sz w:val="21"/>
                      <w:szCs w:val="21"/>
                      <w:u w:val="none"/>
                      <w:lang w:eastAsia="zh-CN"/>
                    </w:rPr>
                    <w:t>新增</w:t>
                  </w:r>
                </w:p>
              </w:tc>
            </w:tr>
            <w:tr w14:paraId="039ECA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546615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noWrap w:val="0"/>
                  <w:vAlign w:val="center"/>
                </w:tcPr>
                <w:p w14:paraId="40C926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型材卷圆机</w:t>
                  </w:r>
                </w:p>
              </w:tc>
              <w:tc>
                <w:tcPr>
                  <w:tcW w:w="1875" w:type="dxa"/>
                  <w:tcBorders>
                    <w:tl2br w:val="nil"/>
                    <w:tr2bl w:val="nil"/>
                  </w:tcBorders>
                  <w:shd w:val="clear" w:color="auto" w:fill="auto"/>
                  <w:noWrap/>
                  <w:vAlign w:val="center"/>
                </w:tcPr>
                <w:p w14:paraId="79B1D6F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WS-100</w:t>
                  </w:r>
                </w:p>
              </w:tc>
              <w:tc>
                <w:tcPr>
                  <w:tcW w:w="435" w:type="dxa"/>
                  <w:tcBorders>
                    <w:tl2br w:val="nil"/>
                    <w:tr2bl w:val="nil"/>
                  </w:tcBorders>
                  <w:shd w:val="clear" w:color="auto" w:fill="auto"/>
                  <w:noWrap w:val="0"/>
                  <w:vAlign w:val="center"/>
                </w:tcPr>
                <w:p w14:paraId="10F4F53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5D0B65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noWrap/>
                  <w:vAlign w:val="center"/>
                </w:tcPr>
                <w:p w14:paraId="5E3D28E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eastAsia" w:ascii="Times New Roman" w:hAnsi="Times New Roman" w:eastAsia="宋体" w:cs="Times New Roman"/>
                      <w:i w:val="0"/>
                      <w:iCs w:val="0"/>
                      <w:color w:val="auto"/>
                      <w:kern w:val="0"/>
                      <w:sz w:val="21"/>
                      <w:szCs w:val="21"/>
                      <w:u w:val="none"/>
                      <w:lang w:val="en-US" w:eastAsia="zh-CN" w:bidi="ar"/>
                    </w:rPr>
                    <w:t>型材卷圆</w:t>
                  </w:r>
                </w:p>
              </w:tc>
              <w:tc>
                <w:tcPr>
                  <w:tcW w:w="1899" w:type="dxa"/>
                  <w:tcBorders>
                    <w:tl2br w:val="nil"/>
                    <w:tr2bl w:val="nil"/>
                  </w:tcBorders>
                  <w:noWrap/>
                  <w:vAlign w:val="center"/>
                </w:tcPr>
                <w:p w14:paraId="34D5602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sz w:val="21"/>
                      <w:szCs w:val="21"/>
                      <w:u w:val="none"/>
                      <w:lang w:eastAsia="zh-CN"/>
                    </w:rPr>
                    <w:t>新增</w:t>
                  </w:r>
                </w:p>
              </w:tc>
            </w:tr>
            <w:tr w14:paraId="759F43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13C3904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shd w:val="clear" w:color="auto" w:fill="auto"/>
                  <w:noWrap w:val="0"/>
                  <w:vAlign w:val="center"/>
                </w:tcPr>
                <w:p w14:paraId="632CB6F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旋边机</w:t>
                  </w:r>
                </w:p>
              </w:tc>
              <w:tc>
                <w:tcPr>
                  <w:tcW w:w="1875" w:type="dxa"/>
                  <w:tcBorders>
                    <w:tl2br w:val="nil"/>
                    <w:tr2bl w:val="nil"/>
                  </w:tcBorders>
                  <w:shd w:val="clear" w:color="auto" w:fill="auto"/>
                  <w:noWrap/>
                  <w:vAlign w:val="center"/>
                </w:tcPr>
                <w:p w14:paraId="709A1F9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4000mm</w:t>
                  </w:r>
                </w:p>
              </w:tc>
              <w:tc>
                <w:tcPr>
                  <w:tcW w:w="435" w:type="dxa"/>
                  <w:tcBorders>
                    <w:tl2br w:val="nil"/>
                    <w:tr2bl w:val="nil"/>
                  </w:tcBorders>
                  <w:shd w:val="clear" w:color="auto" w:fill="auto"/>
                  <w:noWrap w:val="0"/>
                  <w:vAlign w:val="center"/>
                </w:tcPr>
                <w:p w14:paraId="34AF4F5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449BBD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3A43192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不锈钢旋边用</w:t>
                  </w:r>
                </w:p>
              </w:tc>
              <w:tc>
                <w:tcPr>
                  <w:tcW w:w="1899" w:type="dxa"/>
                  <w:tcBorders>
                    <w:tl2br w:val="nil"/>
                    <w:tr2bl w:val="nil"/>
                  </w:tcBorders>
                  <w:shd w:val="clear" w:color="auto" w:fill="auto"/>
                  <w:noWrap/>
                  <w:vAlign w:val="center"/>
                </w:tcPr>
                <w:p w14:paraId="7C576FD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新增</w:t>
                  </w:r>
                </w:p>
              </w:tc>
            </w:tr>
            <w:tr w14:paraId="6100B3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7C0D1C6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shd w:val="clear" w:color="auto" w:fill="auto"/>
                  <w:noWrap w:val="0"/>
                  <w:vAlign w:val="center"/>
                </w:tcPr>
                <w:p w14:paraId="77B0868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喷漆房</w:t>
                  </w:r>
                </w:p>
              </w:tc>
              <w:tc>
                <w:tcPr>
                  <w:tcW w:w="1875" w:type="dxa"/>
                  <w:tcBorders>
                    <w:tl2br w:val="nil"/>
                    <w:tr2bl w:val="nil"/>
                  </w:tcBorders>
                  <w:shd w:val="clear" w:color="auto" w:fill="auto"/>
                  <w:noWrap/>
                  <w:vAlign w:val="center"/>
                </w:tcPr>
                <w:p w14:paraId="1046B2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8*6*4</w:t>
                  </w:r>
                  <w:r>
                    <w:rPr>
                      <w:rFonts w:hint="eastAsia" w:ascii="Times New Roman" w:hAnsi="Times New Roman" w:eastAsia="宋体" w:cs="Times New Roman"/>
                      <w:i w:val="0"/>
                      <w:iCs w:val="0"/>
                      <w:color w:val="auto"/>
                      <w:sz w:val="21"/>
                      <w:szCs w:val="21"/>
                      <w:u w:val="none"/>
                      <w:lang w:val="en-US" w:eastAsia="zh-CN"/>
                    </w:rPr>
                    <w:t>m</w:t>
                  </w:r>
                </w:p>
              </w:tc>
              <w:tc>
                <w:tcPr>
                  <w:tcW w:w="435" w:type="dxa"/>
                  <w:tcBorders>
                    <w:tl2br w:val="nil"/>
                    <w:tr2bl w:val="nil"/>
                  </w:tcBorders>
                  <w:shd w:val="clear" w:color="auto" w:fill="auto"/>
                  <w:noWrap w:val="0"/>
                  <w:vAlign w:val="center"/>
                </w:tcPr>
                <w:p w14:paraId="3D87932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29235D1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51A505B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喷漆</w:t>
                  </w:r>
                </w:p>
              </w:tc>
              <w:tc>
                <w:tcPr>
                  <w:tcW w:w="1899" w:type="dxa"/>
                  <w:tcBorders>
                    <w:tl2br w:val="nil"/>
                    <w:tr2bl w:val="nil"/>
                  </w:tcBorders>
                  <w:shd w:val="clear" w:color="auto" w:fill="auto"/>
                  <w:noWrap/>
                  <w:vAlign w:val="center"/>
                </w:tcPr>
                <w:p w14:paraId="56AEE14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与</w:t>
                  </w:r>
                  <w:r>
                    <w:rPr>
                      <w:rFonts w:hint="eastAsia" w:ascii="Times New Roman" w:hAnsi="Times New Roman" w:eastAsia="宋体" w:cs="Times New Roman"/>
                      <w:i w:val="0"/>
                      <w:iCs w:val="0"/>
                      <w:color w:val="auto"/>
                      <w:sz w:val="21"/>
                      <w:szCs w:val="21"/>
                      <w:u w:val="none"/>
                      <w:lang w:val="en-US" w:eastAsia="zh-CN"/>
                    </w:rPr>
                    <w:t>压力容器线共用</w:t>
                  </w:r>
                </w:p>
              </w:tc>
            </w:tr>
            <w:tr w14:paraId="0D3F37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restart"/>
                  <w:tcBorders>
                    <w:tl2br w:val="nil"/>
                    <w:tr2bl w:val="nil"/>
                  </w:tcBorders>
                  <w:noWrap/>
                  <w:vAlign w:val="center"/>
                </w:tcPr>
                <w:p w14:paraId="2E00051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r>
                    <w:rPr>
                      <w:rFonts w:hint="eastAsia" w:ascii="Times New Roman" w:hAnsi="Times New Roman" w:cs="Times New Roman"/>
                      <w:b/>
                      <w:color w:val="auto"/>
                      <w:kern w:val="0"/>
                      <w:sz w:val="21"/>
                      <w:szCs w:val="21"/>
                      <w:lang w:val="en-US" w:eastAsia="zh-CN"/>
                    </w:rPr>
                    <w:t>公用设备</w:t>
                  </w:r>
                </w:p>
              </w:tc>
              <w:tc>
                <w:tcPr>
                  <w:tcW w:w="1637" w:type="dxa"/>
                  <w:tcBorders>
                    <w:tl2br w:val="nil"/>
                    <w:tr2bl w:val="nil"/>
                  </w:tcBorders>
                  <w:shd w:val="clear" w:color="auto" w:fill="auto"/>
                  <w:noWrap w:val="0"/>
                  <w:vAlign w:val="center"/>
                </w:tcPr>
                <w:p w14:paraId="06D2CE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焊条烘箱</w:t>
                  </w:r>
                </w:p>
              </w:tc>
              <w:tc>
                <w:tcPr>
                  <w:tcW w:w="1875" w:type="dxa"/>
                  <w:tcBorders>
                    <w:tl2br w:val="nil"/>
                    <w:tr2bl w:val="nil"/>
                  </w:tcBorders>
                  <w:shd w:val="clear" w:color="auto" w:fill="auto"/>
                  <w:noWrap/>
                  <w:vAlign w:val="center"/>
                </w:tcPr>
                <w:p w14:paraId="00154A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ZYHC-100</w:t>
                  </w:r>
                </w:p>
              </w:tc>
              <w:tc>
                <w:tcPr>
                  <w:tcW w:w="435" w:type="dxa"/>
                  <w:tcBorders>
                    <w:tl2br w:val="nil"/>
                    <w:tr2bl w:val="nil"/>
                  </w:tcBorders>
                  <w:shd w:val="clear" w:color="auto" w:fill="auto"/>
                  <w:noWrap w:val="0"/>
                  <w:vAlign w:val="center"/>
                </w:tcPr>
                <w:p w14:paraId="52930FE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3D623FA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w:t>
                  </w:r>
                </w:p>
              </w:tc>
              <w:tc>
                <w:tcPr>
                  <w:tcW w:w="1905" w:type="dxa"/>
                  <w:tcBorders>
                    <w:tl2br w:val="nil"/>
                    <w:tr2bl w:val="nil"/>
                  </w:tcBorders>
                  <w:shd w:val="clear" w:color="auto" w:fill="auto"/>
                  <w:noWrap/>
                  <w:vAlign w:val="center"/>
                </w:tcPr>
                <w:p w14:paraId="0598FF6A">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eastAsia="zh-CN"/>
                    </w:rPr>
                    <w:t>烘烤焊材</w:t>
                  </w:r>
                </w:p>
              </w:tc>
              <w:tc>
                <w:tcPr>
                  <w:tcW w:w="1899" w:type="dxa"/>
                  <w:tcBorders>
                    <w:tl2br w:val="nil"/>
                    <w:tr2bl w:val="nil"/>
                  </w:tcBorders>
                  <w:shd w:val="clear" w:color="auto" w:fill="auto"/>
                  <w:noWrap/>
                  <w:vAlign w:val="center"/>
                </w:tcPr>
                <w:p w14:paraId="1390736D">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全厂共用</w:t>
                  </w:r>
                </w:p>
              </w:tc>
            </w:tr>
            <w:tr w14:paraId="2D1206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3188FAB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shd w:val="clear" w:color="auto" w:fill="auto"/>
                  <w:noWrap w:val="0"/>
                  <w:vAlign w:val="center"/>
                </w:tcPr>
                <w:p w14:paraId="1BD85C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焊剂烘箱</w:t>
                  </w:r>
                </w:p>
              </w:tc>
              <w:tc>
                <w:tcPr>
                  <w:tcW w:w="1875" w:type="dxa"/>
                  <w:tcBorders>
                    <w:tl2br w:val="nil"/>
                    <w:tr2bl w:val="nil"/>
                  </w:tcBorders>
                  <w:shd w:val="clear" w:color="auto" w:fill="auto"/>
                  <w:noWrap/>
                  <w:vAlign w:val="center"/>
                </w:tcPr>
                <w:p w14:paraId="4CCF781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ZYH-A-100</w:t>
                  </w:r>
                </w:p>
              </w:tc>
              <w:tc>
                <w:tcPr>
                  <w:tcW w:w="435" w:type="dxa"/>
                  <w:tcBorders>
                    <w:tl2br w:val="nil"/>
                    <w:tr2bl w:val="nil"/>
                  </w:tcBorders>
                  <w:shd w:val="clear" w:color="auto" w:fill="auto"/>
                  <w:noWrap w:val="0"/>
                  <w:vAlign w:val="center"/>
                </w:tcPr>
                <w:p w14:paraId="694F116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4E7BE24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1</w:t>
                  </w:r>
                </w:p>
              </w:tc>
              <w:tc>
                <w:tcPr>
                  <w:tcW w:w="1905" w:type="dxa"/>
                  <w:tcBorders>
                    <w:tl2br w:val="nil"/>
                    <w:tr2bl w:val="nil"/>
                  </w:tcBorders>
                  <w:shd w:val="clear" w:color="auto" w:fill="auto"/>
                  <w:noWrap/>
                  <w:vAlign w:val="center"/>
                </w:tcPr>
                <w:p w14:paraId="25DABAC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eastAsia="zh-CN"/>
                    </w:rPr>
                    <w:t>烘烤焊剂</w:t>
                  </w:r>
                </w:p>
              </w:tc>
              <w:tc>
                <w:tcPr>
                  <w:tcW w:w="1899" w:type="dxa"/>
                  <w:tcBorders>
                    <w:tl2br w:val="nil"/>
                    <w:tr2bl w:val="nil"/>
                  </w:tcBorders>
                  <w:shd w:val="clear" w:color="auto" w:fill="auto"/>
                  <w:noWrap/>
                  <w:vAlign w:val="center"/>
                </w:tcPr>
                <w:p w14:paraId="66C69051">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全厂共用</w:t>
                  </w:r>
                </w:p>
              </w:tc>
            </w:tr>
            <w:tr w14:paraId="6E2E65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76C66C1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shd w:val="clear" w:color="auto" w:fill="auto"/>
                  <w:noWrap w:val="0"/>
                  <w:vAlign w:val="center"/>
                </w:tcPr>
                <w:p w14:paraId="72D33E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双梁桁车</w:t>
                  </w:r>
                </w:p>
              </w:tc>
              <w:tc>
                <w:tcPr>
                  <w:tcW w:w="1875" w:type="dxa"/>
                  <w:tcBorders>
                    <w:tl2br w:val="nil"/>
                    <w:tr2bl w:val="nil"/>
                  </w:tcBorders>
                  <w:shd w:val="clear" w:color="auto" w:fill="auto"/>
                  <w:noWrap/>
                  <w:vAlign w:val="center"/>
                </w:tcPr>
                <w:p w14:paraId="53663F5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20t/5t</w:t>
                  </w:r>
                </w:p>
              </w:tc>
              <w:tc>
                <w:tcPr>
                  <w:tcW w:w="435" w:type="dxa"/>
                  <w:tcBorders>
                    <w:tl2br w:val="nil"/>
                    <w:tr2bl w:val="nil"/>
                  </w:tcBorders>
                  <w:shd w:val="clear" w:color="auto" w:fill="auto"/>
                  <w:noWrap w:val="0"/>
                  <w:vAlign w:val="center"/>
                </w:tcPr>
                <w:p w14:paraId="568A33A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150A9FC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365444E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eastAsia="zh-CN"/>
                    </w:rPr>
                    <w:t>车间吊装</w:t>
                  </w:r>
                </w:p>
              </w:tc>
              <w:tc>
                <w:tcPr>
                  <w:tcW w:w="1899" w:type="dxa"/>
                  <w:tcBorders>
                    <w:tl2br w:val="nil"/>
                    <w:tr2bl w:val="nil"/>
                  </w:tcBorders>
                  <w:shd w:val="clear" w:color="auto" w:fill="auto"/>
                  <w:noWrap/>
                  <w:vAlign w:val="center"/>
                </w:tcPr>
                <w:p w14:paraId="5B71D9F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全厂共用</w:t>
                  </w:r>
                </w:p>
              </w:tc>
            </w:tr>
            <w:tr w14:paraId="265867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7EA7A20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shd w:val="clear" w:color="auto" w:fill="auto"/>
                  <w:noWrap w:val="0"/>
                  <w:vAlign w:val="center"/>
                </w:tcPr>
                <w:p w14:paraId="6129DDA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桁车</w:t>
                  </w:r>
                </w:p>
              </w:tc>
              <w:tc>
                <w:tcPr>
                  <w:tcW w:w="1875" w:type="dxa"/>
                  <w:tcBorders>
                    <w:tl2br w:val="nil"/>
                    <w:tr2bl w:val="nil"/>
                  </w:tcBorders>
                  <w:shd w:val="clear" w:color="auto" w:fill="auto"/>
                  <w:noWrap/>
                  <w:vAlign w:val="center"/>
                </w:tcPr>
                <w:p w14:paraId="29B8D6C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10吨</w:t>
                  </w:r>
                </w:p>
              </w:tc>
              <w:tc>
                <w:tcPr>
                  <w:tcW w:w="435" w:type="dxa"/>
                  <w:tcBorders>
                    <w:tl2br w:val="nil"/>
                    <w:tr2bl w:val="nil"/>
                  </w:tcBorders>
                  <w:shd w:val="clear" w:color="auto" w:fill="auto"/>
                  <w:noWrap w:val="0"/>
                  <w:vAlign w:val="center"/>
                </w:tcPr>
                <w:p w14:paraId="7FCA44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4B2EDEC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w:t>
                  </w:r>
                </w:p>
              </w:tc>
              <w:tc>
                <w:tcPr>
                  <w:tcW w:w="1905" w:type="dxa"/>
                  <w:tcBorders>
                    <w:tl2br w:val="nil"/>
                    <w:tr2bl w:val="nil"/>
                  </w:tcBorders>
                  <w:shd w:val="clear" w:color="auto" w:fill="auto"/>
                  <w:noWrap/>
                  <w:vAlign w:val="center"/>
                </w:tcPr>
                <w:p w14:paraId="3EFE0407">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eastAsia="zh-CN"/>
                    </w:rPr>
                    <w:t>车间吊装</w:t>
                  </w:r>
                </w:p>
              </w:tc>
              <w:tc>
                <w:tcPr>
                  <w:tcW w:w="1899" w:type="dxa"/>
                  <w:tcBorders>
                    <w:tl2br w:val="nil"/>
                    <w:tr2bl w:val="nil"/>
                  </w:tcBorders>
                  <w:shd w:val="clear" w:color="auto" w:fill="auto"/>
                  <w:noWrap/>
                  <w:vAlign w:val="center"/>
                </w:tcPr>
                <w:p w14:paraId="195EDE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全厂共用</w:t>
                  </w:r>
                </w:p>
              </w:tc>
            </w:tr>
            <w:tr w14:paraId="533923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283D1CE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shd w:val="clear" w:color="auto" w:fill="auto"/>
                  <w:noWrap w:val="0"/>
                  <w:vAlign w:val="center"/>
                </w:tcPr>
                <w:p w14:paraId="50701CA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移动式升降工作平台</w:t>
                  </w:r>
                </w:p>
              </w:tc>
              <w:tc>
                <w:tcPr>
                  <w:tcW w:w="1875" w:type="dxa"/>
                  <w:tcBorders>
                    <w:tl2br w:val="nil"/>
                    <w:tr2bl w:val="nil"/>
                  </w:tcBorders>
                  <w:shd w:val="clear" w:color="auto" w:fill="auto"/>
                  <w:noWrap/>
                  <w:vAlign w:val="center"/>
                </w:tcPr>
                <w:p w14:paraId="0E27A93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GTJZ12</w:t>
                  </w:r>
                </w:p>
              </w:tc>
              <w:tc>
                <w:tcPr>
                  <w:tcW w:w="435" w:type="dxa"/>
                  <w:tcBorders>
                    <w:tl2br w:val="nil"/>
                    <w:tr2bl w:val="nil"/>
                  </w:tcBorders>
                  <w:shd w:val="clear" w:color="auto" w:fill="auto"/>
                  <w:noWrap w:val="0"/>
                  <w:vAlign w:val="center"/>
                </w:tcPr>
                <w:p w14:paraId="0BDC0AB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69B4D75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5A74D2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eastAsia="zh-CN"/>
                    </w:rPr>
                    <w:t>车间吊装</w:t>
                  </w:r>
                </w:p>
              </w:tc>
              <w:tc>
                <w:tcPr>
                  <w:tcW w:w="1899" w:type="dxa"/>
                  <w:tcBorders>
                    <w:tl2br w:val="nil"/>
                    <w:tr2bl w:val="nil"/>
                  </w:tcBorders>
                  <w:shd w:val="clear" w:color="auto" w:fill="auto"/>
                  <w:noWrap/>
                  <w:vAlign w:val="center"/>
                </w:tcPr>
                <w:p w14:paraId="05AC3E1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全厂共用</w:t>
                  </w:r>
                </w:p>
              </w:tc>
            </w:tr>
            <w:tr w14:paraId="01C4DC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0" w:type="dxa"/>
                  <w:vMerge w:val="continue"/>
                  <w:tcBorders>
                    <w:tl2br w:val="nil"/>
                    <w:tr2bl w:val="nil"/>
                  </w:tcBorders>
                  <w:noWrap/>
                  <w:vAlign w:val="center"/>
                </w:tcPr>
                <w:p w14:paraId="7C8A85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105" w:leftChars="-50" w:right="-105" w:rightChars="-50"/>
                    <w:jc w:val="center"/>
                    <w:rPr>
                      <w:rFonts w:hint="default" w:ascii="Times New Roman" w:hAnsi="Times New Roman" w:cs="Times New Roman"/>
                      <w:b/>
                      <w:color w:val="auto"/>
                      <w:kern w:val="0"/>
                      <w:sz w:val="21"/>
                      <w:szCs w:val="21"/>
                      <w:lang w:val="en-US" w:eastAsia="zh-CN"/>
                    </w:rPr>
                  </w:pPr>
                </w:p>
              </w:tc>
              <w:tc>
                <w:tcPr>
                  <w:tcW w:w="1637" w:type="dxa"/>
                  <w:tcBorders>
                    <w:tl2br w:val="nil"/>
                    <w:tr2bl w:val="nil"/>
                  </w:tcBorders>
                  <w:shd w:val="clear" w:color="auto" w:fill="auto"/>
                  <w:noWrap w:val="0"/>
                  <w:vAlign w:val="center"/>
                </w:tcPr>
                <w:p w14:paraId="3C94DD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轨道平车</w:t>
                  </w:r>
                </w:p>
              </w:tc>
              <w:tc>
                <w:tcPr>
                  <w:tcW w:w="1875" w:type="dxa"/>
                  <w:tcBorders>
                    <w:tl2br w:val="nil"/>
                    <w:tr2bl w:val="nil"/>
                  </w:tcBorders>
                  <w:shd w:val="clear" w:color="auto" w:fill="auto"/>
                  <w:noWrap/>
                  <w:vAlign w:val="center"/>
                </w:tcPr>
                <w:p w14:paraId="74B60DE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KPX-30T</w:t>
                  </w:r>
                </w:p>
              </w:tc>
              <w:tc>
                <w:tcPr>
                  <w:tcW w:w="435" w:type="dxa"/>
                  <w:tcBorders>
                    <w:tl2br w:val="nil"/>
                    <w:tr2bl w:val="nil"/>
                  </w:tcBorders>
                  <w:shd w:val="clear" w:color="auto" w:fill="auto"/>
                  <w:noWrap w:val="0"/>
                  <w:vAlign w:val="center"/>
                </w:tcPr>
                <w:p w14:paraId="6150B82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台</w:t>
                  </w:r>
                </w:p>
              </w:tc>
              <w:tc>
                <w:tcPr>
                  <w:tcW w:w="525" w:type="dxa"/>
                  <w:tcBorders>
                    <w:tl2br w:val="nil"/>
                    <w:tr2bl w:val="nil"/>
                  </w:tcBorders>
                  <w:shd w:val="clear" w:color="auto" w:fill="auto"/>
                  <w:noWrap w:val="0"/>
                  <w:vAlign w:val="center"/>
                </w:tcPr>
                <w:p w14:paraId="6554AF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1905" w:type="dxa"/>
                  <w:tcBorders>
                    <w:tl2br w:val="nil"/>
                    <w:tr2bl w:val="nil"/>
                  </w:tcBorders>
                  <w:shd w:val="clear" w:color="auto" w:fill="auto"/>
                  <w:noWrap/>
                  <w:vAlign w:val="center"/>
                </w:tcPr>
                <w:p w14:paraId="24CFF3C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eastAsia="zh-CN"/>
                    </w:rPr>
                    <w:t>车间吊装</w:t>
                  </w:r>
                </w:p>
              </w:tc>
              <w:tc>
                <w:tcPr>
                  <w:tcW w:w="1899" w:type="dxa"/>
                  <w:tcBorders>
                    <w:tl2br w:val="nil"/>
                    <w:tr2bl w:val="nil"/>
                  </w:tcBorders>
                  <w:shd w:val="clear" w:color="auto" w:fill="auto"/>
                  <w:noWrap/>
                  <w:vAlign w:val="center"/>
                </w:tcPr>
                <w:p w14:paraId="2E9B036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eastAsia="zh-CN"/>
                    </w:rPr>
                    <w:t>全厂共用</w:t>
                  </w:r>
                </w:p>
              </w:tc>
            </w:tr>
          </w:tbl>
          <w:p w14:paraId="7805A588">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eastAsia="宋体" w:cs="Times New Roman"/>
                <w:bCs/>
                <w:color w:val="auto"/>
                <w:spacing w:val="0"/>
                <w:position w:val="0"/>
                <w:sz w:val="24"/>
                <w:szCs w:val="24"/>
                <w:u w:val="none" w:color="auto"/>
                <w:lang w:val="en-US" w:eastAsia="zh-CN"/>
              </w:rPr>
            </w:pPr>
            <w:r>
              <w:rPr>
                <w:rFonts w:hint="default" w:ascii="Times New Roman" w:hAnsi="Times New Roman" w:cs="Times New Roman"/>
                <w:bCs/>
                <w:color w:val="auto"/>
                <w:spacing w:val="0"/>
                <w:position w:val="0"/>
                <w:sz w:val="24"/>
                <w:szCs w:val="24"/>
                <w:u w:val="none" w:color="auto"/>
                <w:lang w:val="en-US" w:eastAsia="zh-CN"/>
              </w:rPr>
              <w:t>对照</w:t>
            </w:r>
            <w:r>
              <w:rPr>
                <w:rFonts w:hint="default" w:ascii="Times New Roman" w:hAnsi="Times New Roman" w:eastAsia="宋体" w:cs="Times New Roman"/>
                <w:bCs/>
                <w:color w:val="auto"/>
                <w:spacing w:val="0"/>
                <w:position w:val="0"/>
                <w:sz w:val="24"/>
                <w:szCs w:val="24"/>
                <w:u w:val="none" w:color="auto"/>
                <w:lang w:val="en-US" w:eastAsia="zh-CN"/>
              </w:rPr>
              <w:t>《产业结构调整指导目录（20</w:t>
            </w:r>
            <w:r>
              <w:rPr>
                <w:rFonts w:hint="eastAsia" w:cs="Times New Roman"/>
                <w:bCs/>
                <w:color w:val="auto"/>
                <w:spacing w:val="0"/>
                <w:position w:val="0"/>
                <w:sz w:val="24"/>
                <w:szCs w:val="24"/>
                <w:u w:val="none" w:color="auto"/>
                <w:lang w:val="en-US" w:eastAsia="zh-CN"/>
              </w:rPr>
              <w:t>24</w:t>
            </w:r>
            <w:r>
              <w:rPr>
                <w:rFonts w:hint="default" w:ascii="Times New Roman" w:hAnsi="Times New Roman" w:eastAsia="宋体" w:cs="Times New Roman"/>
                <w:bCs/>
                <w:color w:val="auto"/>
                <w:spacing w:val="0"/>
                <w:position w:val="0"/>
                <w:sz w:val="24"/>
                <w:szCs w:val="24"/>
                <w:u w:val="none" w:color="auto"/>
                <w:lang w:val="en-US" w:eastAsia="zh-CN"/>
              </w:rPr>
              <w:t>年本）》和《部分工业行业淘汰落后生产工艺装备和产品指导目录（201</w:t>
            </w:r>
            <w:r>
              <w:rPr>
                <w:rFonts w:hint="eastAsia" w:cs="Times New Roman"/>
                <w:bCs/>
                <w:color w:val="auto"/>
                <w:spacing w:val="0"/>
                <w:position w:val="0"/>
                <w:sz w:val="24"/>
                <w:szCs w:val="24"/>
                <w:u w:val="none" w:color="auto"/>
                <w:lang w:val="en-US" w:eastAsia="zh-CN"/>
              </w:rPr>
              <w:t>0</w:t>
            </w:r>
            <w:r>
              <w:rPr>
                <w:rFonts w:hint="default" w:ascii="Times New Roman" w:hAnsi="Times New Roman" w:eastAsia="宋体" w:cs="Times New Roman"/>
                <w:bCs/>
                <w:color w:val="auto"/>
                <w:spacing w:val="0"/>
                <w:position w:val="0"/>
                <w:sz w:val="24"/>
                <w:szCs w:val="24"/>
                <w:u w:val="none" w:color="auto"/>
                <w:lang w:val="en-US" w:eastAsia="zh-CN"/>
              </w:rPr>
              <w:t>年本）》可知，项目所选设备均不属于国家淘汰和限制的产业类型，可满足正常生产的需要且符合国家产业政策。</w:t>
            </w:r>
          </w:p>
          <w:p w14:paraId="52C02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eastAsia" w:cs="Times New Roman"/>
                <w:b/>
                <w:bCs/>
                <w:color w:val="auto"/>
                <w:spacing w:val="0"/>
                <w:position w:val="0"/>
                <w:sz w:val="24"/>
                <w:szCs w:val="24"/>
                <w:u w:val="none" w:color="auto"/>
                <w:lang w:val="en-US" w:eastAsia="zh-CN"/>
              </w:rPr>
              <w:t>8</w:t>
            </w:r>
            <w:r>
              <w:rPr>
                <w:rFonts w:hint="default" w:ascii="Times New Roman" w:hAnsi="Times New Roman" w:eastAsia="宋体" w:cs="Times New Roman"/>
                <w:b/>
                <w:bCs/>
                <w:color w:val="auto"/>
                <w:spacing w:val="0"/>
                <w:position w:val="0"/>
                <w:sz w:val="24"/>
                <w:szCs w:val="24"/>
                <w:u w:val="none" w:color="auto"/>
                <w:lang w:val="en-US" w:eastAsia="zh-CN"/>
              </w:rPr>
              <w:t>、劳动定员及工作制度</w:t>
            </w:r>
          </w:p>
          <w:p w14:paraId="126DC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default" w:ascii="Times New Roman" w:hAnsi="Times New Roman" w:eastAsia="宋体" w:cs="Times New Roman"/>
                <w:color w:val="auto"/>
                <w:spacing w:val="0"/>
                <w:position w:val="0"/>
                <w:sz w:val="24"/>
                <w:szCs w:val="24"/>
                <w:u w:val="none" w:color="auto"/>
              </w:rPr>
              <w:t>项目</w:t>
            </w:r>
            <w:r>
              <w:rPr>
                <w:rFonts w:hint="default" w:ascii="Times New Roman" w:hAnsi="Times New Roman" w:eastAsia="宋体" w:cs="Times New Roman"/>
                <w:color w:val="auto"/>
                <w:spacing w:val="0"/>
                <w:position w:val="0"/>
                <w:sz w:val="24"/>
                <w:szCs w:val="24"/>
                <w:u w:val="none" w:color="auto"/>
                <w:lang w:eastAsia="zh-CN"/>
              </w:rPr>
              <w:t>新增</w:t>
            </w:r>
            <w:r>
              <w:rPr>
                <w:rFonts w:hint="default" w:ascii="Times New Roman" w:hAnsi="Times New Roman" w:eastAsia="宋体" w:cs="Times New Roman"/>
                <w:color w:val="auto"/>
                <w:spacing w:val="0"/>
                <w:position w:val="0"/>
                <w:sz w:val="24"/>
                <w:szCs w:val="24"/>
                <w:u w:val="none" w:color="auto"/>
              </w:rPr>
              <w:t>劳动定员</w:t>
            </w:r>
            <w:r>
              <w:rPr>
                <w:rFonts w:hint="eastAsia" w:cs="Times New Roman"/>
                <w:color w:val="auto"/>
                <w:spacing w:val="0"/>
                <w:position w:val="0"/>
                <w:sz w:val="24"/>
                <w:szCs w:val="24"/>
                <w:u w:val="none" w:color="auto"/>
                <w:lang w:val="en-US" w:eastAsia="zh-CN"/>
              </w:rPr>
              <w:t>10</w:t>
            </w:r>
            <w:r>
              <w:rPr>
                <w:rFonts w:hint="default" w:ascii="Times New Roman" w:hAnsi="Times New Roman" w:cs="Times New Roman"/>
                <w:color w:val="auto"/>
                <w:spacing w:val="0"/>
                <w:position w:val="0"/>
                <w:sz w:val="24"/>
                <w:szCs w:val="24"/>
                <w:u w:val="none" w:color="auto"/>
                <w:lang w:val="en-US" w:eastAsia="zh-CN"/>
              </w:rPr>
              <w:t>人</w:t>
            </w:r>
            <w:r>
              <w:rPr>
                <w:rFonts w:hint="default" w:ascii="Times New Roman" w:hAnsi="Times New Roman" w:eastAsia="宋体" w:cs="Times New Roman"/>
                <w:color w:val="auto"/>
                <w:spacing w:val="0"/>
                <w:position w:val="0"/>
                <w:sz w:val="24"/>
                <w:szCs w:val="24"/>
                <w:u w:val="none" w:color="auto"/>
              </w:rPr>
              <w:t>，</w:t>
            </w:r>
            <w:r>
              <w:rPr>
                <w:rFonts w:hint="default" w:ascii="Times New Roman" w:hAnsi="Times New Roman" w:cs="Times New Roman"/>
                <w:bCs/>
                <w:color w:val="auto"/>
                <w:spacing w:val="0"/>
                <w:position w:val="0"/>
                <w:sz w:val="24"/>
                <w:highlight w:val="none"/>
                <w:u w:val="none" w:color="auto"/>
                <w:lang w:val="en-US" w:eastAsia="zh-CN"/>
              </w:rPr>
              <w:t>新增员工</w:t>
            </w:r>
            <w:r>
              <w:rPr>
                <w:rFonts w:hint="eastAsia" w:cs="Times New Roman"/>
                <w:color w:val="auto"/>
                <w:spacing w:val="0"/>
                <w:position w:val="0"/>
                <w:sz w:val="24"/>
                <w:szCs w:val="24"/>
                <w:u w:val="none" w:color="auto"/>
                <w:lang w:val="en-US" w:eastAsia="zh-CN"/>
              </w:rPr>
              <w:t>均不在厂内食宿</w:t>
            </w:r>
            <w:r>
              <w:rPr>
                <w:rFonts w:hint="default" w:ascii="Times New Roman" w:hAnsi="Times New Roman" w:eastAsia="宋体" w:cs="Times New Roman"/>
                <w:color w:val="auto"/>
                <w:spacing w:val="0"/>
                <w:position w:val="0"/>
                <w:sz w:val="24"/>
                <w:szCs w:val="24"/>
                <w:u w:val="none" w:color="auto"/>
              </w:rPr>
              <w:t>，</w:t>
            </w:r>
            <w:r>
              <w:rPr>
                <w:rFonts w:hint="default" w:ascii="Times New Roman" w:hAnsi="Times New Roman" w:eastAsia="宋体" w:cs="Times New Roman"/>
                <w:color w:val="auto"/>
                <w:spacing w:val="0"/>
                <w:position w:val="0"/>
                <w:sz w:val="24"/>
                <w:szCs w:val="21"/>
                <w:u w:val="none" w:color="auto"/>
              </w:rPr>
              <w:t>实行8小时</w:t>
            </w:r>
            <w:r>
              <w:rPr>
                <w:rFonts w:hint="default" w:ascii="Times New Roman" w:hAnsi="Times New Roman" w:eastAsia="宋体" w:cs="Times New Roman"/>
                <w:color w:val="auto"/>
                <w:spacing w:val="0"/>
                <w:position w:val="0"/>
                <w:sz w:val="24"/>
                <w:szCs w:val="21"/>
                <w:highlight w:val="none"/>
                <w:u w:val="none" w:color="auto"/>
                <w:lang w:val="en-US" w:eastAsia="zh-CN"/>
              </w:rPr>
              <w:t>/班，</w:t>
            </w:r>
            <w:r>
              <w:rPr>
                <w:rFonts w:hint="default" w:ascii="Times New Roman" w:hAnsi="Times New Roman" w:cs="Times New Roman"/>
                <w:color w:val="auto"/>
                <w:spacing w:val="0"/>
                <w:position w:val="0"/>
                <w:sz w:val="24"/>
                <w:szCs w:val="21"/>
                <w:highlight w:val="none"/>
                <w:u w:val="none" w:color="auto"/>
                <w:lang w:val="en-US" w:eastAsia="zh-CN"/>
              </w:rPr>
              <w:t>三</w:t>
            </w:r>
            <w:r>
              <w:rPr>
                <w:rFonts w:hint="default" w:ascii="Times New Roman" w:hAnsi="Times New Roman" w:eastAsia="宋体" w:cs="Times New Roman"/>
                <w:color w:val="auto"/>
                <w:spacing w:val="0"/>
                <w:position w:val="0"/>
                <w:sz w:val="24"/>
                <w:szCs w:val="21"/>
                <w:highlight w:val="none"/>
                <w:u w:val="none" w:color="auto"/>
              </w:rPr>
              <w:t>班制</w:t>
            </w:r>
            <w:r>
              <w:rPr>
                <w:rFonts w:hint="default" w:ascii="Times New Roman" w:hAnsi="Times New Roman" w:eastAsia="宋体" w:cs="Times New Roman"/>
                <w:color w:val="auto"/>
                <w:spacing w:val="0"/>
                <w:position w:val="0"/>
                <w:sz w:val="24"/>
                <w:szCs w:val="21"/>
                <w:highlight w:val="none"/>
                <w:u w:val="none" w:color="auto"/>
                <w:lang w:eastAsia="zh-CN"/>
              </w:rPr>
              <w:t>，</w:t>
            </w:r>
            <w:r>
              <w:rPr>
                <w:rFonts w:hint="default" w:ascii="Times New Roman" w:hAnsi="Times New Roman" w:eastAsia="宋体" w:cs="Times New Roman"/>
                <w:color w:val="auto"/>
                <w:spacing w:val="0"/>
                <w:position w:val="0"/>
                <w:sz w:val="24"/>
                <w:szCs w:val="21"/>
                <w:highlight w:val="none"/>
                <w:u w:val="none" w:color="auto"/>
              </w:rPr>
              <w:t>年</w:t>
            </w:r>
            <w:r>
              <w:rPr>
                <w:rFonts w:hint="default" w:ascii="Times New Roman" w:hAnsi="Times New Roman" w:eastAsia="宋体" w:cs="Times New Roman"/>
                <w:color w:val="auto"/>
                <w:spacing w:val="0"/>
                <w:position w:val="0"/>
                <w:sz w:val="24"/>
                <w:szCs w:val="21"/>
                <w:u w:val="none" w:color="auto"/>
              </w:rPr>
              <w:t>工作日</w:t>
            </w:r>
            <w:r>
              <w:rPr>
                <w:rFonts w:hint="eastAsia" w:cs="Times New Roman"/>
                <w:color w:val="auto"/>
                <w:spacing w:val="0"/>
                <w:position w:val="0"/>
                <w:sz w:val="24"/>
                <w:szCs w:val="21"/>
                <w:u w:val="none" w:color="auto"/>
                <w:lang w:val="en-US" w:eastAsia="zh-CN"/>
              </w:rPr>
              <w:t>28</w:t>
            </w:r>
            <w:r>
              <w:rPr>
                <w:rFonts w:hint="default" w:ascii="Times New Roman" w:hAnsi="Times New Roman" w:eastAsia="宋体" w:cs="Times New Roman"/>
                <w:color w:val="auto"/>
                <w:spacing w:val="0"/>
                <w:position w:val="0"/>
                <w:sz w:val="24"/>
                <w:szCs w:val="21"/>
                <w:u w:val="none" w:color="auto"/>
              </w:rPr>
              <w:t>0天</w:t>
            </w:r>
            <w:r>
              <w:rPr>
                <w:rFonts w:hint="default" w:ascii="Times New Roman" w:hAnsi="Times New Roman" w:cs="Times New Roman"/>
                <w:color w:val="auto"/>
                <w:spacing w:val="0"/>
                <w:position w:val="0"/>
                <w:sz w:val="24"/>
                <w:szCs w:val="21"/>
                <w:u w:val="none" w:color="auto"/>
                <w:lang w:eastAsia="zh-CN"/>
              </w:rPr>
              <w:t>。</w:t>
            </w:r>
          </w:p>
          <w:p w14:paraId="5F864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eastAsia" w:cs="Times New Roman"/>
                <w:b/>
                <w:bCs/>
                <w:color w:val="auto"/>
                <w:spacing w:val="0"/>
                <w:position w:val="0"/>
                <w:sz w:val="24"/>
                <w:szCs w:val="24"/>
                <w:u w:val="none" w:color="auto"/>
                <w:lang w:val="en-US" w:eastAsia="zh-CN"/>
              </w:rPr>
              <w:t>9</w:t>
            </w:r>
            <w:r>
              <w:rPr>
                <w:rFonts w:hint="default" w:ascii="Times New Roman" w:hAnsi="Times New Roman" w:eastAsia="宋体" w:cs="Times New Roman"/>
                <w:b/>
                <w:bCs/>
                <w:color w:val="auto"/>
                <w:spacing w:val="0"/>
                <w:position w:val="0"/>
                <w:sz w:val="24"/>
                <w:szCs w:val="24"/>
                <w:u w:val="none" w:color="auto"/>
                <w:lang w:val="en-US" w:eastAsia="zh-CN"/>
              </w:rPr>
              <w:t>、给排水及公用工程</w:t>
            </w:r>
          </w:p>
          <w:p w14:paraId="7DC31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1）给水</w:t>
            </w:r>
          </w:p>
          <w:p w14:paraId="4036A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position w:val="0"/>
                <w:sz w:val="24"/>
                <w:szCs w:val="24"/>
                <w:u w:val="none" w:color="auto"/>
                <w:lang w:val="en-US" w:eastAsia="zh-CN"/>
              </w:rPr>
            </w:pPr>
            <w:r>
              <w:rPr>
                <w:rFonts w:hint="default" w:ascii="Times New Roman" w:hAnsi="Times New Roman" w:eastAsia="宋体" w:cs="Times New Roman"/>
                <w:color w:val="auto"/>
                <w:spacing w:val="0"/>
                <w:position w:val="0"/>
                <w:sz w:val="24"/>
                <w:szCs w:val="24"/>
                <w:u w:val="none" w:color="auto"/>
                <w:lang w:val="en-US" w:eastAsia="zh-CN"/>
              </w:rPr>
              <w:t>项目用水</w:t>
            </w:r>
            <w:r>
              <w:rPr>
                <w:rFonts w:hint="default" w:ascii="Times New Roman" w:hAnsi="Times New Roman" w:cs="Times New Roman"/>
                <w:color w:val="auto"/>
                <w:spacing w:val="0"/>
                <w:position w:val="0"/>
                <w:sz w:val="24"/>
                <w:szCs w:val="24"/>
                <w:u w:val="none" w:color="auto"/>
                <w:lang w:val="en-US" w:eastAsia="zh-CN"/>
              </w:rPr>
              <w:t>依托</w:t>
            </w:r>
            <w:r>
              <w:rPr>
                <w:rFonts w:hint="eastAsia" w:cs="Times New Roman"/>
                <w:color w:val="auto"/>
                <w:spacing w:val="0"/>
                <w:position w:val="0"/>
                <w:sz w:val="24"/>
                <w:szCs w:val="24"/>
                <w:u w:val="none" w:color="auto"/>
                <w:lang w:val="en-US" w:eastAsia="zh-CN"/>
              </w:rPr>
              <w:t>产业开发</w:t>
            </w:r>
            <w:r>
              <w:rPr>
                <w:rFonts w:hint="default" w:ascii="Times New Roman" w:hAnsi="Times New Roman" w:eastAsia="宋体" w:cs="Times New Roman"/>
                <w:color w:val="auto"/>
                <w:spacing w:val="0"/>
                <w:position w:val="0"/>
                <w:sz w:val="24"/>
                <w:szCs w:val="24"/>
                <w:u w:val="none" w:color="auto"/>
                <w:lang w:val="en-US" w:eastAsia="zh-CN"/>
              </w:rPr>
              <w:t>区自来水管网</w:t>
            </w:r>
            <w:r>
              <w:rPr>
                <w:rFonts w:hint="default" w:ascii="Times New Roman" w:hAnsi="Times New Roman" w:cs="Times New Roman"/>
                <w:color w:val="auto"/>
                <w:spacing w:val="0"/>
                <w:position w:val="0"/>
                <w:sz w:val="24"/>
                <w:szCs w:val="24"/>
                <w:u w:val="none" w:color="auto"/>
                <w:lang w:val="en-US" w:eastAsia="zh-CN"/>
              </w:rPr>
              <w:t>供应</w:t>
            </w:r>
            <w:r>
              <w:rPr>
                <w:rFonts w:hint="default" w:ascii="Times New Roman" w:hAnsi="Times New Roman" w:eastAsia="宋体" w:cs="Times New Roman"/>
                <w:color w:val="auto"/>
                <w:spacing w:val="0"/>
                <w:position w:val="0"/>
                <w:sz w:val="24"/>
                <w:szCs w:val="24"/>
                <w:u w:val="none" w:color="auto"/>
                <w:lang w:val="en-US" w:eastAsia="zh-CN"/>
              </w:rPr>
              <w:t>，其水量、水质均可满足项目</w:t>
            </w:r>
            <w:r>
              <w:rPr>
                <w:rFonts w:hint="eastAsia" w:cs="Times New Roman"/>
                <w:color w:val="auto"/>
                <w:spacing w:val="0"/>
                <w:position w:val="0"/>
                <w:sz w:val="24"/>
                <w:szCs w:val="24"/>
                <w:u w:val="none" w:color="auto"/>
                <w:lang w:val="en-US" w:eastAsia="zh-CN"/>
              </w:rPr>
              <w:t>生产</w:t>
            </w:r>
            <w:r>
              <w:rPr>
                <w:rFonts w:hint="default" w:ascii="Times New Roman" w:hAnsi="Times New Roman" w:eastAsia="宋体" w:cs="Times New Roman"/>
                <w:color w:val="auto"/>
                <w:spacing w:val="0"/>
                <w:position w:val="0"/>
                <w:sz w:val="24"/>
                <w:szCs w:val="24"/>
                <w:u w:val="none" w:color="auto"/>
                <w:lang w:val="en-US" w:eastAsia="zh-CN"/>
              </w:rPr>
              <w:t>生活及消防的正常供水要求。</w:t>
            </w:r>
          </w:p>
          <w:p w14:paraId="0B438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position w:val="0"/>
                <w:sz w:val="24"/>
                <w:szCs w:val="24"/>
                <w:u w:val="none" w:color="auto"/>
                <w:lang w:val="en-US" w:eastAsia="zh-CN"/>
              </w:rPr>
            </w:pPr>
            <w:r>
              <w:rPr>
                <w:rFonts w:hint="default" w:ascii="Times New Roman" w:hAnsi="Times New Roman" w:eastAsia="宋体" w:cs="Times New Roman"/>
                <w:color w:val="auto"/>
                <w:spacing w:val="0"/>
                <w:position w:val="0"/>
                <w:sz w:val="24"/>
                <w:szCs w:val="24"/>
                <w:u w:val="none" w:color="auto"/>
                <w:lang w:val="en-US" w:eastAsia="zh-CN"/>
              </w:rPr>
              <w:t>生活用水：本项目</w:t>
            </w:r>
            <w:r>
              <w:rPr>
                <w:rFonts w:hint="default" w:ascii="Times New Roman" w:hAnsi="Times New Roman" w:cs="Times New Roman"/>
                <w:color w:val="auto"/>
                <w:spacing w:val="0"/>
                <w:position w:val="0"/>
                <w:sz w:val="24"/>
                <w:szCs w:val="24"/>
                <w:u w:val="none" w:color="auto"/>
                <w:lang w:val="en-US" w:eastAsia="zh-CN"/>
              </w:rPr>
              <w:t>新增员工</w:t>
            </w:r>
            <w:r>
              <w:rPr>
                <w:rFonts w:hint="eastAsia" w:cs="Times New Roman"/>
                <w:color w:val="auto"/>
                <w:spacing w:val="0"/>
                <w:position w:val="0"/>
                <w:sz w:val="24"/>
                <w:szCs w:val="24"/>
                <w:u w:val="none" w:color="auto"/>
                <w:lang w:val="en-US" w:eastAsia="zh-CN"/>
              </w:rPr>
              <w:t>10</w:t>
            </w:r>
            <w:r>
              <w:rPr>
                <w:rFonts w:hint="default" w:ascii="Times New Roman" w:hAnsi="Times New Roman" w:cs="Times New Roman"/>
                <w:color w:val="auto"/>
                <w:spacing w:val="0"/>
                <w:position w:val="0"/>
                <w:sz w:val="24"/>
                <w:szCs w:val="24"/>
                <w:u w:val="none" w:color="auto"/>
                <w:lang w:val="en-US" w:eastAsia="zh-CN"/>
              </w:rPr>
              <w:t>人</w:t>
            </w:r>
            <w:r>
              <w:rPr>
                <w:rFonts w:hint="default" w:ascii="Times New Roman" w:hAnsi="Times New Roman" w:eastAsia="宋体" w:cs="Times New Roman"/>
                <w:color w:val="auto"/>
                <w:spacing w:val="0"/>
                <w:position w:val="0"/>
                <w:sz w:val="24"/>
                <w:szCs w:val="24"/>
                <w:u w:val="none" w:color="auto"/>
                <w:lang w:val="en-US" w:eastAsia="zh-CN"/>
              </w:rPr>
              <w:t>，均</w:t>
            </w:r>
            <w:r>
              <w:rPr>
                <w:rFonts w:hint="eastAsia" w:cs="Times New Roman"/>
                <w:color w:val="auto"/>
                <w:spacing w:val="0"/>
                <w:position w:val="0"/>
                <w:sz w:val="24"/>
                <w:szCs w:val="24"/>
                <w:u w:val="none" w:color="auto"/>
                <w:lang w:val="en-US" w:eastAsia="zh-CN"/>
              </w:rPr>
              <w:t>不</w:t>
            </w:r>
            <w:r>
              <w:rPr>
                <w:rFonts w:hint="default" w:ascii="Times New Roman" w:hAnsi="Times New Roman" w:eastAsia="宋体" w:cs="Times New Roman"/>
                <w:color w:val="auto"/>
                <w:spacing w:val="0"/>
                <w:position w:val="0"/>
                <w:sz w:val="24"/>
                <w:szCs w:val="24"/>
                <w:u w:val="none" w:color="auto"/>
                <w:lang w:val="en-US" w:eastAsia="zh-CN"/>
              </w:rPr>
              <w:t>在厂区食宿，年工作</w:t>
            </w:r>
            <w:r>
              <w:rPr>
                <w:rFonts w:hint="eastAsia" w:cs="Times New Roman"/>
                <w:color w:val="auto"/>
                <w:spacing w:val="0"/>
                <w:position w:val="0"/>
                <w:sz w:val="24"/>
                <w:szCs w:val="24"/>
                <w:u w:val="none" w:color="auto"/>
                <w:lang w:val="en-US" w:eastAsia="zh-CN"/>
              </w:rPr>
              <w:t>28</w:t>
            </w:r>
            <w:r>
              <w:rPr>
                <w:rFonts w:hint="default" w:ascii="Times New Roman" w:hAnsi="Times New Roman" w:eastAsia="宋体" w:cs="Times New Roman"/>
                <w:color w:val="auto"/>
                <w:spacing w:val="0"/>
                <w:position w:val="0"/>
                <w:sz w:val="24"/>
                <w:szCs w:val="24"/>
                <w:u w:val="none" w:color="auto"/>
                <w:lang w:val="en-US" w:eastAsia="zh-CN"/>
              </w:rPr>
              <w:t>0天。</w:t>
            </w:r>
            <w:r>
              <w:rPr>
                <w:rFonts w:hint="eastAsia" w:cs="Times New Roman"/>
                <w:color w:val="auto"/>
                <w:spacing w:val="0"/>
                <w:position w:val="0"/>
                <w:sz w:val="24"/>
                <w:szCs w:val="24"/>
                <w:u w:val="none" w:color="auto"/>
                <w:lang w:val="en-US" w:eastAsia="zh-CN"/>
              </w:rPr>
              <w:t>生活用水定额按</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kern w:val="2"/>
                <w:sz w:val="24"/>
                <w:szCs w:val="24"/>
                <w:highlight w:val="none"/>
                <w:u w:val="none" w:color="auto"/>
                <w:lang w:val="en-US" w:eastAsia="zh-CN" w:bidi="ar-SA"/>
              </w:rPr>
              <w:t>/人·d</w:t>
            </w:r>
            <w:r>
              <w:rPr>
                <w:rFonts w:hint="default" w:ascii="Times New Roman" w:hAnsi="Times New Roman" w:eastAsia="宋体" w:cs="Times New Roman"/>
                <w:color w:val="auto"/>
                <w:spacing w:val="0"/>
                <w:position w:val="0"/>
                <w:sz w:val="24"/>
                <w:szCs w:val="24"/>
                <w:u w:val="none" w:color="auto"/>
                <w:lang w:val="en-US" w:eastAsia="zh-CN"/>
              </w:rPr>
              <w:t>计算，则本项目生活用水量为</w:t>
            </w:r>
            <w:r>
              <w:rPr>
                <w:rFonts w:hint="eastAsia" w:cs="Times New Roman"/>
                <w:color w:val="auto"/>
                <w:spacing w:val="0"/>
                <w:position w:val="0"/>
                <w:sz w:val="24"/>
                <w:szCs w:val="24"/>
                <w:u w:val="none" w:color="auto"/>
                <w:lang w:val="en-US" w:eastAsia="zh-CN"/>
              </w:rPr>
              <w:t>0.5</w:t>
            </w:r>
            <w:r>
              <w:rPr>
                <w:rFonts w:hint="default" w:ascii="Times New Roman" w:hAnsi="Times New Roman" w:cs="Times New Roman"/>
                <w:color w:val="auto"/>
                <w:spacing w:val="0"/>
                <w:position w:val="0"/>
                <w:sz w:val="24"/>
                <w:szCs w:val="24"/>
                <w:u w:val="none" w:color="auto"/>
                <w:lang w:val="en-US" w:eastAsia="zh-CN"/>
              </w:rPr>
              <w:t>m</w:t>
            </w:r>
            <w:r>
              <w:rPr>
                <w:rFonts w:hint="default" w:ascii="Times New Roman" w:hAnsi="Times New Roman" w:eastAsia="宋体" w:cs="Times New Roman"/>
                <w:color w:val="auto"/>
                <w:spacing w:val="0"/>
                <w:position w:val="0"/>
                <w:sz w:val="24"/>
                <w:szCs w:val="24"/>
                <w:u w:val="none" w:color="auto"/>
                <w:vertAlign w:val="superscript"/>
                <w:lang w:val="en-US" w:eastAsia="zh-CN"/>
              </w:rPr>
              <w:t>3</w:t>
            </w:r>
            <w:r>
              <w:rPr>
                <w:rFonts w:hint="default" w:ascii="Times New Roman" w:hAnsi="Times New Roman" w:eastAsia="宋体" w:cs="Times New Roman"/>
                <w:color w:val="auto"/>
                <w:spacing w:val="0"/>
                <w:position w:val="0"/>
                <w:sz w:val="24"/>
                <w:szCs w:val="24"/>
                <w:u w:val="none" w:color="auto"/>
                <w:lang w:val="en-US" w:eastAsia="zh-CN"/>
              </w:rPr>
              <w:t>/d（</w:t>
            </w:r>
            <w:r>
              <w:rPr>
                <w:rFonts w:hint="eastAsia" w:cs="Times New Roman"/>
                <w:color w:val="auto"/>
                <w:spacing w:val="0"/>
                <w:position w:val="0"/>
                <w:sz w:val="24"/>
                <w:szCs w:val="24"/>
                <w:u w:val="none" w:color="auto"/>
                <w:lang w:val="en-US" w:eastAsia="zh-CN"/>
              </w:rPr>
              <w:t>140</w:t>
            </w:r>
            <w:r>
              <w:rPr>
                <w:rFonts w:hint="default" w:ascii="Times New Roman" w:hAnsi="Times New Roman" w:eastAsia="宋体" w:cs="Times New Roman"/>
                <w:color w:val="auto"/>
                <w:spacing w:val="0"/>
                <w:position w:val="0"/>
                <w:sz w:val="24"/>
                <w:szCs w:val="24"/>
                <w:u w:val="none" w:color="auto"/>
                <w:lang w:val="en-US" w:eastAsia="zh-CN"/>
              </w:rPr>
              <w:t>m</w:t>
            </w:r>
            <w:r>
              <w:rPr>
                <w:rFonts w:hint="default" w:ascii="Times New Roman" w:hAnsi="Times New Roman" w:eastAsia="宋体" w:cs="Times New Roman"/>
                <w:color w:val="auto"/>
                <w:spacing w:val="0"/>
                <w:position w:val="0"/>
                <w:sz w:val="24"/>
                <w:szCs w:val="24"/>
                <w:u w:val="none" w:color="auto"/>
                <w:vertAlign w:val="superscript"/>
                <w:lang w:val="en-US" w:eastAsia="zh-CN"/>
              </w:rPr>
              <w:t>3</w:t>
            </w:r>
            <w:r>
              <w:rPr>
                <w:rFonts w:hint="default" w:ascii="Times New Roman" w:hAnsi="Times New Roman" w:eastAsia="宋体" w:cs="Times New Roman"/>
                <w:color w:val="auto"/>
                <w:spacing w:val="0"/>
                <w:position w:val="0"/>
                <w:sz w:val="24"/>
                <w:szCs w:val="24"/>
                <w:u w:val="none" w:color="auto"/>
                <w:lang w:val="en-US" w:eastAsia="zh-CN"/>
              </w:rPr>
              <w:t>/a）。</w:t>
            </w:r>
          </w:p>
          <w:p w14:paraId="267AF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pacing w:val="0"/>
                <w:position w:val="0"/>
                <w:sz w:val="24"/>
                <w:szCs w:val="24"/>
                <w:u w:val="none" w:color="auto"/>
                <w:lang w:eastAsia="zh-CN"/>
              </w:rPr>
            </w:pP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cs="Times New Roman"/>
                <w:color w:val="auto"/>
                <w:spacing w:val="0"/>
                <w:position w:val="0"/>
                <w:sz w:val="24"/>
                <w:szCs w:val="24"/>
                <w:u w:val="none" w:color="auto"/>
                <w:lang w:val="en-US" w:eastAsia="zh-CN"/>
              </w:rPr>
              <w:t>2</w:t>
            </w:r>
            <w:r>
              <w:rPr>
                <w:rFonts w:hint="default" w:ascii="Times New Roman" w:hAnsi="Times New Roman" w:cs="Times New Roman"/>
                <w:color w:val="auto"/>
                <w:spacing w:val="0"/>
                <w:position w:val="0"/>
                <w:sz w:val="24"/>
                <w:szCs w:val="24"/>
                <w:u w:val="none" w:color="auto"/>
                <w:lang w:eastAsia="zh-CN"/>
              </w:rPr>
              <w:t>）排水</w:t>
            </w:r>
          </w:p>
          <w:p w14:paraId="6FF01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FF0000"/>
                <w:sz w:val="24"/>
                <w:szCs w:val="24"/>
                <w:highlight w:val="none"/>
                <w:u w:val="none" w:color="auto"/>
                <w:lang w:val="en-US"/>
              </w:rPr>
            </w:pPr>
            <w:r>
              <w:rPr>
                <w:rFonts w:hint="default" w:ascii="Times New Roman" w:hAnsi="Times New Roman" w:eastAsia="宋体" w:cs="Times New Roman"/>
                <w:bCs/>
                <w:color w:val="auto"/>
                <w:spacing w:val="0"/>
                <w:position w:val="0"/>
                <w:sz w:val="24"/>
                <w:szCs w:val="24"/>
                <w:highlight w:val="none"/>
                <w:u w:val="none" w:color="auto"/>
                <w:lang w:eastAsia="zh-CN"/>
              </w:rPr>
              <w:t>本项目</w:t>
            </w:r>
            <w:r>
              <w:rPr>
                <w:rFonts w:hint="eastAsia" w:cs="Times New Roman"/>
                <w:bCs/>
                <w:color w:val="auto"/>
                <w:spacing w:val="0"/>
                <w:position w:val="0"/>
                <w:sz w:val="24"/>
                <w:szCs w:val="24"/>
                <w:highlight w:val="none"/>
                <w:u w:val="none" w:color="auto"/>
                <w:lang w:eastAsia="zh-CN"/>
              </w:rPr>
              <w:t>在现有厂房内进行扩建，</w:t>
            </w:r>
            <w:r>
              <w:rPr>
                <w:rFonts w:hint="eastAsia" w:ascii="Times New Roman" w:hAnsi="Times New Roman" w:eastAsia="宋体" w:cs="Times New Roman"/>
                <w:color w:val="auto"/>
                <w:spacing w:val="0"/>
                <w:position w:val="0"/>
                <w:sz w:val="24"/>
                <w:szCs w:val="24"/>
                <w:u w:val="none" w:color="auto"/>
                <w:lang w:val="en-US" w:eastAsia="zh-CN"/>
              </w:rPr>
              <w:t>本项目</w:t>
            </w:r>
            <w:r>
              <w:rPr>
                <w:rFonts w:hint="default" w:ascii="Times New Roman" w:hAnsi="Times New Roman" w:eastAsia="宋体" w:cs="Times New Roman"/>
                <w:color w:val="auto"/>
                <w:spacing w:val="0"/>
                <w:position w:val="0"/>
                <w:sz w:val="24"/>
                <w:szCs w:val="24"/>
                <w:u w:val="none" w:color="auto"/>
                <w:lang w:val="en-US" w:eastAsia="zh-CN"/>
              </w:rPr>
              <w:t>生活用水量为</w:t>
            </w:r>
            <w:r>
              <w:rPr>
                <w:rFonts w:hint="eastAsia" w:cs="Times New Roman"/>
                <w:color w:val="auto"/>
                <w:spacing w:val="0"/>
                <w:position w:val="0"/>
                <w:sz w:val="24"/>
                <w:szCs w:val="24"/>
                <w:u w:val="none" w:color="auto"/>
                <w:lang w:val="en-US" w:eastAsia="zh-CN"/>
              </w:rPr>
              <w:t>0.5</w:t>
            </w:r>
            <w:r>
              <w:rPr>
                <w:rFonts w:hint="default" w:ascii="Times New Roman" w:hAnsi="Times New Roman" w:cs="Times New Roman"/>
                <w:color w:val="auto"/>
                <w:spacing w:val="0"/>
                <w:position w:val="0"/>
                <w:sz w:val="24"/>
                <w:szCs w:val="24"/>
                <w:u w:val="none" w:color="auto"/>
                <w:lang w:val="en-US" w:eastAsia="zh-CN"/>
              </w:rPr>
              <w:t>m</w:t>
            </w:r>
            <w:r>
              <w:rPr>
                <w:rFonts w:hint="default" w:ascii="Times New Roman" w:hAnsi="Times New Roman" w:eastAsia="宋体" w:cs="Times New Roman"/>
                <w:color w:val="auto"/>
                <w:spacing w:val="0"/>
                <w:position w:val="0"/>
                <w:sz w:val="24"/>
                <w:szCs w:val="24"/>
                <w:u w:val="none" w:color="auto"/>
                <w:vertAlign w:val="superscript"/>
                <w:lang w:val="en-US" w:eastAsia="zh-CN"/>
              </w:rPr>
              <w:t>3</w:t>
            </w:r>
            <w:r>
              <w:rPr>
                <w:rFonts w:hint="default" w:ascii="Times New Roman" w:hAnsi="Times New Roman" w:eastAsia="宋体" w:cs="Times New Roman"/>
                <w:color w:val="auto"/>
                <w:spacing w:val="0"/>
                <w:position w:val="0"/>
                <w:sz w:val="24"/>
                <w:szCs w:val="24"/>
                <w:u w:val="none" w:color="auto"/>
                <w:lang w:val="en-US" w:eastAsia="zh-CN"/>
              </w:rPr>
              <w:t>/d（</w:t>
            </w:r>
            <w:r>
              <w:rPr>
                <w:rFonts w:hint="eastAsia" w:cs="Times New Roman"/>
                <w:color w:val="auto"/>
                <w:spacing w:val="0"/>
                <w:position w:val="0"/>
                <w:sz w:val="24"/>
                <w:szCs w:val="24"/>
                <w:u w:val="none" w:color="auto"/>
                <w:lang w:val="en-US" w:eastAsia="zh-CN"/>
              </w:rPr>
              <w:t>140</w:t>
            </w:r>
            <w:r>
              <w:rPr>
                <w:rFonts w:hint="default" w:ascii="Times New Roman" w:hAnsi="Times New Roman" w:eastAsia="宋体" w:cs="Times New Roman"/>
                <w:color w:val="auto"/>
                <w:spacing w:val="0"/>
                <w:position w:val="0"/>
                <w:sz w:val="24"/>
                <w:szCs w:val="24"/>
                <w:u w:val="none" w:color="auto"/>
                <w:lang w:val="en-US" w:eastAsia="zh-CN"/>
              </w:rPr>
              <w:t>m</w:t>
            </w:r>
            <w:r>
              <w:rPr>
                <w:rFonts w:hint="default" w:ascii="Times New Roman" w:hAnsi="Times New Roman" w:eastAsia="宋体" w:cs="Times New Roman"/>
                <w:color w:val="auto"/>
                <w:spacing w:val="0"/>
                <w:position w:val="0"/>
                <w:sz w:val="24"/>
                <w:szCs w:val="24"/>
                <w:u w:val="none" w:color="auto"/>
                <w:vertAlign w:val="superscript"/>
                <w:lang w:val="en-US" w:eastAsia="zh-CN"/>
              </w:rPr>
              <w:t>3</w:t>
            </w:r>
            <w:r>
              <w:rPr>
                <w:rFonts w:hint="default" w:ascii="Times New Roman" w:hAnsi="Times New Roman" w:eastAsia="宋体" w:cs="Times New Roman"/>
                <w:color w:val="auto"/>
                <w:spacing w:val="0"/>
                <w:position w:val="0"/>
                <w:sz w:val="24"/>
                <w:szCs w:val="24"/>
                <w:u w:val="none" w:color="auto"/>
                <w:lang w:val="en-US" w:eastAsia="zh-CN"/>
              </w:rPr>
              <w:t>/a）</w:t>
            </w:r>
            <w:r>
              <w:rPr>
                <w:rFonts w:hint="default" w:ascii="Times New Roman" w:hAnsi="Times New Roman" w:cs="Times New Roman"/>
                <w:color w:val="auto"/>
                <w:spacing w:val="0"/>
                <w:position w:val="0"/>
                <w:sz w:val="24"/>
                <w:szCs w:val="24"/>
                <w:u w:val="none" w:color="auto"/>
                <w:lang w:eastAsia="zh-CN"/>
              </w:rPr>
              <w:t>，</w:t>
            </w:r>
            <w:r>
              <w:rPr>
                <w:rFonts w:hint="eastAsia" w:cs="Times New Roman"/>
                <w:color w:val="auto"/>
                <w:spacing w:val="0"/>
                <w:position w:val="0"/>
                <w:sz w:val="24"/>
                <w:szCs w:val="24"/>
                <w:u w:val="none" w:color="auto"/>
                <w:lang w:eastAsia="zh-CN"/>
              </w:rPr>
              <w:t>生活污水产生</w:t>
            </w:r>
            <w:r>
              <w:rPr>
                <w:rFonts w:hint="default" w:ascii="Times New Roman" w:hAnsi="Times New Roman" w:cs="Times New Roman"/>
                <w:color w:val="auto"/>
                <w:spacing w:val="0"/>
                <w:position w:val="0"/>
                <w:sz w:val="24"/>
                <w:szCs w:val="24"/>
                <w:u w:val="none" w:color="auto"/>
                <w:lang w:eastAsia="zh-CN"/>
              </w:rPr>
              <w:t>系数按</w:t>
            </w:r>
            <w:r>
              <w:rPr>
                <w:rFonts w:hint="default" w:ascii="Times New Roman" w:hAnsi="Times New Roman" w:cs="Times New Roman"/>
                <w:color w:val="auto"/>
                <w:spacing w:val="0"/>
                <w:position w:val="0"/>
                <w:sz w:val="24"/>
                <w:szCs w:val="24"/>
                <w:u w:val="none" w:color="auto"/>
                <w:lang w:val="en-US" w:eastAsia="zh-CN"/>
              </w:rPr>
              <w:t>0.8计，则生活污水产生量</w:t>
            </w:r>
            <w:r>
              <w:rPr>
                <w:rFonts w:hint="default" w:ascii="Times New Roman" w:hAnsi="Times New Roman" w:cs="Times New Roman"/>
                <w:color w:val="auto"/>
                <w:spacing w:val="0"/>
                <w:position w:val="0"/>
                <w:sz w:val="24"/>
                <w:szCs w:val="24"/>
                <w:highlight w:val="none"/>
                <w:u w:val="none" w:color="auto"/>
                <w:lang w:val="en-US" w:eastAsia="zh-CN"/>
              </w:rPr>
              <w:t>为</w:t>
            </w:r>
            <w:r>
              <w:rPr>
                <w:rFonts w:hint="eastAsia" w:cs="Times New Roman"/>
                <w:color w:val="auto"/>
                <w:spacing w:val="0"/>
                <w:position w:val="0"/>
                <w:sz w:val="24"/>
                <w:szCs w:val="24"/>
                <w:highlight w:val="none"/>
                <w:u w:val="none" w:color="auto"/>
                <w:lang w:val="en-US" w:eastAsia="zh-CN"/>
              </w:rPr>
              <w:t>0.4</w:t>
            </w:r>
            <w:r>
              <w:rPr>
                <w:rFonts w:hint="default" w:ascii="Times New Roman" w:hAnsi="Times New Roman" w:cs="Times New Roman"/>
                <w:color w:val="auto"/>
                <w:spacing w:val="0"/>
                <w:position w:val="0"/>
                <w:sz w:val="24"/>
                <w:szCs w:val="24"/>
                <w:highlight w:val="none"/>
                <w:u w:val="none" w:color="auto"/>
                <w:lang w:val="en-US" w:eastAsia="zh-CN"/>
              </w:rPr>
              <w:t>m</w:t>
            </w:r>
            <w:r>
              <w:rPr>
                <w:rFonts w:hint="default" w:ascii="Times New Roman" w:hAnsi="Times New Roman" w:cs="Times New Roman"/>
                <w:color w:val="auto"/>
                <w:spacing w:val="0"/>
                <w:position w:val="0"/>
                <w:sz w:val="24"/>
                <w:szCs w:val="24"/>
                <w:highlight w:val="none"/>
                <w:u w:val="none" w:color="auto"/>
                <w:vertAlign w:val="superscript"/>
                <w:lang w:val="en-US" w:eastAsia="zh-CN"/>
              </w:rPr>
              <w:t>3</w:t>
            </w:r>
            <w:r>
              <w:rPr>
                <w:rFonts w:hint="default" w:ascii="Times New Roman" w:hAnsi="Times New Roman" w:cs="Times New Roman"/>
                <w:color w:val="auto"/>
                <w:spacing w:val="0"/>
                <w:position w:val="0"/>
                <w:sz w:val="24"/>
                <w:szCs w:val="24"/>
                <w:highlight w:val="none"/>
                <w:u w:val="none" w:color="auto"/>
                <w:lang w:val="en-US" w:eastAsia="zh-CN"/>
              </w:rPr>
              <w:t>/d（</w:t>
            </w:r>
            <w:r>
              <w:rPr>
                <w:rFonts w:hint="eastAsia" w:cs="Times New Roman"/>
                <w:color w:val="auto"/>
                <w:spacing w:val="0"/>
                <w:position w:val="0"/>
                <w:sz w:val="24"/>
                <w:szCs w:val="24"/>
                <w:highlight w:val="none"/>
                <w:u w:val="none" w:color="auto"/>
                <w:lang w:val="en-US" w:eastAsia="zh-CN"/>
              </w:rPr>
              <w:t>112</w:t>
            </w:r>
            <w:r>
              <w:rPr>
                <w:rFonts w:hint="default" w:ascii="Times New Roman" w:hAnsi="Times New Roman" w:cs="Times New Roman"/>
                <w:color w:val="auto"/>
                <w:spacing w:val="0"/>
                <w:position w:val="0"/>
                <w:sz w:val="24"/>
                <w:szCs w:val="24"/>
                <w:highlight w:val="none"/>
                <w:u w:val="none" w:color="auto"/>
                <w:lang w:val="en-US" w:eastAsia="zh-CN"/>
              </w:rPr>
              <w:t>m</w:t>
            </w:r>
            <w:r>
              <w:rPr>
                <w:rFonts w:hint="default" w:ascii="Times New Roman" w:hAnsi="Times New Roman" w:cs="Times New Roman"/>
                <w:color w:val="auto"/>
                <w:spacing w:val="0"/>
                <w:position w:val="0"/>
                <w:sz w:val="24"/>
                <w:szCs w:val="24"/>
                <w:highlight w:val="none"/>
                <w:u w:val="none" w:color="auto"/>
                <w:vertAlign w:val="superscript"/>
                <w:lang w:val="en-US" w:eastAsia="zh-CN"/>
              </w:rPr>
              <w:t>3</w:t>
            </w:r>
            <w:r>
              <w:rPr>
                <w:rFonts w:hint="default" w:ascii="Times New Roman" w:hAnsi="Times New Roman" w:cs="Times New Roman"/>
                <w:color w:val="auto"/>
                <w:spacing w:val="0"/>
                <w:position w:val="0"/>
                <w:sz w:val="24"/>
                <w:szCs w:val="24"/>
                <w:highlight w:val="none"/>
                <w:u w:val="none" w:color="auto"/>
                <w:lang w:val="en-US" w:eastAsia="zh-CN"/>
              </w:rPr>
              <w:t>/a）。</w:t>
            </w:r>
            <w:r>
              <w:rPr>
                <w:rFonts w:hint="default" w:ascii="Times New Roman" w:hAnsi="Times New Roman" w:cs="Times New Roman"/>
                <w:color w:val="auto"/>
                <w:sz w:val="24"/>
                <w:szCs w:val="24"/>
                <w:highlight w:val="none"/>
                <w:u w:val="none" w:color="auto"/>
                <w:lang w:val="en-US" w:eastAsia="zh-CN"/>
              </w:rPr>
              <w:t>新增员工生活污水经现有</w:t>
            </w:r>
            <w:r>
              <w:rPr>
                <w:rFonts w:hint="eastAsia" w:cs="Times New Roman"/>
                <w:color w:val="auto"/>
                <w:sz w:val="24"/>
                <w:szCs w:val="24"/>
                <w:highlight w:val="none"/>
                <w:u w:val="none" w:color="auto"/>
                <w:lang w:val="en-US" w:eastAsia="zh-CN"/>
              </w:rPr>
              <w:t>隔油池、</w:t>
            </w:r>
            <w:r>
              <w:rPr>
                <w:rFonts w:hint="default" w:ascii="Times New Roman" w:hAnsi="Times New Roman" w:cs="Times New Roman"/>
                <w:color w:val="auto"/>
                <w:sz w:val="24"/>
                <w:szCs w:val="24"/>
                <w:highlight w:val="none"/>
                <w:u w:val="none" w:color="auto"/>
                <w:lang w:val="en-US" w:eastAsia="zh-CN"/>
              </w:rPr>
              <w:t>化粪池预处理后</w:t>
            </w:r>
            <w:r>
              <w:rPr>
                <w:rFonts w:hint="eastAsia" w:cs="Times New Roman"/>
                <w:color w:val="auto"/>
                <w:sz w:val="24"/>
                <w:szCs w:val="24"/>
                <w:highlight w:val="none"/>
                <w:u w:val="none" w:color="auto"/>
                <w:lang w:val="en-US" w:eastAsia="zh-CN"/>
              </w:rPr>
              <w:t>，由现有DW001排污口</w:t>
            </w:r>
            <w:r>
              <w:rPr>
                <w:rFonts w:hint="default" w:ascii="Times New Roman" w:hAnsi="Times New Roman" w:cs="Times New Roman"/>
                <w:color w:val="auto"/>
                <w:sz w:val="24"/>
                <w:szCs w:val="24"/>
                <w:highlight w:val="none"/>
                <w:u w:val="none" w:color="auto"/>
                <w:lang w:val="en-US" w:eastAsia="zh-CN"/>
              </w:rPr>
              <w:t>排入</w:t>
            </w:r>
            <w:r>
              <w:rPr>
                <w:rFonts w:hint="eastAsia" w:cs="Times New Roman"/>
                <w:color w:val="auto"/>
                <w:sz w:val="24"/>
                <w:szCs w:val="24"/>
                <w:highlight w:val="none"/>
                <w:u w:val="none" w:color="auto"/>
                <w:lang w:val="en-US" w:eastAsia="zh-CN"/>
              </w:rPr>
              <w:t>市政</w:t>
            </w:r>
            <w:r>
              <w:rPr>
                <w:rFonts w:hint="default" w:ascii="Times New Roman" w:hAnsi="Times New Roman" w:cs="Times New Roman"/>
                <w:color w:val="auto"/>
                <w:sz w:val="24"/>
                <w:szCs w:val="24"/>
                <w:highlight w:val="none"/>
                <w:u w:val="none" w:color="auto"/>
                <w:lang w:val="en-US" w:eastAsia="zh-CN"/>
              </w:rPr>
              <w:t>污水管网，最终进</w:t>
            </w:r>
            <w:r>
              <w:rPr>
                <w:rFonts w:hint="eastAsia"/>
                <w:color w:val="auto"/>
                <w:sz w:val="24"/>
              </w:rPr>
              <w:t>湖南城陵矶临港产业新区污水处理厂</w:t>
            </w:r>
            <w:r>
              <w:rPr>
                <w:rFonts w:hint="default" w:ascii="Times New Roman" w:hAnsi="Times New Roman" w:cs="Times New Roman"/>
                <w:color w:val="auto"/>
                <w:sz w:val="24"/>
                <w:szCs w:val="24"/>
                <w:highlight w:val="none"/>
                <w:u w:val="none" w:color="auto"/>
                <w:lang w:val="en-US" w:eastAsia="zh-CN"/>
              </w:rPr>
              <w:t>深度处理达标外排。</w:t>
            </w:r>
          </w:p>
          <w:p w14:paraId="339236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3）能源</w:t>
            </w:r>
          </w:p>
          <w:p w14:paraId="462560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pacing w:val="0"/>
                <w:position w:val="0"/>
                <w:sz w:val="24"/>
                <w:szCs w:val="24"/>
                <w:u w:val="none" w:color="auto"/>
              </w:rPr>
            </w:pPr>
            <w:r>
              <w:rPr>
                <w:rFonts w:hint="eastAsia" w:cs="Times New Roman"/>
                <w:color w:val="auto"/>
                <w:spacing w:val="0"/>
                <w:position w:val="0"/>
                <w:sz w:val="24"/>
                <w:szCs w:val="24"/>
                <w:u w:val="none" w:color="auto"/>
                <w:lang w:eastAsia="zh-CN"/>
              </w:rPr>
              <w:t>本</w:t>
            </w:r>
            <w:r>
              <w:rPr>
                <w:rFonts w:hint="default" w:ascii="Times New Roman" w:hAnsi="Times New Roman" w:eastAsia="宋体" w:cs="Times New Roman"/>
                <w:color w:val="auto"/>
                <w:spacing w:val="0"/>
                <w:position w:val="0"/>
                <w:sz w:val="24"/>
                <w:szCs w:val="24"/>
                <w:u w:val="none" w:color="auto"/>
              </w:rPr>
              <w:t>项目年用电量约为</w:t>
            </w:r>
            <w:r>
              <w:rPr>
                <w:rFonts w:hint="eastAsia" w:cs="Times New Roman"/>
                <w:color w:val="auto"/>
                <w:spacing w:val="0"/>
                <w:position w:val="0"/>
                <w:sz w:val="24"/>
                <w:szCs w:val="24"/>
                <w:u w:val="none" w:color="auto"/>
                <w:lang w:val="en-US" w:eastAsia="zh-CN"/>
              </w:rPr>
              <w:t>2</w:t>
            </w:r>
            <w:r>
              <w:rPr>
                <w:rFonts w:hint="default" w:ascii="Times New Roman" w:hAnsi="Times New Roman" w:eastAsia="宋体" w:cs="Times New Roman"/>
                <w:color w:val="auto"/>
                <w:spacing w:val="0"/>
                <w:position w:val="0"/>
                <w:sz w:val="24"/>
                <w:szCs w:val="24"/>
                <w:u w:val="none" w:color="auto"/>
              </w:rPr>
              <w:t>万</w:t>
            </w:r>
            <w:r>
              <w:rPr>
                <w:rFonts w:hint="eastAsia" w:cs="Times New Roman"/>
                <w:color w:val="auto"/>
                <w:spacing w:val="0"/>
                <w:position w:val="0"/>
                <w:sz w:val="24"/>
                <w:szCs w:val="24"/>
                <w:u w:val="none" w:color="auto"/>
                <w:lang w:eastAsia="zh-CN"/>
              </w:rPr>
              <w:t>KW</w:t>
            </w:r>
            <w:r>
              <w:rPr>
                <w:rFonts w:hint="eastAsia" w:ascii="微软雅黑" w:hAnsi="微软雅黑" w:eastAsia="微软雅黑" w:cs="微软雅黑"/>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h，用电由园区电网</w:t>
            </w:r>
            <w:r>
              <w:rPr>
                <w:rFonts w:hint="eastAsia" w:cs="Times New Roman"/>
                <w:color w:val="auto"/>
                <w:spacing w:val="0"/>
                <w:position w:val="0"/>
                <w:sz w:val="24"/>
                <w:szCs w:val="24"/>
                <w:u w:val="none" w:color="auto"/>
                <w:lang w:eastAsia="zh-CN"/>
              </w:rPr>
              <w:t>供应</w:t>
            </w:r>
            <w:r>
              <w:rPr>
                <w:rFonts w:hint="default" w:ascii="Times New Roman" w:hAnsi="Times New Roman" w:eastAsia="宋体" w:cs="Times New Roman"/>
                <w:color w:val="auto"/>
                <w:spacing w:val="0"/>
                <w:position w:val="0"/>
                <w:sz w:val="24"/>
                <w:szCs w:val="24"/>
                <w:u w:val="none" w:color="auto"/>
              </w:rPr>
              <w:t>，</w:t>
            </w:r>
            <w:r>
              <w:rPr>
                <w:rFonts w:hint="default" w:ascii="Times New Roman" w:hAnsi="Times New Roman" w:cs="Times New Roman"/>
                <w:color w:val="auto"/>
                <w:sz w:val="24"/>
                <w:szCs w:val="24"/>
                <w:highlight w:val="none"/>
                <w:u w:val="none" w:color="auto"/>
                <w:lang w:val="en-US" w:eastAsia="zh-CN"/>
              </w:rPr>
              <w:t>现有供电设施</w:t>
            </w:r>
            <w:r>
              <w:rPr>
                <w:rFonts w:hint="default" w:ascii="Times New Roman" w:hAnsi="Times New Roman" w:eastAsia="宋体" w:cs="Times New Roman"/>
                <w:color w:val="auto"/>
                <w:spacing w:val="0"/>
                <w:position w:val="0"/>
                <w:sz w:val="24"/>
                <w:szCs w:val="24"/>
                <w:u w:val="none" w:color="auto"/>
              </w:rPr>
              <w:t>可以满足项目用电需求，</w:t>
            </w:r>
            <w:r>
              <w:rPr>
                <w:rFonts w:hint="default" w:ascii="Times New Roman" w:hAnsi="Times New Roman" w:cs="Times New Roman"/>
                <w:color w:val="auto"/>
                <w:spacing w:val="0"/>
                <w:position w:val="0"/>
                <w:sz w:val="24"/>
                <w:szCs w:val="24"/>
                <w:u w:val="none" w:color="auto"/>
                <w:lang w:eastAsia="zh-CN"/>
              </w:rPr>
              <w:t>本项目</w:t>
            </w:r>
            <w:r>
              <w:rPr>
                <w:rFonts w:hint="default" w:ascii="Times New Roman" w:hAnsi="Times New Roman" w:eastAsia="宋体" w:cs="Times New Roman"/>
                <w:color w:val="auto"/>
                <w:spacing w:val="0"/>
                <w:position w:val="0"/>
                <w:sz w:val="24"/>
                <w:szCs w:val="24"/>
                <w:u w:val="none" w:color="auto"/>
              </w:rPr>
              <w:t>无需另外设置发电机作为备用电源。</w:t>
            </w:r>
          </w:p>
          <w:p w14:paraId="396C1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eastAsia" w:cs="Times New Roman"/>
                <w:b/>
                <w:bCs/>
                <w:color w:val="auto"/>
                <w:spacing w:val="0"/>
                <w:position w:val="0"/>
                <w:sz w:val="24"/>
                <w:szCs w:val="24"/>
                <w:u w:val="none" w:color="auto"/>
                <w:lang w:val="en-US" w:eastAsia="zh-CN"/>
              </w:rPr>
              <w:t>10</w:t>
            </w:r>
            <w:r>
              <w:rPr>
                <w:rFonts w:hint="default" w:ascii="Times New Roman" w:hAnsi="Times New Roman" w:eastAsia="宋体" w:cs="Times New Roman"/>
                <w:b/>
                <w:bCs/>
                <w:color w:val="auto"/>
                <w:spacing w:val="0"/>
                <w:position w:val="0"/>
                <w:sz w:val="24"/>
                <w:szCs w:val="24"/>
                <w:u w:val="none" w:color="auto"/>
                <w:lang w:val="en-US" w:eastAsia="zh-CN"/>
              </w:rPr>
              <w:t>、项目平面布置</w:t>
            </w:r>
          </w:p>
          <w:p w14:paraId="79DB6C94">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cs="Times New Roman"/>
                <w:color w:val="auto"/>
                <w:spacing w:val="0"/>
                <w:sz w:val="24"/>
                <w:szCs w:val="24"/>
                <w:u w:val="none"/>
                <w:lang w:eastAsia="zh-CN"/>
              </w:rPr>
            </w:pPr>
            <w:r>
              <w:rPr>
                <w:rFonts w:hint="default" w:ascii="Times New Roman" w:hAnsi="Times New Roman" w:eastAsia="宋体" w:cs="Times New Roman"/>
                <w:bCs/>
                <w:color w:val="auto"/>
                <w:spacing w:val="0"/>
                <w:position w:val="0"/>
                <w:sz w:val="24"/>
                <w:szCs w:val="24"/>
                <w:u w:val="none" w:color="auto"/>
                <w:lang w:val="en-US" w:eastAsia="zh-CN"/>
              </w:rPr>
              <w:t>本项目在现有厂</w:t>
            </w:r>
            <w:r>
              <w:rPr>
                <w:rFonts w:hint="eastAsia" w:cs="Times New Roman"/>
                <w:bCs/>
                <w:color w:val="auto"/>
                <w:spacing w:val="0"/>
                <w:position w:val="0"/>
                <w:sz w:val="24"/>
                <w:szCs w:val="24"/>
                <w:u w:val="none" w:color="auto"/>
                <w:lang w:val="en-US" w:eastAsia="zh-CN"/>
              </w:rPr>
              <w:t>房内</w:t>
            </w:r>
            <w:r>
              <w:rPr>
                <w:rFonts w:hint="default" w:ascii="Times New Roman" w:hAnsi="Times New Roman" w:eastAsia="宋体" w:cs="Times New Roman"/>
                <w:bCs/>
                <w:color w:val="auto"/>
                <w:spacing w:val="0"/>
                <w:position w:val="0"/>
                <w:sz w:val="24"/>
                <w:szCs w:val="24"/>
                <w:u w:val="none" w:color="auto"/>
                <w:lang w:val="en-US" w:eastAsia="zh-CN"/>
              </w:rPr>
              <w:t>进行</w:t>
            </w:r>
            <w:r>
              <w:rPr>
                <w:rFonts w:hint="eastAsia" w:cs="Times New Roman"/>
                <w:bCs/>
                <w:color w:val="auto"/>
                <w:spacing w:val="0"/>
                <w:position w:val="0"/>
                <w:sz w:val="24"/>
                <w:szCs w:val="24"/>
                <w:u w:val="none" w:color="auto"/>
                <w:lang w:val="en-US" w:eastAsia="zh-CN"/>
              </w:rPr>
              <w:t>扩建生产，通过对现有厂区平面布置进行合理调整，以充分利用现有厂房进行扩建生产。</w:t>
            </w:r>
            <w:r>
              <w:rPr>
                <w:rFonts w:hint="eastAsia" w:ascii="Times New Roman" w:hAnsi="Times New Roman" w:eastAsia="宋体" w:cs="Times New Roman"/>
                <w:color w:val="auto"/>
                <w:spacing w:val="0"/>
                <w:sz w:val="24"/>
                <w:szCs w:val="24"/>
                <w:u w:val="none"/>
                <w:lang w:eastAsia="zh-CN"/>
              </w:rPr>
              <w:t>生产厂房</w:t>
            </w:r>
            <w:r>
              <w:rPr>
                <w:rFonts w:hint="default" w:ascii="Times New Roman" w:hAnsi="Times New Roman" w:eastAsia="宋体" w:cs="Times New Roman"/>
                <w:color w:val="auto"/>
                <w:spacing w:val="0"/>
                <w:sz w:val="24"/>
                <w:szCs w:val="24"/>
                <w:u w:val="none"/>
              </w:rPr>
              <w:t>整体呈矩形，该项目在确保工艺流程经济、合理的前提下，力求总平面布置紧凑、生产线路流畅、运输方便。根据各个生产工艺的要求，并按原材料</w:t>
            </w:r>
            <w:r>
              <w:rPr>
                <w:rFonts w:hint="eastAsia" w:ascii="Times New Roman" w:hAnsi="Times New Roman" w:eastAsia="宋体" w:cs="Times New Roman"/>
                <w:color w:val="auto"/>
                <w:spacing w:val="0"/>
                <w:sz w:val="24"/>
                <w:szCs w:val="24"/>
                <w:u w:val="none"/>
                <w:lang w:eastAsia="zh-CN"/>
              </w:rPr>
              <w:t>到</w:t>
            </w:r>
            <w:r>
              <w:rPr>
                <w:rFonts w:hint="default" w:ascii="Times New Roman" w:hAnsi="Times New Roman" w:eastAsia="宋体" w:cs="Times New Roman"/>
                <w:color w:val="auto"/>
                <w:spacing w:val="0"/>
                <w:sz w:val="24"/>
                <w:szCs w:val="24"/>
                <w:u w:val="none"/>
              </w:rPr>
              <w:t>产品流向，构成一个完整的生产体系的原则进行布置。</w:t>
            </w:r>
            <w:r>
              <w:rPr>
                <w:rFonts w:hint="eastAsia" w:cs="Times New Roman"/>
                <w:color w:val="auto"/>
                <w:spacing w:val="0"/>
                <w:sz w:val="24"/>
                <w:szCs w:val="24"/>
                <w:u w:val="none"/>
                <w:lang w:eastAsia="zh-CN"/>
              </w:rPr>
              <w:t>生产</w:t>
            </w:r>
            <w:r>
              <w:rPr>
                <w:rFonts w:hint="eastAsia" w:eastAsia="宋体" w:cs="Times New Roman"/>
                <w:color w:val="auto"/>
                <w:spacing w:val="0"/>
                <w:sz w:val="24"/>
                <w:szCs w:val="24"/>
                <w:u w:val="none"/>
                <w:lang w:eastAsia="zh-CN"/>
              </w:rPr>
              <w:t>厂房按生产工序</w:t>
            </w:r>
            <w:r>
              <w:rPr>
                <w:rFonts w:hint="eastAsia" w:cs="Times New Roman"/>
                <w:color w:val="auto"/>
                <w:spacing w:val="0"/>
                <w:sz w:val="24"/>
                <w:szCs w:val="24"/>
                <w:u w:val="none"/>
                <w:lang w:eastAsia="zh-CN"/>
              </w:rPr>
              <w:t>和产品进行</w:t>
            </w:r>
            <w:r>
              <w:rPr>
                <w:rFonts w:hint="eastAsia" w:eastAsia="宋体" w:cs="Times New Roman"/>
                <w:color w:val="auto"/>
                <w:spacing w:val="0"/>
                <w:sz w:val="24"/>
                <w:szCs w:val="24"/>
                <w:u w:val="none"/>
                <w:lang w:eastAsia="zh-CN"/>
              </w:rPr>
              <w:t>布置，</w:t>
            </w:r>
            <w:r>
              <w:rPr>
                <w:rFonts w:hint="eastAsia" w:cs="Times New Roman"/>
                <w:color w:val="auto"/>
                <w:spacing w:val="0"/>
                <w:sz w:val="24"/>
                <w:szCs w:val="24"/>
                <w:u w:val="none"/>
                <w:lang w:eastAsia="zh-CN"/>
              </w:rPr>
              <w:t>厂房东南侧为散热器制造区，厂区西侧为智能制造区，东北侧主要布置有原材料和成品堆放区。</w:t>
            </w:r>
          </w:p>
          <w:p w14:paraId="6DF5C3AB">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color w:val="auto"/>
                <w:sz w:val="24"/>
                <w:szCs w:val="24"/>
                <w:u w:val="none"/>
                <w:lang w:eastAsia="zh-CN"/>
              </w:rPr>
            </w:pPr>
            <w:r>
              <w:rPr>
                <w:rFonts w:hint="default" w:ascii="Times New Roman" w:hAnsi="Times New Roman" w:eastAsia="宋体" w:cs="Times New Roman"/>
                <w:color w:val="auto"/>
                <w:spacing w:val="0"/>
                <w:sz w:val="24"/>
                <w:szCs w:val="24"/>
                <w:u w:val="none"/>
                <w:lang w:val="en-US" w:eastAsia="zh-CN"/>
              </w:rPr>
              <w:t>本项目</w:t>
            </w:r>
            <w:r>
              <w:rPr>
                <w:rFonts w:hint="default" w:ascii="Times New Roman" w:hAnsi="Times New Roman" w:eastAsia="宋体" w:cs="Times New Roman"/>
                <w:color w:val="auto"/>
                <w:spacing w:val="0"/>
                <w:sz w:val="24"/>
                <w:szCs w:val="24"/>
                <w:u w:val="none"/>
              </w:rPr>
              <w:t>在满足生产工艺、安全防火、卫生采光等有求前提下，适当划分厂区。各区既有明确分区，又保持一定联系。项目</w:t>
            </w:r>
            <w:r>
              <w:rPr>
                <w:rFonts w:hint="eastAsia" w:ascii="Times New Roman" w:hAnsi="Times New Roman" w:eastAsia="宋体" w:cs="Times New Roman"/>
                <w:color w:val="auto"/>
                <w:spacing w:val="0"/>
                <w:sz w:val="24"/>
                <w:szCs w:val="24"/>
                <w:u w:val="none"/>
                <w:lang w:eastAsia="zh-CN"/>
              </w:rPr>
              <w:t>厂房</w:t>
            </w:r>
            <w:r>
              <w:rPr>
                <w:rFonts w:hint="default" w:ascii="Times New Roman" w:hAnsi="Times New Roman" w:eastAsia="宋体" w:cs="Times New Roman"/>
                <w:color w:val="auto"/>
                <w:spacing w:val="0"/>
                <w:sz w:val="24"/>
                <w:szCs w:val="24"/>
                <w:u w:val="none"/>
              </w:rPr>
              <w:t>四周均设置有车行道，与各入口及车间相连保证厂区内物料运输通畅，厂区各建筑间及厂界周边布设绿化带，起净化厂区内空气及美化环境的作用。</w:t>
            </w:r>
          </w:p>
          <w:p w14:paraId="375E9914">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ascii="Times New Roman" w:hAnsi="Times New Roman" w:eastAsia="宋体" w:cs="Times New Roman"/>
                <w:color w:val="auto"/>
                <w:spacing w:val="0"/>
                <w:sz w:val="24"/>
                <w:szCs w:val="24"/>
                <w:u w:val="none"/>
                <w:lang w:eastAsia="zh-CN"/>
              </w:rPr>
            </w:pPr>
            <w:r>
              <w:rPr>
                <w:rFonts w:hint="default" w:ascii="Times New Roman" w:hAnsi="Times New Roman" w:eastAsia="宋体" w:cs="Times New Roman"/>
                <w:color w:val="auto"/>
                <w:spacing w:val="0"/>
                <w:sz w:val="24"/>
                <w:szCs w:val="24"/>
                <w:u w:val="none"/>
              </w:rPr>
              <w:t>总体而言，项目总平面布置紧凑、生产线路流畅</w:t>
            </w:r>
            <w:r>
              <w:rPr>
                <w:rFonts w:hint="eastAsia" w:cs="Times New Roman"/>
                <w:color w:val="auto"/>
                <w:spacing w:val="0"/>
                <w:sz w:val="24"/>
                <w:szCs w:val="24"/>
                <w:u w:val="none"/>
                <w:lang w:eastAsia="zh-CN"/>
              </w:rPr>
              <w:t>、</w:t>
            </w:r>
            <w:r>
              <w:rPr>
                <w:rFonts w:hint="eastAsia" w:cs="Times New Roman"/>
                <w:bCs/>
                <w:color w:val="auto"/>
                <w:spacing w:val="0"/>
                <w:position w:val="0"/>
                <w:sz w:val="24"/>
                <w:szCs w:val="24"/>
                <w:u w:val="none" w:color="auto"/>
                <w:lang w:val="en-US" w:eastAsia="zh-CN"/>
              </w:rPr>
              <w:t>功能分区明显</w:t>
            </w:r>
            <w:r>
              <w:rPr>
                <w:rFonts w:hint="default" w:ascii="Times New Roman" w:hAnsi="Times New Roman" w:eastAsia="宋体" w:cs="Times New Roman"/>
                <w:color w:val="auto"/>
                <w:spacing w:val="0"/>
                <w:sz w:val="24"/>
                <w:szCs w:val="24"/>
                <w:u w:val="none"/>
              </w:rPr>
              <w:t>，该项目平面布置基本合理</w:t>
            </w:r>
            <w:r>
              <w:rPr>
                <w:rFonts w:hint="eastAsia" w:ascii="Times New Roman" w:hAnsi="Times New Roman" w:eastAsia="宋体" w:cs="Times New Roman"/>
                <w:color w:val="auto"/>
                <w:spacing w:val="0"/>
                <w:sz w:val="24"/>
                <w:szCs w:val="24"/>
                <w:u w:val="none"/>
                <w:lang w:eastAsia="zh-CN"/>
              </w:rPr>
              <w:t>。</w:t>
            </w:r>
          </w:p>
          <w:p w14:paraId="76A771F2">
            <w:pPr>
              <w:pStyle w:val="43"/>
              <w:rPr>
                <w:rFonts w:hint="eastAsia" w:ascii="Times New Roman" w:hAnsi="Times New Roman" w:eastAsia="宋体" w:cs="Times New Roman"/>
                <w:color w:val="auto"/>
                <w:spacing w:val="0"/>
                <w:sz w:val="24"/>
                <w:szCs w:val="24"/>
                <w:u w:val="none"/>
                <w:lang w:eastAsia="zh-CN"/>
              </w:rPr>
            </w:pPr>
          </w:p>
          <w:p w14:paraId="45D540EA">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4A480ECC">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199C3389">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0C888B59">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67C8C6F2">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224C5897">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331997CA">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35356843">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40D2015B">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309E8E24">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6B4FBC56">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44546DC3">
            <w:pPr>
              <w:pStyle w:val="12"/>
              <w:keepNext w:val="0"/>
              <w:keepLines w:val="0"/>
              <w:suppressLineNumbers w:val="0"/>
              <w:spacing w:before="0" w:beforeAutospacing="0" w:after="0" w:afterAutospacing="0"/>
              <w:ind w:left="0" w:right="0"/>
              <w:rPr>
                <w:rFonts w:hint="eastAsia" w:ascii="Times New Roman" w:hAnsi="Times New Roman" w:eastAsia="宋体" w:cs="Times New Roman"/>
                <w:color w:val="auto"/>
                <w:spacing w:val="0"/>
                <w:sz w:val="24"/>
                <w:szCs w:val="24"/>
                <w:u w:val="none"/>
                <w:lang w:eastAsia="zh-CN"/>
              </w:rPr>
            </w:pPr>
          </w:p>
          <w:p w14:paraId="21D09B5D">
            <w:pPr>
              <w:keepNext w:val="0"/>
              <w:keepLines w:val="0"/>
              <w:suppressLineNumbers w:val="0"/>
              <w:spacing w:before="0" w:beforeAutospacing="0" w:after="0" w:afterAutospacing="0"/>
              <w:ind w:left="0" w:right="0"/>
              <w:rPr>
                <w:rFonts w:hint="default" w:ascii="Times New Roman" w:hAnsi="Times New Roman" w:eastAsia="宋体" w:cs="Times New Roman"/>
                <w:bCs/>
                <w:color w:val="auto"/>
                <w:spacing w:val="0"/>
                <w:position w:val="0"/>
                <w:sz w:val="24"/>
                <w:szCs w:val="24"/>
                <w:u w:val="none" w:color="auto"/>
                <w:lang w:val="en-US" w:eastAsia="zh-CN"/>
              </w:rPr>
            </w:pPr>
          </w:p>
          <w:p w14:paraId="599FC0DF">
            <w:pPr>
              <w:pStyle w:val="43"/>
              <w:rPr>
                <w:rFonts w:hint="default"/>
                <w:lang w:val="en-US" w:eastAsia="zh-CN"/>
              </w:rPr>
            </w:pPr>
          </w:p>
        </w:tc>
      </w:tr>
      <w:tr w14:paraId="68B88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227" w:type="pct"/>
            <w:noWrap w:val="0"/>
            <w:vAlign w:val="center"/>
          </w:tcPr>
          <w:p w14:paraId="4E44C4C7">
            <w:pPr>
              <w:pStyle w:val="34"/>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工艺流程和产排污环节</w:t>
            </w:r>
          </w:p>
        </w:tc>
        <w:tc>
          <w:tcPr>
            <w:tcW w:w="4772" w:type="pct"/>
            <w:noWrap w:val="0"/>
            <w:vAlign w:val="top"/>
          </w:tcPr>
          <w:p w14:paraId="41E6D478">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9"/>
              <w:rPr>
                <w:rFonts w:hint="eastAsia" w:cs="Times New Roman"/>
                <w:b/>
                <w:bCs/>
                <w:color w:val="000000" w:themeColor="text1"/>
                <w:spacing w:val="0"/>
                <w:position w:val="0"/>
                <w:sz w:val="24"/>
                <w:szCs w:val="24"/>
                <w:u w:val="none" w:color="auto"/>
                <w:lang w:val="en-US" w:eastAsia="zh-CN"/>
                <w14:textFill>
                  <w14:solidFill>
                    <w14:schemeClr w14:val="tx1"/>
                  </w14:solidFill>
                </w14:textFill>
              </w:rPr>
            </w:pP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钢结构</w:t>
            </w: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工艺流程</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 xml:space="preserve">及产污环节 </w:t>
            </w:r>
          </w:p>
          <w:p w14:paraId="6C6469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1470" w:firstLineChars="700"/>
              <w:jc w:val="left"/>
              <w:textAlignment w:val="auto"/>
              <w:outlineLvl w:val="9"/>
              <w:rPr>
                <w:rFonts w:hint="default"/>
                <w:color w:val="000000" w:themeColor="text1"/>
                <w:u w:val="none" w:color="auto"/>
                <w:lang w:eastAsia="zh-CN"/>
                <w14:textFill>
                  <w14:solidFill>
                    <w14:schemeClr w14:val="tx1"/>
                  </w14:solidFill>
                </w14:textFill>
              </w:rPr>
            </w:pPr>
            <w:r>
              <w:rPr>
                <w:rFonts w:hint="default"/>
                <w:color w:val="000000" w:themeColor="text1"/>
                <w:u w:val="none" w:color="auto"/>
                <w:lang w:eastAsia="zh-CN"/>
                <w14:textFill>
                  <w14:solidFill>
                    <w14:schemeClr w14:val="tx1"/>
                  </w14:solidFill>
                </w14:textFill>
              </w:rPr>
              <w:object>
                <v:shape id="_x0000_i1025" o:spt="75" type="#_x0000_t75" style="height:586.75pt;width:289.3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p>
          <w:p w14:paraId="5E86A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center"/>
              <w:textAlignment w:val="auto"/>
              <w:outlineLvl w:val="9"/>
              <w:rPr>
                <w:rFonts w:hint="default"/>
                <w:color w:val="000000" w:themeColor="text1"/>
                <w:u w:val="none" w:color="auto"/>
                <w:lang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图2-</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 xml:space="preserve">  </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钢结构</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生产工艺流程及产污环节示意图</w:t>
            </w:r>
          </w:p>
          <w:p w14:paraId="1147A3DE">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钢</w:t>
            </w:r>
            <w:r>
              <w:rPr>
                <w:rFonts w:hint="eastAsia" w:ascii="Times New Roman" w:hAnsi="Times New Roman" w:eastAsia="宋体" w:cs="Times New Roman"/>
                <w:color w:val="auto"/>
                <w:highlight w:val="none"/>
                <w:lang w:eastAsia="zh-CN"/>
              </w:rPr>
              <w:t>结构</w:t>
            </w:r>
            <w:r>
              <w:rPr>
                <w:rFonts w:hint="default" w:ascii="Times New Roman" w:hAnsi="Times New Roman" w:eastAsia="宋体" w:cs="Times New Roman"/>
                <w:color w:val="auto"/>
                <w:highlight w:val="none"/>
              </w:rPr>
              <w:t>主要生产工艺流程</w:t>
            </w:r>
            <w:r>
              <w:rPr>
                <w:rFonts w:hint="eastAsia" w:ascii="Times New Roman" w:hAnsi="Times New Roman" w:eastAsia="宋体" w:cs="Times New Roman"/>
                <w:color w:val="auto"/>
                <w:highlight w:val="none"/>
                <w:lang w:eastAsia="zh-CN"/>
              </w:rPr>
              <w:t>简述：</w:t>
            </w:r>
          </w:p>
          <w:p w14:paraId="5B032D81">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①</w:t>
            </w:r>
            <w:r>
              <w:rPr>
                <w:rFonts w:hint="eastAsia" w:ascii="Times New Roman" w:hAnsi="Times New Roman" w:eastAsia="宋体" w:cs="Times New Roman"/>
                <w:color w:val="auto"/>
                <w:sz w:val="24"/>
                <w:highlight w:val="none"/>
                <w:lang w:eastAsia="zh-CN"/>
              </w:rPr>
              <w:t>抛丸</w:t>
            </w:r>
            <w:r>
              <w:rPr>
                <w:rFonts w:hint="eastAsia" w:ascii="Times New Roman" w:hAnsi="Times New Roman" w:eastAsia="宋体" w:cs="Times New Roman"/>
                <w:b w:val="0"/>
                <w:bCs w:val="0"/>
                <w:color w:val="auto"/>
                <w:spacing w:val="0"/>
                <w:sz w:val="24"/>
                <w:szCs w:val="24"/>
                <w:u w:val="none"/>
                <w:lang w:val="en-US" w:eastAsia="zh-CN"/>
              </w:rPr>
              <w:t>除锈：外购的型材、钢材等原材料利用抛丸机进行抛丸除锈。抛丸是一种机械表面冷处理工艺，利用高速运动的弹丸流连续冲击工件表面，以去除工件表面的铁锈、氧化皮、污物等，使工件的表面获得一定的清洁度和不同的粗糙度，使工件表面的机械性能得到改善，提高工件的抗疲劳性，增加和涂层之间的附着力，延长了涂膜的耐久性，也有利于涂料的流平和装饰</w:t>
            </w:r>
            <w:r>
              <w:rPr>
                <w:rFonts w:hint="default" w:ascii="Times New Roman" w:hAnsi="Times New Roman" w:eastAsia="宋体" w:cs="Times New Roman"/>
                <w:color w:val="auto"/>
                <w:sz w:val="24"/>
                <w:highlight w:val="none"/>
              </w:rPr>
              <w:t>。此</w:t>
            </w:r>
            <w:r>
              <w:rPr>
                <w:rFonts w:hint="eastAsia" w:ascii="Times New Roman" w:hAnsi="Times New Roman" w:eastAsia="宋体" w:cs="Times New Roman"/>
                <w:color w:val="auto"/>
                <w:sz w:val="24"/>
                <w:highlight w:val="none"/>
                <w:lang w:eastAsia="zh-CN"/>
              </w:rPr>
              <w:t>工序主要</w:t>
            </w:r>
            <w:r>
              <w:rPr>
                <w:rFonts w:hint="default" w:ascii="Times New Roman" w:hAnsi="Times New Roman" w:eastAsia="宋体" w:cs="Times New Roman"/>
                <w:color w:val="auto"/>
                <w:sz w:val="24"/>
                <w:highlight w:val="none"/>
              </w:rPr>
              <w:t>产生抛丸</w:t>
            </w:r>
            <w:r>
              <w:rPr>
                <w:rFonts w:hint="eastAsia" w:ascii="Times New Roman" w:hAnsi="Times New Roman" w:eastAsia="宋体" w:cs="Times New Roman"/>
                <w:color w:val="auto"/>
                <w:sz w:val="24"/>
                <w:highlight w:val="none"/>
                <w:lang w:eastAsia="zh-CN"/>
              </w:rPr>
              <w:t>粉尘</w:t>
            </w:r>
            <w:r>
              <w:rPr>
                <w:rFonts w:hint="default" w:ascii="Times New Roman" w:hAnsi="Times New Roman" w:eastAsia="宋体" w:cs="Times New Roman"/>
                <w:color w:val="auto"/>
                <w:sz w:val="24"/>
                <w:highlight w:val="none"/>
              </w:rPr>
              <w:t>、噪声。</w:t>
            </w:r>
          </w:p>
          <w:p w14:paraId="348C369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②</w:t>
            </w:r>
            <w:r>
              <w:rPr>
                <w:rFonts w:hint="eastAsia" w:ascii="Times New Roman" w:hAnsi="Times New Roman" w:eastAsia="宋体" w:cs="Times New Roman"/>
                <w:color w:val="auto"/>
                <w:sz w:val="24"/>
                <w:szCs w:val="24"/>
                <w:highlight w:val="none"/>
                <w:lang w:eastAsia="zh-CN"/>
              </w:rPr>
              <w:t>下料：</w:t>
            </w:r>
            <w:r>
              <w:rPr>
                <w:rFonts w:hint="default" w:ascii="Times New Roman" w:hAnsi="Times New Roman" w:eastAsia="宋体" w:cs="Times New Roman"/>
                <w:color w:val="auto"/>
                <w:sz w:val="24"/>
                <w:highlight w:val="none"/>
              </w:rPr>
              <w:t>根据制图要求和构件尺寸，使用</w:t>
            </w:r>
            <w:r>
              <w:rPr>
                <w:rFonts w:hint="eastAsia" w:ascii="Times New Roman" w:hAnsi="Times New Roman" w:eastAsia="宋体" w:cs="Times New Roman"/>
                <w:color w:val="auto"/>
                <w:sz w:val="24"/>
                <w:highlight w:val="none"/>
              </w:rPr>
              <w:t>激光</w:t>
            </w:r>
            <w:r>
              <w:rPr>
                <w:rFonts w:hint="default" w:ascii="Times New Roman" w:hAnsi="Times New Roman" w:eastAsia="宋体" w:cs="Times New Roman"/>
                <w:color w:val="auto"/>
                <w:sz w:val="24"/>
                <w:highlight w:val="none"/>
              </w:rPr>
              <w:t>切割</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等离子切割、氧割等</w:t>
            </w:r>
            <w:r>
              <w:rPr>
                <w:rFonts w:hint="default" w:ascii="Times New Roman" w:hAnsi="Times New Roman" w:eastAsia="宋体" w:cs="Times New Roman"/>
                <w:color w:val="auto"/>
                <w:sz w:val="24"/>
                <w:highlight w:val="none"/>
              </w:rPr>
              <w:t>方法将原材料</w:t>
            </w:r>
            <w:r>
              <w:rPr>
                <w:rFonts w:hint="eastAsia" w:ascii="Times New Roman" w:hAnsi="Times New Roman" w:eastAsia="宋体" w:cs="Times New Roman"/>
                <w:color w:val="auto"/>
                <w:sz w:val="24"/>
                <w:highlight w:val="none"/>
              </w:rPr>
              <w:t>钢板、次构件（小件次构件，如</w:t>
            </w:r>
            <w:r>
              <w:rPr>
                <w:rFonts w:hint="eastAsia" w:ascii="Times New Roman" w:hAnsi="Times New Roman" w:eastAsia="宋体" w:cs="Times New Roman"/>
                <w:color w:val="auto"/>
                <w:sz w:val="24"/>
                <w:highlight w:val="none"/>
                <w:lang w:eastAsia="zh-CN"/>
              </w:rPr>
              <w:t>槽</w:t>
            </w:r>
            <w:r>
              <w:rPr>
                <w:rFonts w:hint="eastAsia" w:ascii="Times New Roman" w:hAnsi="Times New Roman" w:eastAsia="宋体" w:cs="Times New Roman"/>
                <w:color w:val="auto"/>
                <w:sz w:val="24"/>
                <w:highlight w:val="none"/>
              </w:rPr>
              <w:t>钢、角钢、</w:t>
            </w:r>
            <w:r>
              <w:rPr>
                <w:rFonts w:hint="eastAsia" w:ascii="Times New Roman" w:hAnsi="Times New Roman" w:eastAsia="宋体" w:cs="Times New Roman"/>
                <w:color w:val="auto"/>
                <w:sz w:val="24"/>
                <w:highlight w:val="none"/>
                <w:lang w:eastAsia="zh-CN"/>
              </w:rPr>
              <w:t>工字钢、</w:t>
            </w:r>
            <w:r>
              <w:rPr>
                <w:rFonts w:hint="eastAsia" w:ascii="Times New Roman" w:hAnsi="Times New Roman" w:eastAsia="宋体" w:cs="Times New Roman"/>
                <w:color w:val="auto"/>
                <w:sz w:val="24"/>
                <w:highlight w:val="none"/>
              </w:rPr>
              <w:t>圆</w:t>
            </w:r>
            <w:r>
              <w:rPr>
                <w:rFonts w:hint="eastAsia" w:ascii="Times New Roman" w:hAnsi="Times New Roman" w:eastAsia="宋体" w:cs="Times New Roman"/>
                <w:color w:val="auto"/>
                <w:sz w:val="24"/>
                <w:highlight w:val="none"/>
                <w:lang w:eastAsia="zh-CN"/>
              </w:rPr>
              <w:t>钢</w:t>
            </w:r>
            <w:r>
              <w:rPr>
                <w:rFonts w:hint="eastAsia" w:ascii="Times New Roman" w:hAnsi="Times New Roman" w:eastAsia="宋体" w:cs="Times New Roman"/>
                <w:color w:val="auto"/>
                <w:sz w:val="24"/>
                <w:highlight w:val="none"/>
              </w:rPr>
              <w:t>、H型钢等）</w:t>
            </w:r>
            <w:r>
              <w:rPr>
                <w:rFonts w:hint="default" w:ascii="Times New Roman" w:hAnsi="Times New Roman" w:eastAsia="宋体" w:cs="Times New Roman"/>
                <w:color w:val="auto"/>
                <w:sz w:val="24"/>
                <w:highlight w:val="none"/>
              </w:rPr>
              <w:t>进行切割下料。此工序</w:t>
            </w:r>
            <w:r>
              <w:rPr>
                <w:rFonts w:hint="eastAsia" w:ascii="Times New Roman" w:hAnsi="Times New Roman" w:eastAsia="宋体" w:cs="Times New Roman"/>
                <w:color w:val="auto"/>
                <w:sz w:val="24"/>
                <w:highlight w:val="none"/>
                <w:lang w:eastAsia="zh-CN"/>
              </w:rPr>
              <w:t>主要</w:t>
            </w:r>
            <w:r>
              <w:rPr>
                <w:rFonts w:hint="default" w:ascii="Times New Roman" w:hAnsi="Times New Roman" w:eastAsia="宋体" w:cs="Times New Roman"/>
                <w:color w:val="auto"/>
                <w:sz w:val="24"/>
                <w:highlight w:val="none"/>
              </w:rPr>
              <w:t>产生</w:t>
            </w:r>
            <w:r>
              <w:rPr>
                <w:rFonts w:hint="eastAsia" w:ascii="Times New Roman" w:hAnsi="Times New Roman" w:eastAsia="宋体" w:cs="Times New Roman"/>
                <w:color w:val="auto"/>
                <w:sz w:val="24"/>
                <w:highlight w:val="none"/>
              </w:rPr>
              <w:t>金属碎屑和边角料</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切割</w:t>
            </w:r>
            <w:r>
              <w:rPr>
                <w:rFonts w:hint="eastAsia" w:ascii="Times New Roman" w:hAnsi="Times New Roman" w:eastAsia="宋体" w:cs="Times New Roman"/>
                <w:color w:val="auto"/>
                <w:sz w:val="24"/>
                <w:highlight w:val="none"/>
                <w:lang w:eastAsia="zh-CN"/>
              </w:rPr>
              <w:t>粉尘和</w:t>
            </w:r>
            <w:r>
              <w:rPr>
                <w:rFonts w:hint="default" w:ascii="Times New Roman" w:hAnsi="Times New Roman" w:eastAsia="宋体" w:cs="Times New Roman"/>
                <w:color w:val="auto"/>
                <w:sz w:val="24"/>
                <w:highlight w:val="none"/>
              </w:rPr>
              <w:t>噪声。</w:t>
            </w:r>
          </w:p>
          <w:p w14:paraId="440D5394">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val="0"/>
                <w:color w:val="auto"/>
                <w:spacing w:val="0"/>
                <w:sz w:val="24"/>
                <w:szCs w:val="24"/>
                <w:u w:val="none"/>
                <w:lang w:val="en-US" w:eastAsia="zh-CN"/>
              </w:rPr>
            </w:pPr>
            <w:r>
              <w:rPr>
                <w:rFonts w:hint="default" w:ascii="Times New Roman" w:hAnsi="Times New Roman" w:eastAsia="宋体" w:cs="Times New Roman"/>
                <w:color w:val="auto"/>
                <w:sz w:val="24"/>
                <w:szCs w:val="24"/>
                <w:highlight w:val="none"/>
              </w:rPr>
              <w:t>③</w:t>
            </w:r>
            <w:r>
              <w:rPr>
                <w:rFonts w:hint="eastAsia" w:cs="Times New Roman"/>
                <w:b w:val="0"/>
                <w:bCs w:val="0"/>
                <w:color w:val="auto"/>
                <w:spacing w:val="0"/>
                <w:sz w:val="24"/>
                <w:szCs w:val="24"/>
                <w:u w:val="none"/>
                <w:lang w:val="en-US" w:eastAsia="zh-CN"/>
              </w:rPr>
              <w:t>矫直制孔：</w:t>
            </w:r>
            <w:r>
              <w:rPr>
                <w:rFonts w:hint="eastAsia" w:ascii="Times New Roman" w:hAnsi="Times New Roman" w:eastAsia="宋体" w:cs="Times New Roman"/>
                <w:color w:val="auto"/>
                <w:sz w:val="24"/>
                <w:szCs w:val="24"/>
                <w:highlight w:val="none"/>
              </w:rPr>
              <w:t>对</w:t>
            </w:r>
            <w:r>
              <w:rPr>
                <w:rFonts w:hint="eastAsia" w:ascii="Times New Roman" w:hAnsi="Times New Roman" w:eastAsia="宋体" w:cs="Times New Roman"/>
                <w:color w:val="auto"/>
                <w:sz w:val="24"/>
                <w:szCs w:val="24"/>
                <w:highlight w:val="none"/>
                <w:lang w:eastAsia="zh-CN"/>
              </w:rPr>
              <w:t>下料后</w:t>
            </w:r>
            <w:r>
              <w:rPr>
                <w:rFonts w:hint="eastAsia" w:ascii="Times New Roman" w:hAnsi="Times New Roman" w:eastAsia="宋体" w:cs="Times New Roman"/>
                <w:color w:val="auto"/>
                <w:sz w:val="24"/>
                <w:szCs w:val="24"/>
                <w:highlight w:val="none"/>
              </w:rPr>
              <w:t>的钢材进行</w:t>
            </w:r>
            <w:r>
              <w:rPr>
                <w:rFonts w:hint="default" w:ascii="Times New Roman" w:hAnsi="Times New Roman" w:eastAsia="宋体" w:cs="Times New Roman"/>
                <w:color w:val="auto"/>
                <w:sz w:val="24"/>
                <w:szCs w:val="24"/>
                <w:highlight w:val="none"/>
              </w:rPr>
              <w:t>边缘加工、弯制成形、矫正</w:t>
            </w:r>
            <w:r>
              <w:rPr>
                <w:rFonts w:hint="eastAsia" w:ascii="Times New Roman" w:hAnsi="Times New Roman" w:eastAsia="宋体" w:cs="Times New Roman"/>
                <w:color w:val="auto"/>
                <w:sz w:val="24"/>
                <w:szCs w:val="24"/>
                <w:highlight w:val="none"/>
              </w:rPr>
              <w:t>处理</w:t>
            </w:r>
            <w:r>
              <w:rPr>
                <w:rFonts w:hint="eastAsia" w:ascii="Times New Roman" w:hAnsi="Times New Roman" w:eastAsia="宋体" w:cs="Times New Roman"/>
                <w:color w:val="auto"/>
                <w:sz w:val="24"/>
                <w:szCs w:val="24"/>
                <w:highlight w:val="none"/>
                <w:lang w:eastAsia="zh-CN"/>
              </w:rPr>
              <w:t>，同时采用钻床按图纸进行钻孔。</w:t>
            </w:r>
            <w:r>
              <w:rPr>
                <w:rFonts w:hint="default" w:ascii="Times New Roman" w:hAnsi="Times New Roman" w:eastAsia="宋体" w:cs="Times New Roman"/>
                <w:color w:val="auto"/>
                <w:sz w:val="24"/>
                <w:highlight w:val="none"/>
              </w:rPr>
              <w:t>此工序</w:t>
            </w:r>
            <w:r>
              <w:rPr>
                <w:rFonts w:hint="eastAsia" w:ascii="Times New Roman" w:hAnsi="Times New Roman" w:eastAsia="宋体" w:cs="Times New Roman"/>
                <w:color w:val="auto"/>
                <w:sz w:val="24"/>
                <w:highlight w:val="none"/>
                <w:lang w:eastAsia="zh-CN"/>
              </w:rPr>
              <w:t>主要</w:t>
            </w:r>
            <w:r>
              <w:rPr>
                <w:rFonts w:hint="default" w:ascii="Times New Roman" w:hAnsi="Times New Roman" w:eastAsia="宋体" w:cs="Times New Roman"/>
                <w:color w:val="auto"/>
                <w:sz w:val="24"/>
                <w:highlight w:val="none"/>
              </w:rPr>
              <w:t>产生</w:t>
            </w:r>
            <w:r>
              <w:rPr>
                <w:rFonts w:hint="eastAsia" w:ascii="Times New Roman" w:hAnsi="Times New Roman" w:eastAsia="宋体" w:cs="Times New Roman"/>
                <w:color w:val="auto"/>
                <w:sz w:val="24"/>
                <w:highlight w:val="none"/>
              </w:rPr>
              <w:t>金属碎屑和边角料</w:t>
            </w:r>
            <w:r>
              <w:rPr>
                <w:rFonts w:hint="eastAsia" w:ascii="Times New Roman" w:hAnsi="Times New Roman" w:eastAsia="宋体" w:cs="Times New Roman"/>
                <w:color w:val="auto"/>
                <w:sz w:val="24"/>
                <w:highlight w:val="none"/>
                <w:lang w:eastAsia="zh-CN"/>
              </w:rPr>
              <w:t>和</w:t>
            </w:r>
            <w:r>
              <w:rPr>
                <w:rFonts w:hint="default" w:ascii="Times New Roman" w:hAnsi="Times New Roman" w:eastAsia="宋体" w:cs="Times New Roman"/>
                <w:color w:val="auto"/>
                <w:sz w:val="24"/>
                <w:highlight w:val="none"/>
              </w:rPr>
              <w:t>噪声。</w:t>
            </w:r>
          </w:p>
          <w:p w14:paraId="1CD3245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eastAsia" w:ascii="Times New Roman" w:hAnsi="Times New Roman" w:eastAsia="宋体" w:cs="Times New Roman"/>
                <w:b w:val="0"/>
                <w:bCs w:val="0"/>
                <w:color w:val="auto"/>
                <w:spacing w:val="0"/>
                <w:sz w:val="24"/>
                <w:szCs w:val="24"/>
                <w:u w:val="none"/>
                <w:lang w:val="en-US" w:eastAsia="zh-CN"/>
              </w:rPr>
              <w:t>④</w:t>
            </w:r>
            <w:r>
              <w:rPr>
                <w:rFonts w:hint="eastAsia" w:cs="Times New Roman"/>
                <w:b w:val="0"/>
                <w:bCs w:val="0"/>
                <w:color w:val="auto"/>
                <w:spacing w:val="0"/>
                <w:sz w:val="24"/>
                <w:szCs w:val="24"/>
                <w:u w:val="none"/>
                <w:lang w:val="en-US" w:eastAsia="zh-CN"/>
              </w:rPr>
              <w:t>坡口加工：</w:t>
            </w:r>
            <w:r>
              <w:rPr>
                <w:rFonts w:hint="eastAsia" w:ascii="Times New Roman" w:hAnsi="Times New Roman" w:eastAsia="宋体" w:cs="Times New Roman"/>
                <w:color w:val="auto"/>
                <w:kern w:val="2"/>
                <w:sz w:val="24"/>
                <w:szCs w:val="24"/>
                <w:highlight w:val="none"/>
                <w:lang w:val="en-US" w:eastAsia="zh-CN" w:bidi="ar-SA"/>
              </w:rPr>
              <w:t>坡口是指焊件的待焊部位加工并装配成的一定几何形状的沟槽。</w:t>
            </w:r>
            <w:r>
              <w:rPr>
                <w:rFonts w:hint="default" w:ascii="Times New Roman" w:hAnsi="Times New Roman" w:eastAsia="宋体" w:cs="Times New Roman"/>
                <w:color w:val="auto"/>
                <w:kern w:val="2"/>
                <w:sz w:val="24"/>
                <w:szCs w:val="24"/>
                <w:highlight w:val="none"/>
                <w:lang w:val="en-US" w:eastAsia="zh-CN" w:bidi="ar-SA"/>
              </w:rPr>
              <w:t>坡口是主要为了焊接工件，保证焊接度，普通情况下用机加工方法加工出的型面，要求不高时也可以气割。</w:t>
            </w:r>
            <w:r>
              <w:rPr>
                <w:rFonts w:hint="eastAsia" w:ascii="Times New Roman" w:hAnsi="Times New Roman" w:eastAsia="宋体" w:cs="Times New Roman"/>
                <w:color w:val="auto"/>
                <w:kern w:val="2"/>
                <w:sz w:val="24"/>
                <w:szCs w:val="24"/>
                <w:highlight w:val="none"/>
                <w:lang w:val="en-US" w:eastAsia="zh-CN" w:bidi="ar-SA"/>
              </w:rPr>
              <w:t>经下料钻孔后的原料，按照设计图纸进行坡口加工。此工序</w:t>
            </w:r>
            <w:r>
              <w:rPr>
                <w:rFonts w:hint="eastAsia" w:ascii="Times New Roman" w:hAnsi="Times New Roman" w:eastAsia="宋体" w:cs="Times New Roman"/>
                <w:color w:val="auto"/>
                <w:sz w:val="24"/>
                <w:highlight w:val="none"/>
                <w:lang w:eastAsia="zh-CN"/>
              </w:rPr>
              <w:t>主要</w:t>
            </w:r>
            <w:r>
              <w:rPr>
                <w:rFonts w:hint="default" w:ascii="Times New Roman" w:hAnsi="Times New Roman" w:eastAsia="宋体" w:cs="Times New Roman"/>
                <w:color w:val="auto"/>
                <w:sz w:val="24"/>
                <w:highlight w:val="none"/>
              </w:rPr>
              <w:t>产生</w:t>
            </w:r>
            <w:r>
              <w:rPr>
                <w:rFonts w:hint="eastAsia" w:ascii="Times New Roman" w:hAnsi="Times New Roman" w:eastAsia="宋体" w:cs="Times New Roman"/>
                <w:color w:val="auto"/>
                <w:sz w:val="24"/>
                <w:highlight w:val="none"/>
              </w:rPr>
              <w:t>金属碎屑和边角料</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噪声。</w:t>
            </w:r>
          </w:p>
          <w:p w14:paraId="3547A70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⑤</w:t>
            </w:r>
            <w:r>
              <w:rPr>
                <w:rFonts w:hint="eastAsia" w:ascii="Times New Roman" w:hAnsi="Times New Roman" w:eastAsia="宋体" w:cs="Times New Roman"/>
                <w:color w:val="auto"/>
                <w:sz w:val="24"/>
                <w:szCs w:val="24"/>
                <w:highlight w:val="none"/>
                <w:lang w:eastAsia="zh-CN"/>
              </w:rPr>
              <w:t>组对点焊：</w:t>
            </w:r>
            <w:r>
              <w:rPr>
                <w:rFonts w:hint="default" w:ascii="Times New Roman" w:hAnsi="Times New Roman" w:eastAsia="宋体" w:cs="Times New Roman"/>
                <w:color w:val="auto"/>
                <w:sz w:val="24"/>
                <w:szCs w:val="24"/>
                <w:highlight w:val="none"/>
              </w:rPr>
              <w:t>组</w:t>
            </w:r>
            <w:r>
              <w:rPr>
                <w:rFonts w:hint="eastAsia" w:ascii="Times New Roman" w:hAnsi="Times New Roman" w:eastAsia="宋体" w:cs="Times New Roman"/>
                <w:color w:val="auto"/>
                <w:sz w:val="24"/>
                <w:szCs w:val="24"/>
                <w:highlight w:val="none"/>
                <w:lang w:eastAsia="zh-CN"/>
              </w:rPr>
              <w:t>对点焊</w:t>
            </w:r>
            <w:r>
              <w:rPr>
                <w:rFonts w:hint="default" w:ascii="Times New Roman" w:hAnsi="Times New Roman" w:eastAsia="宋体" w:cs="Times New Roman"/>
                <w:color w:val="auto"/>
                <w:sz w:val="24"/>
                <w:szCs w:val="24"/>
                <w:highlight w:val="none"/>
              </w:rPr>
              <w:t>在</w:t>
            </w:r>
            <w:r>
              <w:rPr>
                <w:rFonts w:hint="eastAsia" w:ascii="Times New Roman" w:hAnsi="Times New Roman" w:eastAsia="宋体" w:cs="Times New Roman"/>
                <w:color w:val="auto"/>
                <w:sz w:val="24"/>
                <w:szCs w:val="24"/>
                <w:highlight w:val="none"/>
                <w:lang w:eastAsia="zh-CN"/>
              </w:rPr>
              <w:t>组装</w:t>
            </w:r>
            <w:r>
              <w:rPr>
                <w:rFonts w:hint="default" w:ascii="Times New Roman" w:hAnsi="Times New Roman" w:eastAsia="宋体" w:cs="Times New Roman"/>
                <w:color w:val="auto"/>
                <w:sz w:val="24"/>
                <w:szCs w:val="24"/>
                <w:highlight w:val="none"/>
              </w:rPr>
              <w:t>平台上进行，将要拼装的成组成对的钢板工件等需要焊接的地方，组对成符合要求的焊缝，由焊工点固后完成</w:t>
            </w:r>
            <w:r>
              <w:rPr>
                <w:rFonts w:hint="eastAsia" w:ascii="Times New Roman" w:hAnsi="Times New Roman" w:eastAsia="宋体" w:cs="Times New Roman"/>
                <w:color w:val="auto"/>
                <w:sz w:val="24"/>
                <w:szCs w:val="24"/>
                <w:highlight w:val="none"/>
                <w:lang w:eastAsia="zh-CN"/>
              </w:rPr>
              <w:t>组对点焊。</w:t>
            </w:r>
            <w:r>
              <w:rPr>
                <w:rFonts w:hint="default" w:ascii="Times New Roman" w:hAnsi="Times New Roman" w:eastAsia="宋体" w:cs="Times New Roman"/>
                <w:color w:val="auto"/>
                <w:sz w:val="24"/>
                <w:szCs w:val="24"/>
                <w:highlight w:val="none"/>
              </w:rPr>
              <w:t>此工序</w:t>
            </w:r>
            <w:r>
              <w:rPr>
                <w:rFonts w:hint="eastAsia" w:ascii="Times New Roman" w:hAnsi="Times New Roman" w:eastAsia="宋体" w:cs="Times New Roman"/>
                <w:color w:val="auto"/>
                <w:sz w:val="24"/>
                <w:szCs w:val="24"/>
                <w:highlight w:val="none"/>
                <w:lang w:eastAsia="zh-CN"/>
              </w:rPr>
              <w:t>主要</w:t>
            </w:r>
            <w:r>
              <w:rPr>
                <w:rFonts w:hint="default" w:ascii="Times New Roman" w:hAnsi="Times New Roman" w:eastAsia="宋体" w:cs="Times New Roman"/>
                <w:color w:val="auto"/>
                <w:sz w:val="24"/>
                <w:szCs w:val="24"/>
                <w:highlight w:val="none"/>
              </w:rPr>
              <w:t>产生</w:t>
            </w:r>
            <w:r>
              <w:rPr>
                <w:rFonts w:hint="eastAsia" w:ascii="Times New Roman" w:hAnsi="Times New Roman" w:eastAsia="宋体" w:cs="Times New Roman"/>
                <w:color w:val="auto"/>
                <w:sz w:val="24"/>
                <w:szCs w:val="24"/>
                <w:highlight w:val="none"/>
                <w:lang w:eastAsia="zh-CN"/>
              </w:rPr>
              <w:t>焊接废气、</w:t>
            </w:r>
            <w:r>
              <w:rPr>
                <w:rFonts w:hint="default" w:ascii="Times New Roman" w:hAnsi="Times New Roman" w:eastAsia="宋体" w:cs="Times New Roman"/>
                <w:color w:val="auto"/>
                <w:sz w:val="24"/>
                <w:szCs w:val="24"/>
                <w:highlight w:val="none"/>
              </w:rPr>
              <w:t>噪声</w:t>
            </w:r>
            <w:r>
              <w:rPr>
                <w:rFonts w:hint="eastAsia" w:ascii="Times New Roman" w:hAnsi="Times New Roman" w:eastAsia="宋体" w:cs="Times New Roman"/>
                <w:color w:val="auto"/>
                <w:sz w:val="24"/>
                <w:szCs w:val="24"/>
                <w:highlight w:val="none"/>
              </w:rPr>
              <w:t>、废焊材及焊渣</w:t>
            </w:r>
            <w:r>
              <w:rPr>
                <w:rFonts w:hint="default" w:ascii="Times New Roman" w:hAnsi="Times New Roman" w:eastAsia="宋体" w:cs="Times New Roman"/>
                <w:color w:val="auto"/>
                <w:sz w:val="24"/>
                <w:szCs w:val="24"/>
                <w:highlight w:val="none"/>
              </w:rPr>
              <w:t>。</w:t>
            </w:r>
          </w:p>
          <w:p w14:paraId="39D5994C">
            <w:pPr>
              <w:pStyle w:val="76"/>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⑥</w:t>
            </w:r>
            <w:r>
              <w:rPr>
                <w:rFonts w:hint="eastAsia" w:ascii="Times New Roman" w:hAnsi="Times New Roman" w:eastAsia="宋体" w:cs="Times New Roman"/>
                <w:color w:val="auto"/>
                <w:highlight w:val="none"/>
              </w:rPr>
              <w:t>焊接</w:t>
            </w:r>
            <w:r>
              <w:rPr>
                <w:rFonts w:hint="default" w:ascii="Times New Roman" w:hAnsi="Times New Roman" w:eastAsia="宋体" w:cs="Times New Roman"/>
                <w:color w:val="auto"/>
                <w:highlight w:val="none"/>
              </w:rPr>
              <w:t>：将组</w:t>
            </w:r>
            <w:r>
              <w:rPr>
                <w:rFonts w:hint="eastAsia" w:ascii="Times New Roman" w:hAnsi="Times New Roman" w:eastAsia="宋体" w:cs="Times New Roman"/>
                <w:color w:val="auto"/>
                <w:highlight w:val="none"/>
                <w:lang w:eastAsia="zh-CN"/>
              </w:rPr>
              <w:t>对</w:t>
            </w:r>
            <w:r>
              <w:rPr>
                <w:rFonts w:hint="default" w:ascii="Times New Roman" w:hAnsi="Times New Roman" w:eastAsia="宋体" w:cs="Times New Roman"/>
                <w:color w:val="auto"/>
                <w:highlight w:val="none"/>
              </w:rPr>
              <w:t>好的原材料采用不同的形式进行焊接，</w:t>
            </w:r>
            <w:r>
              <w:rPr>
                <w:rFonts w:hint="eastAsia" w:ascii="Times New Roman" w:hAnsi="Times New Roman" w:eastAsia="宋体" w:cs="Times New Roman"/>
                <w:color w:val="auto"/>
                <w:highlight w:val="none"/>
                <w:lang w:eastAsia="zh-CN"/>
              </w:rPr>
              <w:t>本</w:t>
            </w:r>
            <w:r>
              <w:rPr>
                <w:rFonts w:hint="eastAsia" w:ascii="Times New Roman" w:hAnsi="Times New Roman" w:eastAsia="宋体" w:cs="Times New Roman"/>
                <w:color w:val="auto"/>
                <w:highlight w:val="none"/>
              </w:rPr>
              <w:t>项目主要使用</w:t>
            </w:r>
            <w:r>
              <w:rPr>
                <w:rFonts w:hint="eastAsia" w:ascii="Times New Roman" w:eastAsia="宋体" w:cs="Times New Roman"/>
                <w:color w:val="auto"/>
                <w:highlight w:val="none"/>
              </w:rPr>
              <w:t>CO</w:t>
            </w:r>
            <w:r>
              <w:rPr>
                <w:rFonts w:hint="eastAsia" w:ascii="Times New Roman" w:eastAsia="宋体" w:cs="Times New Roman"/>
                <w:color w:val="auto"/>
                <w:highlight w:val="none"/>
                <w:vertAlign w:val="subscript"/>
              </w:rPr>
              <w:t>2</w:t>
            </w:r>
            <w:r>
              <w:rPr>
                <w:rFonts w:hint="eastAsia" w:ascii="Times New Roman" w:eastAsia="宋体" w:cs="Times New Roman"/>
                <w:color w:val="auto"/>
                <w:highlight w:val="none"/>
              </w:rPr>
              <w:t>气体保护焊、埋弧焊、氩弧焊</w:t>
            </w:r>
            <w:r>
              <w:rPr>
                <w:rFonts w:hint="eastAsia" w:ascii="Times New Roman" w:eastAsia="宋体" w:cs="Times New Roman"/>
                <w:color w:val="auto"/>
                <w:highlight w:val="none"/>
                <w:lang w:eastAsia="zh-CN"/>
              </w:rPr>
              <w:t>等</w:t>
            </w:r>
            <w:r>
              <w:rPr>
                <w:rFonts w:hint="eastAsia" w:ascii="Times New Roman" w:eastAsia="宋体" w:cs="Times New Roman"/>
                <w:color w:val="auto"/>
                <w:highlight w:val="none"/>
              </w:rPr>
              <w:t>进行焊接</w:t>
            </w:r>
            <w:r>
              <w:rPr>
                <w:rFonts w:hint="eastAsia" w:ascii="Times New Roman" w:eastAsia="宋体" w:cs="Times New Roman"/>
                <w:color w:val="auto"/>
                <w:highlight w:val="none"/>
                <w:lang w:eastAsia="zh-CN"/>
              </w:rPr>
              <w:t>。</w:t>
            </w:r>
            <w:r>
              <w:rPr>
                <w:rFonts w:hint="eastAsia" w:ascii="Times New Roman" w:hAnsi="Times New Roman" w:eastAsia="宋体" w:cs="Times New Roman"/>
                <w:b w:val="0"/>
                <w:bCs w:val="0"/>
                <w:color w:val="auto"/>
                <w:spacing w:val="0"/>
                <w:sz w:val="24"/>
                <w:szCs w:val="24"/>
                <w:u w:val="none"/>
                <w:lang w:val="en-US" w:eastAsia="zh-CN"/>
              </w:rPr>
              <w:t>焊丝或焊剂在使用前需要检查有无发潮现象，若有发潮需要将其至于烘箱内烘干再使用，烘干时产生少量的水蒸气。烘干机采用电源，烘干温度</w:t>
            </w:r>
            <w:r>
              <w:rPr>
                <w:rFonts w:hint="default" w:ascii="Times New Roman" w:hAnsi="Times New Roman" w:eastAsia="宋体" w:cs="Times New Roman"/>
                <w:b w:val="0"/>
                <w:bCs w:val="0"/>
                <w:color w:val="auto"/>
                <w:spacing w:val="0"/>
                <w:sz w:val="24"/>
                <w:szCs w:val="24"/>
                <w:u w:val="none"/>
                <w:lang w:val="en-US" w:eastAsia="zh-CN"/>
              </w:rPr>
              <w:t>180</w:t>
            </w:r>
            <w:r>
              <w:rPr>
                <w:rFonts w:hint="eastAsia" w:ascii="Times New Roman" w:hAnsi="Times New Roman" w:eastAsia="宋体" w:cs="Times New Roman"/>
                <w:b w:val="0"/>
                <w:bCs w:val="0"/>
                <w:color w:val="auto"/>
                <w:spacing w:val="0"/>
                <w:sz w:val="24"/>
                <w:szCs w:val="24"/>
                <w:u w:val="none"/>
                <w:lang w:val="en-US" w:eastAsia="zh-CN"/>
              </w:rPr>
              <w:t>℃，烘干时间</w:t>
            </w:r>
            <w:r>
              <w:rPr>
                <w:rFonts w:hint="default" w:ascii="Times New Roman" w:hAnsi="Times New Roman" w:eastAsia="宋体" w:cs="Times New Roman"/>
                <w:b w:val="0"/>
                <w:bCs w:val="0"/>
                <w:color w:val="auto"/>
                <w:spacing w:val="0"/>
                <w:sz w:val="24"/>
                <w:szCs w:val="24"/>
                <w:u w:val="none"/>
                <w:lang w:val="en-US" w:eastAsia="zh-CN"/>
              </w:rPr>
              <w:t>1.5h</w:t>
            </w:r>
            <w:r>
              <w:rPr>
                <w:rFonts w:hint="eastAsia" w:ascii="Times New Roman" w:hAnsi="Times New Roman" w:eastAsia="宋体" w:cs="Times New Roman"/>
                <w:b w:val="0"/>
                <w:bCs w:val="0"/>
                <w:color w:val="auto"/>
                <w:spacing w:val="0"/>
                <w:sz w:val="24"/>
                <w:szCs w:val="24"/>
                <w:u w:val="none"/>
                <w:lang w:val="en-US" w:eastAsia="zh-CN"/>
              </w:rPr>
              <w:t>。</w:t>
            </w:r>
            <w:r>
              <w:rPr>
                <w:rFonts w:hint="default" w:ascii="Times New Roman" w:hAnsi="Times New Roman" w:eastAsia="宋体" w:cs="Times New Roman"/>
                <w:color w:val="auto"/>
                <w:highlight w:val="none"/>
              </w:rPr>
              <w:t>焊接操作需要经过合格的焊工进行，焊缝的质量要符合相关的标准和规范，确保焊接接头的强度和可靠性</w:t>
            </w:r>
            <w:r>
              <w:rPr>
                <w:rFonts w:hint="eastAsia"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此</w:t>
            </w:r>
            <w:r>
              <w:rPr>
                <w:rFonts w:hint="default" w:ascii="Times New Roman" w:hAnsi="Times New Roman" w:eastAsia="宋体" w:cs="Times New Roman"/>
                <w:color w:val="auto"/>
                <w:sz w:val="24"/>
                <w:szCs w:val="24"/>
                <w:highlight w:val="none"/>
              </w:rPr>
              <w:t>工序</w:t>
            </w:r>
            <w:r>
              <w:rPr>
                <w:rFonts w:hint="eastAsia" w:ascii="Times New Roman" w:hAnsi="Times New Roman" w:eastAsia="宋体" w:cs="Times New Roman"/>
                <w:color w:val="auto"/>
                <w:sz w:val="24"/>
                <w:szCs w:val="24"/>
                <w:highlight w:val="none"/>
                <w:lang w:eastAsia="zh-CN"/>
              </w:rPr>
              <w:t>主要</w:t>
            </w:r>
            <w:r>
              <w:rPr>
                <w:rFonts w:hint="default" w:ascii="Times New Roman" w:hAnsi="Times New Roman" w:eastAsia="宋体" w:cs="Times New Roman"/>
                <w:color w:val="auto"/>
                <w:highlight w:val="none"/>
              </w:rPr>
              <w:t>产生</w:t>
            </w:r>
            <w:r>
              <w:rPr>
                <w:rFonts w:hint="eastAsia" w:ascii="Times New Roman" w:hAnsi="Times New Roman" w:eastAsia="宋体" w:cs="Times New Roman"/>
                <w:color w:val="auto"/>
                <w:highlight w:val="none"/>
              </w:rPr>
              <w:t>焊接废气</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废焊材及焊渣</w:t>
            </w:r>
            <w:r>
              <w:rPr>
                <w:rFonts w:hint="eastAsia" w:ascii="Times New Roman" w:hAnsi="Times New Roman" w:eastAsia="宋体" w:cs="Times New Roman"/>
                <w:color w:val="auto"/>
                <w:highlight w:val="none"/>
                <w:lang w:eastAsia="zh-CN"/>
              </w:rPr>
              <w:t>和</w:t>
            </w:r>
            <w:r>
              <w:rPr>
                <w:rFonts w:hint="default" w:ascii="Times New Roman" w:hAnsi="Times New Roman" w:eastAsia="宋体" w:cs="Times New Roman"/>
                <w:color w:val="auto"/>
                <w:highlight w:val="none"/>
              </w:rPr>
              <w:t>噪声</w:t>
            </w:r>
            <w:r>
              <w:rPr>
                <w:rFonts w:hint="eastAsia" w:ascii="Times New Roman" w:hAnsi="Times New Roman" w:eastAsia="宋体" w:cs="Times New Roman"/>
                <w:color w:val="auto"/>
                <w:highlight w:val="none"/>
              </w:rPr>
              <w:t>。</w:t>
            </w:r>
          </w:p>
          <w:p w14:paraId="5FD2B9E1">
            <w:pPr>
              <w:pStyle w:val="76"/>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⑦</w:t>
            </w:r>
            <w:r>
              <w:rPr>
                <w:rFonts w:hint="eastAsia" w:ascii="Times New Roman" w:hAnsi="Times New Roman" w:eastAsia="宋体" w:cs="Times New Roman"/>
                <w:color w:val="auto"/>
                <w:highlight w:val="none"/>
                <w:lang w:eastAsia="zh-CN"/>
              </w:rPr>
              <w:t>焊缝处理：焊接完成后的焊缝，利用人工进行焊缝打磨处理，清</w:t>
            </w:r>
            <w:r>
              <w:rPr>
                <w:rFonts w:hint="default" w:ascii="Times New Roman" w:hAnsi="Times New Roman" w:eastAsia="宋体" w:cs="Times New Roman"/>
                <w:color w:val="auto"/>
                <w:highlight w:val="none"/>
              </w:rPr>
              <w:t>除</w:t>
            </w:r>
            <w:r>
              <w:rPr>
                <w:rFonts w:hint="eastAsia" w:ascii="Times New Roman" w:hAnsi="Times New Roman" w:eastAsia="宋体" w:cs="Times New Roman"/>
                <w:color w:val="auto"/>
                <w:highlight w:val="none"/>
                <w:lang w:eastAsia="zh-CN"/>
              </w:rPr>
              <w:t>焊接过程中产生的凹凸不平和咬边等缺陷，使焊缝表面平整光滑</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焊缝处理后的工作转移至喷漆房，并对焊缝涂刷底漆。完成焊缝处理后，部分工件根据客户需要进入下一步工序进行刷漆</w:t>
            </w:r>
            <w:r>
              <w:rPr>
                <w:rFonts w:hint="eastAsia" w:cs="Times New Roman"/>
                <w:color w:val="auto"/>
                <w:highlight w:val="none"/>
                <w:lang w:eastAsia="zh-CN"/>
              </w:rPr>
              <w:t>防腐</w:t>
            </w:r>
            <w:r>
              <w:rPr>
                <w:rFonts w:hint="eastAsia" w:ascii="Times New Roman" w:hAnsi="Times New Roman" w:eastAsia="宋体" w:cs="Times New Roman"/>
                <w:color w:val="auto"/>
                <w:highlight w:val="none"/>
                <w:lang w:eastAsia="zh-CN"/>
              </w:rPr>
              <w:t>，部分即为成品，经人工外观检验后入库待售。</w:t>
            </w:r>
            <w:r>
              <w:rPr>
                <w:rFonts w:hint="default" w:ascii="Times New Roman" w:hAnsi="Times New Roman" w:eastAsia="宋体" w:cs="Times New Roman"/>
                <w:color w:val="auto"/>
                <w:highlight w:val="none"/>
              </w:rPr>
              <w:t>此</w:t>
            </w:r>
            <w:r>
              <w:rPr>
                <w:rFonts w:hint="default" w:ascii="Times New Roman" w:hAnsi="Times New Roman" w:eastAsia="宋体" w:cs="Times New Roman"/>
                <w:color w:val="auto"/>
                <w:sz w:val="24"/>
                <w:szCs w:val="24"/>
                <w:highlight w:val="none"/>
              </w:rPr>
              <w:t>工序</w:t>
            </w:r>
            <w:r>
              <w:rPr>
                <w:rFonts w:hint="eastAsia" w:ascii="Times New Roman" w:hAnsi="Times New Roman" w:eastAsia="宋体" w:cs="Times New Roman"/>
                <w:color w:val="auto"/>
                <w:sz w:val="24"/>
                <w:szCs w:val="24"/>
                <w:highlight w:val="none"/>
                <w:lang w:eastAsia="zh-CN"/>
              </w:rPr>
              <w:t>主要</w:t>
            </w:r>
            <w:r>
              <w:rPr>
                <w:rFonts w:hint="default" w:ascii="Times New Roman" w:hAnsi="Times New Roman" w:eastAsia="宋体" w:cs="Times New Roman"/>
                <w:color w:val="auto"/>
                <w:highlight w:val="none"/>
              </w:rPr>
              <w:t>产生少量的</w:t>
            </w:r>
            <w:r>
              <w:rPr>
                <w:rFonts w:hint="eastAsia" w:ascii="Times New Roman" w:hAnsi="Times New Roman" w:eastAsia="宋体" w:cs="Times New Roman"/>
                <w:color w:val="auto"/>
                <w:highlight w:val="none"/>
              </w:rPr>
              <w:t>废</w:t>
            </w:r>
            <w:r>
              <w:rPr>
                <w:rFonts w:hint="eastAsia" w:ascii="Times New Roman" w:hAnsi="Times New Roman" w:eastAsia="宋体" w:cs="Times New Roman"/>
                <w:color w:val="auto"/>
                <w:highlight w:val="none"/>
                <w:lang w:eastAsia="zh-CN"/>
              </w:rPr>
              <w:t>焊</w:t>
            </w:r>
            <w:r>
              <w:rPr>
                <w:rFonts w:hint="eastAsia" w:ascii="Times New Roman" w:hAnsi="Times New Roman" w:eastAsia="宋体" w:cs="Times New Roman"/>
                <w:color w:val="auto"/>
                <w:highlight w:val="none"/>
              </w:rPr>
              <w:t>渣</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rPr>
              <w:t>噪声</w:t>
            </w:r>
            <w:r>
              <w:rPr>
                <w:rFonts w:hint="eastAsia" w:ascii="Times New Roman" w:hAnsi="Times New Roman" w:eastAsia="宋体" w:cs="Times New Roman"/>
                <w:color w:val="auto"/>
                <w:highlight w:val="none"/>
                <w:lang w:eastAsia="zh-CN"/>
              </w:rPr>
              <w:t>和刷漆有机废气</w:t>
            </w:r>
            <w:r>
              <w:rPr>
                <w:rFonts w:hint="default" w:ascii="Times New Roman" w:hAnsi="Times New Roman" w:eastAsia="宋体" w:cs="Times New Roman"/>
                <w:color w:val="auto"/>
                <w:highlight w:val="none"/>
              </w:rPr>
              <w:t>。</w:t>
            </w:r>
          </w:p>
          <w:p w14:paraId="3B2B2A39">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highlight w:val="none"/>
              </w:rPr>
              <w:t>⑧</w:t>
            </w:r>
            <w:r>
              <w:rPr>
                <w:rFonts w:hint="eastAsia" w:ascii="Times New Roman" w:hAnsi="Times New Roman" w:eastAsia="宋体" w:cs="Times New Roman"/>
                <w:color w:val="auto"/>
                <w:kern w:val="0"/>
                <w:sz w:val="24"/>
                <w:szCs w:val="24"/>
                <w:highlight w:val="none"/>
                <w:lang w:val="en-US" w:eastAsia="zh-CN" w:bidi="ar-SA"/>
              </w:rPr>
              <w:t>刷漆：</w:t>
            </w:r>
            <w:r>
              <w:rPr>
                <w:rFonts w:hint="eastAsia" w:ascii="Times New Roman" w:hAnsi="Times New Roman" w:eastAsia="宋体" w:cs="Times New Roman"/>
                <w:color w:val="auto"/>
                <w:sz w:val="24"/>
                <w:szCs w:val="24"/>
                <w:highlight w:val="none"/>
                <w:lang w:eastAsia="zh-CN"/>
              </w:rPr>
              <w:t>厂房西南侧</w:t>
            </w:r>
            <w:r>
              <w:rPr>
                <w:rFonts w:hint="eastAsia" w:ascii="Times New Roman" w:hAnsi="Times New Roman" w:eastAsia="宋体" w:cs="Times New Roman"/>
                <w:b w:val="0"/>
                <w:bCs w:val="0"/>
                <w:color w:val="auto"/>
                <w:spacing w:val="0"/>
                <w:sz w:val="24"/>
                <w:szCs w:val="24"/>
                <w:u w:val="none"/>
                <w:lang w:val="en-US" w:eastAsia="zh-CN"/>
              </w:rPr>
              <w:t>设置独立密闭的</w:t>
            </w:r>
            <w:r>
              <w:rPr>
                <w:rFonts w:hint="eastAsia" w:cs="Times New Roman"/>
                <w:b w:val="0"/>
                <w:bCs w:val="0"/>
                <w:color w:val="auto"/>
                <w:spacing w:val="0"/>
                <w:sz w:val="24"/>
                <w:szCs w:val="24"/>
                <w:u w:val="none"/>
                <w:lang w:val="en-US" w:eastAsia="zh-CN"/>
              </w:rPr>
              <w:t>伸缩式喷</w:t>
            </w:r>
            <w:r>
              <w:rPr>
                <w:rFonts w:hint="eastAsia" w:ascii="Times New Roman" w:hAnsi="Times New Roman" w:eastAsia="宋体" w:cs="Times New Roman"/>
                <w:b w:val="0"/>
                <w:bCs w:val="0"/>
                <w:color w:val="auto"/>
                <w:spacing w:val="0"/>
                <w:sz w:val="24"/>
                <w:szCs w:val="24"/>
                <w:u w:val="none"/>
                <w:lang w:val="en-US" w:eastAsia="zh-CN"/>
              </w:rPr>
              <w:t>漆房，将</w:t>
            </w:r>
            <w:r>
              <w:rPr>
                <w:rFonts w:hint="eastAsia" w:cs="Times New Roman"/>
                <w:b w:val="0"/>
                <w:bCs w:val="0"/>
                <w:color w:val="auto"/>
                <w:spacing w:val="0"/>
                <w:sz w:val="24"/>
                <w:szCs w:val="24"/>
                <w:u w:val="none"/>
                <w:lang w:val="en-US" w:eastAsia="zh-CN"/>
              </w:rPr>
              <w:t>经机加工处理</w:t>
            </w:r>
            <w:r>
              <w:rPr>
                <w:rFonts w:hint="eastAsia" w:ascii="Times New Roman" w:hAnsi="Times New Roman" w:eastAsia="宋体" w:cs="Times New Roman"/>
                <w:b w:val="0"/>
                <w:bCs w:val="0"/>
                <w:color w:val="auto"/>
                <w:spacing w:val="0"/>
                <w:sz w:val="24"/>
                <w:szCs w:val="24"/>
                <w:u w:val="none"/>
                <w:lang w:val="en-US" w:eastAsia="zh-CN"/>
              </w:rPr>
              <w:t>的</w:t>
            </w:r>
            <w:r>
              <w:rPr>
                <w:rFonts w:hint="eastAsia" w:cs="Times New Roman"/>
                <w:b w:val="0"/>
                <w:bCs w:val="0"/>
                <w:color w:val="auto"/>
                <w:spacing w:val="0"/>
                <w:sz w:val="24"/>
                <w:szCs w:val="24"/>
                <w:u w:val="none"/>
                <w:lang w:val="en-US" w:eastAsia="zh-CN"/>
              </w:rPr>
              <w:t>工件</w:t>
            </w:r>
            <w:r>
              <w:rPr>
                <w:rFonts w:hint="eastAsia" w:ascii="Times New Roman" w:hAnsi="Times New Roman" w:eastAsia="宋体" w:cs="Times New Roman"/>
                <w:b w:val="0"/>
                <w:bCs w:val="0"/>
                <w:color w:val="auto"/>
                <w:spacing w:val="0"/>
                <w:sz w:val="24"/>
                <w:szCs w:val="24"/>
                <w:u w:val="none"/>
                <w:lang w:val="en-US" w:eastAsia="zh-CN"/>
              </w:rPr>
              <w:t>通过桁车</w:t>
            </w:r>
            <w:r>
              <w:rPr>
                <w:rFonts w:hint="eastAsia" w:cs="Times New Roman"/>
                <w:b w:val="0"/>
                <w:bCs w:val="0"/>
                <w:color w:val="auto"/>
                <w:spacing w:val="0"/>
                <w:sz w:val="24"/>
                <w:szCs w:val="24"/>
                <w:u w:val="none"/>
                <w:lang w:val="en-US" w:eastAsia="zh-CN"/>
              </w:rPr>
              <w:t>、轨道平车等转移至</w:t>
            </w:r>
            <w:r>
              <w:rPr>
                <w:rFonts w:hint="eastAsia" w:ascii="Times New Roman" w:hAnsi="Times New Roman" w:eastAsia="宋体" w:cs="Times New Roman"/>
                <w:b w:val="0"/>
                <w:bCs w:val="0"/>
                <w:color w:val="auto"/>
                <w:spacing w:val="0"/>
                <w:sz w:val="24"/>
                <w:szCs w:val="24"/>
                <w:u w:val="none"/>
                <w:lang w:val="en-US" w:eastAsia="zh-CN"/>
              </w:rPr>
              <w:t>喷漆房指定区域内摆放好后，采用</w:t>
            </w:r>
            <w:r>
              <w:rPr>
                <w:rFonts w:hint="eastAsia" w:cs="Times New Roman"/>
                <w:b w:val="0"/>
                <w:bCs w:val="0"/>
                <w:color w:val="auto"/>
                <w:spacing w:val="0"/>
                <w:sz w:val="24"/>
                <w:szCs w:val="24"/>
                <w:u w:val="none"/>
                <w:lang w:val="en-US" w:eastAsia="zh-CN"/>
              </w:rPr>
              <w:t>人工方式刷涂底漆、中间漆和面漆</w:t>
            </w:r>
            <w:r>
              <w:rPr>
                <w:rFonts w:hint="eastAsia" w:ascii="Times New Roman" w:hAnsi="Times New Roman" w:eastAsia="宋体" w:cs="Times New Roman"/>
                <w:b w:val="0"/>
                <w:bCs w:val="0"/>
                <w:color w:val="auto"/>
                <w:spacing w:val="0"/>
                <w:sz w:val="24"/>
                <w:szCs w:val="24"/>
                <w:u w:val="none"/>
                <w:lang w:val="en-US" w:eastAsia="zh-CN"/>
              </w:rPr>
              <w:t>。</w:t>
            </w:r>
            <w:r>
              <w:rPr>
                <w:rFonts w:hint="eastAsia" w:ascii="Times New Roman" w:hAnsi="Times New Roman" w:eastAsia="宋体" w:cs="Times New Roman"/>
                <w:color w:val="auto"/>
                <w:kern w:val="0"/>
                <w:sz w:val="24"/>
                <w:szCs w:val="24"/>
                <w:highlight w:val="none"/>
                <w:lang w:val="en-US" w:eastAsia="zh-CN" w:bidi="ar-SA"/>
              </w:rPr>
              <w:t>该喷漆房为全封闭兼作调漆间，设计时充分考虑到安全性，送风系统采用上送风，并通过高效离心风机从喷漆室侧底部进行排风，保证漆雾不外溢，确保操作者有良好的工作环境，室体内无涡流现象。</w:t>
            </w:r>
          </w:p>
          <w:p w14:paraId="3AC401EE">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val="0"/>
                <w:color w:val="auto"/>
                <w:spacing w:val="0"/>
                <w:kern w:val="2"/>
                <w:sz w:val="24"/>
                <w:szCs w:val="24"/>
                <w:u w:val="none"/>
                <w:lang w:val="en-US" w:eastAsia="zh-CN" w:bidi="ar-SA"/>
              </w:rPr>
            </w:pPr>
            <w:r>
              <w:rPr>
                <w:rFonts w:hint="eastAsia" w:ascii="Times New Roman" w:hAnsi="Times New Roman" w:eastAsia="宋体" w:cs="Times New Roman"/>
                <w:b w:val="0"/>
                <w:bCs w:val="0"/>
                <w:color w:val="auto"/>
                <w:spacing w:val="0"/>
                <w:sz w:val="24"/>
                <w:szCs w:val="24"/>
                <w:u w:val="none"/>
                <w:lang w:val="en-US" w:eastAsia="zh-CN"/>
              </w:rPr>
              <w:t>本项目产品根据防腐防锈要求不同，采用了不同的油漆。当防腐防锈要求较低时，采用</w:t>
            </w:r>
            <w:r>
              <w:rPr>
                <w:rFonts w:hint="eastAsia" w:cs="Times New Roman"/>
                <w:b w:val="0"/>
                <w:bCs w:val="0"/>
                <w:color w:val="auto"/>
                <w:spacing w:val="0"/>
                <w:sz w:val="24"/>
                <w:szCs w:val="24"/>
                <w:u w:val="none"/>
                <w:lang w:val="en-US" w:eastAsia="zh-CN"/>
              </w:rPr>
              <w:t>铁红</w:t>
            </w:r>
            <w:r>
              <w:rPr>
                <w:rFonts w:hint="eastAsia"/>
                <w:color w:val="000000"/>
                <w:sz w:val="24"/>
                <w:szCs w:val="24"/>
                <w:u w:val="none"/>
                <w:lang w:val="en-US" w:eastAsia="zh-CN"/>
              </w:rPr>
              <w:t>醇酸防锈底漆和醇酸面漆，油漆与</w:t>
            </w:r>
            <w:r>
              <w:rPr>
                <w:rFonts w:hint="eastAsia" w:eastAsia="宋体" w:cs="Times New Roman"/>
                <w:color w:val="auto"/>
                <w:spacing w:val="0"/>
                <w:w w:val="100"/>
                <w:sz w:val="24"/>
                <w:szCs w:val="24"/>
                <w:u w:val="none" w:color="auto"/>
                <w:lang w:eastAsia="zh-CN"/>
              </w:rPr>
              <w:t>稀释剂按</w:t>
            </w:r>
            <w:r>
              <w:rPr>
                <w:rFonts w:hint="eastAsia" w:eastAsia="宋体" w:cs="Times New Roman"/>
                <w:color w:val="auto"/>
                <w:spacing w:val="0"/>
                <w:w w:val="100"/>
                <w:sz w:val="24"/>
                <w:szCs w:val="24"/>
                <w:u w:val="none" w:color="auto"/>
                <w:lang w:val="en-US" w:eastAsia="zh-CN"/>
              </w:rPr>
              <w:t>5：0.5的比例混合</w:t>
            </w:r>
            <w:r>
              <w:rPr>
                <w:rFonts w:hint="eastAsia"/>
                <w:color w:val="000000"/>
                <w:sz w:val="24"/>
                <w:szCs w:val="24"/>
                <w:u w:val="none"/>
                <w:lang w:val="en-US" w:eastAsia="zh-CN"/>
              </w:rPr>
              <w:t>；当防腐防锈要求较高时，采用性能更好的环氧富锌底漆、云铁环氧中间漆和聚氨脂面漆，油漆</w:t>
            </w:r>
            <w:r>
              <w:rPr>
                <w:rFonts w:hint="eastAsia"/>
                <w:color w:val="auto"/>
                <w:sz w:val="24"/>
                <w:szCs w:val="24"/>
                <w:highlight w:val="none"/>
                <w:u w:val="none" w:color="auto"/>
                <w:lang w:val="en-US" w:eastAsia="zh-CN"/>
              </w:rPr>
              <w:t>与稀释剂、固化剂的调配比例约为5：0.5:1.5</w:t>
            </w:r>
            <w:r>
              <w:rPr>
                <w:rFonts w:hint="eastAsia"/>
                <w:color w:val="000000"/>
                <w:sz w:val="24"/>
                <w:szCs w:val="24"/>
                <w:u w:val="none"/>
                <w:lang w:val="en-US" w:eastAsia="zh-CN"/>
              </w:rPr>
              <w:t>。调漆、刷漆、晾干均在喷漆房内进行，人工</w:t>
            </w:r>
            <w:r>
              <w:rPr>
                <w:rFonts w:hint="eastAsia" w:cs="Times New Roman"/>
                <w:b w:val="0"/>
                <w:bCs w:val="0"/>
                <w:color w:val="auto"/>
                <w:spacing w:val="0"/>
                <w:sz w:val="24"/>
                <w:szCs w:val="24"/>
                <w:u w:val="none"/>
                <w:lang w:val="en-US" w:eastAsia="zh-CN"/>
              </w:rPr>
              <w:t>刷</w:t>
            </w:r>
            <w:r>
              <w:rPr>
                <w:rFonts w:hint="eastAsia" w:ascii="Times New Roman" w:hAnsi="Times New Roman" w:eastAsia="宋体" w:cs="Times New Roman"/>
                <w:b w:val="0"/>
                <w:bCs w:val="0"/>
                <w:color w:val="auto"/>
                <w:spacing w:val="0"/>
                <w:sz w:val="24"/>
                <w:szCs w:val="24"/>
                <w:u w:val="none"/>
                <w:lang w:val="en-US" w:eastAsia="zh-CN"/>
              </w:rPr>
              <w:t>漆完成后工件</w:t>
            </w:r>
            <w:r>
              <w:rPr>
                <w:rFonts w:hint="eastAsia" w:ascii="Times New Roman" w:hAnsi="Times New Roman" w:eastAsia="宋体" w:cs="Times New Roman"/>
                <w:b w:val="0"/>
                <w:bCs w:val="0"/>
                <w:color w:val="auto"/>
                <w:spacing w:val="0"/>
                <w:kern w:val="2"/>
                <w:sz w:val="24"/>
                <w:szCs w:val="24"/>
                <w:u w:val="none"/>
                <w:lang w:val="en-US" w:eastAsia="zh-CN" w:bidi="ar-SA"/>
              </w:rPr>
              <w:t>在</w:t>
            </w:r>
            <w:r>
              <w:rPr>
                <w:rFonts w:hint="eastAsia" w:cs="Times New Roman"/>
                <w:b w:val="0"/>
                <w:bCs w:val="0"/>
                <w:color w:val="auto"/>
                <w:spacing w:val="0"/>
                <w:kern w:val="2"/>
                <w:sz w:val="24"/>
                <w:szCs w:val="24"/>
                <w:u w:val="none"/>
                <w:lang w:val="en-US" w:eastAsia="zh-CN" w:bidi="ar-SA"/>
              </w:rPr>
              <w:t>油</w:t>
            </w:r>
            <w:r>
              <w:rPr>
                <w:rFonts w:hint="eastAsia" w:ascii="Times New Roman" w:hAnsi="Times New Roman" w:eastAsia="宋体" w:cs="Times New Roman"/>
                <w:b w:val="0"/>
                <w:bCs w:val="0"/>
                <w:color w:val="auto"/>
                <w:spacing w:val="0"/>
                <w:kern w:val="2"/>
                <w:sz w:val="24"/>
                <w:szCs w:val="24"/>
                <w:u w:val="none"/>
                <w:lang w:val="en-US" w:eastAsia="zh-CN" w:bidi="ar-SA"/>
              </w:rPr>
              <w:t>漆房内进行自然晾干，晾干时间约为</w:t>
            </w:r>
            <w:r>
              <w:rPr>
                <w:rFonts w:hint="eastAsia" w:cs="Times New Roman"/>
                <w:b w:val="0"/>
                <w:bCs w:val="0"/>
                <w:color w:val="auto"/>
                <w:spacing w:val="0"/>
                <w:kern w:val="2"/>
                <w:sz w:val="24"/>
                <w:szCs w:val="24"/>
                <w:u w:val="none"/>
                <w:lang w:val="en-US" w:eastAsia="zh-CN" w:bidi="ar-SA"/>
              </w:rPr>
              <w:t>3</w:t>
            </w:r>
            <w:r>
              <w:rPr>
                <w:rFonts w:hint="default" w:ascii="Times New Roman" w:hAnsi="Times New Roman" w:eastAsia="宋体" w:cs="Times New Roman"/>
                <w:b w:val="0"/>
                <w:bCs w:val="0"/>
                <w:color w:val="auto"/>
                <w:spacing w:val="0"/>
                <w:kern w:val="2"/>
                <w:sz w:val="24"/>
                <w:szCs w:val="24"/>
                <w:u w:val="none"/>
                <w:lang w:val="en-US" w:eastAsia="zh-CN" w:bidi="ar-SA"/>
              </w:rPr>
              <w:t>h</w:t>
            </w:r>
            <w:r>
              <w:rPr>
                <w:rFonts w:hint="eastAsia" w:ascii="Times New Roman" w:hAnsi="Times New Roman" w:eastAsia="宋体" w:cs="Times New Roman"/>
                <w:b w:val="0"/>
                <w:bCs w:val="0"/>
                <w:color w:val="auto"/>
                <w:spacing w:val="0"/>
                <w:kern w:val="2"/>
                <w:sz w:val="24"/>
                <w:szCs w:val="24"/>
                <w:u w:val="none"/>
                <w:lang w:val="en-US" w:eastAsia="zh-CN" w:bidi="ar-SA"/>
              </w:rPr>
              <w:t>。</w:t>
            </w:r>
            <w:r>
              <w:rPr>
                <w:rFonts w:hint="eastAsia" w:cs="Times New Roman"/>
                <w:b w:val="0"/>
                <w:bCs w:val="0"/>
                <w:color w:val="auto"/>
                <w:spacing w:val="0"/>
                <w:kern w:val="2"/>
                <w:sz w:val="24"/>
                <w:szCs w:val="24"/>
                <w:u w:val="none"/>
                <w:lang w:val="en-US" w:eastAsia="zh-CN" w:bidi="ar-SA"/>
              </w:rPr>
              <w:t>晾干后即为成品，人工进行外观检验后，入库暂存待售。</w:t>
            </w:r>
          </w:p>
          <w:p w14:paraId="0A0588CB">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rPr>
              <w:t>此</w:t>
            </w:r>
            <w:r>
              <w:rPr>
                <w:rFonts w:hint="eastAsia" w:ascii="Times New Roman" w:hAnsi="Times New Roman" w:eastAsia="宋体" w:cs="Times New Roman"/>
                <w:color w:val="auto"/>
                <w:sz w:val="24"/>
                <w:highlight w:val="none"/>
                <w:lang w:eastAsia="zh-CN"/>
              </w:rPr>
              <w:t>工序主要</w:t>
            </w:r>
            <w:r>
              <w:rPr>
                <w:rFonts w:hint="default" w:ascii="Times New Roman" w:hAnsi="Times New Roman" w:eastAsia="宋体" w:cs="Times New Roman"/>
                <w:color w:val="auto"/>
                <w:sz w:val="24"/>
                <w:highlight w:val="none"/>
              </w:rPr>
              <w:t>产生</w:t>
            </w:r>
            <w:r>
              <w:rPr>
                <w:rFonts w:hint="eastAsia" w:ascii="Times New Roman" w:hAnsi="Times New Roman" w:eastAsia="宋体" w:cs="Times New Roman"/>
                <w:b w:val="0"/>
                <w:bCs w:val="0"/>
                <w:color w:val="auto"/>
                <w:spacing w:val="0"/>
                <w:sz w:val="24"/>
                <w:szCs w:val="24"/>
                <w:u w:val="none"/>
                <w:lang w:val="en-US" w:eastAsia="zh-CN"/>
              </w:rPr>
              <w:t>调漆刷漆晾干有机</w:t>
            </w:r>
            <w:r>
              <w:rPr>
                <w:rFonts w:hint="default" w:ascii="Times New Roman" w:hAnsi="Times New Roman" w:eastAsia="宋体" w:cs="Times New Roman"/>
                <w:b w:val="0"/>
                <w:bCs w:val="0"/>
                <w:color w:val="auto"/>
                <w:spacing w:val="0"/>
                <w:sz w:val="24"/>
                <w:szCs w:val="24"/>
                <w:u w:val="none"/>
                <w:lang w:val="en-US" w:eastAsia="zh-CN"/>
              </w:rPr>
              <w:t>废气</w:t>
            </w:r>
            <w:r>
              <w:rPr>
                <w:rFonts w:hint="eastAsia" w:ascii="Times New Roman" w:hAnsi="Times New Roman" w:eastAsia="宋体" w:cs="Times New Roman"/>
                <w:b w:val="0"/>
                <w:bCs w:val="0"/>
                <w:color w:val="auto"/>
                <w:spacing w:val="0"/>
                <w:sz w:val="24"/>
                <w:szCs w:val="24"/>
                <w:u w:val="none"/>
                <w:lang w:val="en-US" w:eastAsia="zh-CN"/>
              </w:rPr>
              <w:t>，</w:t>
            </w:r>
            <w:r>
              <w:rPr>
                <w:rFonts w:hint="eastAsia" w:ascii="Times New Roman" w:hAnsi="Times New Roman" w:eastAsia="宋体" w:cs="Times New Roman"/>
                <w:color w:val="auto"/>
                <w:sz w:val="24"/>
                <w:highlight w:val="none"/>
                <w:lang w:eastAsia="zh-CN"/>
              </w:rPr>
              <w:t>随着底漆的使用会相应产生废油漆桶、废稀释剂桶、废固化剂桶等固体废物，同时有机废气处理过程中会产生废过滤棉和废活性炭。</w:t>
            </w:r>
          </w:p>
          <w:p w14:paraId="0C63C879">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2476A759">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3268634C">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20B4E93F">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727DF2D6">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570BE30F">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35F1B3B3">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52655003">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107AA9CD">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5D6F093F">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7CAD5524">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4FE53C22">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79979AD2">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78DB62D2">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75675EC4">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51266FBC">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val="en-US" w:eastAsia="zh-CN"/>
              </w:rPr>
            </w:pPr>
          </w:p>
          <w:p w14:paraId="5AE82C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outlineLvl w:val="9"/>
              <w:rPr>
                <w:rFonts w:hint="default"/>
                <w:color w:val="000000" w:themeColor="text1"/>
                <w:u w:val="none" w:color="auto"/>
                <w:lang w:eastAsia="zh-CN"/>
                <w14:textFill>
                  <w14:solidFill>
                    <w14:schemeClr w14:val="tx1"/>
                  </w14:solidFill>
                </w14:textFill>
              </w:rPr>
            </w:pP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w:t>
            </w:r>
            <w:r>
              <w:rPr>
                <w:rFonts w:hint="eastAsia"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2</w:t>
            </w: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散热器</w:t>
            </w: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工艺流程</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及产污环节</w:t>
            </w:r>
          </w:p>
          <w:p w14:paraId="516B69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outlineLvl w:val="9"/>
              <w:rPr>
                <w:rFonts w:hint="default"/>
                <w:color w:val="000000" w:themeColor="text1"/>
                <w:u w:val="none" w:color="auto"/>
                <w:lang w:eastAsia="zh-CN"/>
                <w14:textFill>
                  <w14:solidFill>
                    <w14:schemeClr w14:val="tx1"/>
                  </w14:solidFill>
                </w14:textFill>
              </w:rPr>
            </w:pPr>
            <w:r>
              <w:rPr>
                <w:rFonts w:hint="default"/>
                <w:color w:val="000000" w:themeColor="text1"/>
                <w:u w:val="none" w:color="auto"/>
                <w:lang w:eastAsia="zh-CN"/>
                <w14:textFill>
                  <w14:solidFill>
                    <w14:schemeClr w14:val="tx1"/>
                  </w14:solidFill>
                </w14:textFill>
              </w:rPr>
              <w:object>
                <v:shape id="_x0000_i1026" o:spt="75" type="#_x0000_t75" style="height:446.3pt;width:407.6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p>
          <w:p w14:paraId="7E4CEF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center"/>
              <w:textAlignment w:val="auto"/>
              <w:outlineLvl w:val="9"/>
              <w:rPr>
                <w:rFonts w:hint="default"/>
                <w:color w:val="000000" w:themeColor="text1"/>
                <w:u w:val="none" w:color="auto"/>
                <w:lang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图2-</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 xml:space="preserve">  </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散热器</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生产工艺流程及产污环节示意图</w:t>
            </w:r>
          </w:p>
          <w:p w14:paraId="1D65C5D7">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散热器</w:t>
            </w:r>
            <w:r>
              <w:rPr>
                <w:rFonts w:hint="default" w:ascii="Times New Roman" w:hAnsi="Times New Roman" w:eastAsia="宋体" w:cs="Times New Roman"/>
                <w:color w:val="auto"/>
                <w:highlight w:val="none"/>
              </w:rPr>
              <w:t>主要生产工艺流程</w:t>
            </w:r>
            <w:r>
              <w:rPr>
                <w:rFonts w:hint="eastAsia" w:ascii="Times New Roman" w:hAnsi="Times New Roman" w:eastAsia="宋体" w:cs="Times New Roman"/>
                <w:color w:val="auto"/>
                <w:highlight w:val="none"/>
                <w:lang w:eastAsia="zh-CN"/>
              </w:rPr>
              <w:t>简述：</w:t>
            </w:r>
          </w:p>
          <w:p w14:paraId="1A62A824">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①</w:t>
            </w:r>
            <w:r>
              <w:rPr>
                <w:rFonts w:hint="eastAsia" w:ascii="Times New Roman" w:hAnsi="Times New Roman" w:eastAsia="宋体" w:cs="Times New Roman"/>
                <w:color w:val="auto"/>
                <w:sz w:val="24"/>
                <w:highlight w:val="none"/>
                <w:lang w:eastAsia="zh-CN"/>
              </w:rPr>
              <w:t>翅片加工</w:t>
            </w:r>
            <w:r>
              <w:rPr>
                <w:rFonts w:hint="eastAsia" w:ascii="Times New Roman" w:hAnsi="Times New Roman" w:eastAsia="宋体" w:cs="Times New Roman"/>
                <w:b w:val="0"/>
                <w:bCs w:val="0"/>
                <w:color w:val="auto"/>
                <w:spacing w:val="0"/>
                <w:sz w:val="24"/>
                <w:szCs w:val="24"/>
                <w:u w:val="none"/>
                <w:lang w:val="en-US" w:eastAsia="zh-CN"/>
              </w:rPr>
              <w:t>：外购的铝箔带材利用翅片冲床进行冲孔，同时按设计图纸裁剪成相应</w:t>
            </w:r>
            <w:r>
              <w:rPr>
                <w:rFonts w:hint="default" w:ascii="Times New Roman" w:hAnsi="Times New Roman" w:eastAsia="宋体" w:cs="Times New Roman"/>
                <w:color w:val="auto"/>
                <w:sz w:val="24"/>
                <w:highlight w:val="none"/>
              </w:rPr>
              <w:t>尺寸</w:t>
            </w:r>
            <w:r>
              <w:rPr>
                <w:rFonts w:hint="eastAsia" w:ascii="Times New Roman" w:hAnsi="Times New Roman" w:eastAsia="宋体" w:cs="Times New Roman"/>
                <w:b w:val="0"/>
                <w:bCs w:val="0"/>
                <w:color w:val="auto"/>
                <w:spacing w:val="0"/>
                <w:sz w:val="24"/>
                <w:szCs w:val="24"/>
                <w:u w:val="none"/>
                <w:lang w:val="en-US" w:eastAsia="zh-CN"/>
              </w:rPr>
              <w:t>的铝翅片，利用冲床出口钢针规整器将铝翅片规整成摞，翅片转运至组装平台进行组装。</w:t>
            </w:r>
            <w:r>
              <w:rPr>
                <w:rFonts w:hint="default" w:ascii="Times New Roman" w:hAnsi="Times New Roman" w:eastAsia="宋体" w:cs="Times New Roman"/>
                <w:color w:val="auto"/>
                <w:sz w:val="24"/>
                <w:highlight w:val="none"/>
              </w:rPr>
              <w:t>此</w:t>
            </w:r>
            <w:r>
              <w:rPr>
                <w:rFonts w:hint="eastAsia" w:ascii="Times New Roman" w:hAnsi="Times New Roman" w:eastAsia="宋体" w:cs="Times New Roman"/>
                <w:color w:val="auto"/>
                <w:sz w:val="24"/>
                <w:highlight w:val="none"/>
                <w:lang w:eastAsia="zh-CN"/>
              </w:rPr>
              <w:t>工序主要</w:t>
            </w:r>
            <w:r>
              <w:rPr>
                <w:rFonts w:hint="default" w:ascii="Times New Roman" w:hAnsi="Times New Roman" w:eastAsia="宋体" w:cs="Times New Roman"/>
                <w:color w:val="auto"/>
                <w:sz w:val="24"/>
                <w:highlight w:val="none"/>
              </w:rPr>
              <w:t>产生</w:t>
            </w:r>
            <w:r>
              <w:rPr>
                <w:rFonts w:hint="eastAsia" w:ascii="Times New Roman" w:hAnsi="Times New Roman" w:eastAsia="宋体" w:cs="Times New Roman"/>
                <w:color w:val="auto"/>
                <w:sz w:val="24"/>
                <w:highlight w:val="none"/>
              </w:rPr>
              <w:t>金属碎屑和边角料</w:t>
            </w:r>
            <w:r>
              <w:rPr>
                <w:rFonts w:hint="default" w:ascii="Times New Roman" w:hAnsi="Times New Roman" w:eastAsia="宋体" w:cs="Times New Roman"/>
                <w:color w:val="auto"/>
                <w:sz w:val="24"/>
                <w:highlight w:val="none"/>
              </w:rPr>
              <w:t>、噪声。</w:t>
            </w:r>
          </w:p>
          <w:p w14:paraId="64896FFB">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②</w:t>
            </w:r>
            <w:r>
              <w:rPr>
                <w:rFonts w:hint="eastAsia" w:ascii="Times New Roman" w:hAnsi="Times New Roman" w:eastAsia="宋体" w:cs="Times New Roman"/>
                <w:color w:val="auto"/>
                <w:sz w:val="24"/>
                <w:szCs w:val="24"/>
                <w:highlight w:val="none"/>
                <w:lang w:eastAsia="zh-CN"/>
              </w:rPr>
              <w:t>外框加工：外购的不锈钢板采用激光下料，利用</w:t>
            </w:r>
            <w:r>
              <w:rPr>
                <w:rFonts w:hint="eastAsia" w:ascii="Times New Roman" w:hAnsi="Times New Roman" w:eastAsia="宋体" w:cs="Times New Roman"/>
                <w:b w:val="0"/>
                <w:bCs w:val="0"/>
                <w:color w:val="auto"/>
                <w:spacing w:val="0"/>
                <w:sz w:val="24"/>
                <w:szCs w:val="24"/>
                <w:u w:val="none"/>
                <w:lang w:val="en-US" w:eastAsia="zh-CN"/>
              </w:rPr>
              <w:t>机械冲床进行冲孔，再使用管孔翻边机对管孔进行翻边，折弯机对钢板边</w:t>
            </w:r>
            <w:r>
              <w:rPr>
                <w:rFonts w:hint="default" w:ascii="Times New Roman" w:hAnsi="Times New Roman" w:eastAsia="宋体" w:cs="Times New Roman"/>
                <w:color w:val="auto"/>
                <w:sz w:val="24"/>
                <w:szCs w:val="24"/>
                <w:highlight w:val="none"/>
              </w:rPr>
              <w:t>缘</w:t>
            </w:r>
            <w:r>
              <w:rPr>
                <w:rFonts w:hint="eastAsia" w:ascii="Times New Roman" w:hAnsi="Times New Roman" w:eastAsia="宋体" w:cs="Times New Roman"/>
                <w:b w:val="0"/>
                <w:bCs w:val="0"/>
                <w:color w:val="auto"/>
                <w:spacing w:val="0"/>
                <w:sz w:val="24"/>
                <w:szCs w:val="24"/>
                <w:u w:val="none"/>
                <w:lang w:val="en-US" w:eastAsia="zh-CN"/>
              </w:rPr>
              <w:t>进行折弯加工，散热器外框转运至组装平台进行组装。</w:t>
            </w:r>
            <w:r>
              <w:rPr>
                <w:rFonts w:hint="default" w:ascii="Times New Roman" w:hAnsi="Times New Roman" w:eastAsia="宋体" w:cs="Times New Roman"/>
                <w:color w:val="auto"/>
                <w:sz w:val="24"/>
                <w:highlight w:val="none"/>
              </w:rPr>
              <w:t>此</w:t>
            </w:r>
            <w:r>
              <w:rPr>
                <w:rFonts w:hint="eastAsia" w:ascii="Times New Roman" w:hAnsi="Times New Roman" w:eastAsia="宋体" w:cs="Times New Roman"/>
                <w:color w:val="auto"/>
                <w:sz w:val="24"/>
                <w:highlight w:val="none"/>
                <w:lang w:eastAsia="zh-CN"/>
              </w:rPr>
              <w:t>工序主要</w:t>
            </w:r>
            <w:r>
              <w:rPr>
                <w:rFonts w:hint="default" w:ascii="Times New Roman" w:hAnsi="Times New Roman" w:eastAsia="宋体" w:cs="Times New Roman"/>
                <w:color w:val="auto"/>
                <w:sz w:val="24"/>
                <w:highlight w:val="none"/>
              </w:rPr>
              <w:t>产生</w:t>
            </w:r>
            <w:r>
              <w:rPr>
                <w:rFonts w:hint="eastAsia" w:ascii="Times New Roman" w:hAnsi="Times New Roman" w:eastAsia="宋体" w:cs="Times New Roman"/>
                <w:color w:val="auto"/>
                <w:sz w:val="24"/>
                <w:highlight w:val="none"/>
              </w:rPr>
              <w:t>金属碎屑和边角料</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切割粉尘和</w:t>
            </w:r>
            <w:r>
              <w:rPr>
                <w:rFonts w:hint="default" w:ascii="Times New Roman" w:hAnsi="Times New Roman" w:eastAsia="宋体" w:cs="Times New Roman"/>
                <w:color w:val="auto"/>
                <w:sz w:val="24"/>
                <w:highlight w:val="none"/>
              </w:rPr>
              <w:t>噪声</w:t>
            </w:r>
            <w:r>
              <w:rPr>
                <w:rFonts w:hint="eastAsia" w:ascii="Times New Roman" w:hAnsi="Times New Roman" w:eastAsia="宋体" w:cs="Times New Roman"/>
                <w:color w:val="auto"/>
                <w:sz w:val="24"/>
                <w:highlight w:val="none"/>
                <w:lang w:eastAsia="zh-CN"/>
              </w:rPr>
              <w:t>。</w:t>
            </w:r>
          </w:p>
          <w:p w14:paraId="080AFFE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③</w:t>
            </w:r>
            <w:r>
              <w:rPr>
                <w:rFonts w:hint="eastAsia" w:ascii="Times New Roman" w:hAnsi="Times New Roman" w:eastAsia="宋体" w:cs="Times New Roman"/>
                <w:color w:val="auto"/>
                <w:sz w:val="24"/>
                <w:szCs w:val="24"/>
                <w:highlight w:val="none"/>
                <w:lang w:eastAsia="zh-CN"/>
              </w:rPr>
              <w:t>基管加工：外购的成卷铜管利用</w:t>
            </w:r>
            <w:r>
              <w:rPr>
                <w:rFonts w:hint="eastAsia" w:ascii="Times New Roman" w:hAnsi="Times New Roman" w:eastAsia="宋体" w:cs="Times New Roman"/>
                <w:color w:val="auto"/>
                <w:sz w:val="24"/>
                <w:szCs w:val="24"/>
                <w:highlight w:val="none"/>
                <w:lang w:val="en-US" w:eastAsia="zh-CN"/>
              </w:rPr>
              <w:t>校直切断机进行拉直并按设计尺寸切断，利用手动长U弯管机将铜管弯制成U型，即为基管半成品，</w:t>
            </w:r>
            <w:r>
              <w:rPr>
                <w:rFonts w:hint="eastAsia" w:ascii="Times New Roman" w:hAnsi="Times New Roman" w:eastAsia="宋体" w:cs="Times New Roman"/>
                <w:b w:val="0"/>
                <w:bCs w:val="0"/>
                <w:color w:val="auto"/>
                <w:spacing w:val="0"/>
                <w:sz w:val="24"/>
                <w:szCs w:val="24"/>
                <w:u w:val="none"/>
                <w:lang w:val="en-US" w:eastAsia="zh-CN"/>
              </w:rPr>
              <w:t>转运至组装平台进行组装。</w:t>
            </w:r>
            <w:r>
              <w:rPr>
                <w:rFonts w:hint="default" w:ascii="Times New Roman" w:hAnsi="Times New Roman" w:eastAsia="宋体" w:cs="Times New Roman"/>
                <w:color w:val="auto"/>
                <w:sz w:val="24"/>
                <w:highlight w:val="none"/>
              </w:rPr>
              <w:t>此</w:t>
            </w:r>
            <w:r>
              <w:rPr>
                <w:rFonts w:hint="eastAsia" w:ascii="Times New Roman" w:hAnsi="Times New Roman" w:eastAsia="宋体" w:cs="Times New Roman"/>
                <w:color w:val="auto"/>
                <w:sz w:val="24"/>
                <w:highlight w:val="none"/>
                <w:lang w:eastAsia="zh-CN"/>
              </w:rPr>
              <w:t>工序主要</w:t>
            </w:r>
            <w:r>
              <w:rPr>
                <w:rFonts w:hint="default" w:ascii="Times New Roman" w:hAnsi="Times New Roman" w:eastAsia="宋体" w:cs="Times New Roman"/>
                <w:color w:val="auto"/>
                <w:sz w:val="24"/>
                <w:highlight w:val="none"/>
              </w:rPr>
              <w:t>产生</w:t>
            </w:r>
            <w:r>
              <w:rPr>
                <w:rFonts w:hint="eastAsia" w:ascii="Times New Roman" w:hAnsi="Times New Roman" w:eastAsia="宋体" w:cs="Times New Roman"/>
                <w:color w:val="auto"/>
                <w:sz w:val="24"/>
                <w:highlight w:val="none"/>
              </w:rPr>
              <w:t>金属碎屑和边角料</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切割粉尘和</w:t>
            </w:r>
            <w:r>
              <w:rPr>
                <w:rFonts w:hint="default" w:ascii="Times New Roman" w:hAnsi="Times New Roman" w:eastAsia="宋体" w:cs="Times New Roman"/>
                <w:color w:val="auto"/>
                <w:sz w:val="24"/>
                <w:highlight w:val="none"/>
              </w:rPr>
              <w:t>噪声</w:t>
            </w:r>
            <w:r>
              <w:rPr>
                <w:rFonts w:hint="eastAsia" w:ascii="Times New Roman" w:hAnsi="Times New Roman" w:eastAsia="宋体" w:cs="Times New Roman"/>
                <w:color w:val="auto"/>
                <w:sz w:val="24"/>
                <w:highlight w:val="none"/>
                <w:lang w:eastAsia="zh-CN"/>
              </w:rPr>
              <w:t>。</w:t>
            </w:r>
          </w:p>
          <w:p w14:paraId="26A37837">
            <w:pPr>
              <w:keepNext w:val="0"/>
              <w:keepLines w:val="0"/>
              <w:widowControl w:val="0"/>
              <w:suppressLineNumbers w:val="0"/>
              <w:spacing w:before="0" w:beforeAutospacing="0" w:after="0" w:afterAutospacing="0" w:line="360" w:lineRule="auto"/>
              <w:ind w:left="0" w:right="0" w:firstLine="480" w:firstLineChars="200"/>
              <w:jc w:val="both"/>
              <w:rPr>
                <w:rFonts w:hint="eastAsia" w:cs="Times New Roman"/>
                <w:b w:val="0"/>
                <w:bCs w:val="0"/>
                <w:color w:val="auto"/>
                <w:spacing w:val="0"/>
                <w:sz w:val="24"/>
                <w:szCs w:val="24"/>
                <w:u w:val="none"/>
                <w:lang w:val="en-US" w:eastAsia="zh-CN"/>
              </w:rPr>
            </w:pPr>
            <w:r>
              <w:rPr>
                <w:rFonts w:hint="eastAsia" w:ascii="Times New Roman" w:hAnsi="Times New Roman" w:eastAsia="宋体" w:cs="Times New Roman"/>
                <w:b w:val="0"/>
                <w:bCs w:val="0"/>
                <w:color w:val="auto"/>
                <w:spacing w:val="0"/>
                <w:sz w:val="24"/>
                <w:szCs w:val="24"/>
                <w:u w:val="none"/>
                <w:lang w:val="en-US" w:eastAsia="zh-CN"/>
              </w:rPr>
              <w:t>④集合</w:t>
            </w:r>
            <w:r>
              <w:rPr>
                <w:rFonts w:hint="eastAsia" w:cs="Times New Roman"/>
                <w:b w:val="0"/>
                <w:bCs w:val="0"/>
                <w:color w:val="auto"/>
                <w:spacing w:val="0"/>
                <w:sz w:val="24"/>
                <w:szCs w:val="24"/>
                <w:u w:val="none"/>
                <w:lang w:val="en-US" w:eastAsia="zh-CN"/>
              </w:rPr>
              <w:t>组装：翅片、外框和基管分别经加工后，均转运至组装平台进行组装。</w:t>
            </w:r>
            <w:r>
              <w:rPr>
                <w:rFonts w:hint="default" w:ascii="Times New Roman" w:hAnsi="Times New Roman" w:eastAsia="宋体" w:cs="Times New Roman"/>
                <w:color w:val="auto"/>
                <w:sz w:val="24"/>
                <w:szCs w:val="24"/>
                <w:highlight w:val="none"/>
              </w:rPr>
              <w:t>此工序</w:t>
            </w:r>
            <w:r>
              <w:rPr>
                <w:rFonts w:hint="eastAsia" w:ascii="Times New Roman" w:hAnsi="Times New Roman" w:eastAsia="宋体" w:cs="Times New Roman"/>
                <w:color w:val="auto"/>
                <w:sz w:val="24"/>
                <w:szCs w:val="24"/>
                <w:highlight w:val="none"/>
                <w:lang w:eastAsia="zh-CN"/>
              </w:rPr>
              <w:t>主要</w:t>
            </w:r>
            <w:r>
              <w:rPr>
                <w:rFonts w:hint="default" w:ascii="Times New Roman" w:hAnsi="Times New Roman" w:eastAsia="宋体" w:cs="Times New Roman"/>
                <w:color w:val="auto"/>
                <w:sz w:val="24"/>
                <w:szCs w:val="24"/>
                <w:highlight w:val="none"/>
              </w:rPr>
              <w:t>产生噪声。</w:t>
            </w:r>
          </w:p>
          <w:p w14:paraId="0C90360A">
            <w:pPr>
              <w:keepNext w:val="0"/>
              <w:keepLines w:val="0"/>
              <w:widowControl w:val="0"/>
              <w:suppressLineNumbers w:val="0"/>
              <w:spacing w:before="0" w:beforeAutospacing="0" w:after="0" w:afterAutospacing="0" w:line="360" w:lineRule="auto"/>
              <w:ind w:left="479" w:leftChars="228" w:right="0" w:firstLine="0" w:firstLineChars="0"/>
              <w:jc w:val="both"/>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rPr>
              <w:t>⑤</w:t>
            </w:r>
            <w:r>
              <w:rPr>
                <w:rFonts w:hint="eastAsia" w:cs="Times New Roman"/>
                <w:b w:val="0"/>
                <w:bCs w:val="0"/>
                <w:color w:val="auto"/>
                <w:spacing w:val="0"/>
                <w:sz w:val="24"/>
                <w:szCs w:val="24"/>
                <w:u w:val="none"/>
                <w:lang w:val="en-US" w:eastAsia="zh-CN"/>
              </w:rPr>
              <w:t>管口扩胀：利用</w:t>
            </w:r>
            <w:r>
              <w:rPr>
                <w:rFonts w:hint="eastAsia" w:ascii="Times New Roman" w:hAnsi="Times New Roman" w:eastAsia="宋体" w:cs="Times New Roman"/>
                <w:b w:val="0"/>
                <w:bCs w:val="0"/>
                <w:color w:val="auto"/>
                <w:spacing w:val="0"/>
                <w:sz w:val="24"/>
                <w:szCs w:val="24"/>
                <w:u w:val="none"/>
                <w:lang w:val="en-US" w:eastAsia="zh-CN"/>
              </w:rPr>
              <w:t>胀管机将换热管与管板进行胀管连接。</w:t>
            </w:r>
            <w:r>
              <w:rPr>
                <w:rFonts w:hint="default" w:ascii="Times New Roman" w:hAnsi="Times New Roman" w:eastAsia="宋体" w:cs="Times New Roman"/>
                <w:color w:val="auto"/>
                <w:sz w:val="24"/>
                <w:szCs w:val="24"/>
                <w:highlight w:val="none"/>
              </w:rPr>
              <w:t>此工序</w:t>
            </w:r>
            <w:r>
              <w:rPr>
                <w:rFonts w:hint="eastAsia" w:ascii="Times New Roman" w:hAnsi="Times New Roman" w:eastAsia="宋体" w:cs="Times New Roman"/>
                <w:color w:val="auto"/>
                <w:sz w:val="24"/>
                <w:szCs w:val="24"/>
                <w:highlight w:val="none"/>
                <w:lang w:eastAsia="zh-CN"/>
              </w:rPr>
              <w:t>主要</w:t>
            </w:r>
            <w:r>
              <w:rPr>
                <w:rFonts w:hint="default" w:ascii="Times New Roman" w:hAnsi="Times New Roman" w:eastAsia="宋体" w:cs="Times New Roman"/>
                <w:color w:val="auto"/>
                <w:sz w:val="24"/>
                <w:szCs w:val="24"/>
                <w:highlight w:val="none"/>
              </w:rPr>
              <w:t>产生噪</w:t>
            </w:r>
            <w:r>
              <w:rPr>
                <w:rFonts w:hint="eastAsia" w:ascii="Times New Roman" w:hAnsi="Times New Roman" w:eastAsia="宋体" w:cs="Times New Roman"/>
                <w:color w:val="auto"/>
                <w:sz w:val="24"/>
                <w:szCs w:val="24"/>
                <w:highlight w:val="none"/>
                <w:lang w:eastAsia="zh-CN"/>
              </w:rPr>
              <w:t>声。</w:t>
            </w:r>
          </w:p>
          <w:p w14:paraId="53B0D536">
            <w:pPr>
              <w:pStyle w:val="76"/>
              <w:keepNext w:val="0"/>
              <w:keepLines w:val="0"/>
              <w:widowControl w:val="0"/>
              <w:suppressLineNumbers w:val="0"/>
              <w:spacing w:before="0" w:beforeAutospacing="0" w:after="0" w:afterAutospacing="0" w:line="360" w:lineRule="auto"/>
              <w:ind w:left="0" w:right="0"/>
              <w:jc w:val="both"/>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highlight w:val="none"/>
                <w:lang w:eastAsia="zh-CN"/>
              </w:rPr>
              <w:t>⑥</w:t>
            </w:r>
            <w:r>
              <w:rPr>
                <w:rFonts w:hint="eastAsia" w:ascii="Times New Roman" w:hAnsi="Times New Roman" w:eastAsia="宋体" w:cs="Times New Roman"/>
                <w:color w:val="auto"/>
                <w:highlight w:val="none"/>
                <w:lang w:val="en-US" w:eastAsia="zh-CN"/>
              </w:rPr>
              <w:t>焊接：将组对好的外框、翅片和基管采用氩弧焊和激光焊方式进行焊接。此工序主</w:t>
            </w:r>
            <w:r>
              <w:rPr>
                <w:rFonts w:hint="eastAsia" w:ascii="Times New Roman" w:hAnsi="Times New Roman" w:eastAsia="宋体" w:cs="Times New Roman"/>
                <w:color w:val="auto"/>
                <w:sz w:val="24"/>
                <w:szCs w:val="24"/>
                <w:highlight w:val="none"/>
                <w:lang w:val="en-US" w:eastAsia="zh-CN"/>
              </w:rPr>
              <w:t>要产生焊接废气、废焊材及焊渣和噪声。</w:t>
            </w:r>
          </w:p>
          <w:p w14:paraId="6848F1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outlineLvl w:val="9"/>
              <w:rPr>
                <w:rFonts w:hint="eastAsia" w:cs="Times New Roman" w:eastAsiaTheme="minorEastAsia"/>
                <w:b w:val="0"/>
                <w:bCs w:val="0"/>
                <w:color w:val="000000" w:themeColor="text1"/>
                <w:spacing w:val="0"/>
                <w:kern w:val="2"/>
                <w:position w:val="0"/>
                <w:sz w:val="24"/>
                <w:szCs w:val="24"/>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auto"/>
                <w:sz w:val="24"/>
                <w:szCs w:val="24"/>
                <w:highlight w:val="none"/>
              </w:rPr>
              <w:t>⑦</w:t>
            </w:r>
            <w:r>
              <w:rPr>
                <w:rFonts w:hint="eastAsia" w:ascii="Times New Roman" w:hAnsi="Times New Roman" w:eastAsia="宋体" w:cs="Times New Roman"/>
                <w:color w:val="auto"/>
                <w:sz w:val="24"/>
                <w:szCs w:val="24"/>
                <w:highlight w:val="none"/>
                <w:lang w:eastAsia="zh-CN"/>
              </w:rPr>
              <w:t>氮气试压：在焊接完成后的</w:t>
            </w:r>
            <w:r>
              <w:rPr>
                <w:rFonts w:hint="default" w:hAnsi="宋体"/>
                <w:snapToGrid w:val="0"/>
                <w:kern w:val="0"/>
                <w:sz w:val="24"/>
                <w:szCs w:val="24"/>
              </w:rPr>
              <w:t>产品内部通入氮气，测试产品内部密封性。充氮气压力</w:t>
            </w:r>
            <w:r>
              <w:rPr>
                <w:rFonts w:hint="default"/>
                <w:snapToGrid w:val="0"/>
                <w:kern w:val="0"/>
                <w:sz w:val="24"/>
                <w:szCs w:val="24"/>
              </w:rPr>
              <w:t>250</w:t>
            </w:r>
            <w:r>
              <w:rPr>
                <w:rFonts w:hint="eastAsia"/>
                <w:snapToGrid w:val="0"/>
                <w:kern w:val="0"/>
                <w:sz w:val="24"/>
                <w:szCs w:val="24"/>
                <w:lang w:val="en-US" w:eastAsia="zh-CN"/>
              </w:rPr>
              <w:t>kP</w:t>
            </w:r>
            <w:r>
              <w:rPr>
                <w:rFonts w:hint="default"/>
                <w:snapToGrid w:val="0"/>
                <w:kern w:val="0"/>
                <w:sz w:val="24"/>
                <w:szCs w:val="24"/>
              </w:rPr>
              <w:t>a</w:t>
            </w:r>
            <w:r>
              <w:rPr>
                <w:rFonts w:hint="default" w:hAnsi="宋体"/>
                <w:snapToGrid w:val="0"/>
                <w:kern w:val="0"/>
                <w:sz w:val="24"/>
                <w:szCs w:val="24"/>
              </w:rPr>
              <w:t>。</w:t>
            </w:r>
            <w:r>
              <w:rPr>
                <w:rFonts w:hint="default" w:hAnsiTheme="minorEastAsia" w:eastAsiaTheme="minorEastAsia"/>
                <w:kern w:val="0"/>
                <w:sz w:val="24"/>
                <w:szCs w:val="24"/>
              </w:rPr>
              <w:t>经检验部分不合格品返回生产线再加工，此过程会产生不合格品</w:t>
            </w:r>
            <w:r>
              <w:rPr>
                <w:rFonts w:hint="eastAsia" w:eastAsiaTheme="minorEastAsia"/>
                <w:kern w:val="0"/>
                <w:sz w:val="24"/>
                <w:szCs w:val="24"/>
                <w:lang w:eastAsia="zh-CN"/>
              </w:rPr>
              <w:t>。合格品经外观检验后，即可入库待售。</w:t>
            </w:r>
          </w:p>
          <w:p w14:paraId="5D975BB8">
            <w:pPr>
              <w:pStyle w:val="76"/>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val="0"/>
                <w:bCs w:val="0"/>
                <w:color w:val="000000" w:themeColor="text1"/>
                <w:spacing w:val="0"/>
                <w:kern w:val="2"/>
                <w:position w:val="0"/>
                <w:sz w:val="24"/>
                <w:szCs w:val="20"/>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auto"/>
                <w:highlight w:val="none"/>
                <w:lang w:val="en-US" w:eastAsia="zh-CN"/>
              </w:rPr>
              <w:t xml:space="preserve"> </w:t>
            </w:r>
            <w:r>
              <w:rPr>
                <w:rFonts w:hint="eastAsia" w:cs="Times New Roman"/>
                <w:b w:val="0"/>
                <w:bCs w:val="0"/>
                <w:color w:val="000000" w:themeColor="text1"/>
                <w:spacing w:val="0"/>
                <w:kern w:val="2"/>
                <w:position w:val="0"/>
                <w:sz w:val="24"/>
                <w:szCs w:val="20"/>
                <w:highlight w:val="none"/>
                <w:u w:val="none" w:color="auto"/>
                <w:lang w:val="en-US" w:eastAsia="zh-CN" w:bidi="ar-SA"/>
                <w14:textFill>
                  <w14:solidFill>
                    <w14:schemeClr w14:val="tx1"/>
                  </w14:solidFill>
                </w14:textFill>
              </w:rPr>
              <w:t>（3</w:t>
            </w:r>
            <w:r>
              <w:rPr>
                <w:rFonts w:hint="default" w:ascii="Times New Roman" w:hAnsi="Times New Roman" w:cs="Times New Roman"/>
                <w:b w:val="0"/>
                <w:bCs w:val="0"/>
                <w:color w:val="000000" w:themeColor="text1"/>
                <w:spacing w:val="0"/>
                <w:kern w:val="2"/>
                <w:position w:val="0"/>
                <w:sz w:val="24"/>
                <w:szCs w:val="20"/>
                <w:highlight w:val="none"/>
                <w:u w:val="none" w:color="auto"/>
                <w:lang w:val="en-US" w:eastAsia="zh-CN" w:bidi="ar-SA"/>
                <w14:textFill>
                  <w14:solidFill>
                    <w14:schemeClr w14:val="tx1"/>
                  </w14:solidFill>
                </w14:textFill>
              </w:rPr>
              <w:t>）产排污环节</w:t>
            </w:r>
            <w:r>
              <w:rPr>
                <w:rFonts w:hint="eastAsia" w:cs="Times New Roman"/>
                <w:b w:val="0"/>
                <w:bCs w:val="0"/>
                <w:color w:val="000000" w:themeColor="text1"/>
                <w:spacing w:val="0"/>
                <w:kern w:val="2"/>
                <w:position w:val="0"/>
                <w:sz w:val="24"/>
                <w:szCs w:val="20"/>
                <w:highlight w:val="none"/>
                <w:u w:val="none" w:color="auto"/>
                <w:lang w:val="en-US" w:eastAsia="zh-CN" w:bidi="ar-SA"/>
                <w14:textFill>
                  <w14:solidFill>
                    <w14:schemeClr w14:val="tx1"/>
                  </w14:solidFill>
                </w14:textFill>
              </w:rPr>
              <w:t>汇总</w:t>
            </w:r>
          </w:p>
          <w:p w14:paraId="439A7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color w:val="000000" w:themeColor="text1"/>
                <w:spacing w:val="0"/>
                <w:position w:val="0"/>
                <w:szCs w:val="21"/>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kern w:val="2"/>
                <w:position w:val="0"/>
                <w:sz w:val="24"/>
                <w:szCs w:val="20"/>
                <w:highlight w:val="none"/>
                <w:u w:val="none" w:color="auto"/>
                <w:lang w:val="en-US" w:eastAsia="zh-CN" w:bidi="ar-SA"/>
                <w14:textFill>
                  <w14:solidFill>
                    <w14:schemeClr w14:val="tx1"/>
                  </w14:solidFill>
                </w14:textFill>
              </w:rPr>
              <w:t>项目运营期产污情况</w:t>
            </w:r>
            <w:r>
              <w:rPr>
                <w:rFonts w:hint="eastAsia" w:cs="Times New Roman"/>
                <w:b w:val="0"/>
                <w:bCs w:val="0"/>
                <w:color w:val="000000" w:themeColor="text1"/>
                <w:spacing w:val="0"/>
                <w:kern w:val="2"/>
                <w:position w:val="0"/>
                <w:sz w:val="24"/>
                <w:szCs w:val="20"/>
                <w:highlight w:val="none"/>
                <w:u w:val="none" w:color="auto"/>
                <w:lang w:val="en-US" w:eastAsia="zh-CN" w:bidi="ar-SA"/>
                <w14:textFill>
                  <w14:solidFill>
                    <w14:schemeClr w14:val="tx1"/>
                  </w14:solidFill>
                </w14:textFill>
              </w:rPr>
              <w:t>汇总</w:t>
            </w:r>
            <w:r>
              <w:rPr>
                <w:rFonts w:hint="default" w:ascii="Times New Roman" w:hAnsi="Times New Roman" w:eastAsia="宋体" w:cs="Times New Roman"/>
                <w:b w:val="0"/>
                <w:bCs w:val="0"/>
                <w:color w:val="000000" w:themeColor="text1"/>
                <w:spacing w:val="0"/>
                <w:kern w:val="2"/>
                <w:position w:val="0"/>
                <w:sz w:val="24"/>
                <w:szCs w:val="20"/>
                <w:highlight w:val="none"/>
                <w:u w:val="none" w:color="auto"/>
                <w:lang w:val="en-US" w:eastAsia="zh-CN" w:bidi="ar-SA"/>
                <w14:textFill>
                  <w14:solidFill>
                    <w14:schemeClr w14:val="tx1"/>
                  </w14:solidFill>
                </w14:textFill>
              </w:rPr>
              <w:t>如下</w:t>
            </w:r>
            <w:r>
              <w:rPr>
                <w:rFonts w:hint="default" w:ascii="Times New Roman" w:hAnsi="Times New Roman" w:cs="Times New Roman"/>
                <w:color w:val="000000" w:themeColor="text1"/>
                <w:spacing w:val="0"/>
                <w:position w:val="0"/>
                <w:sz w:val="24"/>
                <w:szCs w:val="24"/>
                <w:u w:val="none" w:color="auto"/>
                <w:lang w:val="en-US" w:eastAsia="zh-CN"/>
                <w14:textFill>
                  <w14:solidFill>
                    <w14:schemeClr w14:val="tx1"/>
                  </w14:solidFill>
                </w14:textFill>
              </w:rPr>
              <w:t>：</w:t>
            </w:r>
          </w:p>
          <w:p w14:paraId="056010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color w:val="000000" w:themeColor="text1"/>
                <w:spacing w:val="0"/>
                <w:position w:val="0"/>
                <w:sz w:val="24"/>
                <w:szCs w:val="24"/>
                <w:u w:val="none" w:color="auto"/>
                <w14:textFill>
                  <w14:solidFill>
                    <w14:schemeClr w14:val="tx1"/>
                  </w14:solidFill>
                </w14:textFill>
              </w:rPr>
              <w:t>表</w:t>
            </w:r>
            <w:r>
              <w:rPr>
                <w:rFonts w:hint="default" w:ascii="Times New Roman" w:hAnsi="Times New Roman" w:eastAsia="宋体" w:cs="Times New Roman"/>
                <w:b/>
                <w:color w:val="000000" w:themeColor="text1"/>
                <w:spacing w:val="0"/>
                <w:position w:val="0"/>
                <w:sz w:val="24"/>
                <w:szCs w:val="24"/>
                <w:u w:val="none" w:color="auto"/>
                <w:lang w:val="en-US" w:eastAsia="zh-CN"/>
                <w14:textFill>
                  <w14:solidFill>
                    <w14:schemeClr w14:val="tx1"/>
                  </w14:solidFill>
                </w14:textFill>
              </w:rPr>
              <w:t>2-</w:t>
            </w:r>
            <w:r>
              <w:rPr>
                <w:rFonts w:hint="eastAsia" w:cs="Times New Roman"/>
                <w:b/>
                <w:color w:val="000000" w:themeColor="text1"/>
                <w:spacing w:val="0"/>
                <w:position w:val="0"/>
                <w:sz w:val="24"/>
                <w:szCs w:val="24"/>
                <w:u w:val="none" w:color="auto"/>
                <w:lang w:val="en-US" w:eastAsia="zh-CN"/>
                <w14:textFill>
                  <w14:solidFill>
                    <w14:schemeClr w14:val="tx1"/>
                  </w14:solidFill>
                </w14:textFill>
              </w:rPr>
              <w:t>7</w:t>
            </w:r>
            <w:r>
              <w:rPr>
                <w:rFonts w:hint="default" w:ascii="Times New Roman" w:hAnsi="Times New Roman" w:eastAsia="宋体" w:cs="Times New Roman"/>
                <w:b/>
                <w:color w:val="000000" w:themeColor="text1"/>
                <w:spacing w:val="0"/>
                <w:position w:val="0"/>
                <w:sz w:val="24"/>
                <w:szCs w:val="24"/>
                <w:u w:val="non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position w:val="0"/>
                <w:sz w:val="24"/>
                <w:szCs w:val="24"/>
                <w:u w:val="none" w:color="auto"/>
                <w14:textFill>
                  <w14:solidFill>
                    <w14:schemeClr w14:val="tx1"/>
                  </w14:solidFill>
                </w14:textFill>
              </w:rPr>
              <w:t>生产工艺产污节点、主要污染物及治理措施</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6"/>
              <w:gridCol w:w="1476"/>
              <w:gridCol w:w="2106"/>
              <w:gridCol w:w="4668"/>
            </w:tblGrid>
            <w:tr w14:paraId="3A311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tcBorders>
                    <w:tl2br w:val="nil"/>
                    <w:tr2bl w:val="nil"/>
                  </w:tcBorders>
                  <w:shd w:val="clear" w:color="auto" w:fill="auto"/>
                  <w:vAlign w:val="center"/>
                </w:tcPr>
                <w:p w14:paraId="2B277F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t>类别</w:t>
                  </w:r>
                </w:p>
              </w:tc>
              <w:tc>
                <w:tcPr>
                  <w:tcW w:w="857" w:type="pct"/>
                  <w:tcBorders>
                    <w:tl2br w:val="nil"/>
                    <w:tr2bl w:val="nil"/>
                  </w:tcBorders>
                  <w:shd w:val="clear" w:color="auto" w:fill="auto"/>
                  <w:vAlign w:val="center"/>
                </w:tcPr>
                <w:p w14:paraId="63EC0A1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t>污染工序</w:t>
                  </w:r>
                </w:p>
              </w:tc>
              <w:tc>
                <w:tcPr>
                  <w:tcW w:w="1223" w:type="pct"/>
                  <w:tcBorders>
                    <w:tl2br w:val="nil"/>
                    <w:tr2bl w:val="nil"/>
                  </w:tcBorders>
                  <w:shd w:val="clear" w:color="auto" w:fill="auto"/>
                  <w:vAlign w:val="center"/>
                </w:tcPr>
                <w:p w14:paraId="4B0A021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b/>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t>主要污染</w:t>
                  </w:r>
                  <w:r>
                    <w:rPr>
                      <w:rFonts w:hint="eastAsia" w:cs="Times New Roman"/>
                      <w:b/>
                      <w:color w:val="000000" w:themeColor="text1"/>
                      <w:spacing w:val="0"/>
                      <w:position w:val="0"/>
                      <w:sz w:val="21"/>
                      <w:szCs w:val="21"/>
                      <w:u w:val="none" w:color="auto"/>
                      <w:lang w:eastAsia="zh-CN"/>
                      <w14:textFill>
                        <w14:solidFill>
                          <w14:schemeClr w14:val="tx1"/>
                        </w14:solidFill>
                      </w14:textFill>
                    </w:rPr>
                    <w:t>因子</w:t>
                  </w:r>
                </w:p>
              </w:tc>
              <w:tc>
                <w:tcPr>
                  <w:tcW w:w="2712" w:type="pct"/>
                  <w:tcBorders>
                    <w:tl2br w:val="nil"/>
                    <w:tr2bl w:val="nil"/>
                  </w:tcBorders>
                  <w:shd w:val="clear" w:color="auto" w:fill="auto"/>
                  <w:vAlign w:val="center"/>
                </w:tcPr>
                <w:p w14:paraId="3135C22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color w:val="000000" w:themeColor="text1"/>
                      <w:spacing w:val="0"/>
                      <w:position w:val="0"/>
                      <w:sz w:val="21"/>
                      <w:szCs w:val="21"/>
                      <w:u w:val="none" w:color="auto"/>
                      <w14:textFill>
                        <w14:solidFill>
                          <w14:schemeClr w14:val="tx1"/>
                        </w14:solidFill>
                      </w14:textFill>
                    </w:rPr>
                    <w:t>治理措施</w:t>
                  </w:r>
                </w:p>
              </w:tc>
            </w:tr>
            <w:tr w14:paraId="32B8E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restart"/>
                  <w:tcBorders>
                    <w:tl2br w:val="nil"/>
                    <w:tr2bl w:val="nil"/>
                  </w:tcBorders>
                  <w:shd w:val="clear" w:color="auto" w:fill="auto"/>
                  <w:vAlign w:val="center"/>
                </w:tcPr>
                <w:p w14:paraId="43E5F60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t>废气</w:t>
                  </w:r>
                </w:p>
              </w:tc>
              <w:tc>
                <w:tcPr>
                  <w:tcW w:w="857" w:type="pct"/>
                  <w:tcBorders>
                    <w:tl2br w:val="nil"/>
                    <w:tr2bl w:val="nil"/>
                  </w:tcBorders>
                  <w:shd w:val="clear" w:color="auto" w:fill="auto"/>
                  <w:vAlign w:val="center"/>
                </w:tcPr>
                <w:p w14:paraId="5B0AB5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b w:val="0"/>
                      <w:bCs/>
                      <w:color w:val="000000" w:themeColor="text1"/>
                      <w:spacing w:val="0"/>
                      <w:kern w:val="2"/>
                      <w:position w:val="0"/>
                      <w:sz w:val="21"/>
                      <w:szCs w:val="21"/>
                      <w:u w:val="none" w:color="auto"/>
                      <w:lang w:val="en-US" w:eastAsia="zh-CN" w:bidi="ar-SA"/>
                      <w14:textFill>
                        <w14:solidFill>
                          <w14:schemeClr w14:val="tx1"/>
                        </w14:solidFill>
                      </w14:textFill>
                    </w:rPr>
                  </w:pPr>
                  <w:r>
                    <w:rPr>
                      <w:rFonts w:hint="eastAsia" w:cs="Times New Roman"/>
                      <w:b w:val="0"/>
                      <w:bCs/>
                      <w:color w:val="000000" w:themeColor="text1"/>
                      <w:spacing w:val="0"/>
                      <w:kern w:val="2"/>
                      <w:position w:val="0"/>
                      <w:sz w:val="21"/>
                      <w:szCs w:val="21"/>
                      <w:u w:val="none" w:color="auto"/>
                      <w:lang w:val="en-US" w:eastAsia="zh-CN" w:bidi="ar-SA"/>
                      <w14:textFill>
                        <w14:solidFill>
                          <w14:schemeClr w14:val="tx1"/>
                        </w14:solidFill>
                      </w14:textFill>
                    </w:rPr>
                    <w:t>下料（切割、下料）</w:t>
                  </w:r>
                </w:p>
              </w:tc>
              <w:tc>
                <w:tcPr>
                  <w:tcW w:w="1223" w:type="pct"/>
                  <w:tcBorders>
                    <w:tl2br w:val="nil"/>
                    <w:tr2bl w:val="nil"/>
                  </w:tcBorders>
                  <w:shd w:val="clear" w:color="auto" w:fill="auto"/>
                  <w:vAlign w:val="center"/>
                </w:tcPr>
                <w:p w14:paraId="5CA84E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000000" w:themeColor="text1"/>
                      <w:spacing w:val="0"/>
                      <w:kern w:val="2"/>
                      <w:position w:val="0"/>
                      <w:sz w:val="21"/>
                      <w:szCs w:val="21"/>
                      <w:u w:val="none" w:color="auto"/>
                      <w:lang w:val="en-US" w:eastAsia="zh-CN" w:bidi="ar-SA"/>
                      <w14:textFill>
                        <w14:solidFill>
                          <w14:schemeClr w14:val="tx1"/>
                        </w14:solidFill>
                      </w14:textFill>
                    </w:rPr>
                  </w:pPr>
                  <w:r>
                    <w:rPr>
                      <w:rFonts w:hint="eastAsia" w:cs="Times New Roman"/>
                      <w:b w:val="0"/>
                      <w:bCs/>
                      <w:color w:val="000000" w:themeColor="text1"/>
                      <w:spacing w:val="0"/>
                      <w:position w:val="0"/>
                      <w:sz w:val="21"/>
                      <w:szCs w:val="21"/>
                      <w:u w:val="none" w:color="auto"/>
                      <w:lang w:eastAsia="zh-CN"/>
                      <w14:textFill>
                        <w14:solidFill>
                          <w14:schemeClr w14:val="tx1"/>
                        </w14:solidFill>
                      </w14:textFill>
                    </w:rPr>
                    <w:t>颗粒物</w:t>
                  </w:r>
                </w:p>
              </w:tc>
              <w:tc>
                <w:tcPr>
                  <w:tcW w:w="2712" w:type="pct"/>
                  <w:tcBorders>
                    <w:tl2br w:val="nil"/>
                    <w:tr2bl w:val="nil"/>
                  </w:tcBorders>
                  <w:shd w:val="clear" w:color="auto" w:fill="auto"/>
                  <w:vAlign w:val="center"/>
                </w:tcPr>
                <w:p w14:paraId="52258F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000000" w:themeColor="text1"/>
                      <w:spacing w:val="0"/>
                      <w:kern w:val="2"/>
                      <w:position w:val="0"/>
                      <w:sz w:val="21"/>
                      <w:szCs w:val="21"/>
                      <w:u w:val="none" w:color="auto"/>
                      <w:lang w:val="en-US" w:eastAsia="zh-CN" w:bidi="ar-SA"/>
                      <w14:textFill>
                        <w14:solidFill>
                          <w14:schemeClr w14:val="tx1"/>
                        </w14:solidFill>
                      </w14:textFill>
                    </w:rPr>
                  </w:pPr>
                  <w:r>
                    <w:rPr>
                      <w:rFonts w:hint="eastAsia" w:cs="Times New Roman"/>
                      <w:b w:val="0"/>
                      <w:bCs/>
                      <w:color w:val="000000" w:themeColor="text1"/>
                      <w:spacing w:val="0"/>
                      <w:kern w:val="2"/>
                      <w:position w:val="0"/>
                      <w:sz w:val="21"/>
                      <w:szCs w:val="21"/>
                      <w:u w:val="none" w:color="auto"/>
                      <w:lang w:val="en-US" w:eastAsia="zh-CN" w:bidi="ar-SA"/>
                      <w14:textFill>
                        <w14:solidFill>
                          <w14:schemeClr w14:val="tx1"/>
                        </w14:solidFill>
                      </w14:textFill>
                    </w:rPr>
                    <w:t>厂房内自然沉降，无组织排放</w:t>
                  </w:r>
                </w:p>
              </w:tc>
            </w:tr>
            <w:tr w14:paraId="425EE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continue"/>
                  <w:tcBorders>
                    <w:tl2br w:val="nil"/>
                    <w:tr2bl w:val="nil"/>
                  </w:tcBorders>
                  <w:shd w:val="clear" w:color="auto" w:fill="auto"/>
                  <w:vAlign w:val="center"/>
                </w:tcPr>
                <w:p w14:paraId="3749798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pPr>
                </w:p>
              </w:tc>
              <w:tc>
                <w:tcPr>
                  <w:tcW w:w="857" w:type="pct"/>
                  <w:tcBorders>
                    <w:tl2br w:val="nil"/>
                    <w:tr2bl w:val="nil"/>
                  </w:tcBorders>
                  <w:shd w:val="clear" w:color="auto" w:fill="auto"/>
                  <w:vAlign w:val="center"/>
                </w:tcPr>
                <w:p w14:paraId="6FE3A57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b w:val="0"/>
                      <w:bCs/>
                      <w:color w:val="000000" w:themeColor="text1"/>
                      <w:spacing w:val="0"/>
                      <w:position w:val="0"/>
                      <w:sz w:val="21"/>
                      <w:szCs w:val="21"/>
                      <w:u w:val="none" w:color="auto"/>
                      <w:lang w:eastAsia="zh-CN"/>
                      <w14:textFill>
                        <w14:solidFill>
                          <w14:schemeClr w14:val="tx1"/>
                        </w14:solidFill>
                      </w14:textFill>
                    </w:rPr>
                  </w:pPr>
                  <w:r>
                    <w:rPr>
                      <w:rFonts w:hint="eastAsia" w:cs="Times New Roman"/>
                      <w:b w:val="0"/>
                      <w:bCs/>
                      <w:color w:val="000000" w:themeColor="text1"/>
                      <w:spacing w:val="0"/>
                      <w:position w:val="0"/>
                      <w:sz w:val="21"/>
                      <w:szCs w:val="21"/>
                      <w:u w:val="none" w:color="auto"/>
                      <w:lang w:eastAsia="zh-CN"/>
                      <w14:textFill>
                        <w14:solidFill>
                          <w14:schemeClr w14:val="tx1"/>
                        </w14:solidFill>
                      </w14:textFill>
                    </w:rPr>
                    <w:t>焊接</w:t>
                  </w:r>
                </w:p>
              </w:tc>
              <w:tc>
                <w:tcPr>
                  <w:tcW w:w="1223" w:type="pct"/>
                  <w:tcBorders>
                    <w:tl2br w:val="nil"/>
                    <w:tr2bl w:val="nil"/>
                  </w:tcBorders>
                  <w:shd w:val="clear" w:color="auto" w:fill="auto"/>
                  <w:vAlign w:val="center"/>
                </w:tcPr>
                <w:p w14:paraId="363A78A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000000" w:themeColor="text1"/>
                      <w:spacing w:val="0"/>
                      <w:position w:val="0"/>
                      <w:sz w:val="21"/>
                      <w:szCs w:val="21"/>
                      <w:u w:val="none" w:color="auto"/>
                      <w:lang w:eastAsia="zh-CN"/>
                      <w14:textFill>
                        <w14:solidFill>
                          <w14:schemeClr w14:val="tx1"/>
                        </w14:solidFill>
                      </w14:textFill>
                    </w:rPr>
                  </w:pPr>
                  <w:r>
                    <w:rPr>
                      <w:rFonts w:hint="eastAsia" w:ascii="Times New Roman" w:hAnsi="Times New Roman" w:eastAsia="宋体" w:cs="Times New Roman"/>
                      <w:b w:val="0"/>
                      <w:bCs/>
                      <w:color w:val="000000" w:themeColor="text1"/>
                      <w:spacing w:val="0"/>
                      <w:position w:val="0"/>
                      <w:sz w:val="21"/>
                      <w:szCs w:val="21"/>
                      <w:u w:val="none" w:color="auto"/>
                      <w:lang w:eastAsia="zh-CN"/>
                      <w14:textFill>
                        <w14:solidFill>
                          <w14:schemeClr w14:val="tx1"/>
                        </w14:solidFill>
                      </w14:textFill>
                    </w:rPr>
                    <w:t>颗粒物</w:t>
                  </w:r>
                </w:p>
              </w:tc>
              <w:tc>
                <w:tcPr>
                  <w:tcW w:w="2712" w:type="pct"/>
                  <w:tcBorders>
                    <w:tl2br w:val="nil"/>
                    <w:tr2bl w:val="nil"/>
                  </w:tcBorders>
                  <w:shd w:val="clear" w:color="auto" w:fill="auto"/>
                  <w:vAlign w:val="center"/>
                </w:tcPr>
                <w:p w14:paraId="278EC2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000000" w:themeColor="text1"/>
                      <w:spacing w:val="0"/>
                      <w:position w:val="0"/>
                      <w:sz w:val="21"/>
                      <w:szCs w:val="21"/>
                      <w:u w:val="none" w:color="auto"/>
                      <w:lang w:val="en-US" w:eastAsia="zh-CN"/>
                      <w14:textFill>
                        <w14:solidFill>
                          <w14:schemeClr w14:val="tx1"/>
                        </w14:solidFill>
                      </w14:textFill>
                    </w:rPr>
                  </w:pPr>
                  <w:r>
                    <w:rPr>
                      <w:rFonts w:hint="eastAsia" w:cs="Times New Roman"/>
                      <w:b w:val="0"/>
                      <w:bCs/>
                      <w:color w:val="000000" w:themeColor="text1"/>
                      <w:spacing w:val="0"/>
                      <w:position w:val="0"/>
                      <w:sz w:val="21"/>
                      <w:szCs w:val="21"/>
                      <w:u w:val="none" w:color="auto"/>
                      <w:lang w:val="en-US" w:eastAsia="zh-CN"/>
                      <w14:textFill>
                        <w14:solidFill>
                          <w14:schemeClr w14:val="tx1"/>
                        </w14:solidFill>
                      </w14:textFill>
                    </w:rPr>
                    <w:t>移动式焊烟除尘器（新增）</w:t>
                  </w:r>
                </w:p>
              </w:tc>
            </w:tr>
            <w:tr w14:paraId="0BFDF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continue"/>
                  <w:tcBorders>
                    <w:tl2br w:val="nil"/>
                    <w:tr2bl w:val="nil"/>
                  </w:tcBorders>
                  <w:shd w:val="clear" w:color="auto" w:fill="auto"/>
                  <w:vAlign w:val="center"/>
                </w:tcPr>
                <w:p w14:paraId="1C5D4DB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pPr>
                </w:p>
              </w:tc>
              <w:tc>
                <w:tcPr>
                  <w:tcW w:w="857" w:type="pct"/>
                  <w:tcBorders>
                    <w:tl2br w:val="nil"/>
                    <w:tr2bl w:val="nil"/>
                  </w:tcBorders>
                  <w:shd w:val="clear" w:color="auto" w:fill="auto"/>
                  <w:vAlign w:val="center"/>
                </w:tcPr>
                <w:p w14:paraId="0D1DC3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b w:val="0"/>
                      <w:bCs/>
                      <w:color w:val="000000" w:themeColor="text1"/>
                      <w:spacing w:val="0"/>
                      <w:position w:val="0"/>
                      <w:sz w:val="21"/>
                      <w:szCs w:val="21"/>
                      <w:u w:val="none" w:color="auto"/>
                      <w:lang w:eastAsia="zh-CN"/>
                      <w14:textFill>
                        <w14:solidFill>
                          <w14:schemeClr w14:val="tx1"/>
                        </w14:solidFill>
                      </w14:textFill>
                    </w:rPr>
                  </w:pPr>
                  <w:r>
                    <w:rPr>
                      <w:rFonts w:hint="eastAsia" w:cs="Times New Roman"/>
                      <w:b w:val="0"/>
                      <w:bCs/>
                      <w:color w:val="000000" w:themeColor="text1"/>
                      <w:spacing w:val="0"/>
                      <w:position w:val="0"/>
                      <w:sz w:val="21"/>
                      <w:szCs w:val="21"/>
                      <w:u w:val="none" w:color="auto"/>
                      <w:lang w:eastAsia="zh-CN"/>
                      <w14:textFill>
                        <w14:solidFill>
                          <w14:schemeClr w14:val="tx1"/>
                        </w14:solidFill>
                      </w14:textFill>
                    </w:rPr>
                    <w:t>抛丸</w:t>
                  </w:r>
                </w:p>
              </w:tc>
              <w:tc>
                <w:tcPr>
                  <w:tcW w:w="1223" w:type="pct"/>
                  <w:tcBorders>
                    <w:tl2br w:val="nil"/>
                    <w:tr2bl w:val="nil"/>
                  </w:tcBorders>
                  <w:shd w:val="clear" w:color="auto" w:fill="auto"/>
                  <w:vAlign w:val="center"/>
                </w:tcPr>
                <w:p w14:paraId="0E9AD65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b w:val="0"/>
                      <w:bCs/>
                      <w:color w:val="000000" w:themeColor="text1"/>
                      <w:spacing w:val="0"/>
                      <w:position w:val="0"/>
                      <w:sz w:val="21"/>
                      <w:szCs w:val="21"/>
                      <w:u w:val="none" w:color="auto"/>
                      <w:lang w:eastAsia="zh-CN"/>
                      <w14:textFill>
                        <w14:solidFill>
                          <w14:schemeClr w14:val="tx1"/>
                        </w14:solidFill>
                      </w14:textFill>
                    </w:rPr>
                  </w:pPr>
                  <w:r>
                    <w:rPr>
                      <w:rFonts w:hint="eastAsia" w:cs="Times New Roman"/>
                      <w:b w:val="0"/>
                      <w:bCs/>
                      <w:color w:val="000000" w:themeColor="text1"/>
                      <w:spacing w:val="0"/>
                      <w:position w:val="0"/>
                      <w:sz w:val="21"/>
                      <w:szCs w:val="21"/>
                      <w:u w:val="none" w:color="auto"/>
                      <w:lang w:eastAsia="zh-CN"/>
                      <w14:textFill>
                        <w14:solidFill>
                          <w14:schemeClr w14:val="tx1"/>
                        </w14:solidFill>
                      </w14:textFill>
                    </w:rPr>
                    <w:t>颗粒物</w:t>
                  </w:r>
                </w:p>
              </w:tc>
              <w:tc>
                <w:tcPr>
                  <w:tcW w:w="2712" w:type="pct"/>
                  <w:tcBorders>
                    <w:tl2br w:val="nil"/>
                    <w:tr2bl w:val="nil"/>
                  </w:tcBorders>
                  <w:shd w:val="clear" w:color="auto" w:fill="auto"/>
                  <w:vAlign w:val="center"/>
                </w:tcPr>
                <w:p w14:paraId="2CB6E4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000000" w:themeColor="text1"/>
                      <w:spacing w:val="0"/>
                      <w:position w:val="0"/>
                      <w:sz w:val="21"/>
                      <w:szCs w:val="21"/>
                      <w:u w:val="none" w:color="auto"/>
                      <w14:textFill>
                        <w14:solidFill>
                          <w14:schemeClr w14:val="tx1"/>
                        </w14:solidFill>
                      </w14:textFill>
                    </w:rPr>
                  </w:pPr>
                  <w:r>
                    <w:rPr>
                      <w:rFonts w:hint="eastAsia" w:cs="Times New Roman"/>
                      <w:b w:val="0"/>
                      <w:bCs/>
                      <w:color w:val="auto"/>
                      <w:spacing w:val="0"/>
                      <w:position w:val="0"/>
                      <w:sz w:val="21"/>
                      <w:szCs w:val="21"/>
                      <w:u w:val="none" w:color="auto"/>
                      <w:lang w:eastAsia="zh-CN"/>
                    </w:rPr>
                    <w:t>抛丸机密闭</w:t>
                  </w:r>
                  <w:r>
                    <w:rPr>
                      <w:rFonts w:hint="default" w:ascii="Times New Roman" w:hAnsi="Times New Roman" w:eastAsia="宋体" w:cs="Times New Roman"/>
                      <w:b w:val="0"/>
                      <w:bCs/>
                      <w:color w:val="auto"/>
                      <w:spacing w:val="0"/>
                      <w:position w:val="0"/>
                      <w:sz w:val="21"/>
                      <w:szCs w:val="21"/>
                      <w:u w:val="none" w:color="auto"/>
                    </w:rPr>
                    <w:t>+</w:t>
                  </w:r>
                  <w:r>
                    <w:rPr>
                      <w:rFonts w:hint="eastAsia" w:cs="Times New Roman"/>
                      <w:b w:val="0"/>
                      <w:bCs/>
                      <w:color w:val="auto"/>
                      <w:spacing w:val="0"/>
                      <w:position w:val="0"/>
                      <w:sz w:val="21"/>
                      <w:szCs w:val="21"/>
                      <w:u w:val="none" w:color="auto"/>
                      <w:lang w:eastAsia="zh-CN"/>
                    </w:rPr>
                    <w:t>滤筒式除尘器</w:t>
                  </w:r>
                  <w:r>
                    <w:rPr>
                      <w:rFonts w:hint="default" w:ascii="Times New Roman" w:hAnsi="Times New Roman" w:eastAsia="宋体" w:cs="Times New Roman"/>
                      <w:b w:val="0"/>
                      <w:bCs/>
                      <w:color w:val="auto"/>
                      <w:spacing w:val="0"/>
                      <w:position w:val="0"/>
                      <w:sz w:val="21"/>
                      <w:szCs w:val="21"/>
                      <w:u w:val="none" w:color="auto"/>
                    </w:rPr>
                    <w:t>（TA00</w:t>
                  </w:r>
                  <w:r>
                    <w:rPr>
                      <w:rFonts w:hint="eastAsia" w:cs="Times New Roman"/>
                      <w:b w:val="0"/>
                      <w:bCs/>
                      <w:color w:val="auto"/>
                      <w:spacing w:val="0"/>
                      <w:position w:val="0"/>
                      <w:sz w:val="21"/>
                      <w:szCs w:val="21"/>
                      <w:u w:val="none" w:color="auto"/>
                      <w:lang w:val="en-US" w:eastAsia="zh-CN"/>
                    </w:rPr>
                    <w:t>3</w:t>
                  </w:r>
                  <w:r>
                    <w:rPr>
                      <w:rFonts w:hint="eastAsia" w:cs="Times New Roman"/>
                      <w:b w:val="0"/>
                      <w:bCs/>
                      <w:color w:val="000000" w:themeColor="text1"/>
                      <w:spacing w:val="0"/>
                      <w:position w:val="0"/>
                      <w:sz w:val="21"/>
                      <w:szCs w:val="21"/>
                      <w:u w:val="none" w:color="auto"/>
                      <w:lang w:val="en-US" w:eastAsia="zh-CN"/>
                      <w14:textFill>
                        <w14:solidFill>
                          <w14:schemeClr w14:val="tx1"/>
                        </w14:solidFill>
                      </w14:textFill>
                    </w:rPr>
                    <w:t>，现有</w:t>
                  </w:r>
                  <w:r>
                    <w:rPr>
                      <w:rFonts w:hint="default" w:ascii="Times New Roman" w:hAnsi="Times New Roman" w:eastAsia="宋体" w:cs="Times New Roman"/>
                      <w:b w:val="0"/>
                      <w:bCs/>
                      <w:color w:val="auto"/>
                      <w:spacing w:val="0"/>
                      <w:position w:val="0"/>
                      <w:sz w:val="21"/>
                      <w:szCs w:val="21"/>
                      <w:u w:val="none" w:color="auto"/>
                    </w:rPr>
                    <w:t>）+15米排气筒（DA00</w:t>
                  </w:r>
                  <w:r>
                    <w:rPr>
                      <w:rFonts w:hint="eastAsia" w:cs="Times New Roman"/>
                      <w:b w:val="0"/>
                      <w:bCs/>
                      <w:color w:val="auto"/>
                      <w:spacing w:val="0"/>
                      <w:position w:val="0"/>
                      <w:sz w:val="21"/>
                      <w:szCs w:val="21"/>
                      <w:u w:val="none" w:color="auto"/>
                      <w:lang w:val="en-US" w:eastAsia="zh-CN"/>
                    </w:rPr>
                    <w:t>3</w:t>
                  </w:r>
                  <w:r>
                    <w:rPr>
                      <w:rFonts w:hint="eastAsia" w:cs="Times New Roman"/>
                      <w:b w:val="0"/>
                      <w:bCs/>
                      <w:color w:val="000000" w:themeColor="text1"/>
                      <w:spacing w:val="0"/>
                      <w:position w:val="0"/>
                      <w:sz w:val="21"/>
                      <w:szCs w:val="21"/>
                      <w:u w:val="none" w:color="auto"/>
                      <w:lang w:val="en-US" w:eastAsia="zh-CN"/>
                      <w14:textFill>
                        <w14:solidFill>
                          <w14:schemeClr w14:val="tx1"/>
                        </w14:solidFill>
                      </w14:textFill>
                    </w:rPr>
                    <w:t>，现有</w:t>
                  </w:r>
                  <w:r>
                    <w:rPr>
                      <w:rFonts w:hint="default" w:ascii="Times New Roman" w:hAnsi="Times New Roman" w:eastAsia="宋体" w:cs="Times New Roman"/>
                      <w:b w:val="0"/>
                      <w:bCs/>
                      <w:color w:val="auto"/>
                      <w:spacing w:val="0"/>
                      <w:position w:val="0"/>
                      <w:sz w:val="21"/>
                      <w:szCs w:val="21"/>
                      <w:u w:val="none" w:color="auto"/>
                    </w:rPr>
                    <w:t>）</w:t>
                  </w:r>
                </w:p>
              </w:tc>
            </w:tr>
            <w:tr w14:paraId="575DC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continue"/>
                  <w:tcBorders>
                    <w:tl2br w:val="nil"/>
                    <w:tr2bl w:val="nil"/>
                  </w:tcBorders>
                  <w:shd w:val="clear" w:color="auto" w:fill="auto"/>
                  <w:vAlign w:val="center"/>
                </w:tcPr>
                <w:p w14:paraId="195575F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pPr>
                </w:p>
              </w:tc>
              <w:tc>
                <w:tcPr>
                  <w:tcW w:w="857" w:type="pct"/>
                  <w:tcBorders>
                    <w:tl2br w:val="nil"/>
                    <w:tr2bl w:val="nil"/>
                  </w:tcBorders>
                  <w:shd w:val="clear" w:color="auto" w:fill="auto"/>
                  <w:vAlign w:val="center"/>
                </w:tcPr>
                <w:p w14:paraId="741B56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cs="Times New Roman"/>
                      <w:b w:val="0"/>
                      <w:bCs/>
                      <w:color w:val="000000" w:themeColor="text1"/>
                      <w:spacing w:val="0"/>
                      <w:position w:val="0"/>
                      <w:sz w:val="21"/>
                      <w:szCs w:val="21"/>
                      <w:u w:val="none" w:color="auto"/>
                      <w:lang w:eastAsia="zh-CN"/>
                      <w14:textFill>
                        <w14:solidFill>
                          <w14:schemeClr w14:val="tx1"/>
                        </w14:solidFill>
                      </w14:textFill>
                    </w:rPr>
                  </w:pPr>
                  <w:r>
                    <w:rPr>
                      <w:rFonts w:hint="eastAsia" w:cs="Times New Roman"/>
                      <w:b w:val="0"/>
                      <w:bCs/>
                      <w:color w:val="000000" w:themeColor="text1"/>
                      <w:spacing w:val="0"/>
                      <w:position w:val="0"/>
                      <w:sz w:val="21"/>
                      <w:szCs w:val="21"/>
                      <w:u w:val="none" w:color="auto"/>
                      <w:lang w:eastAsia="zh-CN"/>
                      <w14:textFill>
                        <w14:solidFill>
                          <w14:schemeClr w14:val="tx1"/>
                        </w14:solidFill>
                      </w14:textFill>
                    </w:rPr>
                    <w:t>刷漆</w:t>
                  </w:r>
                </w:p>
              </w:tc>
              <w:tc>
                <w:tcPr>
                  <w:tcW w:w="1223" w:type="pct"/>
                  <w:tcBorders>
                    <w:tl2br w:val="nil"/>
                    <w:tr2bl w:val="nil"/>
                  </w:tcBorders>
                  <w:shd w:val="clear" w:color="auto" w:fill="auto"/>
                  <w:vAlign w:val="center"/>
                </w:tcPr>
                <w:p w14:paraId="3C7AAD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b w:val="0"/>
                      <w:bCs/>
                      <w:color w:val="000000" w:themeColor="text1"/>
                      <w:spacing w:val="0"/>
                      <w:position w:val="0"/>
                      <w:sz w:val="21"/>
                      <w:szCs w:val="21"/>
                      <w:u w:val="none" w:color="auto"/>
                      <w:lang w:eastAsia="zh-CN"/>
                      <w14:textFill>
                        <w14:solidFill>
                          <w14:schemeClr w14:val="tx1"/>
                        </w14:solidFill>
                      </w14:textFill>
                    </w:rPr>
                  </w:pPr>
                  <w:r>
                    <w:rPr>
                      <w:rFonts w:hint="eastAsia" w:cs="Times New Roman"/>
                      <w:b w:val="0"/>
                      <w:bCs/>
                      <w:color w:val="000000" w:themeColor="text1"/>
                      <w:spacing w:val="0"/>
                      <w:position w:val="0"/>
                      <w:sz w:val="21"/>
                      <w:szCs w:val="21"/>
                      <w:u w:val="none" w:color="auto"/>
                      <w:lang w:eastAsia="zh-CN"/>
                      <w14:textFill>
                        <w14:solidFill>
                          <w14:schemeClr w14:val="tx1"/>
                        </w14:solidFill>
                      </w14:textFill>
                    </w:rPr>
                    <w:t>颗粒物、二甲苯、挥发性有机物</w:t>
                  </w:r>
                </w:p>
              </w:tc>
              <w:tc>
                <w:tcPr>
                  <w:tcW w:w="2712" w:type="pct"/>
                  <w:tcBorders>
                    <w:tl2br w:val="nil"/>
                    <w:tr2bl w:val="nil"/>
                  </w:tcBorders>
                  <w:shd w:val="clear" w:color="auto" w:fill="auto"/>
                  <w:vAlign w:val="center"/>
                </w:tcPr>
                <w:p w14:paraId="645BB1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color w:val="auto"/>
                      <w:spacing w:val="0"/>
                      <w:position w:val="0"/>
                      <w:sz w:val="21"/>
                      <w:szCs w:val="21"/>
                      <w:u w:val="none" w:color="auto"/>
                      <w:lang w:val="en-US" w:eastAsia="zh-CN"/>
                    </w:rPr>
                  </w:pPr>
                  <w:r>
                    <w:rPr>
                      <w:rFonts w:hint="eastAsia" w:cs="Times New Roman"/>
                      <w:b w:val="0"/>
                      <w:bCs/>
                      <w:color w:val="auto"/>
                      <w:spacing w:val="0"/>
                      <w:position w:val="0"/>
                      <w:sz w:val="21"/>
                      <w:szCs w:val="21"/>
                      <w:u w:val="none" w:color="auto"/>
                      <w:lang w:eastAsia="zh-CN"/>
                    </w:rPr>
                    <w:t>负压收集</w:t>
                  </w:r>
                  <w:r>
                    <w:rPr>
                      <w:rFonts w:hint="eastAsia" w:cs="Times New Roman"/>
                      <w:b w:val="0"/>
                      <w:bCs/>
                      <w:color w:val="auto"/>
                      <w:spacing w:val="0"/>
                      <w:position w:val="0"/>
                      <w:sz w:val="21"/>
                      <w:szCs w:val="21"/>
                      <w:u w:val="none" w:color="auto"/>
                      <w:lang w:val="en-US" w:eastAsia="zh-CN"/>
                    </w:rPr>
                    <w:t>+</w:t>
                  </w:r>
                  <w:r>
                    <w:rPr>
                      <w:rFonts w:hint="eastAsia" w:ascii="Times New Roman" w:hAnsi="Times New Roman" w:eastAsia="宋体" w:cs="Times New Roman"/>
                      <w:b w:val="0"/>
                      <w:bCs/>
                      <w:color w:val="auto"/>
                      <w:spacing w:val="0"/>
                      <w:position w:val="0"/>
                      <w:sz w:val="21"/>
                      <w:szCs w:val="21"/>
                      <w:u w:val="none" w:color="auto"/>
                      <w:lang w:val="en-US" w:eastAsia="zh-CN"/>
                    </w:rPr>
                    <w:t>“干式过滤器+二级活性炭吸附装置”（TA002，在建）+15</w:t>
                  </w:r>
                  <w:r>
                    <w:rPr>
                      <w:rFonts w:hint="default" w:ascii="Times New Roman" w:hAnsi="Times New Roman" w:eastAsia="宋体" w:cs="Times New Roman"/>
                      <w:b w:val="0"/>
                      <w:bCs/>
                      <w:color w:val="auto"/>
                      <w:spacing w:val="0"/>
                      <w:position w:val="0"/>
                      <w:sz w:val="21"/>
                      <w:szCs w:val="21"/>
                      <w:u w:val="none" w:color="auto"/>
                    </w:rPr>
                    <w:t>米排气筒（DA00</w:t>
                  </w:r>
                  <w:r>
                    <w:rPr>
                      <w:rFonts w:hint="eastAsia" w:cs="Times New Roman"/>
                      <w:b w:val="0"/>
                      <w:bCs/>
                      <w:color w:val="auto"/>
                      <w:spacing w:val="0"/>
                      <w:position w:val="0"/>
                      <w:sz w:val="21"/>
                      <w:szCs w:val="21"/>
                      <w:u w:val="none" w:color="auto"/>
                      <w:lang w:val="en-US" w:eastAsia="zh-CN"/>
                    </w:rPr>
                    <w:t>2</w:t>
                  </w:r>
                  <w:r>
                    <w:rPr>
                      <w:rFonts w:hint="eastAsia" w:ascii="Times New Roman" w:hAnsi="Times New Roman" w:eastAsia="宋体" w:cs="Times New Roman"/>
                      <w:b w:val="0"/>
                      <w:bCs/>
                      <w:color w:val="auto"/>
                      <w:spacing w:val="0"/>
                      <w:position w:val="0"/>
                      <w:sz w:val="21"/>
                      <w:szCs w:val="21"/>
                      <w:u w:val="none" w:color="auto"/>
                      <w:lang w:val="en-US" w:eastAsia="zh-CN"/>
                    </w:rPr>
                    <w:t>，在建</w:t>
                  </w:r>
                  <w:r>
                    <w:rPr>
                      <w:rFonts w:hint="default" w:ascii="Times New Roman" w:hAnsi="Times New Roman" w:eastAsia="宋体" w:cs="Times New Roman"/>
                      <w:b w:val="0"/>
                      <w:bCs/>
                      <w:color w:val="auto"/>
                      <w:spacing w:val="0"/>
                      <w:position w:val="0"/>
                      <w:sz w:val="21"/>
                      <w:szCs w:val="21"/>
                      <w:u w:val="none" w:color="auto"/>
                    </w:rPr>
                    <w:t>）</w:t>
                  </w:r>
                </w:p>
              </w:tc>
            </w:tr>
            <w:tr w14:paraId="36305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06" w:type="pct"/>
                  <w:tcBorders>
                    <w:tl2br w:val="nil"/>
                    <w:tr2bl w:val="nil"/>
                  </w:tcBorders>
                  <w:shd w:val="clear" w:color="auto" w:fill="auto"/>
                  <w:vAlign w:val="center"/>
                </w:tcPr>
                <w:p w14:paraId="7E50C9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废水</w:t>
                  </w:r>
                </w:p>
              </w:tc>
              <w:tc>
                <w:tcPr>
                  <w:tcW w:w="857" w:type="pct"/>
                  <w:tcBorders>
                    <w:tl2br w:val="nil"/>
                    <w:tr2bl w:val="nil"/>
                  </w:tcBorders>
                  <w:shd w:val="clear" w:color="auto" w:fill="auto"/>
                  <w:vAlign w:val="center"/>
                </w:tcPr>
                <w:p w14:paraId="132D19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员工生活</w:t>
                  </w:r>
                </w:p>
              </w:tc>
              <w:tc>
                <w:tcPr>
                  <w:tcW w:w="1223" w:type="pct"/>
                  <w:tcBorders>
                    <w:tl2br w:val="nil"/>
                    <w:tr2bl w:val="nil"/>
                  </w:tcBorders>
                  <w:shd w:val="clear" w:color="auto" w:fill="auto"/>
                  <w:vAlign w:val="center"/>
                </w:tcPr>
                <w:p w14:paraId="7E5849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pH、</w:t>
                  </w:r>
                  <w:r>
                    <w:rPr>
                      <w:rFonts w:hint="default" w:ascii="Times New Roman" w:hAnsi="Times New Roman" w:eastAsia="宋体" w:cs="Times New Roman"/>
                      <w:color w:val="000000" w:themeColor="text1"/>
                      <w:spacing w:val="0"/>
                      <w:kern w:val="0"/>
                      <w:position w:val="0"/>
                      <w:sz w:val="21"/>
                      <w:szCs w:val="21"/>
                      <w:u w:val="none" w:color="auto"/>
                      <w14:textFill>
                        <w14:solidFill>
                          <w14:schemeClr w14:val="tx1"/>
                        </w14:solidFill>
                      </w14:textFill>
                    </w:rPr>
                    <w:t>COD、BOD</w:t>
                  </w:r>
                  <w:r>
                    <w:rPr>
                      <w:rFonts w:hint="default" w:ascii="Times New Roman" w:hAnsi="Times New Roman" w:eastAsia="宋体" w:cs="Times New Roman"/>
                      <w:color w:val="000000" w:themeColor="text1"/>
                      <w:spacing w:val="0"/>
                      <w:kern w:val="0"/>
                      <w:position w:val="0"/>
                      <w:sz w:val="21"/>
                      <w:szCs w:val="21"/>
                      <w:u w:val="none" w:color="auto"/>
                      <w:vertAlign w:val="subscript"/>
                      <w14:textFill>
                        <w14:solidFill>
                          <w14:schemeClr w14:val="tx1"/>
                        </w14:solidFill>
                      </w14:textFill>
                    </w:rPr>
                    <w:t>5</w:t>
                  </w:r>
                  <w:r>
                    <w:rPr>
                      <w:rFonts w:hint="default" w:ascii="Times New Roman" w:hAnsi="Times New Roman" w:eastAsia="宋体" w:cs="Times New Roman"/>
                      <w:color w:val="000000" w:themeColor="text1"/>
                      <w:spacing w:val="0"/>
                      <w:kern w:val="0"/>
                      <w:position w:val="0"/>
                      <w:sz w:val="21"/>
                      <w:szCs w:val="21"/>
                      <w:u w:val="none" w:color="auto"/>
                      <w14:textFill>
                        <w14:solidFill>
                          <w14:schemeClr w14:val="tx1"/>
                        </w14:solidFill>
                      </w14:textFill>
                    </w:rPr>
                    <w:t>、SS</w:t>
                  </w:r>
                  <w:r>
                    <w:rPr>
                      <w:rFonts w:hint="eastAsia" w:cs="Times New Roman"/>
                      <w:color w:val="000000" w:themeColor="text1"/>
                      <w:spacing w:val="0"/>
                      <w:kern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1"/>
                      <w:szCs w:val="21"/>
                      <w:u w:val="none" w:color="auto"/>
                      <w14:textFill>
                        <w14:solidFill>
                          <w14:schemeClr w14:val="tx1"/>
                        </w14:solidFill>
                      </w14:textFill>
                    </w:rPr>
                    <w:t>NH</w:t>
                  </w:r>
                  <w:r>
                    <w:rPr>
                      <w:rFonts w:hint="default" w:ascii="Times New Roman" w:hAnsi="Times New Roman" w:eastAsia="宋体" w:cs="Times New Roman"/>
                      <w:color w:val="000000" w:themeColor="text1"/>
                      <w:spacing w:val="0"/>
                      <w:kern w:val="0"/>
                      <w:position w:val="0"/>
                      <w:sz w:val="21"/>
                      <w:szCs w:val="21"/>
                      <w:u w:val="none" w:color="auto"/>
                      <w:vertAlign w:val="subscript"/>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21"/>
                      <w:szCs w:val="21"/>
                      <w:u w:val="none" w:color="auto"/>
                      <w14:textFill>
                        <w14:solidFill>
                          <w14:schemeClr w14:val="tx1"/>
                        </w14:solidFill>
                      </w14:textFill>
                    </w:rPr>
                    <w:t>-N、</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TP、</w:t>
                  </w:r>
                  <w:r>
                    <w:rPr>
                      <w:rFonts w:hint="eastAsia" w:cs="Times New Roman"/>
                      <w:color w:val="000000" w:themeColor="text1"/>
                      <w:spacing w:val="0"/>
                      <w:position w:val="0"/>
                      <w:sz w:val="21"/>
                      <w:szCs w:val="21"/>
                      <w:u w:val="none" w:color="auto"/>
                      <w:lang w:val="en-US" w:eastAsia="zh-CN"/>
                      <w14:textFill>
                        <w14:solidFill>
                          <w14:schemeClr w14:val="tx1"/>
                        </w14:solidFill>
                      </w14:textFill>
                    </w:rPr>
                    <w:t>TN</w:t>
                  </w:r>
                </w:p>
              </w:tc>
              <w:tc>
                <w:tcPr>
                  <w:tcW w:w="2712" w:type="pct"/>
                  <w:tcBorders>
                    <w:tl2br w:val="nil"/>
                    <w:tr2bl w:val="nil"/>
                  </w:tcBorders>
                  <w:shd w:val="clear" w:color="auto" w:fill="auto"/>
                  <w:vAlign w:val="center"/>
                </w:tcPr>
                <w:p w14:paraId="74A05D4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隔油池</w:t>
                  </w:r>
                  <w:r>
                    <w:rPr>
                      <w:rFonts w:hint="default" w:ascii="Times New Roman" w:hAnsi="Times New Roman" w:eastAsia="宋体" w:cs="Times New Roman"/>
                      <w:color w:val="000000" w:themeColor="text1"/>
                      <w:spacing w:val="0"/>
                      <w:position w:val="0"/>
                      <w:sz w:val="21"/>
                      <w:szCs w:val="21"/>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化粪池</w:t>
                  </w:r>
                  <w:r>
                    <w:rPr>
                      <w:rFonts w:hint="eastAsia" w:cs="Times New Roman"/>
                      <w:color w:val="000000" w:themeColor="text1"/>
                      <w:spacing w:val="0"/>
                      <w:position w:val="0"/>
                      <w:sz w:val="21"/>
                      <w:szCs w:val="21"/>
                      <w:u w:val="none" w:color="auto"/>
                      <w:lang w:eastAsia="zh-CN"/>
                      <w14:textFill>
                        <w14:solidFill>
                          <w14:schemeClr w14:val="tx1"/>
                        </w14:solidFill>
                      </w14:textFill>
                    </w:rPr>
                    <w:t>（</w:t>
                  </w:r>
                  <w:r>
                    <w:rPr>
                      <w:rFonts w:hint="eastAsia" w:cs="Times New Roman"/>
                      <w:b w:val="0"/>
                      <w:bCs/>
                      <w:color w:val="000000" w:themeColor="text1"/>
                      <w:spacing w:val="0"/>
                      <w:position w:val="0"/>
                      <w:sz w:val="21"/>
                      <w:szCs w:val="21"/>
                      <w:u w:val="none" w:color="auto"/>
                      <w:lang w:val="en-US" w:eastAsia="zh-CN"/>
                      <w14:textFill>
                        <w14:solidFill>
                          <w14:schemeClr w14:val="tx1"/>
                        </w14:solidFill>
                      </w14:textFill>
                    </w:rPr>
                    <w:t>均为现有</w:t>
                  </w:r>
                  <w:r>
                    <w:rPr>
                      <w:rFonts w:hint="eastAsia" w:cs="Times New Roman"/>
                      <w:color w:val="000000" w:themeColor="text1"/>
                      <w:spacing w:val="0"/>
                      <w:position w:val="0"/>
                      <w:sz w:val="21"/>
                      <w:szCs w:val="21"/>
                      <w:u w:val="none" w:color="auto"/>
                      <w:lang w:eastAsia="zh-CN"/>
                      <w14:textFill>
                        <w14:solidFill>
                          <w14:schemeClr w14:val="tx1"/>
                        </w14:solidFill>
                      </w14:textFill>
                    </w:rPr>
                    <w:t>）</w:t>
                  </w:r>
                </w:p>
              </w:tc>
            </w:tr>
            <w:tr w14:paraId="5B566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tcBorders>
                    <w:tl2br w:val="nil"/>
                    <w:tr2bl w:val="nil"/>
                  </w:tcBorders>
                  <w:shd w:val="clear" w:color="auto" w:fill="auto"/>
                  <w:vAlign w:val="center"/>
                </w:tcPr>
                <w:p w14:paraId="550FFFE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噪声</w:t>
                  </w:r>
                </w:p>
              </w:tc>
              <w:tc>
                <w:tcPr>
                  <w:tcW w:w="857" w:type="pct"/>
                  <w:tcBorders>
                    <w:tl2br w:val="nil"/>
                    <w:tr2bl w:val="nil"/>
                  </w:tcBorders>
                  <w:shd w:val="clear" w:color="auto" w:fill="auto"/>
                  <w:vAlign w:val="center"/>
                </w:tcPr>
                <w:p w14:paraId="5CC62C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生产设备</w:t>
                  </w:r>
                </w:p>
              </w:tc>
              <w:tc>
                <w:tcPr>
                  <w:tcW w:w="1223" w:type="pct"/>
                  <w:tcBorders>
                    <w:tl2br w:val="nil"/>
                    <w:tr2bl w:val="nil"/>
                  </w:tcBorders>
                  <w:shd w:val="clear" w:color="auto" w:fill="auto"/>
                  <w:vAlign w:val="center"/>
                </w:tcPr>
                <w:p w14:paraId="6EA664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各机械设备噪声</w:t>
                  </w:r>
                </w:p>
              </w:tc>
              <w:tc>
                <w:tcPr>
                  <w:tcW w:w="2712" w:type="pct"/>
                  <w:tcBorders>
                    <w:tl2br w:val="nil"/>
                    <w:tr2bl w:val="nil"/>
                  </w:tcBorders>
                  <w:shd w:val="clear" w:color="auto" w:fill="auto"/>
                  <w:vAlign w:val="center"/>
                </w:tcPr>
                <w:p w14:paraId="5C764B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隔声、减振等</w:t>
                  </w:r>
                </w:p>
              </w:tc>
            </w:tr>
            <w:tr w14:paraId="62BB4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restart"/>
                  <w:tcBorders>
                    <w:tl2br w:val="nil"/>
                    <w:tr2bl w:val="nil"/>
                  </w:tcBorders>
                  <w:shd w:val="clear" w:color="auto" w:fill="auto"/>
                  <w:vAlign w:val="center"/>
                </w:tcPr>
                <w:p w14:paraId="0B7B78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固废</w:t>
                  </w:r>
                </w:p>
              </w:tc>
              <w:tc>
                <w:tcPr>
                  <w:tcW w:w="857" w:type="pct"/>
                  <w:tcBorders>
                    <w:tl2br w:val="nil"/>
                    <w:tr2bl w:val="nil"/>
                  </w:tcBorders>
                  <w:shd w:val="clear" w:color="auto" w:fill="auto"/>
                  <w:vAlign w:val="center"/>
                </w:tcPr>
                <w:p w14:paraId="2820750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原料包装</w:t>
                  </w:r>
                </w:p>
              </w:tc>
              <w:tc>
                <w:tcPr>
                  <w:tcW w:w="1223" w:type="pct"/>
                  <w:tcBorders>
                    <w:tl2br w:val="nil"/>
                    <w:tr2bl w:val="nil"/>
                  </w:tcBorders>
                  <w:shd w:val="clear" w:color="auto" w:fill="auto"/>
                  <w:vAlign w:val="center"/>
                </w:tcPr>
                <w:p w14:paraId="1D61BE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一般性废包装材料</w:t>
                  </w:r>
                </w:p>
              </w:tc>
              <w:tc>
                <w:tcPr>
                  <w:tcW w:w="2712" w:type="pct"/>
                  <w:tcBorders>
                    <w:tl2br w:val="nil"/>
                    <w:tr2bl w:val="nil"/>
                  </w:tcBorders>
                  <w:shd w:val="clear" w:color="auto" w:fill="auto"/>
                  <w:vAlign w:val="center"/>
                </w:tcPr>
                <w:p w14:paraId="3C8FB2B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收集后外售综合利用</w:t>
                  </w:r>
                </w:p>
              </w:tc>
            </w:tr>
            <w:tr w14:paraId="3024A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continue"/>
                  <w:tcBorders>
                    <w:tl2br w:val="nil"/>
                    <w:tr2bl w:val="nil"/>
                  </w:tcBorders>
                  <w:shd w:val="clear" w:color="auto" w:fill="auto"/>
                  <w:vAlign w:val="center"/>
                </w:tcPr>
                <w:p w14:paraId="7EC0EC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p>
              </w:tc>
              <w:tc>
                <w:tcPr>
                  <w:tcW w:w="857" w:type="pct"/>
                  <w:tcBorders>
                    <w:tl2br w:val="nil"/>
                    <w:tr2bl w:val="nil"/>
                  </w:tcBorders>
                  <w:shd w:val="clear" w:color="auto" w:fill="auto"/>
                  <w:vAlign w:val="center"/>
                </w:tcPr>
                <w:p w14:paraId="55282E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000000" w:themeColor="text1"/>
                      <w:spacing w:val="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下料、</w:t>
                  </w:r>
                  <w:r>
                    <w:rPr>
                      <w:rFonts w:hint="eastAsia" w:ascii="Times New Roman" w:hAnsi="Times New Roman" w:eastAsia="宋体" w:cs="Times New Roman"/>
                      <w:color w:val="000000" w:themeColor="text1"/>
                      <w:spacing w:val="0"/>
                      <w:position w:val="0"/>
                      <w:sz w:val="21"/>
                      <w:szCs w:val="21"/>
                      <w:u w:val="none" w:color="auto"/>
                      <w:lang w:val="en-US" w:eastAsia="zh-CN"/>
                      <w14:textFill>
                        <w14:solidFill>
                          <w14:schemeClr w14:val="tx1"/>
                        </w14:solidFill>
                      </w14:textFill>
                    </w:rPr>
                    <w:t>矫直制孔、坡口加工、翅片冲孔、冲孔翻边、切割</w:t>
                  </w:r>
                </w:p>
              </w:tc>
              <w:tc>
                <w:tcPr>
                  <w:tcW w:w="1223" w:type="pct"/>
                  <w:tcBorders>
                    <w:tl2br w:val="nil"/>
                    <w:tr2bl w:val="nil"/>
                  </w:tcBorders>
                  <w:shd w:val="clear" w:color="auto" w:fill="auto"/>
                  <w:vAlign w:val="center"/>
                </w:tcPr>
                <w:p w14:paraId="130F3C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eastAsia" w:ascii="Times New Roman" w:hAnsi="Times New Roman" w:eastAsia="宋体" w:cs="Times New Roman"/>
                      <w:color w:val="000000" w:themeColor="text1"/>
                      <w:spacing w:val="0"/>
                      <w:kern w:val="2"/>
                      <w:position w:val="0"/>
                      <w:sz w:val="21"/>
                      <w:szCs w:val="21"/>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u w:val="none" w:color="auto"/>
                      <w14:textFill>
                        <w14:solidFill>
                          <w14:schemeClr w14:val="tx1"/>
                        </w14:solidFill>
                      </w14:textFill>
                    </w:rPr>
                    <w:t>金属碎屑和边角料</w:t>
                  </w:r>
                </w:p>
              </w:tc>
              <w:tc>
                <w:tcPr>
                  <w:tcW w:w="2712" w:type="pct"/>
                  <w:tcBorders>
                    <w:tl2br w:val="nil"/>
                    <w:tr2bl w:val="nil"/>
                  </w:tcBorders>
                  <w:shd w:val="clear" w:color="auto" w:fill="auto"/>
                  <w:vAlign w:val="center"/>
                </w:tcPr>
                <w:p w14:paraId="5C93D0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themeColor="text1"/>
                      <w:spacing w:val="0"/>
                      <w:kern w:val="2"/>
                      <w:positio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收集后外售综合利用</w:t>
                  </w:r>
                </w:p>
              </w:tc>
            </w:tr>
            <w:tr w14:paraId="203A3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continue"/>
                  <w:tcBorders>
                    <w:tl2br w:val="nil"/>
                    <w:tr2bl w:val="nil"/>
                  </w:tcBorders>
                  <w:shd w:val="clear" w:color="auto" w:fill="auto"/>
                  <w:vAlign w:val="center"/>
                </w:tcPr>
                <w:p w14:paraId="70E4F9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pPr>
                </w:p>
              </w:tc>
              <w:tc>
                <w:tcPr>
                  <w:tcW w:w="857" w:type="pct"/>
                  <w:tcBorders>
                    <w:tl2br w:val="nil"/>
                    <w:tr2bl w:val="nil"/>
                  </w:tcBorders>
                  <w:shd w:val="clear" w:color="auto" w:fill="auto"/>
                  <w:vAlign w:val="center"/>
                </w:tcPr>
                <w:p w14:paraId="014DACE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eastAsia" w:cs="Times New Roman"/>
                      <w:color w:val="000000" w:themeColor="text1"/>
                      <w:spacing w:val="0"/>
                      <w:position w:val="0"/>
                      <w:sz w:val="21"/>
                      <w:szCs w:val="21"/>
                      <w:u w:val="none" w:color="auto"/>
                      <w:lang w:eastAsia="zh-CN"/>
                      <w14:textFill>
                        <w14:solidFill>
                          <w14:schemeClr w14:val="tx1"/>
                        </w14:solidFill>
                      </w14:textFill>
                    </w:rPr>
                    <w:t>点焊、焊接、焊缝处理</w:t>
                  </w:r>
                </w:p>
              </w:tc>
              <w:tc>
                <w:tcPr>
                  <w:tcW w:w="1223" w:type="pct"/>
                  <w:tcBorders>
                    <w:tl2br w:val="nil"/>
                    <w:tr2bl w:val="nil"/>
                  </w:tcBorders>
                  <w:shd w:val="clear" w:color="auto" w:fill="auto"/>
                  <w:vAlign w:val="center"/>
                </w:tcPr>
                <w:p w14:paraId="082FEC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eastAsia" w:ascii="Times New Roman" w:hAnsi="Times New Roman" w:cs="Times New Roman"/>
                      <w:bCs/>
                      <w:color w:val="auto"/>
                      <w:sz w:val="21"/>
                      <w:szCs w:val="21"/>
                      <w:highlight w:val="none"/>
                      <w:lang w:val="zh-CN"/>
                    </w:rPr>
                    <w:t>废焊材及焊渣</w:t>
                  </w:r>
                </w:p>
              </w:tc>
              <w:tc>
                <w:tcPr>
                  <w:tcW w:w="2712" w:type="pct"/>
                  <w:tcBorders>
                    <w:tl2br w:val="nil"/>
                    <w:tr2bl w:val="nil"/>
                  </w:tcBorders>
                  <w:shd w:val="clear" w:color="auto" w:fill="auto"/>
                  <w:vAlign w:val="center"/>
                </w:tcPr>
                <w:p w14:paraId="2F9B67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收集后外售综合利用</w:t>
                  </w:r>
                </w:p>
              </w:tc>
            </w:tr>
            <w:tr w14:paraId="4BDD8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continue"/>
                  <w:tcBorders>
                    <w:tl2br w:val="nil"/>
                    <w:tr2bl w:val="nil"/>
                  </w:tcBorders>
                  <w:shd w:val="clear" w:color="auto" w:fill="auto"/>
                  <w:vAlign w:val="center"/>
                </w:tcPr>
                <w:p w14:paraId="1998105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pPr>
                </w:p>
              </w:tc>
              <w:tc>
                <w:tcPr>
                  <w:tcW w:w="857" w:type="pct"/>
                  <w:tcBorders>
                    <w:tl2br w:val="nil"/>
                    <w:tr2bl w:val="nil"/>
                  </w:tcBorders>
                  <w:shd w:val="clear" w:color="auto" w:fill="auto"/>
                  <w:vAlign w:val="center"/>
                </w:tcPr>
                <w:p w14:paraId="1D2C3B2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cs="Times New Roman"/>
                      <w:color w:val="000000" w:themeColor="text1"/>
                      <w:spacing w:val="0"/>
                      <w:position w:val="0"/>
                      <w:sz w:val="21"/>
                      <w:szCs w:val="21"/>
                      <w:u w:val="none" w:color="auto"/>
                      <w:lang w:eastAsia="zh-CN"/>
                      <w14:textFill>
                        <w14:solidFill>
                          <w14:schemeClr w14:val="tx1"/>
                        </w14:solidFill>
                      </w14:textFill>
                    </w:rPr>
                  </w:pPr>
                  <w:r>
                    <w:rPr>
                      <w:rFonts w:hint="eastAsia" w:cs="Times New Roman"/>
                      <w:color w:val="000000" w:themeColor="text1"/>
                      <w:spacing w:val="0"/>
                      <w:position w:val="0"/>
                      <w:sz w:val="21"/>
                      <w:szCs w:val="21"/>
                      <w:u w:val="none" w:color="auto"/>
                      <w:lang w:eastAsia="zh-CN"/>
                      <w14:textFill>
                        <w14:solidFill>
                          <w14:schemeClr w14:val="tx1"/>
                        </w14:solidFill>
                      </w14:textFill>
                    </w:rPr>
                    <w:t>含尘废气处理</w:t>
                  </w:r>
                </w:p>
              </w:tc>
              <w:tc>
                <w:tcPr>
                  <w:tcW w:w="1223" w:type="pct"/>
                  <w:tcBorders>
                    <w:tl2br w:val="nil"/>
                    <w:tr2bl w:val="nil"/>
                  </w:tcBorders>
                  <w:shd w:val="clear" w:color="auto" w:fill="auto"/>
                  <w:vAlign w:val="center"/>
                </w:tcPr>
                <w:p w14:paraId="73101A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cs="Times New Roman"/>
                      <w:bCs/>
                      <w:color w:val="auto"/>
                      <w:sz w:val="21"/>
                      <w:szCs w:val="21"/>
                      <w:highlight w:val="none"/>
                      <w:lang w:val="zh-CN"/>
                    </w:rPr>
                  </w:pPr>
                  <w:r>
                    <w:rPr>
                      <w:rFonts w:hint="eastAsia" w:ascii="Times New Roman" w:hAnsi="Times New Roman" w:cs="Times New Roman"/>
                      <w:bCs/>
                      <w:color w:val="auto"/>
                      <w:sz w:val="21"/>
                      <w:szCs w:val="21"/>
                      <w:highlight w:val="none"/>
                      <w:lang w:val="zh-CN"/>
                    </w:rPr>
                    <w:t>收集粉尘</w:t>
                  </w:r>
                </w:p>
              </w:tc>
              <w:tc>
                <w:tcPr>
                  <w:tcW w:w="2712" w:type="pct"/>
                  <w:tcBorders>
                    <w:tl2br w:val="nil"/>
                    <w:tr2bl w:val="nil"/>
                  </w:tcBorders>
                  <w:shd w:val="clear" w:color="auto" w:fill="auto"/>
                  <w:vAlign w:val="center"/>
                </w:tcPr>
                <w:p w14:paraId="6F6CEFF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收集后外售综合利用</w:t>
                  </w:r>
                </w:p>
              </w:tc>
            </w:tr>
            <w:tr w14:paraId="3F878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continue"/>
                  <w:tcBorders>
                    <w:tl2br w:val="nil"/>
                    <w:tr2bl w:val="nil"/>
                  </w:tcBorders>
                  <w:shd w:val="clear" w:color="auto" w:fill="auto"/>
                  <w:vAlign w:val="center"/>
                </w:tcPr>
                <w:p w14:paraId="2B87F4B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pPr>
                </w:p>
              </w:tc>
              <w:tc>
                <w:tcPr>
                  <w:tcW w:w="857" w:type="pct"/>
                  <w:tcBorders>
                    <w:tl2br w:val="nil"/>
                    <w:tr2bl w:val="nil"/>
                  </w:tcBorders>
                  <w:shd w:val="clear" w:color="auto" w:fill="auto"/>
                  <w:vAlign w:val="center"/>
                </w:tcPr>
                <w:p w14:paraId="753349F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kern w:val="2"/>
                      <w:position w:val="0"/>
                      <w:sz w:val="21"/>
                      <w:szCs w:val="21"/>
                      <w:u w:val="none" w:color="auto"/>
                      <w:lang w:val="en-US" w:eastAsia="zh-CN" w:bidi="ar-SA"/>
                      <w14:textFill>
                        <w14:solidFill>
                          <w14:schemeClr w14:val="tx1"/>
                        </w14:solidFill>
                      </w14:textFill>
                    </w:rPr>
                  </w:pPr>
                  <w:r>
                    <w:rPr>
                      <w:rFonts w:hint="eastAsia" w:cs="Times New Roman"/>
                      <w:color w:val="000000" w:themeColor="text1"/>
                      <w:spacing w:val="0"/>
                      <w:kern w:val="2"/>
                      <w:position w:val="0"/>
                      <w:sz w:val="21"/>
                      <w:szCs w:val="21"/>
                      <w:u w:val="none" w:color="auto"/>
                      <w:lang w:val="en-US" w:eastAsia="zh-CN" w:bidi="ar-SA"/>
                      <w14:textFill>
                        <w14:solidFill>
                          <w14:schemeClr w14:val="tx1"/>
                        </w14:solidFill>
                      </w14:textFill>
                    </w:rPr>
                    <w:t>刷漆</w:t>
                  </w:r>
                </w:p>
              </w:tc>
              <w:tc>
                <w:tcPr>
                  <w:tcW w:w="1223" w:type="pct"/>
                  <w:tcBorders>
                    <w:tl2br w:val="nil"/>
                    <w:tr2bl w:val="nil"/>
                  </w:tcBorders>
                  <w:shd w:val="clear" w:color="auto" w:fill="auto"/>
                  <w:vAlign w:val="center"/>
                </w:tcPr>
                <w:p w14:paraId="3D487E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themeColor="text1"/>
                      <w:spacing w:val="0"/>
                      <w:kern w:val="2"/>
                      <w:position w:val="0"/>
                      <w:sz w:val="21"/>
                      <w:szCs w:val="21"/>
                      <w:u w:val="none" w:color="auto"/>
                      <w:lang w:val="en-US" w:eastAsia="zh-CN" w:bidi="ar-SA"/>
                      <w14:textFill>
                        <w14:solidFill>
                          <w14:schemeClr w14:val="tx1"/>
                        </w14:solidFill>
                      </w14:textFill>
                    </w:rPr>
                  </w:pPr>
                  <w:r>
                    <w:rPr>
                      <w:rFonts w:hint="eastAsia" w:ascii="Times New Roman" w:hAnsi="Times New Roman" w:cs="Times New Roman"/>
                      <w:color w:val="auto"/>
                      <w:sz w:val="21"/>
                      <w:szCs w:val="21"/>
                      <w:highlight w:val="none"/>
                      <w:lang w:eastAsia="zh-CN"/>
                    </w:rPr>
                    <w:t>废油</w:t>
                  </w:r>
                  <w:r>
                    <w:rPr>
                      <w:rFonts w:hint="eastAsia" w:ascii="Times New Roman" w:hAnsi="Times New Roman" w:cs="Times New Roman"/>
                      <w:color w:val="auto"/>
                      <w:sz w:val="21"/>
                      <w:szCs w:val="21"/>
                      <w:highlight w:val="none"/>
                    </w:rPr>
                    <w:t>漆桶、</w:t>
                  </w:r>
                  <w:r>
                    <w:rPr>
                      <w:rFonts w:hint="eastAsia" w:ascii="Times New Roman" w:hAnsi="Times New Roman" w:cs="Times New Roman"/>
                      <w:color w:val="auto"/>
                      <w:sz w:val="21"/>
                      <w:szCs w:val="21"/>
                      <w:highlight w:val="none"/>
                      <w:lang w:eastAsia="zh-CN"/>
                    </w:rPr>
                    <w:t>废稀释剂桶和废固化剂桶、废毛刷</w:t>
                  </w:r>
                </w:p>
              </w:tc>
              <w:tc>
                <w:tcPr>
                  <w:tcW w:w="2712" w:type="pct"/>
                  <w:tcBorders>
                    <w:tl2br w:val="nil"/>
                    <w:tr2bl w:val="nil"/>
                  </w:tcBorders>
                  <w:shd w:val="clear" w:color="auto" w:fill="auto"/>
                  <w:vAlign w:val="center"/>
                </w:tcPr>
                <w:p w14:paraId="6A11AA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收集</w:t>
                  </w:r>
                  <w:r>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暂存于</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危废暂存间，定期委托有资质单位处理</w:t>
                  </w:r>
                  <w:r>
                    <w:rPr>
                      <w:rFonts w:hint="eastAsia" w:cs="Times New Roman"/>
                      <w:color w:val="000000" w:themeColor="text1"/>
                      <w:spacing w:val="0"/>
                      <w:position w:val="0"/>
                      <w:sz w:val="21"/>
                      <w:szCs w:val="21"/>
                      <w:u w:val="none" w:color="auto"/>
                      <w:lang w:eastAsia="zh-CN"/>
                      <w14:textFill>
                        <w14:solidFill>
                          <w14:schemeClr w14:val="tx1"/>
                        </w14:solidFill>
                      </w14:textFill>
                    </w:rPr>
                    <w:t>处置</w:t>
                  </w:r>
                </w:p>
              </w:tc>
            </w:tr>
            <w:tr w14:paraId="2345F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continue"/>
                  <w:tcBorders>
                    <w:tl2br w:val="nil"/>
                    <w:tr2bl w:val="nil"/>
                  </w:tcBorders>
                  <w:shd w:val="clear" w:color="auto" w:fill="auto"/>
                  <w:vAlign w:val="center"/>
                </w:tcPr>
                <w:p w14:paraId="54F40A7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pPr>
                </w:p>
              </w:tc>
              <w:tc>
                <w:tcPr>
                  <w:tcW w:w="857" w:type="pct"/>
                  <w:tcBorders>
                    <w:tl2br w:val="nil"/>
                    <w:tr2bl w:val="nil"/>
                  </w:tcBorders>
                  <w:shd w:val="clear" w:color="auto" w:fill="auto"/>
                  <w:vAlign w:val="center"/>
                </w:tcPr>
                <w:p w14:paraId="4EF5828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eastAsia" w:cs="Times New Roman"/>
                      <w:color w:val="000000" w:themeColor="text1"/>
                      <w:spacing w:val="0"/>
                      <w:position w:val="0"/>
                      <w:sz w:val="21"/>
                      <w:szCs w:val="21"/>
                      <w:u w:val="none" w:color="auto"/>
                      <w:lang w:eastAsia="zh-CN"/>
                      <w14:textFill>
                        <w14:solidFill>
                          <w14:schemeClr w14:val="tx1"/>
                        </w14:solidFill>
                      </w14:textFill>
                    </w:rPr>
                    <w:t>有机废气处理</w:t>
                  </w:r>
                </w:p>
              </w:tc>
              <w:tc>
                <w:tcPr>
                  <w:tcW w:w="1223" w:type="pct"/>
                  <w:tcBorders>
                    <w:tl2br w:val="nil"/>
                    <w:tr2bl w:val="nil"/>
                  </w:tcBorders>
                  <w:shd w:val="clear" w:color="auto" w:fill="auto"/>
                  <w:vAlign w:val="center"/>
                </w:tcPr>
                <w:p w14:paraId="6A38911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eastAsia" w:ascii="Times New Roman" w:hAnsi="Times New Roman" w:eastAsia="宋体" w:cs="Times New Roman"/>
                      <w:color w:val="auto"/>
                      <w:sz w:val="21"/>
                      <w:szCs w:val="21"/>
                      <w:highlight w:val="none"/>
                      <w:lang w:eastAsia="zh-CN"/>
                    </w:rPr>
                    <w:t>废过滤棉和废活性炭</w:t>
                  </w:r>
                </w:p>
              </w:tc>
              <w:tc>
                <w:tcPr>
                  <w:tcW w:w="2712" w:type="pct"/>
                  <w:tcBorders>
                    <w:tl2br w:val="nil"/>
                    <w:tr2bl w:val="nil"/>
                  </w:tcBorders>
                  <w:shd w:val="clear" w:color="auto" w:fill="auto"/>
                  <w:vAlign w:val="center"/>
                </w:tcPr>
                <w:p w14:paraId="6E8B2B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收集</w:t>
                  </w:r>
                  <w:r>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暂存于</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危废暂存间，定期委托有资质单位处理</w:t>
                  </w:r>
                  <w:r>
                    <w:rPr>
                      <w:rFonts w:hint="eastAsia" w:cs="Times New Roman"/>
                      <w:color w:val="000000" w:themeColor="text1"/>
                      <w:spacing w:val="0"/>
                      <w:position w:val="0"/>
                      <w:sz w:val="21"/>
                      <w:szCs w:val="21"/>
                      <w:u w:val="none" w:color="auto"/>
                      <w:lang w:eastAsia="zh-CN"/>
                      <w14:textFill>
                        <w14:solidFill>
                          <w14:schemeClr w14:val="tx1"/>
                        </w14:solidFill>
                      </w14:textFill>
                    </w:rPr>
                    <w:t>处置</w:t>
                  </w:r>
                </w:p>
              </w:tc>
            </w:tr>
            <w:tr w14:paraId="0AF55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continue"/>
                  <w:tcBorders>
                    <w:tl2br w:val="nil"/>
                    <w:tr2bl w:val="nil"/>
                  </w:tcBorders>
                  <w:shd w:val="clear" w:color="auto" w:fill="auto"/>
                  <w:vAlign w:val="center"/>
                </w:tcPr>
                <w:p w14:paraId="789B66C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pPr>
                </w:p>
              </w:tc>
              <w:tc>
                <w:tcPr>
                  <w:tcW w:w="857" w:type="pct"/>
                  <w:tcBorders>
                    <w:tl2br w:val="nil"/>
                    <w:tr2bl w:val="nil"/>
                  </w:tcBorders>
                  <w:shd w:val="clear" w:color="auto" w:fill="auto"/>
                  <w:vAlign w:val="center"/>
                </w:tcPr>
                <w:p w14:paraId="225DE41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eastAsia" w:cs="Times New Roman"/>
                      <w:color w:val="000000" w:themeColor="text1"/>
                      <w:spacing w:val="0"/>
                      <w:position w:val="0"/>
                      <w:sz w:val="21"/>
                      <w:szCs w:val="21"/>
                      <w:u w:val="none" w:color="auto"/>
                      <w:lang w:eastAsia="zh-CN"/>
                      <w14:textFill>
                        <w14:solidFill>
                          <w14:schemeClr w14:val="tx1"/>
                        </w14:solidFill>
                      </w14:textFill>
                    </w:rPr>
                  </w:pPr>
                  <w:r>
                    <w:rPr>
                      <w:rFonts w:hint="eastAsia" w:cs="Times New Roman"/>
                      <w:color w:val="000000" w:themeColor="text1"/>
                      <w:spacing w:val="0"/>
                      <w:position w:val="0"/>
                      <w:sz w:val="21"/>
                      <w:szCs w:val="21"/>
                      <w:u w:val="none" w:color="auto"/>
                      <w:lang w:eastAsia="zh-CN"/>
                      <w14:textFill>
                        <w14:solidFill>
                          <w14:schemeClr w14:val="tx1"/>
                        </w14:solidFill>
                      </w14:textFill>
                    </w:rPr>
                    <w:t>其它</w:t>
                  </w:r>
                </w:p>
              </w:tc>
              <w:tc>
                <w:tcPr>
                  <w:tcW w:w="1223" w:type="pct"/>
                  <w:tcBorders>
                    <w:tl2br w:val="nil"/>
                    <w:tr2bl w:val="nil"/>
                  </w:tcBorders>
                  <w:shd w:val="clear" w:color="auto" w:fill="auto"/>
                  <w:vAlign w:val="center"/>
                </w:tcPr>
                <w:p w14:paraId="226C10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eastAsia" w:cs="Times New Roman"/>
                      <w:color w:val="000000" w:themeColor="text1"/>
                      <w:spacing w:val="0"/>
                      <w:position w:val="0"/>
                      <w:sz w:val="21"/>
                      <w:szCs w:val="21"/>
                      <w:u w:val="none" w:color="auto"/>
                      <w:lang w:eastAsia="zh-CN"/>
                      <w14:textFill>
                        <w14:solidFill>
                          <w14:schemeClr w14:val="tx1"/>
                        </w14:solidFill>
                      </w14:textFill>
                    </w:rPr>
                    <w:t>废液压油、废冷却液、废润滑油、</w:t>
                  </w:r>
                  <w:r>
                    <w:rPr>
                      <w:rFonts w:hint="eastAsia" w:ascii="宋体" w:hAnsi="宋体" w:eastAsia="宋体" w:cs="宋体"/>
                      <w:color w:val="000000"/>
                      <w:kern w:val="0"/>
                      <w:sz w:val="21"/>
                      <w:szCs w:val="21"/>
                      <w:lang w:val="en-US" w:eastAsia="zh-CN" w:bidi="ar"/>
                    </w:rPr>
                    <w:t>废</w:t>
                  </w:r>
                  <w:r>
                    <w:rPr>
                      <w:rFonts w:hint="eastAsia" w:ascii="宋体" w:hAnsi="宋体" w:cs="宋体"/>
                      <w:color w:val="000000"/>
                      <w:kern w:val="0"/>
                      <w:sz w:val="21"/>
                      <w:szCs w:val="21"/>
                      <w:lang w:val="en-US" w:eastAsia="zh-CN" w:bidi="ar"/>
                    </w:rPr>
                    <w:t>含</w:t>
                  </w:r>
                  <w:r>
                    <w:rPr>
                      <w:rFonts w:hint="eastAsia" w:ascii="宋体" w:hAnsi="宋体" w:eastAsia="宋体" w:cs="宋体"/>
                      <w:color w:val="000000"/>
                      <w:kern w:val="0"/>
                      <w:sz w:val="21"/>
                      <w:szCs w:val="21"/>
                      <w:lang w:val="en-US" w:eastAsia="zh-CN" w:bidi="ar"/>
                    </w:rPr>
                    <w:t>油抹布及手套</w:t>
                  </w:r>
                  <w:r>
                    <w:rPr>
                      <w:rFonts w:hint="eastAsia" w:ascii="宋体" w:hAnsi="宋体" w:cs="宋体"/>
                      <w:color w:val="000000"/>
                      <w:kern w:val="0"/>
                      <w:sz w:val="21"/>
                      <w:szCs w:val="21"/>
                      <w:lang w:val="en-US" w:eastAsia="zh-CN" w:bidi="ar"/>
                    </w:rPr>
                    <w:t>、废油包装桶</w:t>
                  </w:r>
                </w:p>
              </w:tc>
              <w:tc>
                <w:tcPr>
                  <w:tcW w:w="2712" w:type="pct"/>
                  <w:tcBorders>
                    <w:tl2br w:val="nil"/>
                    <w:tr2bl w:val="nil"/>
                  </w:tcBorders>
                  <w:shd w:val="clear" w:color="auto" w:fill="auto"/>
                  <w:vAlign w:val="center"/>
                </w:tcPr>
                <w:p w14:paraId="135992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收集</w:t>
                  </w:r>
                  <w:r>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暂存于</w:t>
                  </w: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危废暂存间，定期委托有资质单位处理</w:t>
                  </w:r>
                  <w:r>
                    <w:rPr>
                      <w:rFonts w:hint="eastAsia" w:cs="Times New Roman"/>
                      <w:color w:val="000000" w:themeColor="text1"/>
                      <w:spacing w:val="0"/>
                      <w:position w:val="0"/>
                      <w:sz w:val="21"/>
                      <w:szCs w:val="21"/>
                      <w:u w:val="none" w:color="auto"/>
                      <w:lang w:eastAsia="zh-CN"/>
                      <w14:textFill>
                        <w14:solidFill>
                          <w14:schemeClr w14:val="tx1"/>
                        </w14:solidFill>
                      </w14:textFill>
                    </w:rPr>
                    <w:t>处置</w:t>
                  </w:r>
                </w:p>
              </w:tc>
            </w:tr>
            <w:tr w14:paraId="338BF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 w:type="pct"/>
                  <w:vMerge w:val="continue"/>
                  <w:tcBorders>
                    <w:tl2br w:val="nil"/>
                    <w:tr2bl w:val="nil"/>
                  </w:tcBorders>
                  <w:shd w:val="clear" w:color="auto" w:fill="auto"/>
                  <w:vAlign w:val="center"/>
                </w:tcPr>
                <w:p w14:paraId="0435939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pacing w:val="0"/>
                      <w:position w:val="0"/>
                      <w:sz w:val="21"/>
                      <w:szCs w:val="21"/>
                      <w:u w:val="none" w:color="auto"/>
                      <w14:textFill>
                        <w14:solidFill>
                          <w14:schemeClr w14:val="tx1"/>
                        </w14:solidFill>
                      </w14:textFill>
                    </w:rPr>
                  </w:pPr>
                </w:p>
              </w:tc>
              <w:tc>
                <w:tcPr>
                  <w:tcW w:w="857" w:type="pct"/>
                  <w:tcBorders>
                    <w:tl2br w:val="nil"/>
                    <w:tr2bl w:val="nil"/>
                  </w:tcBorders>
                  <w:shd w:val="clear" w:color="auto" w:fill="auto"/>
                  <w:vAlign w:val="center"/>
                </w:tcPr>
                <w:p w14:paraId="6B47BFA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员工生活</w:t>
                  </w:r>
                </w:p>
              </w:tc>
              <w:tc>
                <w:tcPr>
                  <w:tcW w:w="1223" w:type="pct"/>
                  <w:tcBorders>
                    <w:tl2br w:val="nil"/>
                    <w:tr2bl w:val="nil"/>
                  </w:tcBorders>
                  <w:shd w:val="clear" w:color="auto" w:fill="auto"/>
                  <w:vAlign w:val="center"/>
                </w:tcPr>
                <w:p w14:paraId="125E11B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生活垃圾</w:t>
                  </w:r>
                </w:p>
              </w:tc>
              <w:tc>
                <w:tcPr>
                  <w:tcW w:w="2712" w:type="pct"/>
                  <w:tcBorders>
                    <w:tl2br w:val="nil"/>
                    <w:tr2bl w:val="nil"/>
                  </w:tcBorders>
                  <w:shd w:val="clear" w:color="auto" w:fill="auto"/>
                  <w:vAlign w:val="center"/>
                </w:tcPr>
                <w:p w14:paraId="072C7D6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环卫部门清运</w:t>
                  </w:r>
                </w:p>
              </w:tc>
            </w:tr>
          </w:tbl>
          <w:p w14:paraId="1AC7BC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outlineLvl w:val="9"/>
              <w:rPr>
                <w:rFonts w:hint="default" w:ascii="Times New Roman" w:hAnsi="Times New Roman" w:eastAsia="宋体" w:cs="Times New Roman"/>
                <w:color w:val="000000" w:themeColor="text1"/>
                <w:spacing w:val="0"/>
                <w:position w:val="0"/>
                <w:u w:val="none" w:color="auto"/>
                <w:lang w:val="en-US" w:eastAsia="zh-CN"/>
                <w14:textFill>
                  <w14:solidFill>
                    <w14:schemeClr w14:val="tx1"/>
                  </w14:solidFill>
                </w14:textFill>
              </w:rPr>
            </w:pPr>
          </w:p>
        </w:tc>
      </w:tr>
      <w:tr w14:paraId="12D96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 w:type="pct"/>
            <w:noWrap w:val="0"/>
            <w:vAlign w:val="center"/>
          </w:tcPr>
          <w:p w14:paraId="44F8DB66">
            <w:pPr>
              <w:pStyle w:val="34"/>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lang w:val="en-US" w:eastAsia="zh-CN"/>
                <w14:textFill>
                  <w14:solidFill>
                    <w14:schemeClr w14:val="tx1"/>
                  </w14:solidFill>
                </w14:textFill>
              </w:rPr>
              <w:t>与项目有关的原有污染问题</w:t>
            </w:r>
          </w:p>
        </w:tc>
        <w:tc>
          <w:tcPr>
            <w:tcW w:w="4772" w:type="pct"/>
            <w:noWrap w:val="0"/>
            <w:vAlign w:val="top"/>
          </w:tcPr>
          <w:p w14:paraId="481D4B96">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outlineLvl w:val="9"/>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一、环保相关手续办理情况</w:t>
            </w:r>
          </w:p>
          <w:p w14:paraId="14B2A9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u w:val="none" w:color="auto"/>
                <w:lang w:val="en-US" w:eastAsia="zh-CN"/>
              </w:rPr>
            </w:pPr>
            <w:r>
              <w:rPr>
                <w:rFonts w:hint="eastAsia" w:eastAsia="宋体"/>
                <w:color w:val="auto"/>
                <w:sz w:val="24"/>
                <w:szCs w:val="24"/>
                <w:u w:val="none" w:color="auto"/>
                <w:lang w:val="en-US" w:eastAsia="zh-CN"/>
              </w:rPr>
              <w:t>湖南众联智能机械设备制造有限公司</w:t>
            </w:r>
            <w:r>
              <w:rPr>
                <w:rFonts w:hint="eastAsia" w:cs="Times New Roman"/>
                <w:color w:val="auto"/>
                <w:sz w:val="24"/>
                <w:highlight w:val="none"/>
                <w:u w:val="none" w:color="auto"/>
                <w:lang w:val="en-US" w:eastAsia="zh-CN"/>
              </w:rPr>
              <w:t>于2022年投资建设</w:t>
            </w:r>
            <w:r>
              <w:rPr>
                <w:rFonts w:hint="eastAsia" w:eastAsia="宋体" w:cs="Times New Roman"/>
                <w:color w:val="auto"/>
                <w:sz w:val="24"/>
                <w:highlight w:val="none"/>
                <w:u w:val="none" w:color="auto"/>
                <w:lang w:val="en-US" w:eastAsia="zh-CN"/>
              </w:rPr>
              <w:t>“</w:t>
            </w:r>
            <w:r>
              <w:rPr>
                <w:rFonts w:hint="eastAsia" w:ascii="Times New Roman" w:hAnsi="Times New Roman" w:eastAsia="宋体" w:cs="Times New Roman"/>
                <w:color w:val="000000"/>
                <w:kern w:val="0"/>
                <w:sz w:val="24"/>
                <w:szCs w:val="24"/>
                <w:u w:val="none" w:color="auto"/>
                <w:lang w:val="en-US" w:eastAsia="zh-CN" w:bidi="ar"/>
              </w:rPr>
              <w:t>湖南众联设备智能制造产业园</w:t>
            </w:r>
            <w:r>
              <w:rPr>
                <w:rFonts w:hint="default" w:ascii="Times New Roman" w:hAnsi="Times New Roman" w:eastAsia="宋体" w:cs="Times New Roman"/>
                <w:color w:val="000000"/>
                <w:kern w:val="0"/>
                <w:sz w:val="24"/>
                <w:szCs w:val="24"/>
                <w:u w:val="none" w:color="auto"/>
                <w:lang w:val="en-US" w:eastAsia="zh-CN" w:bidi="ar"/>
              </w:rPr>
              <w:t>建设项目</w:t>
            </w:r>
            <w:r>
              <w:rPr>
                <w:rFonts w:hint="eastAsia" w:ascii="Times New Roman" w:hAnsi="Times New Roman" w:eastAsia="宋体" w:cs="Times New Roman"/>
                <w:color w:val="auto"/>
                <w:sz w:val="24"/>
                <w:highlight w:val="none"/>
                <w:u w:val="none" w:color="auto"/>
                <w:lang w:val="en-US" w:eastAsia="zh-CN"/>
              </w:rPr>
              <w:t>”，</w:t>
            </w:r>
            <w:r>
              <w:rPr>
                <w:rFonts w:hint="eastAsia" w:ascii="Times New Roman" w:hAnsi="Times New Roman" w:cs="Times New Roman" w:eastAsiaTheme="minorEastAsia"/>
                <w:sz w:val="24"/>
                <w:szCs w:val="24"/>
                <w:lang w:eastAsia="zh-CN"/>
              </w:rPr>
              <w:t>该项目已于</w:t>
            </w:r>
            <w:r>
              <w:rPr>
                <w:rFonts w:hint="eastAsia" w:ascii="Times New Roman" w:hAnsi="Times New Roman" w:cs="Times New Roman" w:eastAsiaTheme="minorEastAsia"/>
                <w:sz w:val="24"/>
                <w:szCs w:val="24"/>
                <w:lang w:val="en-US" w:eastAsia="zh-CN"/>
              </w:rPr>
              <w:t>2024年</w:t>
            </w:r>
            <w:r>
              <w:rPr>
                <w:rFonts w:hint="eastAsia" w:ascii="Times New Roman" w:hAnsi="Times New Roman" w:cs="Times New Roman" w:eastAsiaTheme="minorEastAsia"/>
                <w:sz w:val="24"/>
                <w:szCs w:val="24"/>
                <w:lang w:eastAsia="zh-CN"/>
              </w:rPr>
              <w:t>完成第一阶段建设，</w:t>
            </w:r>
            <w:r>
              <w:rPr>
                <w:rFonts w:hint="eastAsia" w:ascii="Times New Roman" w:hAnsi="Times New Roman" w:eastAsia="宋体" w:cs="Times New Roman"/>
                <w:color w:val="auto"/>
                <w:sz w:val="24"/>
                <w:szCs w:val="24"/>
                <w:u w:val="none" w:color="auto"/>
                <w:lang w:val="en-US" w:eastAsia="zh-CN"/>
              </w:rPr>
              <w:t>形成年产1000t压力容器生产规模（其中抛丸喷漆外委）。</w:t>
            </w:r>
          </w:p>
          <w:p w14:paraId="4A0F1A1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现有工程相关</w:t>
            </w: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环保</w:t>
            </w: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手续</w:t>
            </w: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履行</w:t>
            </w:r>
            <w:r>
              <w:rPr>
                <w:rFonts w:hint="default" w:ascii="Times New Roman" w:hAnsi="Times New Roman" w:eastAsia="宋体"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情况详见下表</w:t>
            </w:r>
            <w:r>
              <w:rPr>
                <w:rFonts w:hint="eastAsia" w:cs="Times New Roman"/>
                <w:color w:val="000000" w:themeColor="text1"/>
                <w:spacing w:val="0"/>
                <w:w w:val="100"/>
                <w:kern w:val="0"/>
                <w:position w:val="0"/>
                <w:sz w:val="24"/>
                <w:szCs w:val="24"/>
                <w:highlight w:val="none"/>
                <w:u w:val="none" w:color="auto"/>
                <w:lang w:val="en-US" w:eastAsia="zh-CN" w:bidi="ar"/>
                <w14:textFill>
                  <w14:solidFill>
                    <w14:schemeClr w14:val="tx1"/>
                  </w14:solidFill>
                </w14:textFill>
              </w:rPr>
              <w:t>：</w:t>
            </w:r>
          </w:p>
          <w:p w14:paraId="42FA479E">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cs="Times New Roman"/>
                <w:b/>
                <w:bCs/>
                <w:color w:val="000000" w:themeColor="text1"/>
                <w:spacing w:val="0"/>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4"/>
                <w:szCs w:val="24"/>
                <w:highlight w:val="none"/>
                <w:u w:val="none" w:color="auto"/>
                <w:lang w:val="en-US" w:eastAsia="zh-CN"/>
                <w14:textFill>
                  <w14:solidFill>
                    <w14:schemeClr w14:val="tx1"/>
                  </w14:solidFill>
                </w14:textFill>
              </w:rPr>
              <w:t>表2-</w:t>
            </w:r>
            <w:r>
              <w:rPr>
                <w:rFonts w:hint="eastAsia" w:cs="Times New Roman"/>
                <w:b/>
                <w:bCs/>
                <w:color w:val="000000" w:themeColor="text1"/>
                <w:spacing w:val="0"/>
                <w:position w:val="0"/>
                <w:sz w:val="24"/>
                <w:szCs w:val="24"/>
                <w:highlight w:val="none"/>
                <w:u w:val="none" w:color="auto"/>
                <w:lang w:val="en-US" w:eastAsia="zh-CN"/>
                <w14:textFill>
                  <w14:solidFill>
                    <w14:schemeClr w14:val="tx1"/>
                  </w14:solidFill>
                </w14:textFill>
              </w:rPr>
              <w:t>8</w:t>
            </w:r>
            <w:r>
              <w:rPr>
                <w:rFonts w:hint="default" w:ascii="Times New Roman" w:hAnsi="Times New Roman" w:cs="Times New Roman"/>
                <w:b/>
                <w:bCs/>
                <w:color w:val="000000" w:themeColor="text1"/>
                <w:spacing w:val="0"/>
                <w:position w:val="0"/>
                <w:sz w:val="24"/>
                <w:szCs w:val="24"/>
                <w:highlight w:val="none"/>
                <w:u w:val="none" w:color="auto"/>
                <w:lang w:val="en-US" w:eastAsia="zh-CN"/>
                <w14:textFill>
                  <w14:solidFill>
                    <w14:schemeClr w14:val="tx1"/>
                  </w14:solidFill>
                </w14:textFill>
              </w:rPr>
              <w:t xml:space="preserve">   现有工程环保相关手续</w:t>
            </w:r>
            <w:r>
              <w:rPr>
                <w:rFonts w:hint="eastAsia" w:cs="Times New Roman"/>
                <w:b/>
                <w:bCs/>
                <w:color w:val="000000" w:themeColor="text1"/>
                <w:spacing w:val="0"/>
                <w:position w:val="0"/>
                <w:sz w:val="24"/>
                <w:szCs w:val="24"/>
                <w:highlight w:val="none"/>
                <w:u w:val="none" w:color="auto"/>
                <w:lang w:val="en-US" w:eastAsia="zh-CN"/>
                <w14:textFill>
                  <w14:solidFill>
                    <w14:schemeClr w14:val="tx1"/>
                  </w14:solidFill>
                </w14:textFill>
              </w:rPr>
              <w:t>履行</w:t>
            </w:r>
            <w:r>
              <w:rPr>
                <w:rFonts w:hint="default" w:ascii="Times New Roman" w:hAnsi="Times New Roman" w:cs="Times New Roman"/>
                <w:b/>
                <w:bCs/>
                <w:color w:val="000000" w:themeColor="text1"/>
                <w:spacing w:val="0"/>
                <w:position w:val="0"/>
                <w:sz w:val="24"/>
                <w:szCs w:val="24"/>
                <w:highlight w:val="none"/>
                <w:u w:val="none" w:color="auto"/>
                <w:lang w:val="en-US" w:eastAsia="zh-CN"/>
                <w14:textFill>
                  <w14:solidFill>
                    <w14:schemeClr w14:val="tx1"/>
                  </w14:solidFill>
                </w14:textFill>
              </w:rPr>
              <w:t>情况一览表</w:t>
            </w:r>
          </w:p>
          <w:tbl>
            <w:tblPr>
              <w:tblStyle w:val="37"/>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26"/>
              <w:gridCol w:w="7680"/>
            </w:tblGrid>
            <w:tr w14:paraId="7A41376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926" w:type="dxa"/>
                  <w:tcBorders>
                    <w:top w:val="single" w:color="auto" w:sz="12" w:space="0"/>
                    <w:left w:val="nil"/>
                    <w:bottom w:val="single" w:color="auto" w:sz="4" w:space="0"/>
                    <w:right w:val="single" w:color="auto" w:sz="4" w:space="0"/>
                  </w:tcBorders>
                  <w:shd w:val="clear" w:color="auto" w:fill="auto"/>
                  <w:vAlign w:val="center"/>
                </w:tcPr>
                <w:p w14:paraId="5D4348EB">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kern w:val="0"/>
                      <w:sz w:val="21"/>
                      <w:szCs w:val="21"/>
                      <w:u w:val="none" w:color="auto"/>
                    </w:rPr>
                  </w:pPr>
                  <w:r>
                    <w:rPr>
                      <w:rFonts w:hint="default" w:ascii="Times New Roman" w:hAnsi="Times New Roman" w:eastAsia="宋体" w:cs="Times New Roman"/>
                      <w:b/>
                      <w:bCs/>
                      <w:kern w:val="0"/>
                      <w:sz w:val="21"/>
                      <w:szCs w:val="21"/>
                      <w:u w:val="none" w:color="auto"/>
                      <w:lang w:val="en-US" w:eastAsia="zh-CN" w:bidi="ar"/>
                    </w:rPr>
                    <w:t>类别</w:t>
                  </w:r>
                </w:p>
              </w:tc>
              <w:tc>
                <w:tcPr>
                  <w:tcW w:w="7680" w:type="dxa"/>
                  <w:tcBorders>
                    <w:top w:val="single" w:color="auto" w:sz="12" w:space="0"/>
                    <w:left w:val="single" w:color="auto" w:sz="4" w:space="0"/>
                    <w:bottom w:val="single" w:color="auto" w:sz="4" w:space="0"/>
                    <w:right w:val="nil"/>
                  </w:tcBorders>
                  <w:shd w:val="clear" w:color="auto" w:fill="auto"/>
                  <w:vAlign w:val="center"/>
                </w:tcPr>
                <w:p w14:paraId="7D572E1D">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b/>
                      <w:bCs/>
                      <w:kern w:val="0"/>
                      <w:sz w:val="21"/>
                      <w:szCs w:val="21"/>
                      <w:u w:val="none" w:color="auto"/>
                    </w:rPr>
                  </w:pPr>
                  <w:r>
                    <w:rPr>
                      <w:rFonts w:hint="default" w:ascii="Times New Roman" w:hAnsi="Times New Roman" w:eastAsia="宋体" w:cs="Times New Roman"/>
                      <w:b/>
                      <w:bCs/>
                      <w:kern w:val="0"/>
                      <w:sz w:val="21"/>
                      <w:szCs w:val="21"/>
                      <w:u w:val="none" w:color="auto"/>
                      <w:lang w:val="en-US" w:eastAsia="zh-CN" w:bidi="ar"/>
                    </w:rPr>
                    <w:t>履行情况</w:t>
                  </w:r>
                </w:p>
              </w:tc>
            </w:tr>
            <w:tr w14:paraId="4F0E65F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926" w:type="dxa"/>
                  <w:tcBorders>
                    <w:top w:val="single" w:color="auto" w:sz="4" w:space="0"/>
                    <w:left w:val="nil"/>
                    <w:bottom w:val="single" w:color="auto" w:sz="4" w:space="0"/>
                    <w:right w:val="single" w:color="auto" w:sz="4" w:space="0"/>
                  </w:tcBorders>
                  <w:shd w:val="clear" w:color="auto" w:fill="auto"/>
                  <w:vAlign w:val="center"/>
                </w:tcPr>
                <w:p w14:paraId="136C2118">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kern w:val="0"/>
                      <w:sz w:val="21"/>
                      <w:szCs w:val="21"/>
                      <w:u w:val="none" w:color="auto"/>
                    </w:rPr>
                  </w:pPr>
                  <w:r>
                    <w:rPr>
                      <w:rFonts w:hint="default" w:ascii="Times New Roman" w:hAnsi="Times New Roman" w:eastAsia="宋体" w:cs="Times New Roman"/>
                      <w:b w:val="0"/>
                      <w:bCs/>
                      <w:kern w:val="0"/>
                      <w:sz w:val="21"/>
                      <w:szCs w:val="21"/>
                      <w:u w:val="none" w:color="auto"/>
                      <w:lang w:val="en-US" w:eastAsia="zh-CN" w:bidi="ar"/>
                    </w:rPr>
                    <w:t>环评</w:t>
                  </w:r>
                </w:p>
              </w:tc>
              <w:tc>
                <w:tcPr>
                  <w:tcW w:w="7680" w:type="dxa"/>
                  <w:tcBorders>
                    <w:top w:val="single" w:color="auto" w:sz="4" w:space="0"/>
                    <w:left w:val="single" w:color="auto" w:sz="4" w:space="0"/>
                    <w:bottom w:val="single" w:color="auto" w:sz="4" w:space="0"/>
                    <w:right w:val="nil"/>
                  </w:tcBorders>
                  <w:shd w:val="clear" w:color="auto" w:fill="auto"/>
                  <w:vAlign w:val="center"/>
                </w:tcPr>
                <w:p w14:paraId="5E12C7C5">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420" w:firstLineChars="200"/>
                    <w:jc w:val="both"/>
                    <w:textAlignment w:val="auto"/>
                    <w:rPr>
                      <w:rFonts w:hint="default" w:ascii="Times New Roman" w:hAnsi="Times New Roman" w:cs="Times New Roman"/>
                      <w:b w:val="0"/>
                      <w:bCs/>
                      <w:kern w:val="0"/>
                      <w:sz w:val="21"/>
                      <w:szCs w:val="21"/>
                      <w:u w:val="none" w:color="auto"/>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22</w:t>
                  </w:r>
                  <w:r>
                    <w:rPr>
                      <w:rFonts w:hint="default" w:ascii="Times New Roman" w:hAnsi="Times New Roman" w:cs="Times New Roman" w:eastAsiaTheme="minorEastAsia"/>
                      <w:sz w:val="21"/>
                      <w:szCs w:val="21"/>
                    </w:rPr>
                    <w:t>年</w:t>
                  </w:r>
                  <w:r>
                    <w:rPr>
                      <w:rFonts w:hint="default" w:ascii="Times New Roman" w:hAnsi="Times New Roman" w:cs="Times New Roman" w:eastAsiaTheme="minorEastAsia"/>
                      <w:sz w:val="21"/>
                      <w:szCs w:val="21"/>
                      <w:lang w:val="en-US" w:eastAsia="zh-CN"/>
                    </w:rPr>
                    <w:t>11</w:t>
                  </w:r>
                  <w:r>
                    <w:rPr>
                      <w:rFonts w:hint="default" w:ascii="Times New Roman" w:hAnsi="Times New Roman" w:cs="Times New Roman" w:eastAsiaTheme="minorEastAsia"/>
                      <w:sz w:val="21"/>
                      <w:szCs w:val="21"/>
                    </w:rPr>
                    <w:t>月</w:t>
                  </w: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日取得岳阳市生态环境局</w:t>
                  </w:r>
                  <w:r>
                    <w:rPr>
                      <w:rFonts w:hint="default" w:ascii="Times New Roman" w:hAnsi="Times New Roman" w:cs="Times New Roman" w:eastAsiaTheme="minorEastAsia"/>
                      <w:sz w:val="21"/>
                      <w:szCs w:val="21"/>
                      <w:lang w:eastAsia="zh-CN"/>
                    </w:rPr>
                    <w:t>城陵矶新港区分局</w:t>
                  </w:r>
                  <w:r>
                    <w:rPr>
                      <w:rFonts w:hint="default" w:ascii="Times New Roman" w:hAnsi="Times New Roman" w:cs="Times New Roman" w:eastAsiaTheme="minorEastAsia"/>
                      <w:sz w:val="21"/>
                      <w:szCs w:val="21"/>
                    </w:rPr>
                    <w:t>出具的</w:t>
                  </w:r>
                  <w:r>
                    <w:rPr>
                      <w:rFonts w:hint="default" w:ascii="Times New Roman" w:hAnsi="Times New Roman" w:cs="Times New Roman" w:eastAsiaTheme="minorEastAsia"/>
                      <w:sz w:val="21"/>
                      <w:szCs w:val="21"/>
                      <w:lang w:eastAsia="zh-CN"/>
                    </w:rPr>
                    <w:t>《湖南众联设备智能制造产业园项目环境影响评价文件告知承诺制审批表》（审批号：</w:t>
                  </w:r>
                  <w:r>
                    <w:rPr>
                      <w:rFonts w:hint="default" w:ascii="Times New Roman" w:hAnsi="Times New Roman" w:cs="Times New Roman" w:eastAsiaTheme="minorEastAsia"/>
                      <w:sz w:val="21"/>
                      <w:szCs w:val="21"/>
                      <w:lang w:val="en-US" w:eastAsia="zh-CN"/>
                    </w:rPr>
                    <w:t>岳港环评【2022】19号，附件4</w:t>
                  </w:r>
                  <w:r>
                    <w:rPr>
                      <w:rFonts w:hint="default" w:ascii="Times New Roman" w:hAnsi="Times New Roman" w:cs="Times New Roman" w:eastAsiaTheme="minorEastAsia"/>
                      <w:sz w:val="21"/>
                      <w:szCs w:val="21"/>
                      <w:lang w:eastAsia="zh-CN"/>
                    </w:rPr>
                    <w:t>）</w:t>
                  </w:r>
                  <w:r>
                    <w:rPr>
                      <w:rFonts w:hint="default" w:ascii="Times New Roman" w:hAnsi="Times New Roman" w:eastAsia="宋体" w:cs="Times New Roman"/>
                      <w:color w:val="auto"/>
                      <w:sz w:val="21"/>
                      <w:szCs w:val="21"/>
                      <w:highlight w:val="none"/>
                      <w:u w:val="none" w:color="auto"/>
                      <w:lang w:val="en-US" w:eastAsia="zh-CN"/>
                    </w:rPr>
                    <w:t>。</w:t>
                  </w:r>
                </w:p>
              </w:tc>
            </w:tr>
            <w:tr w14:paraId="2042FB6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26" w:type="dxa"/>
                  <w:tcBorders>
                    <w:top w:val="single" w:color="auto" w:sz="4" w:space="0"/>
                    <w:left w:val="nil"/>
                    <w:bottom w:val="single" w:color="auto" w:sz="4" w:space="0"/>
                    <w:right w:val="single" w:color="auto" w:sz="4" w:space="0"/>
                  </w:tcBorders>
                  <w:shd w:val="clear" w:color="auto" w:fill="auto"/>
                  <w:vAlign w:val="center"/>
                </w:tcPr>
                <w:p w14:paraId="0CC2CDDE">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kern w:val="0"/>
                      <w:sz w:val="21"/>
                      <w:szCs w:val="21"/>
                      <w:u w:val="none" w:color="auto"/>
                      <w:lang w:val="en-US" w:eastAsia="zh-CN" w:bidi="ar"/>
                    </w:rPr>
                  </w:pPr>
                  <w:r>
                    <w:rPr>
                      <w:rFonts w:hint="default" w:ascii="Times New Roman" w:hAnsi="Times New Roman" w:eastAsia="宋体" w:cs="Times New Roman"/>
                      <w:b w:val="0"/>
                      <w:bCs/>
                      <w:kern w:val="0"/>
                      <w:sz w:val="21"/>
                      <w:szCs w:val="21"/>
                      <w:u w:val="none" w:color="auto"/>
                      <w:lang w:val="en-US" w:eastAsia="zh-CN" w:bidi="ar"/>
                    </w:rPr>
                    <w:t>排污许可证</w:t>
                  </w:r>
                </w:p>
              </w:tc>
              <w:tc>
                <w:tcPr>
                  <w:tcW w:w="7680" w:type="dxa"/>
                  <w:tcBorders>
                    <w:top w:val="single" w:color="auto" w:sz="4" w:space="0"/>
                    <w:left w:val="single" w:color="auto" w:sz="4" w:space="0"/>
                    <w:bottom w:val="single" w:color="auto" w:sz="4" w:space="0"/>
                    <w:right w:val="nil"/>
                  </w:tcBorders>
                  <w:shd w:val="clear" w:color="auto" w:fill="auto"/>
                  <w:vAlign w:val="center"/>
                </w:tcPr>
                <w:p w14:paraId="06D43144">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420" w:firstLineChars="200"/>
                    <w:jc w:val="both"/>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eastAsiaTheme="minorEastAsia"/>
                      <w:sz w:val="21"/>
                      <w:szCs w:val="21"/>
                    </w:rPr>
                    <w:t>202</w:t>
                  </w:r>
                  <w:r>
                    <w:rPr>
                      <w:rFonts w:hint="default"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年</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rPr>
                    <w:t>月</w:t>
                  </w:r>
                  <w:r>
                    <w:rPr>
                      <w:rFonts w:hint="default"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日</w:t>
                  </w:r>
                  <w:r>
                    <w:rPr>
                      <w:rFonts w:hint="default" w:ascii="Times New Roman" w:hAnsi="Times New Roman" w:cs="Times New Roman" w:eastAsiaTheme="minorEastAsia"/>
                      <w:sz w:val="21"/>
                      <w:szCs w:val="21"/>
                      <w:lang w:eastAsia="zh-CN"/>
                    </w:rPr>
                    <w:t>，建设单位</w:t>
                  </w:r>
                  <w:r>
                    <w:rPr>
                      <w:rFonts w:hint="default" w:ascii="Times New Roman" w:hAnsi="Times New Roman" w:cs="Times New Roman" w:eastAsiaTheme="minorEastAsia"/>
                      <w:sz w:val="21"/>
                      <w:szCs w:val="21"/>
                    </w:rPr>
                    <w:t>取得</w:t>
                  </w:r>
                  <w:r>
                    <w:rPr>
                      <w:rFonts w:hint="default" w:ascii="Times New Roman" w:hAnsi="Times New Roman" w:cs="Times New Roman" w:eastAsiaTheme="minorEastAsia"/>
                      <w:sz w:val="21"/>
                      <w:szCs w:val="21"/>
                      <w:lang w:eastAsia="zh-CN"/>
                    </w:rPr>
                    <w:t>固定污染源</w:t>
                  </w:r>
                  <w:r>
                    <w:rPr>
                      <w:rFonts w:hint="default" w:ascii="Times New Roman" w:hAnsi="Times New Roman" w:cs="Times New Roman" w:eastAsiaTheme="minorEastAsia"/>
                      <w:sz w:val="21"/>
                      <w:szCs w:val="21"/>
                    </w:rPr>
                    <w:t>排污</w:t>
                  </w:r>
                  <w:r>
                    <w:rPr>
                      <w:rFonts w:hint="default" w:ascii="Times New Roman" w:hAnsi="Times New Roman" w:cs="Times New Roman" w:eastAsiaTheme="minorEastAsia"/>
                      <w:sz w:val="21"/>
                      <w:szCs w:val="21"/>
                      <w:lang w:eastAsia="zh-CN"/>
                    </w:rPr>
                    <w:t>登记回执</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eastAsia="zh-CN"/>
                    </w:rPr>
                    <w:t>登记</w:t>
                  </w:r>
                  <w:r>
                    <w:rPr>
                      <w:rFonts w:hint="default" w:ascii="Times New Roman" w:hAnsi="Times New Roman" w:cs="Times New Roman" w:eastAsiaTheme="minorEastAsia"/>
                      <w:sz w:val="21"/>
                      <w:szCs w:val="21"/>
                    </w:rPr>
                    <w:t>编号：</w:t>
                  </w:r>
                  <w:r>
                    <w:rPr>
                      <w:rFonts w:hint="default" w:ascii="Times New Roman" w:hAnsi="Times New Roman" w:cs="Times New Roman" w:eastAsiaTheme="minorEastAsia"/>
                      <w:sz w:val="21"/>
                      <w:szCs w:val="21"/>
                      <w:lang w:val="en-US" w:eastAsia="zh-CN"/>
                    </w:rPr>
                    <w:t>91430600MABYWFER36001Z，附件5</w:t>
                  </w:r>
                  <w:r>
                    <w:rPr>
                      <w:rFonts w:hint="default" w:ascii="Times New Roman" w:hAnsi="Times New Roman" w:cs="Times New Roman" w:eastAsiaTheme="minorEastAsia"/>
                      <w:color w:val="auto"/>
                      <w:sz w:val="21"/>
                      <w:szCs w:val="21"/>
                      <w:highlight w:val="none"/>
                    </w:rPr>
                    <w:t>)</w:t>
                  </w:r>
                  <w:r>
                    <w:rPr>
                      <w:rFonts w:hint="default" w:ascii="Times New Roman" w:hAnsi="Times New Roman" w:eastAsia="宋体" w:cs="Times New Roman"/>
                      <w:color w:val="auto"/>
                      <w:spacing w:val="0"/>
                      <w:position w:val="0"/>
                      <w:sz w:val="21"/>
                      <w:szCs w:val="21"/>
                      <w:highlight w:val="none"/>
                      <w:u w:val="none" w:color="auto"/>
                      <w:lang w:val="en-US" w:eastAsia="zh-CN"/>
                    </w:rPr>
                    <w:t>。</w:t>
                  </w:r>
                </w:p>
              </w:tc>
            </w:tr>
            <w:tr w14:paraId="53516BF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26" w:type="dxa"/>
                  <w:tcBorders>
                    <w:top w:val="single" w:color="auto" w:sz="4" w:space="0"/>
                    <w:left w:val="nil"/>
                    <w:bottom w:val="single" w:color="auto" w:sz="4" w:space="0"/>
                    <w:right w:val="single" w:color="auto" w:sz="4" w:space="0"/>
                  </w:tcBorders>
                  <w:shd w:val="clear" w:color="auto" w:fill="auto"/>
                  <w:vAlign w:val="center"/>
                </w:tcPr>
                <w:p w14:paraId="1FD128C7">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kern w:val="0"/>
                      <w:sz w:val="21"/>
                      <w:szCs w:val="21"/>
                      <w:u w:val="none" w:color="auto"/>
                      <w:lang w:val="en-US" w:eastAsia="zh-CN" w:bidi="ar"/>
                    </w:rPr>
                  </w:pPr>
                  <w:r>
                    <w:rPr>
                      <w:rFonts w:hint="default" w:ascii="Times New Roman" w:hAnsi="Times New Roman" w:eastAsia="宋体" w:cs="Times New Roman"/>
                      <w:b w:val="0"/>
                      <w:bCs/>
                      <w:kern w:val="0"/>
                      <w:sz w:val="21"/>
                      <w:szCs w:val="21"/>
                      <w:u w:val="none" w:color="auto"/>
                      <w:lang w:val="en-US" w:eastAsia="zh-CN" w:bidi="ar"/>
                    </w:rPr>
                    <w:t>应急</w:t>
                  </w:r>
                </w:p>
                <w:p w14:paraId="1E6FCFB4">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kern w:val="0"/>
                      <w:sz w:val="21"/>
                      <w:szCs w:val="21"/>
                      <w:u w:val="none" w:color="auto"/>
                      <w:lang w:val="en-US" w:eastAsia="zh-CN" w:bidi="ar"/>
                    </w:rPr>
                  </w:pPr>
                  <w:r>
                    <w:rPr>
                      <w:rFonts w:hint="default" w:ascii="Times New Roman" w:hAnsi="Times New Roman" w:eastAsia="宋体" w:cs="Times New Roman"/>
                      <w:b w:val="0"/>
                      <w:bCs/>
                      <w:kern w:val="0"/>
                      <w:sz w:val="21"/>
                      <w:szCs w:val="21"/>
                      <w:u w:val="none" w:color="auto"/>
                      <w:lang w:val="en-US" w:eastAsia="zh-CN" w:bidi="ar"/>
                    </w:rPr>
                    <w:t>预案</w:t>
                  </w:r>
                </w:p>
              </w:tc>
              <w:tc>
                <w:tcPr>
                  <w:tcW w:w="7680" w:type="dxa"/>
                  <w:tcBorders>
                    <w:top w:val="single" w:color="auto" w:sz="4" w:space="0"/>
                    <w:left w:val="single" w:color="auto" w:sz="4" w:space="0"/>
                    <w:bottom w:val="single" w:color="auto" w:sz="4" w:space="0"/>
                    <w:right w:val="nil"/>
                  </w:tcBorders>
                  <w:shd w:val="clear" w:color="auto" w:fill="auto"/>
                  <w:vAlign w:val="center"/>
                </w:tcPr>
                <w:p w14:paraId="7F007EE9">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420" w:firstLineChars="200"/>
                    <w:jc w:val="both"/>
                    <w:textAlignment w:val="auto"/>
                    <w:rPr>
                      <w:rFonts w:hint="default" w:ascii="Times New Roman" w:hAnsi="Times New Roman" w:eastAsia="宋体" w:cs="Times New Roman"/>
                      <w:bCs/>
                      <w:spacing w:val="0"/>
                      <w:kern w:val="0"/>
                      <w:sz w:val="21"/>
                      <w:szCs w:val="21"/>
                      <w:u w:val="none" w:color="auto"/>
                      <w:lang w:val="en-US" w:eastAsia="zh-CN" w:bidi="ar"/>
                    </w:rPr>
                  </w:pPr>
                  <w:r>
                    <w:rPr>
                      <w:rFonts w:hint="default" w:ascii="Times New Roman" w:hAnsi="Times New Roman" w:cs="Times New Roman"/>
                      <w:color w:val="auto"/>
                      <w:spacing w:val="0"/>
                      <w:position w:val="0"/>
                      <w:sz w:val="21"/>
                      <w:szCs w:val="21"/>
                      <w:highlight w:val="none"/>
                      <w:u w:val="none" w:color="auto"/>
                      <w:lang w:val="en-US" w:eastAsia="zh-CN"/>
                    </w:rPr>
                    <w:t>2024年4月，</w:t>
                  </w:r>
                  <w:r>
                    <w:rPr>
                      <w:rFonts w:hint="default" w:ascii="Times New Roman" w:hAnsi="Times New Roman" w:cs="Times New Roman" w:eastAsiaTheme="minorEastAsia"/>
                      <w:sz w:val="21"/>
                      <w:szCs w:val="21"/>
                      <w:lang w:eastAsia="zh-CN"/>
                    </w:rPr>
                    <w:t>建设单位</w:t>
                  </w:r>
                  <w:r>
                    <w:rPr>
                      <w:rFonts w:hint="default" w:ascii="Times New Roman" w:hAnsi="Times New Roman" w:cs="Times New Roman"/>
                      <w:color w:val="auto"/>
                      <w:spacing w:val="0"/>
                      <w:position w:val="0"/>
                      <w:sz w:val="21"/>
                      <w:szCs w:val="21"/>
                      <w:highlight w:val="none"/>
                      <w:u w:val="none" w:color="auto"/>
                      <w:lang w:val="en-US" w:eastAsia="zh-CN"/>
                    </w:rPr>
                    <w:t>完成突发环境事件应急预案，并取得企业事业单位突发环境事件应急预案备案表（备案编号：430603-2024-028-L，附件6）。</w:t>
                  </w:r>
                </w:p>
              </w:tc>
            </w:tr>
            <w:tr w14:paraId="1BC06D3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6" w:type="dxa"/>
                  <w:tcBorders>
                    <w:top w:val="single" w:color="auto" w:sz="4" w:space="0"/>
                    <w:left w:val="nil"/>
                    <w:bottom w:val="single" w:color="auto" w:sz="12" w:space="0"/>
                    <w:right w:val="single" w:color="auto" w:sz="4" w:space="0"/>
                  </w:tcBorders>
                  <w:shd w:val="clear" w:color="auto" w:fill="auto"/>
                  <w:vAlign w:val="center"/>
                </w:tcPr>
                <w:p w14:paraId="2904B848">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kern w:val="0"/>
                      <w:sz w:val="21"/>
                      <w:szCs w:val="21"/>
                      <w:u w:val="none" w:color="auto"/>
                      <w:lang w:val="en-US" w:eastAsia="zh-CN" w:bidi="ar"/>
                    </w:rPr>
                  </w:pPr>
                  <w:r>
                    <w:rPr>
                      <w:rFonts w:hint="default" w:ascii="Times New Roman" w:hAnsi="Times New Roman" w:eastAsia="宋体" w:cs="Times New Roman"/>
                      <w:b w:val="0"/>
                      <w:bCs/>
                      <w:kern w:val="0"/>
                      <w:sz w:val="21"/>
                      <w:szCs w:val="21"/>
                      <w:u w:val="none" w:color="auto"/>
                      <w:lang w:val="en-US" w:eastAsia="zh-CN" w:bidi="ar"/>
                    </w:rPr>
                    <w:t>验收</w:t>
                  </w:r>
                </w:p>
                <w:p w14:paraId="39113BB4">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kern w:val="0"/>
                      <w:sz w:val="21"/>
                      <w:szCs w:val="21"/>
                      <w:u w:val="none" w:color="auto"/>
                    </w:rPr>
                  </w:pPr>
                  <w:r>
                    <w:rPr>
                      <w:rFonts w:hint="default" w:ascii="Times New Roman" w:hAnsi="Times New Roman" w:eastAsia="宋体" w:cs="Times New Roman"/>
                      <w:b w:val="0"/>
                      <w:bCs/>
                      <w:kern w:val="0"/>
                      <w:sz w:val="21"/>
                      <w:szCs w:val="21"/>
                      <w:u w:val="none" w:color="auto"/>
                      <w:lang w:val="en-US" w:eastAsia="zh-CN" w:bidi="ar"/>
                    </w:rPr>
                    <w:t>情况</w:t>
                  </w:r>
                </w:p>
              </w:tc>
              <w:tc>
                <w:tcPr>
                  <w:tcW w:w="7680" w:type="dxa"/>
                  <w:tcBorders>
                    <w:top w:val="single" w:color="auto" w:sz="4" w:space="0"/>
                    <w:left w:val="single" w:color="auto" w:sz="4" w:space="0"/>
                    <w:bottom w:val="single" w:color="auto" w:sz="12" w:space="0"/>
                    <w:right w:val="nil"/>
                  </w:tcBorders>
                  <w:shd w:val="clear" w:color="auto" w:fill="auto"/>
                  <w:vAlign w:val="center"/>
                </w:tcPr>
                <w:p w14:paraId="0FF475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outlineLvl w:val="9"/>
                    <w:rPr>
                      <w:rFonts w:hint="default" w:ascii="Times New Roman" w:hAnsi="Times New Roman" w:cs="Times New Roman"/>
                      <w:b w:val="0"/>
                      <w:bCs/>
                      <w:kern w:val="0"/>
                      <w:sz w:val="21"/>
                      <w:szCs w:val="21"/>
                      <w:u w:val="none" w:color="auto"/>
                    </w:rPr>
                  </w:pPr>
                  <w:r>
                    <w:rPr>
                      <w:rFonts w:hint="default" w:ascii="Times New Roman" w:hAnsi="Times New Roman" w:eastAsia="宋体" w:cs="Times New Roman"/>
                      <w:color w:val="auto"/>
                      <w:sz w:val="21"/>
                      <w:szCs w:val="21"/>
                      <w:u w:val="none" w:color="auto"/>
                      <w:lang w:val="en-US" w:eastAsia="zh-CN"/>
                    </w:rPr>
                    <w:t>2024年4月，“湖南众联设备智能制造产业园建设项目”完成第一阶段竣工环保验收，并取得建设项目竣工环保验收备案登记表（岳港环验备【2024】4号，附件7）。</w:t>
                  </w:r>
                </w:p>
              </w:tc>
            </w:tr>
          </w:tbl>
          <w:p w14:paraId="0022F296">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outlineLvl w:val="9"/>
              <w:rPr>
                <w:rFonts w:hint="eastAsia"/>
                <w:b/>
                <w:bCs/>
                <w:color w:val="auto"/>
                <w:sz w:val="24"/>
                <w:szCs w:val="24"/>
                <w:u w:val="none" w:color="auto"/>
                <w:lang w:val="en-US" w:eastAsia="zh-CN"/>
              </w:rPr>
            </w:pPr>
            <w:r>
              <w:rPr>
                <w:rFonts w:hint="eastAsia"/>
                <w:b/>
                <w:bCs/>
                <w:color w:val="auto"/>
                <w:sz w:val="24"/>
                <w:szCs w:val="24"/>
                <w:u w:val="none" w:color="auto"/>
                <w:lang w:val="en-US" w:eastAsia="zh-CN"/>
              </w:rPr>
              <w:t>二、现有工程污染物治理措施及排放达标情况</w:t>
            </w:r>
          </w:p>
          <w:p w14:paraId="4E37831C">
            <w:pPr>
              <w:pStyle w:val="8"/>
              <w:pageBreakBefore w:val="0"/>
              <w:widowControl w:val="0"/>
              <w:numPr>
                <w:ilvl w:val="1"/>
                <w:numId w:val="0"/>
              </w:numPr>
              <w:suppressLineNumbers w:val="0"/>
              <w:kinsoku/>
              <w:wordWrap/>
              <w:overflowPunct/>
              <w:topLinePunct w:val="0"/>
              <w:autoSpaceDE/>
              <w:autoSpaceDN/>
              <w:bidi w:val="0"/>
              <w:spacing w:before="0" w:beforeAutospacing="0" w:after="0" w:afterAutospacing="0" w:line="360" w:lineRule="auto"/>
              <w:ind w:left="0" w:leftChars="0" w:right="0" w:firstLine="482" w:firstLineChars="200"/>
              <w:textAlignment w:val="auto"/>
              <w:rPr>
                <w:rFonts w:hint="eastAsia"/>
                <w:b/>
                <w:bCs/>
                <w:color w:val="auto"/>
                <w:sz w:val="24"/>
                <w:szCs w:val="24"/>
                <w:u w:val="none" w:color="auto"/>
                <w:lang w:val="en-US" w:eastAsia="zh-CN"/>
              </w:rPr>
            </w:pPr>
            <w:r>
              <w:rPr>
                <w:rFonts w:hint="eastAsia"/>
                <w:b/>
                <w:bCs/>
                <w:color w:val="auto"/>
                <w:sz w:val="24"/>
                <w:szCs w:val="24"/>
                <w:u w:val="none" w:color="auto"/>
                <w:lang w:val="en-US" w:eastAsia="zh-CN"/>
              </w:rPr>
              <w:t>1、废气</w:t>
            </w:r>
          </w:p>
          <w:p w14:paraId="5179A1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eastAsia" w:ascii="Times New Roman" w:hAnsi="Times New Roman" w:cs="Times New Roman"/>
                <w:b/>
                <w:bCs/>
                <w:color w:val="auto"/>
                <w:w w:val="100"/>
                <w:sz w:val="24"/>
                <w:highlight w:val="none"/>
                <w:u w:val="none" w:color="auto"/>
                <w:lang w:val="en-US" w:eastAsia="zh-CN"/>
              </w:rPr>
            </w:pPr>
            <w:r>
              <w:rPr>
                <w:rFonts w:hint="eastAsia" w:ascii="Times New Roman" w:hAnsi="Times New Roman" w:cs="Times New Roman"/>
                <w:b/>
                <w:bCs/>
                <w:color w:val="auto"/>
                <w:w w:val="100"/>
                <w:sz w:val="24"/>
                <w:highlight w:val="none"/>
                <w:u w:val="none" w:color="auto"/>
                <w:lang w:val="en-US" w:eastAsia="zh-CN"/>
              </w:rPr>
              <w:t>（1）</w:t>
            </w:r>
            <w:r>
              <w:rPr>
                <w:rFonts w:hint="eastAsia"/>
                <w:b/>
                <w:bCs/>
                <w:color w:val="auto"/>
                <w:sz w:val="24"/>
                <w:szCs w:val="24"/>
                <w:u w:val="none" w:color="auto"/>
                <w:lang w:val="en-US" w:eastAsia="zh-CN"/>
              </w:rPr>
              <w:t>现有工程废气处理措施及排放方式</w:t>
            </w:r>
          </w:p>
          <w:p w14:paraId="4A276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auto"/>
                <w:w w:val="100"/>
                <w:sz w:val="24"/>
                <w:highlight w:val="none"/>
                <w:u w:val="none" w:color="auto"/>
                <w:lang w:val="en-US" w:eastAsia="zh-CN"/>
              </w:rPr>
            </w:pPr>
            <w:r>
              <w:rPr>
                <w:rFonts w:hint="eastAsia" w:ascii="Times New Roman" w:hAnsi="Times New Roman" w:cs="Times New Roman"/>
                <w:color w:val="auto"/>
                <w:w w:val="100"/>
                <w:sz w:val="24"/>
                <w:highlight w:val="none"/>
                <w:u w:val="none" w:color="auto"/>
                <w:lang w:val="en-US" w:eastAsia="zh-CN"/>
              </w:rPr>
              <w:t>现有工程</w:t>
            </w:r>
            <w:r>
              <w:rPr>
                <w:rFonts w:hint="eastAsia" w:ascii="Times New Roman" w:hAnsi="Times New Roman" w:eastAsia="宋体" w:cs="Times New Roman"/>
                <w:color w:val="auto"/>
                <w:w w:val="100"/>
                <w:sz w:val="24"/>
                <w:highlight w:val="none"/>
                <w:u w:val="none" w:color="auto"/>
                <w:lang w:val="en-US" w:eastAsia="zh-CN"/>
              </w:rPr>
              <w:t>生产时产生的废气主要包括：</w:t>
            </w:r>
            <w:r>
              <w:rPr>
                <w:rFonts w:hint="default" w:ascii="Times New Roman" w:hAnsi="Times New Roman" w:eastAsia="宋体" w:cs="Times New Roman"/>
                <w:color w:val="auto"/>
                <w:w w:val="100"/>
                <w:sz w:val="24"/>
                <w:highlight w:val="none"/>
                <w:u w:val="none" w:color="auto"/>
                <w:lang w:val="en-US" w:eastAsia="zh-CN"/>
              </w:rPr>
              <w:t>下料、机加工粉尘</w:t>
            </w:r>
            <w:r>
              <w:rPr>
                <w:rFonts w:hint="eastAsia" w:ascii="Times New Roman" w:hAnsi="Times New Roman" w:eastAsia="宋体" w:cs="Times New Roman"/>
                <w:color w:val="auto"/>
                <w:w w:val="100"/>
                <w:sz w:val="24"/>
                <w:highlight w:val="none"/>
                <w:u w:val="none" w:color="auto"/>
                <w:lang w:val="en-US" w:eastAsia="zh-CN"/>
              </w:rPr>
              <w:t>、</w:t>
            </w:r>
            <w:r>
              <w:rPr>
                <w:rFonts w:hint="default" w:ascii="Times New Roman" w:hAnsi="Times New Roman" w:eastAsia="宋体" w:cs="Times New Roman"/>
                <w:color w:val="auto"/>
                <w:w w:val="100"/>
                <w:sz w:val="24"/>
                <w:highlight w:val="none"/>
                <w:u w:val="none" w:color="auto"/>
                <w:lang w:val="en-US" w:eastAsia="zh-CN"/>
              </w:rPr>
              <w:t>焊接烟尘</w:t>
            </w:r>
            <w:r>
              <w:rPr>
                <w:rFonts w:hint="eastAsia" w:ascii="Times New Roman" w:hAnsi="Times New Roman" w:eastAsia="宋体" w:cs="Times New Roman"/>
                <w:color w:val="auto"/>
                <w:w w:val="100"/>
                <w:sz w:val="24"/>
                <w:highlight w:val="none"/>
                <w:u w:val="none" w:color="auto"/>
                <w:lang w:val="en-US" w:eastAsia="zh-CN"/>
              </w:rPr>
              <w:t>。其中</w:t>
            </w:r>
            <w:r>
              <w:rPr>
                <w:rFonts w:hint="default" w:ascii="Times New Roman" w:hAnsi="Times New Roman" w:eastAsia="宋体" w:cs="Times New Roman"/>
                <w:color w:val="auto"/>
                <w:w w:val="100"/>
                <w:sz w:val="24"/>
                <w:highlight w:val="none"/>
                <w:u w:val="none" w:color="auto"/>
                <w:lang w:val="en-US" w:eastAsia="zh-CN"/>
              </w:rPr>
              <w:t>下料、机加工粉尘</w:t>
            </w:r>
            <w:r>
              <w:rPr>
                <w:rFonts w:hint="eastAsia" w:ascii="Times New Roman" w:hAnsi="Times New Roman" w:eastAsia="宋体" w:cs="Times New Roman"/>
                <w:color w:val="auto"/>
                <w:w w:val="100"/>
                <w:sz w:val="24"/>
                <w:highlight w:val="none"/>
                <w:u w:val="none" w:color="auto"/>
                <w:lang w:val="en-US" w:eastAsia="zh-CN"/>
              </w:rPr>
              <w:t>经</w:t>
            </w:r>
            <w:r>
              <w:rPr>
                <w:rFonts w:hint="default" w:ascii="Times New Roman" w:hAnsi="Times New Roman" w:eastAsia="宋体" w:cs="Times New Roman"/>
                <w:color w:val="auto"/>
                <w:w w:val="100"/>
                <w:sz w:val="24"/>
                <w:highlight w:val="none"/>
                <w:u w:val="none" w:color="auto"/>
                <w:lang w:val="en-US" w:eastAsia="zh-CN"/>
              </w:rPr>
              <w:t>自然沉降，定期清扫，呈无组织排放；车间分散焊接烟尘由可移动焊烟净化器处理后无组织排放；焊接车间焊接烟尘经集气罩收集后，通过滤筒除尘器处理后通过15m高排气筒（DA001）达标排放。</w:t>
            </w:r>
          </w:p>
          <w:p w14:paraId="008FC85D">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outlineLvl w:val="9"/>
              <w:rPr>
                <w:rFonts w:hint="eastAsia"/>
                <w:b/>
                <w:bCs/>
                <w:color w:val="auto"/>
                <w:sz w:val="24"/>
                <w:szCs w:val="24"/>
                <w:highlight w:val="none"/>
                <w:u w:val="none" w:color="auto"/>
                <w:lang w:val="en-US" w:eastAsia="zh-CN"/>
              </w:rPr>
            </w:pPr>
            <w:r>
              <w:rPr>
                <w:rFonts w:hint="eastAsia"/>
                <w:b/>
                <w:bCs/>
                <w:color w:val="auto"/>
                <w:sz w:val="24"/>
                <w:szCs w:val="24"/>
                <w:highlight w:val="none"/>
                <w:u w:val="none" w:color="auto"/>
                <w:lang w:val="en-US" w:eastAsia="zh-CN"/>
              </w:rPr>
              <w:t>（2）现有工程废气污染物排放达标情况</w:t>
            </w:r>
          </w:p>
          <w:p w14:paraId="648DB3FC">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color w:val="auto"/>
                <w:sz w:val="24"/>
                <w:szCs w:val="24"/>
                <w:highlight w:val="none"/>
                <w:u w:val="none" w:color="auto"/>
                <w:lang w:val="en-US" w:eastAsia="zh-CN"/>
              </w:rPr>
            </w:pPr>
            <w:r>
              <w:rPr>
                <w:rFonts w:hint="eastAsia"/>
                <w:color w:val="auto"/>
                <w:sz w:val="24"/>
                <w:szCs w:val="24"/>
                <w:highlight w:val="none"/>
                <w:u w:val="none" w:color="auto"/>
                <w:lang w:val="en-US" w:eastAsia="zh-CN"/>
              </w:rPr>
              <w:t>本次评价引用《</w:t>
            </w:r>
            <w:r>
              <w:rPr>
                <w:rFonts w:hint="eastAsia" w:ascii="Times New Roman" w:hAnsi="Times New Roman" w:eastAsiaTheme="minorEastAsia"/>
                <w:color w:val="000000"/>
                <w:sz w:val="24"/>
                <w:szCs w:val="24"/>
                <w:lang w:eastAsia="zh-CN"/>
              </w:rPr>
              <w:t>湖南众联设备智能制造产业园项目（第一阶段）</w:t>
            </w:r>
            <w:r>
              <w:rPr>
                <w:rFonts w:hint="eastAsia"/>
                <w:color w:val="auto"/>
                <w:sz w:val="24"/>
                <w:szCs w:val="24"/>
                <w:highlight w:val="none"/>
                <w:u w:val="none" w:color="auto"/>
                <w:lang w:val="en-US" w:eastAsia="zh-CN"/>
              </w:rPr>
              <w:t>竣工环境保护验收监测报告表》中监测结果，以说明现有工程废气排放达标情况。具体监测结果如下：</w:t>
            </w:r>
          </w:p>
          <w:p w14:paraId="3F0F0E59">
            <w:pPr>
              <w:pStyle w:val="43"/>
              <w:rPr>
                <w:rFonts w:hint="eastAsia"/>
                <w:color w:val="auto"/>
                <w:sz w:val="24"/>
                <w:szCs w:val="24"/>
                <w:highlight w:val="none"/>
                <w:u w:val="none" w:color="auto"/>
                <w:lang w:val="en-US" w:eastAsia="zh-CN"/>
              </w:rPr>
            </w:pPr>
          </w:p>
          <w:p w14:paraId="333D7F25">
            <w:pPr>
              <w:pStyle w:val="12"/>
              <w:keepNext w:val="0"/>
              <w:keepLines w:val="0"/>
              <w:suppressLineNumbers w:val="0"/>
              <w:spacing w:before="0" w:beforeAutospacing="0" w:after="0" w:afterAutospacing="0"/>
              <w:ind w:left="0" w:right="0"/>
              <w:rPr>
                <w:rFonts w:hint="eastAsia"/>
                <w:lang w:val="en-US" w:eastAsia="zh-CN"/>
              </w:rPr>
            </w:pPr>
          </w:p>
          <w:p w14:paraId="18C60865">
            <w:pPr>
              <w:keepNext w:val="0"/>
              <w:keepLines w:val="0"/>
              <w:widowControl w:val="0"/>
              <w:numPr>
                <w:ilvl w:val="0"/>
                <w:numId w:val="0"/>
              </w:numPr>
              <w:suppressLineNumbers w:val="0"/>
              <w:spacing w:before="0" w:beforeAutospacing="0" w:after="0" w:afterAutospacing="0" w:line="360" w:lineRule="auto"/>
              <w:ind w:left="420" w:leftChars="200" w:right="0" w:rightChars="0"/>
              <w:jc w:val="both"/>
              <w:rPr>
                <w:rFonts w:hint="eastAsia" w:ascii="Times New Roman" w:hAnsi="Times New Roman" w:eastAsiaTheme="minorEastAsia"/>
                <w:b/>
                <w:bCs/>
                <w:color w:val="auto"/>
                <w:sz w:val="24"/>
                <w:szCs w:val="24"/>
                <w:u w:val="none" w:color="auto"/>
                <w:lang w:eastAsia="zh-CN"/>
              </w:rPr>
            </w:pPr>
            <w:r>
              <w:rPr>
                <w:rFonts w:hint="eastAsia" w:ascii="Times New Roman" w:hAnsi="Times New Roman" w:eastAsiaTheme="minorEastAsia"/>
                <w:b/>
                <w:bCs/>
                <w:color w:val="auto"/>
                <w:sz w:val="24"/>
                <w:szCs w:val="24"/>
                <w:u w:val="none" w:color="auto"/>
                <w:lang w:val="en-US" w:eastAsia="zh-CN"/>
              </w:rPr>
              <w:t>1）</w:t>
            </w:r>
            <w:r>
              <w:rPr>
                <w:rFonts w:hint="eastAsia" w:ascii="Times New Roman" w:hAnsi="Times New Roman" w:eastAsiaTheme="minorEastAsia"/>
                <w:b/>
                <w:bCs/>
                <w:color w:val="auto"/>
                <w:sz w:val="24"/>
                <w:szCs w:val="24"/>
                <w:u w:val="none" w:color="auto"/>
                <w:lang w:eastAsia="zh-CN"/>
              </w:rPr>
              <w:t>有组织废气监测结果</w:t>
            </w:r>
          </w:p>
          <w:p w14:paraId="5D605DCA">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Theme="minorEastAsia"/>
                <w:b/>
                <w:bCs/>
                <w:color w:val="auto"/>
                <w:sz w:val="24"/>
                <w:szCs w:val="24"/>
                <w:u w:val="none" w:color="auto"/>
              </w:rPr>
            </w:pPr>
            <w:r>
              <w:rPr>
                <w:rFonts w:hint="eastAsia" w:ascii="Times New Roman" w:hAnsi="Times New Roman" w:eastAsiaTheme="minorEastAsia"/>
                <w:b/>
                <w:bCs/>
                <w:color w:val="auto"/>
                <w:sz w:val="24"/>
                <w:szCs w:val="24"/>
                <w:u w:val="none" w:color="auto"/>
              </w:rPr>
              <w:t>表</w:t>
            </w:r>
            <w:r>
              <w:rPr>
                <w:rFonts w:hint="eastAsia" w:ascii="Times New Roman" w:hAnsi="Times New Roman" w:eastAsiaTheme="minorEastAsia"/>
                <w:b/>
                <w:bCs/>
                <w:color w:val="auto"/>
                <w:sz w:val="24"/>
                <w:szCs w:val="24"/>
                <w:u w:val="none" w:color="auto"/>
                <w:lang w:val="en-US" w:eastAsia="zh-CN"/>
              </w:rPr>
              <w:t>2-9</w:t>
            </w:r>
            <w:r>
              <w:rPr>
                <w:rFonts w:hint="eastAsia" w:ascii="Times New Roman" w:hAnsi="Times New Roman" w:eastAsiaTheme="minorEastAsia"/>
                <w:b/>
                <w:bCs/>
                <w:color w:val="auto"/>
                <w:sz w:val="24"/>
                <w:szCs w:val="24"/>
                <w:u w:val="none" w:color="auto"/>
              </w:rPr>
              <w:t xml:space="preserve">  </w:t>
            </w:r>
            <w:r>
              <w:rPr>
                <w:rFonts w:hint="eastAsia" w:ascii="Times New Roman" w:hAnsi="Times New Roman" w:eastAsiaTheme="minorEastAsia"/>
                <w:b/>
                <w:bCs/>
                <w:color w:val="auto"/>
                <w:sz w:val="24"/>
                <w:szCs w:val="24"/>
                <w:u w:val="none" w:color="auto"/>
                <w:lang w:eastAsia="zh-CN"/>
              </w:rPr>
              <w:t>现有工程有</w:t>
            </w:r>
            <w:r>
              <w:rPr>
                <w:rFonts w:hint="eastAsia" w:ascii="Times New Roman" w:hAnsi="Times New Roman" w:eastAsiaTheme="minorEastAsia"/>
                <w:b/>
                <w:bCs/>
                <w:color w:val="auto"/>
                <w:sz w:val="24"/>
                <w:szCs w:val="24"/>
                <w:u w:val="none" w:color="auto"/>
              </w:rPr>
              <w:t>组织废气监测结果</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3" w:type="dxa"/>
                <w:bottom w:w="0" w:type="dxa"/>
                <w:right w:w="23" w:type="dxa"/>
              </w:tblCellMar>
            </w:tblPr>
            <w:tblGrid>
              <w:gridCol w:w="1092"/>
              <w:gridCol w:w="907"/>
              <w:gridCol w:w="1762"/>
              <w:gridCol w:w="1152"/>
              <w:gridCol w:w="1141"/>
              <w:gridCol w:w="1237"/>
              <w:gridCol w:w="781"/>
              <w:gridCol w:w="534"/>
            </w:tblGrid>
            <w:tr w14:paraId="794F4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454" w:hRule="atLeast"/>
                <w:jc w:val="center"/>
              </w:trPr>
              <w:tc>
                <w:tcPr>
                  <w:tcW w:w="1149" w:type="dxa"/>
                  <w:tcBorders>
                    <w:tl2br w:val="nil"/>
                    <w:tr2bl w:val="nil"/>
                  </w:tcBorders>
                  <w:shd w:val="clear" w:color="auto" w:fill="auto"/>
                  <w:vAlign w:val="center"/>
                </w:tcPr>
                <w:p w14:paraId="0EB7E519">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采样环境</w:t>
                  </w:r>
                </w:p>
              </w:tc>
              <w:tc>
                <w:tcPr>
                  <w:tcW w:w="6523" w:type="dxa"/>
                  <w:gridSpan w:val="5"/>
                  <w:tcBorders>
                    <w:tl2br w:val="nil"/>
                    <w:tr2bl w:val="nil"/>
                  </w:tcBorders>
                  <w:shd w:val="clear" w:color="auto" w:fill="auto"/>
                  <w:vAlign w:val="center"/>
                </w:tcPr>
                <w:p w14:paraId="01AB0C50">
                  <w:pPr>
                    <w:keepNext w:val="0"/>
                    <w:keepLines w:val="0"/>
                    <w:widowControl w:val="0"/>
                    <w:suppressLineNumbers w:val="0"/>
                    <w:autoSpaceDE w:val="0"/>
                    <w:autoSpaceDN/>
                    <w:spacing w:before="0" w:beforeAutospacing="0" w:after="0" w:afterAutospacing="0" w:line="300" w:lineRule="exact"/>
                    <w:ind w:left="0" w:right="0" w:rightChars="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2024.01.19 </w:t>
                  </w:r>
                  <w:r>
                    <w:rPr>
                      <w:rFonts w:hint="eastAsia" w:ascii="宋体" w:hAnsi="宋体" w:eastAsia="宋体" w:cs="宋体"/>
                      <w:kern w:val="2"/>
                      <w:sz w:val="21"/>
                      <w:szCs w:val="21"/>
                      <w:lang w:val="en-US" w:eastAsia="zh-CN" w:bidi="ar"/>
                    </w:rPr>
                    <w:t>烟温均值：</w:t>
                  </w:r>
                  <w:r>
                    <w:rPr>
                      <w:rFonts w:hint="default" w:ascii="Times New Roman" w:hAnsi="Times New Roman" w:eastAsia="宋体" w:cs="Times New Roman"/>
                      <w:b w:val="0"/>
                      <w:bCs/>
                      <w:kern w:val="2"/>
                      <w:sz w:val="21"/>
                      <w:szCs w:val="21"/>
                      <w:lang w:val="en-US" w:eastAsia="zh-CN" w:bidi="ar"/>
                    </w:rPr>
                    <w:t>28.8</w:t>
                  </w:r>
                  <w:r>
                    <w:rPr>
                      <w:rFonts w:hint="default" w:ascii="Times New Roman" w:hAnsi="Times New Roman"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烟气流速均值：</w:t>
                  </w:r>
                  <w:r>
                    <w:rPr>
                      <w:rFonts w:hint="default" w:ascii="Times New Roman" w:hAnsi="Times New Roman" w:eastAsia="宋体" w:cs="Times New Roman"/>
                      <w:kern w:val="2"/>
                      <w:sz w:val="21"/>
                      <w:szCs w:val="21"/>
                      <w:lang w:val="en-US" w:eastAsia="zh-CN" w:bidi="ar"/>
                    </w:rPr>
                    <w:t xml:space="preserve">17.05m/s </w:t>
                  </w:r>
                  <w:r>
                    <w:rPr>
                      <w:rFonts w:hint="eastAsia" w:ascii="宋体" w:hAnsi="宋体" w:eastAsia="宋体" w:cs="宋体"/>
                      <w:kern w:val="2"/>
                      <w:sz w:val="21"/>
                      <w:szCs w:val="21"/>
                      <w:lang w:val="en-US" w:eastAsia="zh-CN" w:bidi="ar"/>
                    </w:rPr>
                    <w:t>含湿量均值：</w:t>
                  </w:r>
                  <w:r>
                    <w:rPr>
                      <w:rFonts w:hint="default" w:ascii="Times New Roman" w:hAnsi="Times New Roman" w:eastAsia="宋体" w:cs="Times New Roman"/>
                      <w:kern w:val="2"/>
                      <w:sz w:val="21"/>
                      <w:szCs w:val="21"/>
                      <w:lang w:val="en-US" w:eastAsia="zh-CN" w:bidi="ar"/>
                    </w:rPr>
                    <w:t xml:space="preserve">3.8% </w:t>
                  </w:r>
                  <w:r>
                    <w:rPr>
                      <w:rFonts w:hint="eastAsia" w:ascii="宋体" w:hAnsi="宋体" w:eastAsia="宋体" w:cs="宋体"/>
                      <w:kern w:val="2"/>
                      <w:sz w:val="21"/>
                      <w:szCs w:val="21"/>
                      <w:lang w:val="en-US" w:eastAsia="zh-CN" w:bidi="ar"/>
                    </w:rPr>
                    <w:t>燃料：电</w:t>
                  </w:r>
                </w:p>
              </w:tc>
              <w:tc>
                <w:tcPr>
                  <w:tcW w:w="821" w:type="dxa"/>
                  <w:vMerge w:val="restart"/>
                  <w:tcBorders>
                    <w:tl2br w:val="nil"/>
                    <w:tr2bl w:val="nil"/>
                  </w:tcBorders>
                  <w:shd w:val="clear" w:color="auto" w:fill="auto"/>
                  <w:vAlign w:val="center"/>
                </w:tcPr>
                <w:p w14:paraId="28C6C45D">
                  <w:pPr>
                    <w:keepNext w:val="0"/>
                    <w:keepLines w:val="0"/>
                    <w:widowControl w:val="0"/>
                    <w:suppressLineNumbers w:val="0"/>
                    <w:autoSpaceDE w:val="0"/>
                    <w:autoSpaceDN/>
                    <w:spacing w:before="0" w:beforeAutospacing="0" w:after="0" w:afterAutospacing="0" w:line="300" w:lineRule="exact"/>
                    <w:ind w:left="0" w:right="0" w:rightChars="0"/>
                    <w:jc w:val="center"/>
                    <w:rPr>
                      <w:rFonts w:hint="default" w:ascii="Times New Roman" w:hAnsi="Times New Roman" w:eastAsia="宋体" w:cs="Times New Roman"/>
                      <w:b/>
                      <w:bCs/>
                      <w:kern w:val="2"/>
                      <w:sz w:val="21"/>
                      <w:szCs w:val="21"/>
                      <w:lang w:val="en-US" w:eastAsia="zh-CN" w:bidi="ar"/>
                    </w:rPr>
                  </w:pPr>
                  <w:r>
                    <w:rPr>
                      <w:rFonts w:hint="eastAsia" w:ascii="Times New Roman" w:hAnsi="Times New Roman" w:eastAsia="宋体" w:cs="Times New Roman"/>
                      <w:b/>
                      <w:bCs/>
                      <w:kern w:val="2"/>
                      <w:sz w:val="21"/>
                      <w:szCs w:val="21"/>
                      <w:lang w:val="en-US" w:eastAsia="zh-CN" w:bidi="ar"/>
                    </w:rPr>
                    <w:t>标准值</w:t>
                  </w:r>
                </w:p>
              </w:tc>
              <w:tc>
                <w:tcPr>
                  <w:tcW w:w="560" w:type="dxa"/>
                  <w:vMerge w:val="restart"/>
                  <w:tcBorders>
                    <w:tl2br w:val="nil"/>
                    <w:tr2bl w:val="nil"/>
                  </w:tcBorders>
                  <w:shd w:val="clear" w:color="auto" w:fill="auto"/>
                  <w:vAlign w:val="center"/>
                </w:tcPr>
                <w:p w14:paraId="0A76552E">
                  <w:pPr>
                    <w:keepNext w:val="0"/>
                    <w:keepLines w:val="0"/>
                    <w:widowControl w:val="0"/>
                    <w:suppressLineNumbers w:val="0"/>
                    <w:autoSpaceDE w:val="0"/>
                    <w:autoSpaceDN/>
                    <w:spacing w:before="0" w:beforeAutospacing="0" w:after="0" w:afterAutospacing="0" w:line="300" w:lineRule="exact"/>
                    <w:ind w:left="0" w:right="0" w:rightChars="0"/>
                    <w:jc w:val="center"/>
                    <w:rPr>
                      <w:rFonts w:hint="default" w:ascii="Times New Roman" w:hAnsi="Times New Roman" w:eastAsia="宋体" w:cs="Times New Roman"/>
                      <w:b/>
                      <w:bCs/>
                      <w:kern w:val="2"/>
                      <w:sz w:val="21"/>
                      <w:szCs w:val="21"/>
                      <w:lang w:val="en-US" w:eastAsia="zh-CN" w:bidi="ar"/>
                    </w:rPr>
                  </w:pPr>
                  <w:r>
                    <w:rPr>
                      <w:rFonts w:hint="eastAsia" w:ascii="Times New Roman" w:hAnsi="Times New Roman" w:eastAsia="宋体" w:cs="Times New Roman"/>
                      <w:b/>
                      <w:bCs/>
                      <w:kern w:val="2"/>
                      <w:sz w:val="21"/>
                      <w:szCs w:val="21"/>
                      <w:lang w:val="en-US" w:eastAsia="zh-CN" w:bidi="ar"/>
                    </w:rPr>
                    <w:t>达标情况</w:t>
                  </w:r>
                </w:p>
              </w:tc>
            </w:tr>
            <w:tr w14:paraId="18FD7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tcBorders>
                    <w:tl2br w:val="nil"/>
                    <w:tr2bl w:val="nil"/>
                  </w:tcBorders>
                  <w:shd w:val="clear" w:color="auto" w:fill="auto"/>
                  <w:vAlign w:val="center"/>
                </w:tcPr>
                <w:p w14:paraId="1EF064DE">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采样点位</w:t>
                  </w:r>
                </w:p>
              </w:tc>
              <w:tc>
                <w:tcPr>
                  <w:tcW w:w="954" w:type="dxa"/>
                  <w:tcBorders>
                    <w:tl2br w:val="nil"/>
                    <w:tr2bl w:val="nil"/>
                  </w:tcBorders>
                  <w:shd w:val="clear" w:color="auto" w:fill="auto"/>
                  <w:vAlign w:val="center"/>
                </w:tcPr>
                <w:p w14:paraId="08D78425">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检测项目</w:t>
                  </w:r>
                </w:p>
              </w:tc>
              <w:tc>
                <w:tcPr>
                  <w:tcW w:w="1855" w:type="dxa"/>
                  <w:tcBorders>
                    <w:tl2br w:val="nil"/>
                    <w:tr2bl w:val="nil"/>
                  </w:tcBorders>
                  <w:shd w:val="clear" w:color="auto" w:fill="auto"/>
                  <w:vAlign w:val="center"/>
                </w:tcPr>
                <w:p w14:paraId="63A941A3">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eastAsia" w:ascii="Times New Roman" w:hAnsi="Times New Roman" w:eastAsia="宋体" w:cs="Times New Roman"/>
                      <w:b/>
                      <w:bCs w:val="0"/>
                      <w:kern w:val="2"/>
                      <w:sz w:val="21"/>
                      <w:szCs w:val="21"/>
                      <w:lang w:eastAsia="zh-CN"/>
                    </w:rPr>
                  </w:pPr>
                  <w:r>
                    <w:rPr>
                      <w:rFonts w:hint="eastAsia" w:ascii="Times New Roman" w:hAnsi="Times New Roman" w:eastAsia="宋体" w:cs="Times New Roman"/>
                      <w:b/>
                      <w:bCs w:val="0"/>
                      <w:kern w:val="2"/>
                      <w:sz w:val="21"/>
                      <w:szCs w:val="21"/>
                      <w:lang w:eastAsia="zh-CN"/>
                    </w:rPr>
                    <w:t>项目</w:t>
                  </w:r>
                </w:p>
              </w:tc>
              <w:tc>
                <w:tcPr>
                  <w:tcW w:w="1212" w:type="dxa"/>
                  <w:tcBorders>
                    <w:tl2br w:val="nil"/>
                    <w:tr2bl w:val="nil"/>
                  </w:tcBorders>
                  <w:shd w:val="clear" w:color="auto" w:fill="auto"/>
                  <w:vAlign w:val="center"/>
                </w:tcPr>
                <w:p w14:paraId="76998B3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
                    </w:rPr>
                    <w:t>Ⅰ</w:t>
                  </w:r>
                </w:p>
              </w:tc>
              <w:tc>
                <w:tcPr>
                  <w:tcW w:w="1200" w:type="dxa"/>
                  <w:tcBorders>
                    <w:tl2br w:val="nil"/>
                    <w:tr2bl w:val="nil"/>
                  </w:tcBorders>
                  <w:shd w:val="clear" w:color="auto" w:fill="auto"/>
                  <w:vAlign w:val="center"/>
                </w:tcPr>
                <w:p w14:paraId="00F5AAD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
                    </w:rPr>
                    <w:t>Ⅱ</w:t>
                  </w:r>
                </w:p>
              </w:tc>
              <w:tc>
                <w:tcPr>
                  <w:tcW w:w="1302" w:type="dxa"/>
                  <w:tcBorders>
                    <w:tl2br w:val="nil"/>
                    <w:tr2bl w:val="nil"/>
                  </w:tcBorders>
                  <w:shd w:val="clear" w:color="auto" w:fill="auto"/>
                  <w:vAlign w:val="center"/>
                </w:tcPr>
                <w:p w14:paraId="43CBD03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Ⅲ</w:t>
                  </w:r>
                </w:p>
              </w:tc>
              <w:tc>
                <w:tcPr>
                  <w:tcW w:w="821" w:type="dxa"/>
                  <w:vMerge w:val="continue"/>
                  <w:tcBorders>
                    <w:tl2br w:val="nil"/>
                    <w:tr2bl w:val="nil"/>
                  </w:tcBorders>
                  <w:shd w:val="clear" w:color="auto" w:fill="auto"/>
                  <w:vAlign w:val="center"/>
                </w:tcPr>
                <w:p w14:paraId="7B3693DA">
                  <w:pPr>
                    <w:keepNext w:val="0"/>
                    <w:keepLines w:val="0"/>
                    <w:widowControl w:val="0"/>
                    <w:suppressLineNumbers w:val="0"/>
                    <w:autoSpaceDE w:val="0"/>
                    <w:autoSpaceDN/>
                    <w:spacing w:before="0" w:beforeAutospacing="0" w:after="0" w:afterAutospacing="0" w:line="280" w:lineRule="exact"/>
                    <w:ind w:left="-105" w:leftChars="-50" w:right="-105" w:rightChars="-50" w:firstLine="0" w:firstLineChars="0"/>
                    <w:jc w:val="center"/>
                    <w:rPr>
                      <w:rFonts w:hint="eastAsia" w:ascii="宋体" w:hAnsi="宋体" w:eastAsia="宋体" w:cs="宋体"/>
                      <w:b/>
                      <w:bCs w:val="0"/>
                      <w:kern w:val="2"/>
                      <w:sz w:val="21"/>
                      <w:szCs w:val="21"/>
                      <w:lang w:val="en-US" w:eastAsia="zh-CN" w:bidi="ar"/>
                    </w:rPr>
                  </w:pPr>
                </w:p>
              </w:tc>
              <w:tc>
                <w:tcPr>
                  <w:tcW w:w="560" w:type="dxa"/>
                  <w:vMerge w:val="continue"/>
                  <w:tcBorders>
                    <w:tl2br w:val="nil"/>
                    <w:tr2bl w:val="nil"/>
                  </w:tcBorders>
                  <w:shd w:val="clear" w:color="auto" w:fill="auto"/>
                  <w:vAlign w:val="center"/>
                </w:tcPr>
                <w:p w14:paraId="62573D02">
                  <w:pPr>
                    <w:keepNext w:val="0"/>
                    <w:keepLines w:val="0"/>
                    <w:widowControl w:val="0"/>
                    <w:suppressLineNumbers w:val="0"/>
                    <w:autoSpaceDE w:val="0"/>
                    <w:autoSpaceDN/>
                    <w:spacing w:before="0" w:beforeAutospacing="0" w:after="0" w:afterAutospacing="0" w:line="280" w:lineRule="exact"/>
                    <w:ind w:left="-105" w:leftChars="-50" w:right="-105" w:rightChars="-50" w:firstLine="0" w:firstLineChars="0"/>
                    <w:jc w:val="center"/>
                    <w:rPr>
                      <w:rFonts w:hint="eastAsia" w:ascii="宋体" w:hAnsi="宋体" w:eastAsia="宋体" w:cs="宋体"/>
                      <w:b/>
                      <w:bCs w:val="0"/>
                      <w:kern w:val="2"/>
                      <w:sz w:val="21"/>
                      <w:szCs w:val="21"/>
                      <w:lang w:val="en-US" w:eastAsia="zh-CN" w:bidi="ar"/>
                    </w:rPr>
                  </w:pPr>
                </w:p>
              </w:tc>
            </w:tr>
            <w:tr w14:paraId="70F45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restart"/>
                  <w:tcBorders>
                    <w:tl2br w:val="nil"/>
                    <w:tr2bl w:val="nil"/>
                  </w:tcBorders>
                  <w:shd w:val="clear" w:color="auto" w:fill="auto"/>
                  <w:vAlign w:val="center"/>
                </w:tcPr>
                <w:p w14:paraId="7F687D26">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焊接烟尘除尘器进口</w:t>
                  </w:r>
                  <w:r>
                    <w:rPr>
                      <w:rFonts w:hint="default" w:ascii="Times New Roman" w:hAnsi="Times New Roman" w:eastAsia="宋体" w:cs="Times New Roman"/>
                      <w:kern w:val="2"/>
                      <w:sz w:val="21"/>
                      <w:szCs w:val="21"/>
                      <w:lang w:val="en-US" w:eastAsia="zh-CN" w:bidi="ar"/>
                    </w:rPr>
                    <w:t>G1</w:t>
                  </w:r>
                </w:p>
              </w:tc>
              <w:tc>
                <w:tcPr>
                  <w:tcW w:w="954" w:type="dxa"/>
                  <w:vMerge w:val="restart"/>
                  <w:tcBorders>
                    <w:tl2br w:val="nil"/>
                    <w:tr2bl w:val="nil"/>
                  </w:tcBorders>
                  <w:shd w:val="clear" w:color="auto" w:fill="auto"/>
                  <w:vAlign w:val="center"/>
                </w:tcPr>
                <w:p w14:paraId="5B516307">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b w:val="0"/>
                      <w:bCs/>
                      <w:kern w:val="2"/>
                      <w:sz w:val="21"/>
                      <w:szCs w:val="21"/>
                    </w:rPr>
                  </w:pPr>
                  <w:r>
                    <w:rPr>
                      <w:rFonts w:hint="eastAsia" w:ascii="宋体" w:hAnsi="宋体" w:eastAsia="宋体" w:cs="宋体"/>
                      <w:b w:val="0"/>
                      <w:bCs/>
                      <w:kern w:val="2"/>
                      <w:sz w:val="21"/>
                      <w:szCs w:val="21"/>
                      <w:lang w:val="en-US" w:eastAsia="zh-CN" w:bidi="ar"/>
                    </w:rPr>
                    <w:t>颗粒物</w:t>
                  </w:r>
                </w:p>
              </w:tc>
              <w:tc>
                <w:tcPr>
                  <w:tcW w:w="1855" w:type="dxa"/>
                  <w:tcBorders>
                    <w:tl2br w:val="nil"/>
                    <w:tr2bl w:val="nil"/>
                  </w:tcBorders>
                  <w:shd w:val="clear" w:color="auto" w:fill="auto"/>
                  <w:vAlign w:val="center"/>
                </w:tcPr>
                <w:p w14:paraId="63A0A2C0">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rPr>
                  </w:pPr>
                  <w:r>
                    <w:rPr>
                      <w:rFonts w:hint="eastAsia" w:ascii="宋体" w:hAnsi="宋体" w:eastAsia="宋体" w:cs="宋体"/>
                      <w:b/>
                      <w:bCs w:val="0"/>
                      <w:kern w:val="2"/>
                      <w:sz w:val="21"/>
                      <w:szCs w:val="21"/>
                      <w:lang w:val="en-US" w:eastAsia="zh-CN" w:bidi="ar"/>
                    </w:rPr>
                    <w:t>标干流量（</w:t>
                  </w:r>
                  <w:r>
                    <w:rPr>
                      <w:rFonts w:hint="default" w:ascii="Times New Roman" w:hAnsi="Times New Roman" w:eastAsia="宋体" w:cs="Times New Roman"/>
                      <w:b/>
                      <w:bCs w:val="0"/>
                      <w:kern w:val="2"/>
                      <w:sz w:val="21"/>
                      <w:szCs w:val="21"/>
                      <w:lang w:val="en-US" w:eastAsia="zh-CN" w:bidi="ar"/>
                    </w:rPr>
                    <w:t>m</w:t>
                  </w:r>
                  <w:r>
                    <w:rPr>
                      <w:rFonts w:hint="default" w:ascii="Times New Roman" w:hAnsi="Times New Roman" w:eastAsia="宋体" w:cs="Times New Roman"/>
                      <w:b/>
                      <w:bCs w:val="0"/>
                      <w:kern w:val="2"/>
                      <w:sz w:val="21"/>
                      <w:szCs w:val="21"/>
                      <w:vertAlign w:val="superscript"/>
                      <w:lang w:val="en-US" w:eastAsia="zh-CN" w:bidi="ar"/>
                    </w:rPr>
                    <w:t>3</w:t>
                  </w:r>
                  <w:r>
                    <w:rPr>
                      <w:rFonts w:hint="default" w:ascii="Times New Roman" w:hAnsi="Times New Roman" w:eastAsia="宋体" w:cs="Times New Roman"/>
                      <w:b/>
                      <w:bCs w:val="0"/>
                      <w:kern w:val="2"/>
                      <w:sz w:val="21"/>
                      <w:szCs w:val="21"/>
                      <w:lang w:val="en-US" w:eastAsia="zh-CN" w:bidi="ar"/>
                    </w:rPr>
                    <w:t>/h</w:t>
                  </w:r>
                  <w:r>
                    <w:rPr>
                      <w:rFonts w:hint="eastAsia" w:ascii="宋体" w:hAnsi="宋体" w:eastAsia="宋体" w:cs="宋体"/>
                      <w:b/>
                      <w:bCs w:val="0"/>
                      <w:kern w:val="2"/>
                      <w:sz w:val="21"/>
                      <w:szCs w:val="21"/>
                      <w:lang w:val="en-US" w:eastAsia="zh-CN" w:bidi="ar"/>
                    </w:rPr>
                    <w:t>）</w:t>
                  </w:r>
                </w:p>
              </w:tc>
              <w:tc>
                <w:tcPr>
                  <w:tcW w:w="1212" w:type="dxa"/>
                  <w:tcBorders>
                    <w:tl2br w:val="nil"/>
                    <w:tr2bl w:val="nil"/>
                  </w:tcBorders>
                  <w:shd w:val="clear" w:color="auto" w:fill="auto"/>
                  <w:vAlign w:val="center"/>
                </w:tcPr>
                <w:p w14:paraId="601F95D2">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41578</w:t>
                  </w:r>
                </w:p>
              </w:tc>
              <w:tc>
                <w:tcPr>
                  <w:tcW w:w="1200" w:type="dxa"/>
                  <w:tcBorders>
                    <w:tl2br w:val="nil"/>
                    <w:tr2bl w:val="nil"/>
                  </w:tcBorders>
                  <w:shd w:val="clear" w:color="auto" w:fill="auto"/>
                  <w:vAlign w:val="center"/>
                </w:tcPr>
                <w:p w14:paraId="73DC9DB6">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41789</w:t>
                  </w:r>
                </w:p>
              </w:tc>
              <w:tc>
                <w:tcPr>
                  <w:tcW w:w="1302" w:type="dxa"/>
                  <w:tcBorders>
                    <w:tl2br w:val="nil"/>
                    <w:tr2bl w:val="nil"/>
                  </w:tcBorders>
                  <w:shd w:val="clear" w:color="auto" w:fill="auto"/>
                  <w:vAlign w:val="center"/>
                </w:tcPr>
                <w:p w14:paraId="779F9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41977</w:t>
                  </w:r>
                </w:p>
              </w:tc>
              <w:tc>
                <w:tcPr>
                  <w:tcW w:w="821" w:type="dxa"/>
                  <w:tcBorders>
                    <w:tl2br w:val="nil"/>
                    <w:tr2bl w:val="nil"/>
                  </w:tcBorders>
                  <w:shd w:val="clear" w:color="auto" w:fill="auto"/>
                  <w:vAlign w:val="center"/>
                </w:tcPr>
                <w:p w14:paraId="22255C8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c>
                <w:tcPr>
                  <w:tcW w:w="560" w:type="dxa"/>
                  <w:tcBorders>
                    <w:tl2br w:val="nil"/>
                    <w:tr2bl w:val="nil"/>
                  </w:tcBorders>
                  <w:shd w:val="clear" w:color="auto" w:fill="auto"/>
                  <w:vAlign w:val="center"/>
                </w:tcPr>
                <w:p w14:paraId="3F7719E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r>
            <w:tr w14:paraId="611DA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continue"/>
                  <w:tcBorders>
                    <w:tl2br w:val="nil"/>
                    <w:tr2bl w:val="nil"/>
                  </w:tcBorders>
                  <w:shd w:val="clear" w:color="auto" w:fill="auto"/>
                  <w:vAlign w:val="center"/>
                </w:tcPr>
                <w:p w14:paraId="36472E0D">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宋体" w:hAnsi="宋体" w:eastAsia="宋体" w:cs="宋体"/>
                      <w:kern w:val="2"/>
                      <w:sz w:val="21"/>
                      <w:szCs w:val="21"/>
                      <w:lang w:val="en-US" w:eastAsia="zh-CN" w:bidi="ar"/>
                    </w:rPr>
                  </w:pPr>
                </w:p>
              </w:tc>
              <w:tc>
                <w:tcPr>
                  <w:tcW w:w="954" w:type="dxa"/>
                  <w:vMerge w:val="continue"/>
                  <w:tcBorders>
                    <w:tl2br w:val="nil"/>
                    <w:tr2bl w:val="nil"/>
                  </w:tcBorders>
                  <w:shd w:val="clear" w:color="auto" w:fill="auto"/>
                  <w:vAlign w:val="center"/>
                </w:tcPr>
                <w:p w14:paraId="45121DA9">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eastAsia" w:ascii="宋体" w:hAnsi="宋体" w:eastAsia="宋体" w:cs="宋体"/>
                      <w:b w:val="0"/>
                      <w:bCs/>
                      <w:kern w:val="2"/>
                      <w:sz w:val="21"/>
                      <w:szCs w:val="21"/>
                      <w:lang w:val="en-US" w:eastAsia="zh-CN" w:bidi="ar"/>
                    </w:rPr>
                  </w:pPr>
                </w:p>
              </w:tc>
              <w:tc>
                <w:tcPr>
                  <w:tcW w:w="1855" w:type="dxa"/>
                  <w:tcBorders>
                    <w:tl2br w:val="nil"/>
                    <w:tr2bl w:val="nil"/>
                  </w:tcBorders>
                  <w:shd w:val="clear" w:color="auto" w:fill="auto"/>
                  <w:vAlign w:val="center"/>
                </w:tcPr>
                <w:p w14:paraId="0A73F1B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
                    </w:rPr>
                  </w:pPr>
                  <w:r>
                    <w:rPr>
                      <w:rFonts w:hint="eastAsia" w:ascii="宋体" w:hAnsi="宋体" w:eastAsia="宋体" w:cs="宋体"/>
                      <w:b/>
                      <w:bCs w:val="0"/>
                      <w:kern w:val="2"/>
                      <w:sz w:val="21"/>
                      <w:szCs w:val="21"/>
                      <w:lang w:val="en-US" w:eastAsia="zh-CN" w:bidi="ar"/>
                    </w:rPr>
                    <w:t>实测浓度（</w:t>
                  </w:r>
                  <w:r>
                    <w:rPr>
                      <w:rFonts w:hint="default" w:ascii="Times New Roman" w:hAnsi="Times New Roman" w:eastAsia="宋体" w:cs="Times New Roman"/>
                      <w:b/>
                      <w:bCs w:val="0"/>
                      <w:kern w:val="2"/>
                      <w:sz w:val="21"/>
                      <w:szCs w:val="21"/>
                      <w:lang w:val="en-US" w:eastAsia="zh-CN" w:bidi="ar"/>
                    </w:rPr>
                    <w:t>mg/m</w:t>
                  </w:r>
                  <w:r>
                    <w:rPr>
                      <w:rFonts w:hint="default" w:ascii="Times New Roman" w:hAnsi="Times New Roman" w:eastAsia="宋体" w:cs="Times New Roman"/>
                      <w:b/>
                      <w:bCs w:val="0"/>
                      <w:kern w:val="2"/>
                      <w:sz w:val="21"/>
                      <w:szCs w:val="21"/>
                      <w:vertAlign w:val="superscript"/>
                      <w:lang w:val="en-US" w:eastAsia="zh-CN" w:bidi="ar"/>
                    </w:rPr>
                    <w:t>3</w:t>
                  </w:r>
                  <w:r>
                    <w:rPr>
                      <w:rFonts w:hint="eastAsia" w:ascii="宋体" w:hAnsi="宋体" w:eastAsia="宋体" w:cs="宋体"/>
                      <w:b/>
                      <w:bCs w:val="0"/>
                      <w:kern w:val="2"/>
                      <w:sz w:val="21"/>
                      <w:szCs w:val="21"/>
                      <w:lang w:val="en-US" w:eastAsia="zh-CN" w:bidi="ar"/>
                    </w:rPr>
                    <w:t>）</w:t>
                  </w:r>
                </w:p>
              </w:tc>
              <w:tc>
                <w:tcPr>
                  <w:tcW w:w="1212" w:type="dxa"/>
                  <w:tcBorders>
                    <w:tl2br w:val="nil"/>
                    <w:tr2bl w:val="nil"/>
                  </w:tcBorders>
                  <w:shd w:val="clear" w:color="auto" w:fill="auto"/>
                  <w:vAlign w:val="center"/>
                </w:tcPr>
                <w:p w14:paraId="245AA4F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37.2</w:t>
                  </w:r>
                </w:p>
              </w:tc>
              <w:tc>
                <w:tcPr>
                  <w:tcW w:w="1200" w:type="dxa"/>
                  <w:tcBorders>
                    <w:tl2br w:val="nil"/>
                    <w:tr2bl w:val="nil"/>
                  </w:tcBorders>
                  <w:shd w:val="clear" w:color="auto" w:fill="auto"/>
                  <w:vAlign w:val="center"/>
                </w:tcPr>
                <w:p w14:paraId="31F314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36.2</w:t>
                  </w:r>
                </w:p>
              </w:tc>
              <w:tc>
                <w:tcPr>
                  <w:tcW w:w="1302" w:type="dxa"/>
                  <w:tcBorders>
                    <w:tl2br w:val="nil"/>
                    <w:tr2bl w:val="nil"/>
                  </w:tcBorders>
                  <w:shd w:val="clear" w:color="auto" w:fill="auto"/>
                  <w:vAlign w:val="center"/>
                </w:tcPr>
                <w:p w14:paraId="1E4FAE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35.5</w:t>
                  </w:r>
                </w:p>
              </w:tc>
              <w:tc>
                <w:tcPr>
                  <w:tcW w:w="821" w:type="dxa"/>
                  <w:tcBorders>
                    <w:tl2br w:val="nil"/>
                    <w:tr2bl w:val="nil"/>
                  </w:tcBorders>
                  <w:shd w:val="clear" w:color="auto" w:fill="auto"/>
                  <w:vAlign w:val="center"/>
                </w:tcPr>
                <w:p w14:paraId="5C2B75FE">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c>
                <w:tcPr>
                  <w:tcW w:w="560" w:type="dxa"/>
                  <w:tcBorders>
                    <w:tl2br w:val="nil"/>
                    <w:tr2bl w:val="nil"/>
                  </w:tcBorders>
                  <w:shd w:val="clear" w:color="auto" w:fill="auto"/>
                  <w:vAlign w:val="center"/>
                </w:tcPr>
                <w:p w14:paraId="6CAF9077">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r>
            <w:tr w14:paraId="7C0BB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continue"/>
                  <w:tcBorders>
                    <w:tl2br w:val="nil"/>
                    <w:tr2bl w:val="nil"/>
                  </w:tcBorders>
                  <w:shd w:val="clear" w:color="auto" w:fill="auto"/>
                  <w:vAlign w:val="center"/>
                </w:tcPr>
                <w:p w14:paraId="56D8A153">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宋体" w:hAnsi="宋体" w:eastAsia="宋体" w:cs="宋体"/>
                      <w:kern w:val="2"/>
                      <w:sz w:val="21"/>
                      <w:szCs w:val="21"/>
                      <w:lang w:val="en-US" w:eastAsia="zh-CN" w:bidi="ar"/>
                    </w:rPr>
                  </w:pPr>
                </w:p>
              </w:tc>
              <w:tc>
                <w:tcPr>
                  <w:tcW w:w="954" w:type="dxa"/>
                  <w:vMerge w:val="continue"/>
                  <w:tcBorders>
                    <w:tl2br w:val="nil"/>
                    <w:tr2bl w:val="nil"/>
                  </w:tcBorders>
                  <w:shd w:val="clear" w:color="auto" w:fill="auto"/>
                  <w:vAlign w:val="center"/>
                </w:tcPr>
                <w:p w14:paraId="26C8B3A6">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eastAsia" w:ascii="宋体" w:hAnsi="宋体" w:eastAsia="宋体" w:cs="宋体"/>
                      <w:b w:val="0"/>
                      <w:bCs/>
                      <w:kern w:val="2"/>
                      <w:sz w:val="21"/>
                      <w:szCs w:val="21"/>
                      <w:lang w:val="en-US" w:eastAsia="zh-CN" w:bidi="ar"/>
                    </w:rPr>
                  </w:pPr>
                </w:p>
              </w:tc>
              <w:tc>
                <w:tcPr>
                  <w:tcW w:w="1855" w:type="dxa"/>
                  <w:tcBorders>
                    <w:tl2br w:val="nil"/>
                    <w:tr2bl w:val="nil"/>
                  </w:tcBorders>
                  <w:shd w:val="clear" w:color="auto" w:fill="auto"/>
                  <w:vAlign w:val="center"/>
                </w:tcPr>
                <w:p w14:paraId="501C8175">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bCs w:val="0"/>
                      <w:kern w:val="2"/>
                      <w:sz w:val="21"/>
                      <w:szCs w:val="21"/>
                      <w:lang w:val="en-US" w:eastAsia="zh-CN" w:bidi="ar"/>
                    </w:rPr>
                    <w:t>产生速率（kg/h）</w:t>
                  </w:r>
                </w:p>
              </w:tc>
              <w:tc>
                <w:tcPr>
                  <w:tcW w:w="1212" w:type="dxa"/>
                  <w:tcBorders>
                    <w:tl2br w:val="nil"/>
                    <w:tr2bl w:val="nil"/>
                  </w:tcBorders>
                  <w:shd w:val="clear" w:color="auto" w:fill="auto"/>
                  <w:vAlign w:val="center"/>
                </w:tcPr>
                <w:p w14:paraId="52D5482C">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1.55 </w:t>
                  </w:r>
                </w:p>
              </w:tc>
              <w:tc>
                <w:tcPr>
                  <w:tcW w:w="1200" w:type="dxa"/>
                  <w:tcBorders>
                    <w:tl2br w:val="nil"/>
                    <w:tr2bl w:val="nil"/>
                  </w:tcBorders>
                  <w:shd w:val="clear" w:color="auto" w:fill="auto"/>
                  <w:vAlign w:val="center"/>
                </w:tcPr>
                <w:p w14:paraId="4602DFE4">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1.51 </w:t>
                  </w:r>
                </w:p>
              </w:tc>
              <w:tc>
                <w:tcPr>
                  <w:tcW w:w="1302" w:type="dxa"/>
                  <w:tcBorders>
                    <w:tl2br w:val="nil"/>
                    <w:tr2bl w:val="nil"/>
                  </w:tcBorders>
                  <w:shd w:val="clear" w:color="auto" w:fill="auto"/>
                  <w:vAlign w:val="center"/>
                </w:tcPr>
                <w:p w14:paraId="23E7B08D">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1.49 </w:t>
                  </w:r>
                </w:p>
              </w:tc>
              <w:tc>
                <w:tcPr>
                  <w:tcW w:w="821" w:type="dxa"/>
                  <w:tcBorders>
                    <w:tl2br w:val="nil"/>
                    <w:tr2bl w:val="nil"/>
                  </w:tcBorders>
                  <w:shd w:val="clear" w:color="auto" w:fill="auto"/>
                  <w:vAlign w:val="center"/>
                </w:tcPr>
                <w:p w14:paraId="326A40EF">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c>
                <w:tcPr>
                  <w:tcW w:w="560" w:type="dxa"/>
                  <w:tcBorders>
                    <w:tl2br w:val="nil"/>
                    <w:tr2bl w:val="nil"/>
                  </w:tcBorders>
                  <w:shd w:val="clear" w:color="auto" w:fill="auto"/>
                  <w:vAlign w:val="center"/>
                </w:tcPr>
                <w:p w14:paraId="29033044">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r>
            <w:tr w14:paraId="7A098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tcBorders>
                    <w:tl2br w:val="nil"/>
                    <w:tr2bl w:val="nil"/>
                  </w:tcBorders>
                  <w:shd w:val="clear" w:color="auto" w:fill="auto"/>
                  <w:vAlign w:val="center"/>
                </w:tcPr>
                <w:p w14:paraId="00BC2DE5">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采样环境</w:t>
                  </w:r>
                </w:p>
              </w:tc>
              <w:tc>
                <w:tcPr>
                  <w:tcW w:w="6523" w:type="dxa"/>
                  <w:gridSpan w:val="5"/>
                  <w:tcBorders>
                    <w:tl2br w:val="nil"/>
                    <w:tr2bl w:val="nil"/>
                  </w:tcBorders>
                  <w:shd w:val="clear" w:color="auto" w:fill="auto"/>
                  <w:vAlign w:val="center"/>
                </w:tcPr>
                <w:p w14:paraId="574639D5">
                  <w:pPr>
                    <w:keepNext w:val="0"/>
                    <w:keepLines w:val="0"/>
                    <w:widowControl w:val="0"/>
                    <w:suppressLineNumbers w:val="0"/>
                    <w:autoSpaceDE w:val="0"/>
                    <w:autoSpaceDN/>
                    <w:spacing w:before="0" w:beforeAutospacing="0" w:after="0" w:afterAutospacing="0" w:line="300" w:lineRule="exact"/>
                    <w:ind w:left="0" w:right="0" w:rightChars="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2024.01.19 </w:t>
                  </w:r>
                  <w:r>
                    <w:rPr>
                      <w:rFonts w:hint="eastAsia" w:ascii="宋体" w:hAnsi="宋体" w:eastAsia="宋体" w:cs="宋体"/>
                      <w:kern w:val="2"/>
                      <w:sz w:val="21"/>
                      <w:szCs w:val="21"/>
                      <w:lang w:val="en-US" w:eastAsia="zh-CN" w:bidi="ar"/>
                    </w:rPr>
                    <w:t>烟温均值：</w:t>
                  </w:r>
                  <w:r>
                    <w:rPr>
                      <w:rFonts w:hint="default" w:ascii="Times New Roman" w:hAnsi="Times New Roman" w:eastAsia="宋体" w:cs="Times New Roman"/>
                      <w:kern w:val="2"/>
                      <w:sz w:val="21"/>
                      <w:szCs w:val="21"/>
                      <w:lang w:val="en-US" w:eastAsia="zh-CN" w:bidi="ar"/>
                    </w:rPr>
                    <w:t xml:space="preserve">27.7℃ </w:t>
                  </w:r>
                  <w:r>
                    <w:rPr>
                      <w:rFonts w:hint="eastAsia" w:ascii="宋体" w:hAnsi="宋体" w:eastAsia="宋体" w:cs="宋体"/>
                      <w:kern w:val="2"/>
                      <w:sz w:val="21"/>
                      <w:szCs w:val="21"/>
                      <w:lang w:val="en-US" w:eastAsia="zh-CN" w:bidi="ar"/>
                    </w:rPr>
                    <w:t>烟气流速均值：</w:t>
                  </w:r>
                  <w:r>
                    <w:rPr>
                      <w:rFonts w:hint="default" w:ascii="Times New Roman" w:hAnsi="Times New Roman" w:eastAsia="宋体" w:cs="Times New Roman"/>
                      <w:kern w:val="2"/>
                      <w:sz w:val="21"/>
                      <w:szCs w:val="21"/>
                      <w:lang w:val="en-US" w:eastAsia="zh-CN" w:bidi="ar"/>
                    </w:rPr>
                    <w:t xml:space="preserve">15.98m/s </w:t>
                  </w:r>
                  <w:r>
                    <w:rPr>
                      <w:rFonts w:hint="eastAsia" w:ascii="宋体" w:hAnsi="宋体" w:eastAsia="宋体" w:cs="宋体"/>
                      <w:kern w:val="2"/>
                      <w:sz w:val="21"/>
                      <w:szCs w:val="21"/>
                      <w:lang w:val="en-US" w:eastAsia="zh-CN" w:bidi="ar"/>
                    </w:rPr>
                    <w:t>含湿量均值：</w:t>
                  </w:r>
                  <w:r>
                    <w:rPr>
                      <w:rFonts w:hint="default" w:ascii="Times New Roman" w:hAnsi="Times New Roman" w:eastAsia="宋体" w:cs="Times New Roman"/>
                      <w:kern w:val="2"/>
                      <w:sz w:val="21"/>
                      <w:szCs w:val="21"/>
                      <w:lang w:val="en-US" w:eastAsia="zh-CN" w:bidi="ar"/>
                    </w:rPr>
                    <w:t xml:space="preserve">3.9% </w:t>
                  </w:r>
                  <w:r>
                    <w:rPr>
                      <w:rFonts w:hint="eastAsia" w:ascii="宋体" w:hAnsi="宋体" w:eastAsia="宋体" w:cs="宋体"/>
                      <w:kern w:val="2"/>
                      <w:sz w:val="21"/>
                      <w:szCs w:val="21"/>
                      <w:lang w:val="en-US" w:eastAsia="zh-CN" w:bidi="ar"/>
                    </w:rPr>
                    <w:t>燃料：电</w:t>
                  </w:r>
                </w:p>
              </w:tc>
              <w:tc>
                <w:tcPr>
                  <w:tcW w:w="821" w:type="dxa"/>
                  <w:tcBorders>
                    <w:tl2br w:val="nil"/>
                    <w:tr2bl w:val="nil"/>
                  </w:tcBorders>
                  <w:shd w:val="clear" w:color="auto" w:fill="auto"/>
                  <w:vAlign w:val="center"/>
                </w:tcPr>
                <w:p w14:paraId="26B0B40A">
                  <w:pPr>
                    <w:keepNext w:val="0"/>
                    <w:keepLines w:val="0"/>
                    <w:widowControl w:val="0"/>
                    <w:suppressLineNumbers w:val="0"/>
                    <w:autoSpaceDE w:val="0"/>
                    <w:autoSpaceDN/>
                    <w:spacing w:before="0" w:beforeAutospacing="0" w:after="0" w:afterAutospacing="0" w:line="300" w:lineRule="exact"/>
                    <w:ind w:left="0" w:right="0" w:rightChars="0"/>
                    <w:jc w:val="both"/>
                    <w:rPr>
                      <w:rFonts w:hint="default" w:ascii="Times New Roman" w:hAnsi="Times New Roman" w:eastAsia="宋体" w:cs="Times New Roman"/>
                      <w:kern w:val="2"/>
                      <w:sz w:val="21"/>
                      <w:szCs w:val="21"/>
                      <w:lang w:val="en-US" w:eastAsia="zh-CN" w:bidi="ar"/>
                    </w:rPr>
                  </w:pPr>
                </w:p>
              </w:tc>
              <w:tc>
                <w:tcPr>
                  <w:tcW w:w="560" w:type="dxa"/>
                  <w:tcBorders>
                    <w:tl2br w:val="nil"/>
                    <w:tr2bl w:val="nil"/>
                  </w:tcBorders>
                  <w:shd w:val="clear" w:color="auto" w:fill="auto"/>
                  <w:vAlign w:val="center"/>
                </w:tcPr>
                <w:p w14:paraId="4CC34CCB">
                  <w:pPr>
                    <w:keepNext w:val="0"/>
                    <w:keepLines w:val="0"/>
                    <w:widowControl w:val="0"/>
                    <w:suppressLineNumbers w:val="0"/>
                    <w:autoSpaceDE w:val="0"/>
                    <w:autoSpaceDN/>
                    <w:spacing w:before="0" w:beforeAutospacing="0" w:after="0" w:afterAutospacing="0" w:line="300" w:lineRule="exact"/>
                    <w:ind w:left="0" w:right="0" w:rightChars="0"/>
                    <w:jc w:val="both"/>
                    <w:rPr>
                      <w:rFonts w:hint="default" w:ascii="Times New Roman" w:hAnsi="Times New Roman" w:eastAsia="宋体" w:cs="Times New Roman"/>
                      <w:kern w:val="2"/>
                      <w:sz w:val="21"/>
                      <w:szCs w:val="21"/>
                      <w:lang w:val="en-US" w:eastAsia="zh-CN" w:bidi="ar"/>
                    </w:rPr>
                  </w:pPr>
                </w:p>
              </w:tc>
            </w:tr>
            <w:tr w14:paraId="0ABBA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tcBorders>
                    <w:tl2br w:val="nil"/>
                    <w:tr2bl w:val="nil"/>
                  </w:tcBorders>
                  <w:shd w:val="clear" w:color="auto" w:fill="auto"/>
                  <w:vAlign w:val="center"/>
                </w:tcPr>
                <w:p w14:paraId="3038C97B">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采样点位</w:t>
                  </w:r>
                </w:p>
              </w:tc>
              <w:tc>
                <w:tcPr>
                  <w:tcW w:w="954" w:type="dxa"/>
                  <w:tcBorders>
                    <w:tl2br w:val="nil"/>
                    <w:tr2bl w:val="nil"/>
                  </w:tcBorders>
                  <w:shd w:val="clear" w:color="auto" w:fill="auto"/>
                  <w:vAlign w:val="center"/>
                </w:tcPr>
                <w:p w14:paraId="53ABBF96">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检测项目</w:t>
                  </w:r>
                </w:p>
              </w:tc>
              <w:tc>
                <w:tcPr>
                  <w:tcW w:w="1855" w:type="dxa"/>
                  <w:tcBorders>
                    <w:tl2br w:val="nil"/>
                    <w:tr2bl w:val="nil"/>
                  </w:tcBorders>
                  <w:shd w:val="clear" w:color="auto" w:fill="auto"/>
                  <w:vAlign w:val="center"/>
                </w:tcPr>
                <w:p w14:paraId="108BF305">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Times New Roman" w:hAnsi="Times New Roman" w:eastAsia="宋体" w:cs="Times New Roman"/>
                      <w:b/>
                      <w:bCs w:val="0"/>
                      <w:kern w:val="2"/>
                      <w:sz w:val="21"/>
                      <w:szCs w:val="21"/>
                      <w:lang w:eastAsia="zh-CN"/>
                    </w:rPr>
                    <w:t>项目</w:t>
                  </w:r>
                </w:p>
              </w:tc>
              <w:tc>
                <w:tcPr>
                  <w:tcW w:w="1212" w:type="dxa"/>
                  <w:tcBorders>
                    <w:tl2br w:val="nil"/>
                    <w:tr2bl w:val="nil"/>
                  </w:tcBorders>
                  <w:shd w:val="clear" w:color="auto" w:fill="auto"/>
                  <w:vAlign w:val="center"/>
                </w:tcPr>
                <w:p w14:paraId="26DF82D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
                    </w:rPr>
                    <w:t>Ⅰ</w:t>
                  </w:r>
                </w:p>
              </w:tc>
              <w:tc>
                <w:tcPr>
                  <w:tcW w:w="1200" w:type="dxa"/>
                  <w:tcBorders>
                    <w:tl2br w:val="nil"/>
                    <w:tr2bl w:val="nil"/>
                  </w:tcBorders>
                  <w:shd w:val="clear" w:color="auto" w:fill="auto"/>
                  <w:vAlign w:val="center"/>
                </w:tcPr>
                <w:p w14:paraId="773E1FFA">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
                    </w:rPr>
                    <w:t>Ⅱ</w:t>
                  </w:r>
                </w:p>
              </w:tc>
              <w:tc>
                <w:tcPr>
                  <w:tcW w:w="1302" w:type="dxa"/>
                  <w:tcBorders>
                    <w:tl2br w:val="nil"/>
                    <w:tr2bl w:val="nil"/>
                  </w:tcBorders>
                  <w:shd w:val="clear" w:color="auto" w:fill="auto"/>
                  <w:vAlign w:val="center"/>
                </w:tcPr>
                <w:p w14:paraId="7C6A76F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Ⅲ</w:t>
                  </w:r>
                </w:p>
              </w:tc>
              <w:tc>
                <w:tcPr>
                  <w:tcW w:w="821" w:type="dxa"/>
                  <w:tcBorders>
                    <w:tl2br w:val="nil"/>
                    <w:tr2bl w:val="nil"/>
                  </w:tcBorders>
                  <w:shd w:val="clear" w:color="auto" w:fill="auto"/>
                  <w:vAlign w:val="center"/>
                </w:tcPr>
                <w:p w14:paraId="055F5A60">
                  <w:pPr>
                    <w:keepNext w:val="0"/>
                    <w:keepLines w:val="0"/>
                    <w:widowControl w:val="0"/>
                    <w:suppressLineNumbers w:val="0"/>
                    <w:autoSpaceDE w:val="0"/>
                    <w:autoSpaceDN/>
                    <w:spacing w:before="0" w:beforeAutospacing="0" w:after="0" w:afterAutospacing="0" w:line="280" w:lineRule="exact"/>
                    <w:ind w:left="-105" w:leftChars="-50" w:right="-105" w:rightChars="-50" w:firstLine="0" w:firstLineChars="0"/>
                    <w:jc w:val="center"/>
                    <w:rPr>
                      <w:rFonts w:hint="eastAsia" w:ascii="宋体" w:hAnsi="宋体" w:eastAsia="宋体" w:cs="宋体"/>
                      <w:b/>
                      <w:bCs w:val="0"/>
                      <w:kern w:val="2"/>
                      <w:sz w:val="21"/>
                      <w:szCs w:val="21"/>
                      <w:lang w:val="en-US" w:eastAsia="zh-CN" w:bidi="ar"/>
                    </w:rPr>
                  </w:pPr>
                </w:p>
              </w:tc>
              <w:tc>
                <w:tcPr>
                  <w:tcW w:w="560" w:type="dxa"/>
                  <w:tcBorders>
                    <w:tl2br w:val="nil"/>
                    <w:tr2bl w:val="nil"/>
                  </w:tcBorders>
                  <w:shd w:val="clear" w:color="auto" w:fill="auto"/>
                  <w:vAlign w:val="center"/>
                </w:tcPr>
                <w:p w14:paraId="5888DDEF">
                  <w:pPr>
                    <w:keepNext w:val="0"/>
                    <w:keepLines w:val="0"/>
                    <w:widowControl w:val="0"/>
                    <w:suppressLineNumbers w:val="0"/>
                    <w:autoSpaceDE w:val="0"/>
                    <w:autoSpaceDN/>
                    <w:spacing w:before="0" w:beforeAutospacing="0" w:after="0" w:afterAutospacing="0" w:line="280" w:lineRule="exact"/>
                    <w:ind w:left="-105" w:leftChars="-50" w:right="-105" w:rightChars="-50" w:firstLine="0" w:firstLineChars="0"/>
                    <w:jc w:val="center"/>
                    <w:rPr>
                      <w:rFonts w:hint="eastAsia" w:ascii="宋体" w:hAnsi="宋体" w:eastAsia="宋体" w:cs="宋体"/>
                      <w:b/>
                      <w:bCs w:val="0"/>
                      <w:kern w:val="2"/>
                      <w:sz w:val="21"/>
                      <w:szCs w:val="21"/>
                      <w:lang w:val="en-US" w:eastAsia="zh-CN" w:bidi="ar"/>
                    </w:rPr>
                  </w:pPr>
                </w:p>
              </w:tc>
            </w:tr>
            <w:tr w14:paraId="51F2A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restart"/>
                  <w:tcBorders>
                    <w:tl2br w:val="nil"/>
                    <w:tr2bl w:val="nil"/>
                  </w:tcBorders>
                  <w:shd w:val="clear" w:color="auto" w:fill="auto"/>
                  <w:vAlign w:val="center"/>
                </w:tcPr>
                <w:p w14:paraId="70DC9AD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焊接烟尘除尘器出口</w:t>
                  </w:r>
                  <w:r>
                    <w:rPr>
                      <w:rFonts w:hint="default" w:ascii="Times New Roman" w:hAnsi="Times New Roman" w:eastAsia="宋体" w:cs="Times New Roman"/>
                      <w:kern w:val="2"/>
                      <w:sz w:val="21"/>
                      <w:szCs w:val="21"/>
                      <w:lang w:val="en-US" w:eastAsia="zh-CN" w:bidi="ar"/>
                    </w:rPr>
                    <w:t>G2</w:t>
                  </w:r>
                </w:p>
              </w:tc>
              <w:tc>
                <w:tcPr>
                  <w:tcW w:w="954" w:type="dxa"/>
                  <w:vMerge w:val="restart"/>
                  <w:tcBorders>
                    <w:tl2br w:val="nil"/>
                    <w:tr2bl w:val="nil"/>
                  </w:tcBorders>
                  <w:shd w:val="clear" w:color="auto" w:fill="auto"/>
                  <w:vAlign w:val="center"/>
                </w:tcPr>
                <w:p w14:paraId="12ED322A">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b w:val="0"/>
                      <w:bCs/>
                      <w:kern w:val="2"/>
                      <w:sz w:val="21"/>
                      <w:szCs w:val="21"/>
                    </w:rPr>
                  </w:pPr>
                  <w:r>
                    <w:rPr>
                      <w:rFonts w:hint="eastAsia" w:ascii="宋体" w:hAnsi="宋体" w:eastAsia="宋体" w:cs="宋体"/>
                      <w:b w:val="0"/>
                      <w:bCs/>
                      <w:kern w:val="2"/>
                      <w:sz w:val="21"/>
                      <w:szCs w:val="21"/>
                      <w:lang w:val="en-US" w:eastAsia="zh-CN" w:bidi="ar"/>
                    </w:rPr>
                    <w:t>颗粒物</w:t>
                  </w:r>
                </w:p>
              </w:tc>
              <w:tc>
                <w:tcPr>
                  <w:tcW w:w="1855" w:type="dxa"/>
                  <w:tcBorders>
                    <w:tl2br w:val="nil"/>
                    <w:tr2bl w:val="nil"/>
                  </w:tcBorders>
                  <w:shd w:val="clear" w:color="auto" w:fill="auto"/>
                  <w:vAlign w:val="center"/>
                </w:tcPr>
                <w:p w14:paraId="2E868666">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rPr>
                  </w:pPr>
                  <w:r>
                    <w:rPr>
                      <w:rFonts w:hint="eastAsia" w:ascii="宋体" w:hAnsi="宋体" w:eastAsia="宋体" w:cs="宋体"/>
                      <w:b/>
                      <w:bCs w:val="0"/>
                      <w:kern w:val="2"/>
                      <w:sz w:val="21"/>
                      <w:szCs w:val="21"/>
                      <w:lang w:val="en-US" w:eastAsia="zh-CN" w:bidi="ar"/>
                    </w:rPr>
                    <w:t>标干流量（</w:t>
                  </w:r>
                  <w:r>
                    <w:rPr>
                      <w:rFonts w:hint="default" w:ascii="Times New Roman" w:hAnsi="Times New Roman" w:eastAsia="宋体" w:cs="Times New Roman"/>
                      <w:b/>
                      <w:bCs w:val="0"/>
                      <w:kern w:val="2"/>
                      <w:sz w:val="21"/>
                      <w:szCs w:val="21"/>
                      <w:lang w:val="en-US" w:eastAsia="zh-CN" w:bidi="ar"/>
                    </w:rPr>
                    <w:t>m</w:t>
                  </w:r>
                  <w:r>
                    <w:rPr>
                      <w:rFonts w:hint="default" w:ascii="Times New Roman" w:hAnsi="Times New Roman" w:eastAsia="宋体" w:cs="Times New Roman"/>
                      <w:b/>
                      <w:bCs w:val="0"/>
                      <w:kern w:val="2"/>
                      <w:sz w:val="21"/>
                      <w:szCs w:val="21"/>
                      <w:vertAlign w:val="superscript"/>
                      <w:lang w:val="en-US" w:eastAsia="zh-CN" w:bidi="ar"/>
                    </w:rPr>
                    <w:t>3</w:t>
                  </w:r>
                  <w:r>
                    <w:rPr>
                      <w:rFonts w:hint="default" w:ascii="Times New Roman" w:hAnsi="Times New Roman" w:eastAsia="宋体" w:cs="Times New Roman"/>
                      <w:b/>
                      <w:bCs w:val="0"/>
                      <w:kern w:val="2"/>
                      <w:sz w:val="21"/>
                      <w:szCs w:val="21"/>
                      <w:lang w:val="en-US" w:eastAsia="zh-CN" w:bidi="ar"/>
                    </w:rPr>
                    <w:t>/h</w:t>
                  </w:r>
                  <w:r>
                    <w:rPr>
                      <w:rFonts w:hint="eastAsia" w:ascii="宋体" w:hAnsi="宋体" w:eastAsia="宋体" w:cs="宋体"/>
                      <w:b/>
                      <w:bCs w:val="0"/>
                      <w:kern w:val="2"/>
                      <w:sz w:val="21"/>
                      <w:szCs w:val="21"/>
                      <w:lang w:val="en-US" w:eastAsia="zh-CN" w:bidi="ar"/>
                    </w:rPr>
                    <w:t>）</w:t>
                  </w:r>
                </w:p>
              </w:tc>
              <w:tc>
                <w:tcPr>
                  <w:tcW w:w="1212" w:type="dxa"/>
                  <w:tcBorders>
                    <w:tl2br w:val="nil"/>
                    <w:tr2bl w:val="nil"/>
                  </w:tcBorders>
                  <w:shd w:val="clear" w:color="auto" w:fill="auto"/>
                  <w:vAlign w:val="center"/>
                </w:tcPr>
                <w:p w14:paraId="4B7D89DC">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39069</w:t>
                  </w:r>
                </w:p>
              </w:tc>
              <w:tc>
                <w:tcPr>
                  <w:tcW w:w="1200" w:type="dxa"/>
                  <w:tcBorders>
                    <w:tl2br w:val="nil"/>
                    <w:tr2bl w:val="nil"/>
                  </w:tcBorders>
                  <w:shd w:val="clear" w:color="auto" w:fill="auto"/>
                  <w:vAlign w:val="center"/>
                </w:tcPr>
                <w:p w14:paraId="03C13695">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39230</w:t>
                  </w:r>
                </w:p>
              </w:tc>
              <w:tc>
                <w:tcPr>
                  <w:tcW w:w="1302" w:type="dxa"/>
                  <w:tcBorders>
                    <w:tl2br w:val="nil"/>
                    <w:tr2bl w:val="nil"/>
                  </w:tcBorders>
                  <w:shd w:val="clear" w:color="auto" w:fill="auto"/>
                  <w:vAlign w:val="center"/>
                </w:tcPr>
                <w:p w14:paraId="70D95A72">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39424</w:t>
                  </w:r>
                </w:p>
              </w:tc>
              <w:tc>
                <w:tcPr>
                  <w:tcW w:w="821" w:type="dxa"/>
                  <w:tcBorders>
                    <w:tl2br w:val="nil"/>
                    <w:tr2bl w:val="nil"/>
                  </w:tcBorders>
                  <w:shd w:val="clear" w:color="auto" w:fill="auto"/>
                  <w:vAlign w:val="center"/>
                </w:tcPr>
                <w:p w14:paraId="4335F9E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c>
                <w:tcPr>
                  <w:tcW w:w="560" w:type="dxa"/>
                  <w:tcBorders>
                    <w:tl2br w:val="nil"/>
                    <w:tr2bl w:val="nil"/>
                  </w:tcBorders>
                  <w:shd w:val="clear" w:color="auto" w:fill="auto"/>
                  <w:vAlign w:val="center"/>
                </w:tcPr>
                <w:p w14:paraId="3038CD3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r>
            <w:tr w14:paraId="0F38A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continue"/>
                  <w:tcBorders>
                    <w:tl2br w:val="nil"/>
                    <w:tr2bl w:val="nil"/>
                  </w:tcBorders>
                  <w:shd w:val="clear" w:color="auto" w:fill="auto"/>
                  <w:vAlign w:val="center"/>
                </w:tcPr>
                <w:p w14:paraId="7494ECC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954" w:type="dxa"/>
                  <w:vMerge w:val="continue"/>
                  <w:tcBorders>
                    <w:tl2br w:val="nil"/>
                    <w:tr2bl w:val="nil"/>
                  </w:tcBorders>
                  <w:shd w:val="clear" w:color="auto" w:fill="auto"/>
                  <w:vAlign w:val="center"/>
                </w:tcPr>
                <w:p w14:paraId="7527D11A">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eastAsia" w:ascii="宋体" w:hAnsi="宋体" w:eastAsia="宋体" w:cs="宋体"/>
                      <w:b w:val="0"/>
                      <w:bCs/>
                      <w:kern w:val="2"/>
                      <w:sz w:val="21"/>
                      <w:szCs w:val="21"/>
                      <w:lang w:val="en-US" w:eastAsia="zh-CN" w:bidi="ar"/>
                    </w:rPr>
                  </w:pPr>
                </w:p>
              </w:tc>
              <w:tc>
                <w:tcPr>
                  <w:tcW w:w="1855" w:type="dxa"/>
                  <w:tcBorders>
                    <w:tl2br w:val="nil"/>
                    <w:tr2bl w:val="nil"/>
                  </w:tcBorders>
                  <w:shd w:val="clear" w:color="auto" w:fill="auto"/>
                  <w:vAlign w:val="center"/>
                </w:tcPr>
                <w:p w14:paraId="5E9028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SA"/>
                    </w:rPr>
                  </w:pPr>
                  <w:r>
                    <w:rPr>
                      <w:rFonts w:hint="eastAsia" w:ascii="宋体" w:hAnsi="宋体" w:eastAsia="宋体" w:cs="宋体"/>
                      <w:b/>
                      <w:bCs w:val="0"/>
                      <w:kern w:val="2"/>
                      <w:sz w:val="21"/>
                      <w:szCs w:val="21"/>
                      <w:lang w:val="en-US" w:eastAsia="zh-CN" w:bidi="ar"/>
                    </w:rPr>
                    <w:t>实测浓度（</w:t>
                  </w:r>
                  <w:r>
                    <w:rPr>
                      <w:rFonts w:hint="default" w:ascii="Times New Roman" w:hAnsi="Times New Roman" w:eastAsia="宋体" w:cs="Times New Roman"/>
                      <w:b/>
                      <w:bCs w:val="0"/>
                      <w:kern w:val="2"/>
                      <w:sz w:val="21"/>
                      <w:szCs w:val="21"/>
                      <w:lang w:val="en-US" w:eastAsia="zh-CN" w:bidi="ar"/>
                    </w:rPr>
                    <w:t>mg/m</w:t>
                  </w:r>
                  <w:r>
                    <w:rPr>
                      <w:rFonts w:hint="default" w:ascii="Times New Roman" w:hAnsi="Times New Roman" w:eastAsia="宋体" w:cs="Times New Roman"/>
                      <w:b/>
                      <w:bCs w:val="0"/>
                      <w:kern w:val="2"/>
                      <w:sz w:val="21"/>
                      <w:szCs w:val="21"/>
                      <w:vertAlign w:val="superscript"/>
                      <w:lang w:val="en-US" w:eastAsia="zh-CN" w:bidi="ar"/>
                    </w:rPr>
                    <w:t>3</w:t>
                  </w:r>
                  <w:r>
                    <w:rPr>
                      <w:rFonts w:hint="eastAsia" w:ascii="宋体" w:hAnsi="宋体" w:eastAsia="宋体" w:cs="宋体"/>
                      <w:b/>
                      <w:bCs w:val="0"/>
                      <w:kern w:val="2"/>
                      <w:sz w:val="21"/>
                      <w:szCs w:val="21"/>
                      <w:lang w:val="en-US" w:eastAsia="zh-CN" w:bidi="ar"/>
                    </w:rPr>
                    <w:t>）</w:t>
                  </w:r>
                </w:p>
              </w:tc>
              <w:tc>
                <w:tcPr>
                  <w:tcW w:w="1212" w:type="dxa"/>
                  <w:tcBorders>
                    <w:tl2br w:val="nil"/>
                    <w:tr2bl w:val="nil"/>
                  </w:tcBorders>
                  <w:shd w:val="clear" w:color="auto" w:fill="auto"/>
                  <w:vAlign w:val="center"/>
                </w:tcPr>
                <w:p w14:paraId="14504CCE">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8.7</w:t>
                  </w:r>
                </w:p>
              </w:tc>
              <w:tc>
                <w:tcPr>
                  <w:tcW w:w="1200" w:type="dxa"/>
                  <w:tcBorders>
                    <w:tl2br w:val="nil"/>
                    <w:tr2bl w:val="nil"/>
                  </w:tcBorders>
                  <w:shd w:val="clear" w:color="auto" w:fill="auto"/>
                  <w:vAlign w:val="center"/>
                </w:tcPr>
                <w:p w14:paraId="36FDA69B">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8.5</w:t>
                  </w:r>
                </w:p>
              </w:tc>
              <w:tc>
                <w:tcPr>
                  <w:tcW w:w="1302" w:type="dxa"/>
                  <w:tcBorders>
                    <w:tl2br w:val="nil"/>
                    <w:tr2bl w:val="nil"/>
                  </w:tcBorders>
                  <w:shd w:val="clear" w:color="auto" w:fill="auto"/>
                  <w:vAlign w:val="center"/>
                </w:tcPr>
                <w:p w14:paraId="30634114">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8.1</w:t>
                  </w:r>
                </w:p>
              </w:tc>
              <w:tc>
                <w:tcPr>
                  <w:tcW w:w="821" w:type="dxa"/>
                  <w:tcBorders>
                    <w:tl2br w:val="nil"/>
                    <w:tr2bl w:val="nil"/>
                  </w:tcBorders>
                  <w:shd w:val="clear" w:color="auto" w:fill="auto"/>
                  <w:vAlign w:val="center"/>
                </w:tcPr>
                <w:p w14:paraId="7635F40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120</w:t>
                  </w:r>
                </w:p>
              </w:tc>
              <w:tc>
                <w:tcPr>
                  <w:tcW w:w="560" w:type="dxa"/>
                  <w:tcBorders>
                    <w:tl2br w:val="nil"/>
                    <w:tr2bl w:val="nil"/>
                  </w:tcBorders>
                  <w:shd w:val="clear" w:color="auto" w:fill="auto"/>
                  <w:vAlign w:val="center"/>
                </w:tcPr>
                <w:p w14:paraId="1885A4D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达标</w:t>
                  </w:r>
                </w:p>
              </w:tc>
            </w:tr>
            <w:tr w14:paraId="165F8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continue"/>
                  <w:tcBorders>
                    <w:tl2br w:val="nil"/>
                    <w:tr2bl w:val="nil"/>
                  </w:tcBorders>
                  <w:shd w:val="clear" w:color="auto" w:fill="auto"/>
                  <w:vAlign w:val="center"/>
                </w:tcPr>
                <w:p w14:paraId="3600044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954" w:type="dxa"/>
                  <w:vMerge w:val="continue"/>
                  <w:tcBorders>
                    <w:tl2br w:val="nil"/>
                    <w:tr2bl w:val="nil"/>
                  </w:tcBorders>
                  <w:shd w:val="clear" w:color="auto" w:fill="auto"/>
                  <w:vAlign w:val="center"/>
                </w:tcPr>
                <w:p w14:paraId="357ADC2C">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eastAsia" w:ascii="宋体" w:hAnsi="宋体" w:eastAsia="宋体" w:cs="宋体"/>
                      <w:b w:val="0"/>
                      <w:bCs/>
                      <w:kern w:val="2"/>
                      <w:sz w:val="21"/>
                      <w:szCs w:val="21"/>
                      <w:lang w:val="en-US" w:eastAsia="zh-CN" w:bidi="ar"/>
                    </w:rPr>
                  </w:pPr>
                </w:p>
              </w:tc>
              <w:tc>
                <w:tcPr>
                  <w:tcW w:w="1855" w:type="dxa"/>
                  <w:tcBorders>
                    <w:tl2br w:val="nil"/>
                    <w:tr2bl w:val="nil"/>
                  </w:tcBorders>
                  <w:shd w:val="clear" w:color="auto" w:fill="auto"/>
                  <w:vAlign w:val="center"/>
                </w:tcPr>
                <w:p w14:paraId="2A224A25">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bCs w:val="0"/>
                      <w:kern w:val="2"/>
                      <w:sz w:val="21"/>
                      <w:szCs w:val="21"/>
                      <w:lang w:val="en-US" w:eastAsia="zh-CN" w:bidi="ar"/>
                    </w:rPr>
                    <w:t>排放速率（kg/h）</w:t>
                  </w:r>
                </w:p>
              </w:tc>
              <w:tc>
                <w:tcPr>
                  <w:tcW w:w="1212" w:type="dxa"/>
                  <w:tcBorders>
                    <w:tl2br w:val="nil"/>
                    <w:tr2bl w:val="nil"/>
                  </w:tcBorders>
                  <w:shd w:val="clear" w:color="auto" w:fill="auto"/>
                  <w:vAlign w:val="center"/>
                </w:tcPr>
                <w:p w14:paraId="2917526D">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0.34 </w:t>
                  </w:r>
                </w:p>
              </w:tc>
              <w:tc>
                <w:tcPr>
                  <w:tcW w:w="1200" w:type="dxa"/>
                  <w:tcBorders>
                    <w:tl2br w:val="nil"/>
                    <w:tr2bl w:val="nil"/>
                  </w:tcBorders>
                  <w:shd w:val="clear" w:color="auto" w:fill="auto"/>
                  <w:vAlign w:val="center"/>
                </w:tcPr>
                <w:p w14:paraId="09156D77">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0.33 </w:t>
                  </w:r>
                </w:p>
              </w:tc>
              <w:tc>
                <w:tcPr>
                  <w:tcW w:w="1302" w:type="dxa"/>
                  <w:tcBorders>
                    <w:tl2br w:val="nil"/>
                    <w:tr2bl w:val="nil"/>
                  </w:tcBorders>
                  <w:shd w:val="clear" w:color="auto" w:fill="auto"/>
                  <w:vAlign w:val="center"/>
                </w:tcPr>
                <w:p w14:paraId="14872589">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0.32 </w:t>
                  </w:r>
                </w:p>
              </w:tc>
              <w:tc>
                <w:tcPr>
                  <w:tcW w:w="821" w:type="dxa"/>
                  <w:tcBorders>
                    <w:tl2br w:val="nil"/>
                    <w:tr2bl w:val="nil"/>
                  </w:tcBorders>
                  <w:shd w:val="clear" w:color="auto" w:fill="auto"/>
                  <w:vAlign w:val="center"/>
                </w:tcPr>
                <w:p w14:paraId="4E4B39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1.75</w:t>
                  </w:r>
                </w:p>
              </w:tc>
              <w:tc>
                <w:tcPr>
                  <w:tcW w:w="560" w:type="dxa"/>
                  <w:tcBorders>
                    <w:tl2br w:val="nil"/>
                    <w:tr2bl w:val="nil"/>
                  </w:tcBorders>
                  <w:shd w:val="clear" w:color="auto" w:fill="auto"/>
                  <w:vAlign w:val="center"/>
                </w:tcPr>
                <w:p w14:paraId="54B4465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达标</w:t>
                  </w:r>
                </w:p>
              </w:tc>
            </w:tr>
            <w:tr w14:paraId="0A7C5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tcBorders>
                    <w:tl2br w:val="nil"/>
                    <w:tr2bl w:val="nil"/>
                  </w:tcBorders>
                  <w:shd w:val="clear" w:color="auto" w:fill="auto"/>
                  <w:vAlign w:val="center"/>
                </w:tcPr>
                <w:p w14:paraId="686BFA91">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采样环境</w:t>
                  </w:r>
                </w:p>
              </w:tc>
              <w:tc>
                <w:tcPr>
                  <w:tcW w:w="6523" w:type="dxa"/>
                  <w:gridSpan w:val="5"/>
                  <w:tcBorders>
                    <w:tl2br w:val="nil"/>
                    <w:tr2bl w:val="nil"/>
                  </w:tcBorders>
                  <w:shd w:val="clear" w:color="auto" w:fill="auto"/>
                  <w:vAlign w:val="center"/>
                </w:tcPr>
                <w:p w14:paraId="7952E7D3">
                  <w:pPr>
                    <w:keepNext w:val="0"/>
                    <w:keepLines w:val="0"/>
                    <w:widowControl w:val="0"/>
                    <w:suppressLineNumbers w:val="0"/>
                    <w:autoSpaceDE w:val="0"/>
                    <w:autoSpaceDN/>
                    <w:spacing w:before="0" w:beforeAutospacing="0" w:after="0" w:afterAutospacing="0" w:line="300" w:lineRule="exact"/>
                    <w:ind w:left="0" w:right="0" w:rightChars="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2024.01.20 </w:t>
                  </w:r>
                  <w:r>
                    <w:rPr>
                      <w:rFonts w:hint="eastAsia" w:ascii="宋体" w:hAnsi="宋体" w:eastAsia="宋体" w:cs="宋体"/>
                      <w:kern w:val="2"/>
                      <w:sz w:val="21"/>
                      <w:szCs w:val="21"/>
                      <w:lang w:val="en-US" w:eastAsia="zh-CN" w:bidi="ar"/>
                    </w:rPr>
                    <w:t>烟温均值：</w:t>
                  </w:r>
                  <w:r>
                    <w:rPr>
                      <w:rFonts w:hint="default" w:ascii="Times New Roman" w:hAnsi="Times New Roman" w:eastAsia="宋体" w:cs="Times New Roman"/>
                      <w:kern w:val="2"/>
                      <w:sz w:val="21"/>
                      <w:szCs w:val="21"/>
                      <w:lang w:val="en-US" w:eastAsia="zh-CN" w:bidi="ar"/>
                    </w:rPr>
                    <w:t xml:space="preserve">28.1℃ </w:t>
                  </w:r>
                  <w:r>
                    <w:rPr>
                      <w:rFonts w:hint="eastAsia" w:ascii="宋体" w:hAnsi="宋体" w:eastAsia="宋体" w:cs="宋体"/>
                      <w:kern w:val="2"/>
                      <w:sz w:val="21"/>
                      <w:szCs w:val="21"/>
                      <w:lang w:val="en-US" w:eastAsia="zh-CN" w:bidi="ar"/>
                    </w:rPr>
                    <w:t>烟气流速均值：</w:t>
                  </w:r>
                  <w:r>
                    <w:rPr>
                      <w:rFonts w:hint="default" w:ascii="Times New Roman" w:hAnsi="Times New Roman" w:eastAsia="宋体" w:cs="Times New Roman"/>
                      <w:kern w:val="2"/>
                      <w:sz w:val="21"/>
                      <w:szCs w:val="21"/>
                      <w:lang w:val="en-US" w:eastAsia="zh-CN" w:bidi="ar"/>
                    </w:rPr>
                    <w:t xml:space="preserve">17.05m/s </w:t>
                  </w:r>
                  <w:r>
                    <w:rPr>
                      <w:rFonts w:hint="eastAsia" w:ascii="宋体" w:hAnsi="宋体" w:eastAsia="宋体" w:cs="宋体"/>
                      <w:kern w:val="2"/>
                      <w:sz w:val="21"/>
                      <w:szCs w:val="21"/>
                      <w:lang w:val="en-US" w:eastAsia="zh-CN" w:bidi="ar"/>
                    </w:rPr>
                    <w:t>含湿量均值：</w:t>
                  </w:r>
                  <w:r>
                    <w:rPr>
                      <w:rFonts w:hint="default" w:ascii="Times New Roman" w:hAnsi="Times New Roman" w:eastAsia="宋体" w:cs="Times New Roman"/>
                      <w:kern w:val="2"/>
                      <w:sz w:val="21"/>
                      <w:szCs w:val="21"/>
                      <w:lang w:val="en-US" w:eastAsia="zh-CN" w:bidi="ar"/>
                    </w:rPr>
                    <w:t xml:space="preserve">3.8% </w:t>
                  </w:r>
                  <w:r>
                    <w:rPr>
                      <w:rFonts w:hint="eastAsia" w:ascii="宋体" w:hAnsi="宋体" w:eastAsia="宋体" w:cs="宋体"/>
                      <w:kern w:val="2"/>
                      <w:sz w:val="21"/>
                      <w:szCs w:val="21"/>
                      <w:lang w:val="en-US" w:eastAsia="zh-CN" w:bidi="ar"/>
                    </w:rPr>
                    <w:t>燃料：电</w:t>
                  </w:r>
                </w:p>
              </w:tc>
              <w:tc>
                <w:tcPr>
                  <w:tcW w:w="821" w:type="dxa"/>
                  <w:tcBorders>
                    <w:tl2br w:val="nil"/>
                    <w:tr2bl w:val="nil"/>
                  </w:tcBorders>
                  <w:shd w:val="clear" w:color="auto" w:fill="auto"/>
                  <w:vAlign w:val="center"/>
                </w:tcPr>
                <w:p w14:paraId="2C2E5947">
                  <w:pPr>
                    <w:keepNext w:val="0"/>
                    <w:keepLines w:val="0"/>
                    <w:widowControl w:val="0"/>
                    <w:suppressLineNumbers w:val="0"/>
                    <w:autoSpaceDE w:val="0"/>
                    <w:autoSpaceDN/>
                    <w:spacing w:before="0" w:beforeAutospacing="0" w:after="0" w:afterAutospacing="0" w:line="300" w:lineRule="exact"/>
                    <w:ind w:left="0" w:right="0" w:rightChars="0"/>
                    <w:jc w:val="both"/>
                    <w:rPr>
                      <w:rFonts w:hint="default" w:ascii="Times New Roman" w:hAnsi="Times New Roman" w:eastAsia="宋体" w:cs="Times New Roman"/>
                      <w:kern w:val="2"/>
                      <w:sz w:val="21"/>
                      <w:szCs w:val="21"/>
                      <w:lang w:val="en-US" w:eastAsia="zh-CN" w:bidi="ar"/>
                    </w:rPr>
                  </w:pPr>
                </w:p>
              </w:tc>
              <w:tc>
                <w:tcPr>
                  <w:tcW w:w="560" w:type="dxa"/>
                  <w:tcBorders>
                    <w:tl2br w:val="nil"/>
                    <w:tr2bl w:val="nil"/>
                  </w:tcBorders>
                  <w:shd w:val="clear" w:color="auto" w:fill="auto"/>
                  <w:vAlign w:val="center"/>
                </w:tcPr>
                <w:p w14:paraId="2265BE7A">
                  <w:pPr>
                    <w:keepNext w:val="0"/>
                    <w:keepLines w:val="0"/>
                    <w:widowControl w:val="0"/>
                    <w:suppressLineNumbers w:val="0"/>
                    <w:autoSpaceDE w:val="0"/>
                    <w:autoSpaceDN/>
                    <w:spacing w:before="0" w:beforeAutospacing="0" w:after="0" w:afterAutospacing="0" w:line="300" w:lineRule="exact"/>
                    <w:ind w:left="0" w:right="0" w:rightChars="0"/>
                    <w:jc w:val="both"/>
                    <w:rPr>
                      <w:rFonts w:hint="default" w:ascii="Times New Roman" w:hAnsi="Times New Roman" w:eastAsia="宋体" w:cs="Times New Roman"/>
                      <w:kern w:val="2"/>
                      <w:sz w:val="21"/>
                      <w:szCs w:val="21"/>
                      <w:lang w:val="en-US" w:eastAsia="zh-CN" w:bidi="ar"/>
                    </w:rPr>
                  </w:pPr>
                </w:p>
              </w:tc>
            </w:tr>
            <w:tr w14:paraId="3C567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tcBorders>
                    <w:tl2br w:val="nil"/>
                    <w:tr2bl w:val="nil"/>
                  </w:tcBorders>
                  <w:shd w:val="clear" w:color="auto" w:fill="auto"/>
                  <w:vAlign w:val="center"/>
                </w:tcPr>
                <w:p w14:paraId="051A75EE">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采样点位</w:t>
                  </w:r>
                </w:p>
              </w:tc>
              <w:tc>
                <w:tcPr>
                  <w:tcW w:w="954" w:type="dxa"/>
                  <w:tcBorders>
                    <w:tl2br w:val="nil"/>
                    <w:tr2bl w:val="nil"/>
                  </w:tcBorders>
                  <w:shd w:val="clear" w:color="auto" w:fill="auto"/>
                  <w:vAlign w:val="center"/>
                </w:tcPr>
                <w:p w14:paraId="57D81B36">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检测项目</w:t>
                  </w:r>
                </w:p>
              </w:tc>
              <w:tc>
                <w:tcPr>
                  <w:tcW w:w="1855" w:type="dxa"/>
                  <w:tcBorders>
                    <w:tl2br w:val="nil"/>
                    <w:tr2bl w:val="nil"/>
                  </w:tcBorders>
                  <w:shd w:val="clear" w:color="auto" w:fill="auto"/>
                  <w:vAlign w:val="center"/>
                </w:tcPr>
                <w:p w14:paraId="4D23DCD0">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Times New Roman" w:hAnsi="Times New Roman" w:eastAsia="宋体" w:cs="Times New Roman"/>
                      <w:b/>
                      <w:bCs w:val="0"/>
                      <w:kern w:val="2"/>
                      <w:sz w:val="21"/>
                      <w:szCs w:val="21"/>
                      <w:lang w:eastAsia="zh-CN"/>
                    </w:rPr>
                    <w:t>项目</w:t>
                  </w:r>
                </w:p>
              </w:tc>
              <w:tc>
                <w:tcPr>
                  <w:tcW w:w="1212" w:type="dxa"/>
                  <w:tcBorders>
                    <w:tl2br w:val="nil"/>
                    <w:tr2bl w:val="nil"/>
                  </w:tcBorders>
                  <w:shd w:val="clear" w:color="auto" w:fill="auto"/>
                  <w:vAlign w:val="center"/>
                </w:tcPr>
                <w:p w14:paraId="638E78C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
                    </w:rPr>
                    <w:t>Ⅰ</w:t>
                  </w:r>
                </w:p>
              </w:tc>
              <w:tc>
                <w:tcPr>
                  <w:tcW w:w="1200" w:type="dxa"/>
                  <w:tcBorders>
                    <w:tl2br w:val="nil"/>
                    <w:tr2bl w:val="nil"/>
                  </w:tcBorders>
                  <w:shd w:val="clear" w:color="auto" w:fill="auto"/>
                  <w:vAlign w:val="center"/>
                </w:tcPr>
                <w:p w14:paraId="275C88A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
                    </w:rPr>
                    <w:t>Ⅱ</w:t>
                  </w:r>
                </w:p>
              </w:tc>
              <w:tc>
                <w:tcPr>
                  <w:tcW w:w="1302" w:type="dxa"/>
                  <w:tcBorders>
                    <w:tl2br w:val="nil"/>
                    <w:tr2bl w:val="nil"/>
                  </w:tcBorders>
                  <w:shd w:val="clear" w:color="auto" w:fill="auto"/>
                  <w:vAlign w:val="center"/>
                </w:tcPr>
                <w:p w14:paraId="5CD27719">
                  <w:pPr>
                    <w:keepNext w:val="0"/>
                    <w:keepLines w:val="0"/>
                    <w:widowControl w:val="0"/>
                    <w:suppressLineNumbers w:val="0"/>
                    <w:autoSpaceDE w:val="0"/>
                    <w:autoSpaceDN/>
                    <w:spacing w:before="0" w:beforeAutospacing="0" w:after="0" w:afterAutospacing="0" w:line="280" w:lineRule="exact"/>
                    <w:ind w:left="-105" w:leftChars="-50" w:right="-105" w:rightChars="-50"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Ⅲ</w:t>
                  </w:r>
                </w:p>
              </w:tc>
              <w:tc>
                <w:tcPr>
                  <w:tcW w:w="821" w:type="dxa"/>
                  <w:tcBorders>
                    <w:tl2br w:val="nil"/>
                    <w:tr2bl w:val="nil"/>
                  </w:tcBorders>
                  <w:shd w:val="clear" w:color="auto" w:fill="auto"/>
                  <w:vAlign w:val="center"/>
                </w:tcPr>
                <w:p w14:paraId="2DC55D93">
                  <w:pPr>
                    <w:keepNext w:val="0"/>
                    <w:keepLines w:val="0"/>
                    <w:widowControl w:val="0"/>
                    <w:suppressLineNumbers w:val="0"/>
                    <w:autoSpaceDE w:val="0"/>
                    <w:autoSpaceDN/>
                    <w:spacing w:before="0" w:beforeAutospacing="0" w:after="0" w:afterAutospacing="0" w:line="280" w:lineRule="exact"/>
                    <w:ind w:left="-105" w:leftChars="-50" w:right="-105" w:rightChars="-50" w:firstLine="0" w:firstLineChars="0"/>
                    <w:jc w:val="center"/>
                    <w:rPr>
                      <w:rFonts w:hint="eastAsia" w:ascii="宋体" w:hAnsi="宋体" w:eastAsia="宋体" w:cs="宋体"/>
                      <w:b/>
                      <w:bCs w:val="0"/>
                      <w:kern w:val="2"/>
                      <w:sz w:val="21"/>
                      <w:szCs w:val="21"/>
                      <w:lang w:val="en-US" w:eastAsia="zh-CN" w:bidi="ar"/>
                    </w:rPr>
                  </w:pPr>
                </w:p>
              </w:tc>
              <w:tc>
                <w:tcPr>
                  <w:tcW w:w="560" w:type="dxa"/>
                  <w:tcBorders>
                    <w:tl2br w:val="nil"/>
                    <w:tr2bl w:val="nil"/>
                  </w:tcBorders>
                  <w:shd w:val="clear" w:color="auto" w:fill="auto"/>
                  <w:vAlign w:val="center"/>
                </w:tcPr>
                <w:p w14:paraId="1274D826">
                  <w:pPr>
                    <w:keepNext w:val="0"/>
                    <w:keepLines w:val="0"/>
                    <w:widowControl w:val="0"/>
                    <w:suppressLineNumbers w:val="0"/>
                    <w:autoSpaceDE w:val="0"/>
                    <w:autoSpaceDN/>
                    <w:spacing w:before="0" w:beforeAutospacing="0" w:after="0" w:afterAutospacing="0" w:line="280" w:lineRule="exact"/>
                    <w:ind w:left="-105" w:leftChars="-50" w:right="-105" w:rightChars="-50" w:firstLine="0" w:firstLineChars="0"/>
                    <w:jc w:val="center"/>
                    <w:rPr>
                      <w:rFonts w:hint="eastAsia" w:ascii="宋体" w:hAnsi="宋体" w:eastAsia="宋体" w:cs="宋体"/>
                      <w:b/>
                      <w:bCs w:val="0"/>
                      <w:kern w:val="2"/>
                      <w:sz w:val="21"/>
                      <w:szCs w:val="21"/>
                      <w:lang w:val="en-US" w:eastAsia="zh-CN" w:bidi="ar"/>
                    </w:rPr>
                  </w:pPr>
                </w:p>
              </w:tc>
            </w:tr>
            <w:tr w14:paraId="25AAF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restart"/>
                  <w:tcBorders>
                    <w:tl2br w:val="nil"/>
                    <w:tr2bl w:val="nil"/>
                  </w:tcBorders>
                  <w:shd w:val="clear" w:color="auto" w:fill="auto"/>
                  <w:vAlign w:val="center"/>
                </w:tcPr>
                <w:p w14:paraId="63B31FCD">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焊接烟尘除尘器进口</w:t>
                  </w:r>
                  <w:r>
                    <w:rPr>
                      <w:rFonts w:hint="default" w:ascii="Times New Roman" w:hAnsi="Times New Roman" w:eastAsia="宋体" w:cs="Times New Roman"/>
                      <w:kern w:val="2"/>
                      <w:sz w:val="21"/>
                      <w:szCs w:val="21"/>
                      <w:lang w:val="en-US" w:eastAsia="zh-CN" w:bidi="ar"/>
                    </w:rPr>
                    <w:t>G1</w:t>
                  </w:r>
                </w:p>
              </w:tc>
              <w:tc>
                <w:tcPr>
                  <w:tcW w:w="954" w:type="dxa"/>
                  <w:vMerge w:val="restart"/>
                  <w:tcBorders>
                    <w:tl2br w:val="nil"/>
                    <w:tr2bl w:val="nil"/>
                  </w:tcBorders>
                  <w:shd w:val="clear" w:color="auto" w:fill="auto"/>
                  <w:vAlign w:val="center"/>
                </w:tcPr>
                <w:p w14:paraId="2C56C0A3">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b w:val="0"/>
                      <w:bCs/>
                      <w:kern w:val="2"/>
                      <w:sz w:val="21"/>
                      <w:szCs w:val="21"/>
                    </w:rPr>
                  </w:pPr>
                  <w:r>
                    <w:rPr>
                      <w:rFonts w:hint="eastAsia" w:ascii="宋体" w:hAnsi="宋体" w:eastAsia="宋体" w:cs="宋体"/>
                      <w:b w:val="0"/>
                      <w:bCs/>
                      <w:kern w:val="2"/>
                      <w:sz w:val="21"/>
                      <w:szCs w:val="21"/>
                      <w:lang w:val="en-US" w:eastAsia="zh-CN" w:bidi="ar"/>
                    </w:rPr>
                    <w:t>颗粒物</w:t>
                  </w:r>
                </w:p>
              </w:tc>
              <w:tc>
                <w:tcPr>
                  <w:tcW w:w="1855" w:type="dxa"/>
                  <w:tcBorders>
                    <w:tl2br w:val="nil"/>
                    <w:tr2bl w:val="nil"/>
                  </w:tcBorders>
                  <w:shd w:val="clear" w:color="auto" w:fill="auto"/>
                  <w:vAlign w:val="center"/>
                </w:tcPr>
                <w:p w14:paraId="5C6D974A">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rPr>
                  </w:pPr>
                  <w:r>
                    <w:rPr>
                      <w:rFonts w:hint="eastAsia" w:ascii="宋体" w:hAnsi="宋体" w:eastAsia="宋体" w:cs="宋体"/>
                      <w:b/>
                      <w:bCs w:val="0"/>
                      <w:kern w:val="2"/>
                      <w:sz w:val="21"/>
                      <w:szCs w:val="21"/>
                      <w:lang w:val="en-US" w:eastAsia="zh-CN" w:bidi="ar"/>
                    </w:rPr>
                    <w:t>标干流量（</w:t>
                  </w:r>
                  <w:r>
                    <w:rPr>
                      <w:rFonts w:hint="default" w:ascii="Times New Roman" w:hAnsi="Times New Roman" w:eastAsia="宋体" w:cs="Times New Roman"/>
                      <w:b/>
                      <w:bCs w:val="0"/>
                      <w:kern w:val="2"/>
                      <w:sz w:val="21"/>
                      <w:szCs w:val="21"/>
                      <w:lang w:val="en-US" w:eastAsia="zh-CN" w:bidi="ar"/>
                    </w:rPr>
                    <w:t>m</w:t>
                  </w:r>
                  <w:r>
                    <w:rPr>
                      <w:rFonts w:hint="default" w:ascii="Times New Roman" w:hAnsi="Times New Roman" w:eastAsia="宋体" w:cs="Times New Roman"/>
                      <w:b/>
                      <w:bCs w:val="0"/>
                      <w:kern w:val="2"/>
                      <w:sz w:val="21"/>
                      <w:szCs w:val="21"/>
                      <w:vertAlign w:val="superscript"/>
                      <w:lang w:val="en-US" w:eastAsia="zh-CN" w:bidi="ar"/>
                    </w:rPr>
                    <w:t>3</w:t>
                  </w:r>
                  <w:r>
                    <w:rPr>
                      <w:rFonts w:hint="default" w:ascii="Times New Roman" w:hAnsi="Times New Roman" w:eastAsia="宋体" w:cs="Times New Roman"/>
                      <w:b/>
                      <w:bCs w:val="0"/>
                      <w:kern w:val="2"/>
                      <w:sz w:val="21"/>
                      <w:szCs w:val="21"/>
                      <w:lang w:val="en-US" w:eastAsia="zh-CN" w:bidi="ar"/>
                    </w:rPr>
                    <w:t>/h</w:t>
                  </w:r>
                  <w:r>
                    <w:rPr>
                      <w:rFonts w:hint="eastAsia" w:ascii="宋体" w:hAnsi="宋体" w:eastAsia="宋体" w:cs="宋体"/>
                      <w:b/>
                      <w:bCs w:val="0"/>
                      <w:kern w:val="2"/>
                      <w:sz w:val="21"/>
                      <w:szCs w:val="21"/>
                      <w:lang w:val="en-US" w:eastAsia="zh-CN" w:bidi="ar"/>
                    </w:rPr>
                    <w:t>）</w:t>
                  </w:r>
                </w:p>
              </w:tc>
              <w:tc>
                <w:tcPr>
                  <w:tcW w:w="1212" w:type="dxa"/>
                  <w:tcBorders>
                    <w:tl2br w:val="nil"/>
                    <w:tr2bl w:val="nil"/>
                  </w:tcBorders>
                  <w:shd w:val="clear" w:color="auto" w:fill="auto"/>
                  <w:vAlign w:val="center"/>
                </w:tcPr>
                <w:p w14:paraId="240AA032">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41653</w:t>
                  </w:r>
                </w:p>
              </w:tc>
              <w:tc>
                <w:tcPr>
                  <w:tcW w:w="1200" w:type="dxa"/>
                  <w:tcBorders>
                    <w:tl2br w:val="nil"/>
                    <w:tr2bl w:val="nil"/>
                  </w:tcBorders>
                  <w:shd w:val="clear" w:color="auto" w:fill="auto"/>
                  <w:vAlign w:val="center"/>
                </w:tcPr>
                <w:p w14:paraId="1472DCFB">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41827</w:t>
                  </w:r>
                </w:p>
              </w:tc>
              <w:tc>
                <w:tcPr>
                  <w:tcW w:w="1302" w:type="dxa"/>
                  <w:tcBorders>
                    <w:tl2br w:val="nil"/>
                    <w:tr2bl w:val="nil"/>
                  </w:tcBorders>
                  <w:shd w:val="clear" w:color="auto" w:fill="auto"/>
                  <w:vAlign w:val="center"/>
                </w:tcPr>
                <w:p w14:paraId="46D8BE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42055</w:t>
                  </w:r>
                </w:p>
              </w:tc>
              <w:tc>
                <w:tcPr>
                  <w:tcW w:w="821" w:type="dxa"/>
                  <w:tcBorders>
                    <w:tl2br w:val="nil"/>
                    <w:tr2bl w:val="nil"/>
                  </w:tcBorders>
                  <w:shd w:val="clear" w:color="auto" w:fill="auto"/>
                  <w:vAlign w:val="center"/>
                </w:tcPr>
                <w:p w14:paraId="2FA4DFC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c>
                <w:tcPr>
                  <w:tcW w:w="560" w:type="dxa"/>
                  <w:tcBorders>
                    <w:tl2br w:val="nil"/>
                    <w:tr2bl w:val="nil"/>
                  </w:tcBorders>
                  <w:shd w:val="clear" w:color="auto" w:fill="auto"/>
                  <w:vAlign w:val="center"/>
                </w:tcPr>
                <w:p w14:paraId="02EC6CE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r>
            <w:tr w14:paraId="48A82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continue"/>
                  <w:tcBorders>
                    <w:tl2br w:val="nil"/>
                    <w:tr2bl w:val="nil"/>
                  </w:tcBorders>
                  <w:shd w:val="clear" w:color="auto" w:fill="auto"/>
                  <w:vAlign w:val="center"/>
                </w:tcPr>
                <w:p w14:paraId="18BF852C">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宋体" w:hAnsi="宋体" w:eastAsia="宋体" w:cs="宋体"/>
                      <w:kern w:val="2"/>
                      <w:sz w:val="21"/>
                      <w:szCs w:val="21"/>
                      <w:lang w:val="en-US" w:eastAsia="zh-CN" w:bidi="ar"/>
                    </w:rPr>
                  </w:pPr>
                </w:p>
              </w:tc>
              <w:tc>
                <w:tcPr>
                  <w:tcW w:w="954" w:type="dxa"/>
                  <w:vMerge w:val="continue"/>
                  <w:tcBorders>
                    <w:tl2br w:val="nil"/>
                    <w:tr2bl w:val="nil"/>
                  </w:tcBorders>
                  <w:shd w:val="clear" w:color="auto" w:fill="auto"/>
                  <w:vAlign w:val="center"/>
                </w:tcPr>
                <w:p w14:paraId="719F7F2A">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eastAsia" w:ascii="宋体" w:hAnsi="宋体" w:eastAsia="宋体" w:cs="宋体"/>
                      <w:b w:val="0"/>
                      <w:bCs/>
                      <w:kern w:val="2"/>
                      <w:sz w:val="21"/>
                      <w:szCs w:val="21"/>
                      <w:lang w:val="en-US" w:eastAsia="zh-CN" w:bidi="ar"/>
                    </w:rPr>
                  </w:pPr>
                </w:p>
              </w:tc>
              <w:tc>
                <w:tcPr>
                  <w:tcW w:w="1855" w:type="dxa"/>
                  <w:tcBorders>
                    <w:tl2br w:val="nil"/>
                    <w:tr2bl w:val="nil"/>
                  </w:tcBorders>
                  <w:shd w:val="clear" w:color="auto" w:fill="auto"/>
                  <w:vAlign w:val="center"/>
                </w:tcPr>
                <w:p w14:paraId="31DB96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SA"/>
                    </w:rPr>
                  </w:pPr>
                  <w:r>
                    <w:rPr>
                      <w:rFonts w:hint="eastAsia" w:ascii="宋体" w:hAnsi="宋体" w:eastAsia="宋体" w:cs="宋体"/>
                      <w:b/>
                      <w:bCs w:val="0"/>
                      <w:kern w:val="2"/>
                      <w:sz w:val="21"/>
                      <w:szCs w:val="21"/>
                      <w:lang w:val="en-US" w:eastAsia="zh-CN" w:bidi="ar"/>
                    </w:rPr>
                    <w:t>实测浓度（</w:t>
                  </w:r>
                  <w:r>
                    <w:rPr>
                      <w:rFonts w:hint="default" w:ascii="Times New Roman" w:hAnsi="Times New Roman" w:eastAsia="宋体" w:cs="Times New Roman"/>
                      <w:b/>
                      <w:bCs w:val="0"/>
                      <w:kern w:val="2"/>
                      <w:sz w:val="21"/>
                      <w:szCs w:val="21"/>
                      <w:lang w:val="en-US" w:eastAsia="zh-CN" w:bidi="ar"/>
                    </w:rPr>
                    <w:t>mg/m</w:t>
                  </w:r>
                  <w:r>
                    <w:rPr>
                      <w:rFonts w:hint="default" w:ascii="Times New Roman" w:hAnsi="Times New Roman" w:eastAsia="宋体" w:cs="Times New Roman"/>
                      <w:b/>
                      <w:bCs w:val="0"/>
                      <w:kern w:val="2"/>
                      <w:sz w:val="21"/>
                      <w:szCs w:val="21"/>
                      <w:vertAlign w:val="superscript"/>
                      <w:lang w:val="en-US" w:eastAsia="zh-CN" w:bidi="ar"/>
                    </w:rPr>
                    <w:t>3</w:t>
                  </w:r>
                  <w:r>
                    <w:rPr>
                      <w:rFonts w:hint="eastAsia" w:ascii="宋体" w:hAnsi="宋体" w:eastAsia="宋体" w:cs="宋体"/>
                      <w:b/>
                      <w:bCs w:val="0"/>
                      <w:kern w:val="2"/>
                      <w:sz w:val="21"/>
                      <w:szCs w:val="21"/>
                      <w:lang w:val="en-US" w:eastAsia="zh-CN" w:bidi="ar"/>
                    </w:rPr>
                    <w:t>）</w:t>
                  </w:r>
                </w:p>
              </w:tc>
              <w:tc>
                <w:tcPr>
                  <w:tcW w:w="1212" w:type="dxa"/>
                  <w:tcBorders>
                    <w:tl2br w:val="nil"/>
                    <w:tr2bl w:val="nil"/>
                  </w:tcBorders>
                  <w:shd w:val="clear" w:color="auto" w:fill="auto"/>
                  <w:vAlign w:val="center"/>
                </w:tcPr>
                <w:p w14:paraId="476E7F6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36.9</w:t>
                  </w:r>
                </w:p>
              </w:tc>
              <w:tc>
                <w:tcPr>
                  <w:tcW w:w="1200" w:type="dxa"/>
                  <w:tcBorders>
                    <w:tl2br w:val="nil"/>
                    <w:tr2bl w:val="nil"/>
                  </w:tcBorders>
                  <w:shd w:val="clear" w:color="auto" w:fill="auto"/>
                  <w:vAlign w:val="center"/>
                </w:tcPr>
                <w:p w14:paraId="63AAF1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36.1</w:t>
                  </w:r>
                </w:p>
              </w:tc>
              <w:tc>
                <w:tcPr>
                  <w:tcW w:w="1302" w:type="dxa"/>
                  <w:tcBorders>
                    <w:tl2br w:val="nil"/>
                    <w:tr2bl w:val="nil"/>
                  </w:tcBorders>
                  <w:shd w:val="clear" w:color="auto" w:fill="auto"/>
                  <w:vAlign w:val="center"/>
                </w:tcPr>
                <w:p w14:paraId="4666B2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35.3</w:t>
                  </w:r>
                </w:p>
              </w:tc>
              <w:tc>
                <w:tcPr>
                  <w:tcW w:w="821" w:type="dxa"/>
                  <w:tcBorders>
                    <w:tl2br w:val="nil"/>
                    <w:tr2bl w:val="nil"/>
                  </w:tcBorders>
                  <w:shd w:val="clear" w:color="auto" w:fill="auto"/>
                  <w:vAlign w:val="center"/>
                </w:tcPr>
                <w:p w14:paraId="4F32DE9C">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c>
                <w:tcPr>
                  <w:tcW w:w="560" w:type="dxa"/>
                  <w:tcBorders>
                    <w:tl2br w:val="nil"/>
                    <w:tr2bl w:val="nil"/>
                  </w:tcBorders>
                  <w:shd w:val="clear" w:color="auto" w:fill="auto"/>
                  <w:vAlign w:val="center"/>
                </w:tcPr>
                <w:p w14:paraId="44FCF712">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r>
            <w:tr w14:paraId="5DED3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continue"/>
                  <w:tcBorders>
                    <w:tl2br w:val="nil"/>
                    <w:tr2bl w:val="nil"/>
                  </w:tcBorders>
                  <w:shd w:val="clear" w:color="auto" w:fill="auto"/>
                  <w:vAlign w:val="center"/>
                </w:tcPr>
                <w:p w14:paraId="08D4E19B">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宋体" w:hAnsi="宋体" w:eastAsia="宋体" w:cs="宋体"/>
                      <w:kern w:val="2"/>
                      <w:sz w:val="21"/>
                      <w:szCs w:val="21"/>
                      <w:lang w:val="en-US" w:eastAsia="zh-CN" w:bidi="ar"/>
                    </w:rPr>
                  </w:pPr>
                </w:p>
              </w:tc>
              <w:tc>
                <w:tcPr>
                  <w:tcW w:w="954" w:type="dxa"/>
                  <w:vMerge w:val="continue"/>
                  <w:tcBorders>
                    <w:tl2br w:val="nil"/>
                    <w:tr2bl w:val="nil"/>
                  </w:tcBorders>
                  <w:shd w:val="clear" w:color="auto" w:fill="auto"/>
                  <w:vAlign w:val="center"/>
                </w:tcPr>
                <w:p w14:paraId="16238966">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eastAsia" w:ascii="宋体" w:hAnsi="宋体" w:eastAsia="宋体" w:cs="宋体"/>
                      <w:b w:val="0"/>
                      <w:bCs/>
                      <w:kern w:val="2"/>
                      <w:sz w:val="21"/>
                      <w:szCs w:val="21"/>
                      <w:lang w:val="en-US" w:eastAsia="zh-CN" w:bidi="ar"/>
                    </w:rPr>
                  </w:pPr>
                </w:p>
              </w:tc>
              <w:tc>
                <w:tcPr>
                  <w:tcW w:w="1855" w:type="dxa"/>
                  <w:tcBorders>
                    <w:tl2br w:val="nil"/>
                    <w:tr2bl w:val="nil"/>
                  </w:tcBorders>
                  <w:shd w:val="clear" w:color="auto" w:fill="auto"/>
                  <w:vAlign w:val="center"/>
                </w:tcPr>
                <w:p w14:paraId="33E537B4">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bCs w:val="0"/>
                      <w:kern w:val="2"/>
                      <w:sz w:val="21"/>
                      <w:szCs w:val="21"/>
                      <w:lang w:val="en-US" w:eastAsia="zh-CN" w:bidi="ar"/>
                    </w:rPr>
                    <w:t>产生速率（kg/h）</w:t>
                  </w:r>
                </w:p>
              </w:tc>
              <w:tc>
                <w:tcPr>
                  <w:tcW w:w="1212" w:type="dxa"/>
                  <w:tcBorders>
                    <w:tl2br w:val="nil"/>
                    <w:tr2bl w:val="nil"/>
                  </w:tcBorders>
                  <w:shd w:val="clear" w:color="auto" w:fill="auto"/>
                  <w:vAlign w:val="center"/>
                </w:tcPr>
                <w:p w14:paraId="566D7953">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1.54 </w:t>
                  </w:r>
                </w:p>
              </w:tc>
              <w:tc>
                <w:tcPr>
                  <w:tcW w:w="1200" w:type="dxa"/>
                  <w:tcBorders>
                    <w:tl2br w:val="nil"/>
                    <w:tr2bl w:val="nil"/>
                  </w:tcBorders>
                  <w:shd w:val="clear" w:color="auto" w:fill="auto"/>
                  <w:vAlign w:val="center"/>
                </w:tcPr>
                <w:p w14:paraId="0D1DBFF0">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1.51 </w:t>
                  </w:r>
                </w:p>
              </w:tc>
              <w:tc>
                <w:tcPr>
                  <w:tcW w:w="1302" w:type="dxa"/>
                  <w:tcBorders>
                    <w:tl2br w:val="nil"/>
                    <w:tr2bl w:val="nil"/>
                  </w:tcBorders>
                  <w:shd w:val="clear" w:color="auto" w:fill="auto"/>
                  <w:vAlign w:val="center"/>
                </w:tcPr>
                <w:p w14:paraId="3793AFF0">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1.48 </w:t>
                  </w:r>
                </w:p>
              </w:tc>
              <w:tc>
                <w:tcPr>
                  <w:tcW w:w="821" w:type="dxa"/>
                  <w:tcBorders>
                    <w:tl2br w:val="nil"/>
                    <w:tr2bl w:val="nil"/>
                  </w:tcBorders>
                  <w:shd w:val="clear" w:color="auto" w:fill="auto"/>
                  <w:vAlign w:val="center"/>
                </w:tcPr>
                <w:p w14:paraId="1F862701">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c>
                <w:tcPr>
                  <w:tcW w:w="560" w:type="dxa"/>
                  <w:tcBorders>
                    <w:tl2br w:val="nil"/>
                    <w:tr2bl w:val="nil"/>
                  </w:tcBorders>
                  <w:shd w:val="clear" w:color="auto" w:fill="auto"/>
                  <w:vAlign w:val="center"/>
                </w:tcPr>
                <w:p w14:paraId="30B17C5C">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r>
            <w:tr w14:paraId="30A2B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tcBorders>
                    <w:tl2br w:val="nil"/>
                    <w:tr2bl w:val="nil"/>
                  </w:tcBorders>
                  <w:shd w:val="clear" w:color="auto" w:fill="auto"/>
                  <w:vAlign w:val="center"/>
                </w:tcPr>
                <w:p w14:paraId="4974EEDF">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采样环境</w:t>
                  </w:r>
                </w:p>
              </w:tc>
              <w:tc>
                <w:tcPr>
                  <w:tcW w:w="6523" w:type="dxa"/>
                  <w:gridSpan w:val="5"/>
                  <w:tcBorders>
                    <w:tl2br w:val="nil"/>
                    <w:tr2bl w:val="nil"/>
                  </w:tcBorders>
                  <w:shd w:val="clear" w:color="auto" w:fill="auto"/>
                  <w:vAlign w:val="center"/>
                </w:tcPr>
                <w:p w14:paraId="4E394A20">
                  <w:pPr>
                    <w:keepNext w:val="0"/>
                    <w:keepLines w:val="0"/>
                    <w:widowControl w:val="0"/>
                    <w:suppressLineNumbers w:val="0"/>
                    <w:autoSpaceDE w:val="0"/>
                    <w:autoSpaceDN/>
                    <w:spacing w:before="0" w:beforeAutospacing="0" w:after="0" w:afterAutospacing="0" w:line="300" w:lineRule="exact"/>
                    <w:ind w:left="0" w:right="0" w:rightChars="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2024.01.20 </w:t>
                  </w:r>
                  <w:r>
                    <w:rPr>
                      <w:rFonts w:hint="eastAsia" w:ascii="宋体" w:hAnsi="宋体" w:eastAsia="宋体" w:cs="宋体"/>
                      <w:kern w:val="2"/>
                      <w:sz w:val="21"/>
                      <w:szCs w:val="21"/>
                      <w:lang w:val="en-US" w:eastAsia="zh-CN" w:bidi="ar"/>
                    </w:rPr>
                    <w:t>烟温均值：</w:t>
                  </w:r>
                  <w:r>
                    <w:rPr>
                      <w:rFonts w:hint="default" w:ascii="Times New Roman" w:hAnsi="Times New Roman" w:eastAsia="宋体" w:cs="Times New Roman"/>
                      <w:kern w:val="2"/>
                      <w:sz w:val="21"/>
                      <w:szCs w:val="21"/>
                      <w:lang w:val="en-US" w:eastAsia="zh-CN" w:bidi="ar"/>
                    </w:rPr>
                    <w:t xml:space="preserve">27.1℃ </w:t>
                  </w:r>
                  <w:r>
                    <w:rPr>
                      <w:rFonts w:hint="eastAsia" w:ascii="宋体" w:hAnsi="宋体" w:eastAsia="宋体" w:cs="宋体"/>
                      <w:kern w:val="2"/>
                      <w:sz w:val="21"/>
                      <w:szCs w:val="21"/>
                      <w:lang w:val="en-US" w:eastAsia="zh-CN" w:bidi="ar"/>
                    </w:rPr>
                    <w:t>烟气流速均值：</w:t>
                  </w:r>
                  <w:r>
                    <w:rPr>
                      <w:rFonts w:hint="default" w:ascii="Times New Roman" w:hAnsi="Times New Roman" w:eastAsia="宋体" w:cs="Times New Roman"/>
                      <w:kern w:val="2"/>
                      <w:sz w:val="21"/>
                      <w:szCs w:val="21"/>
                      <w:lang w:val="en-US" w:eastAsia="zh-CN" w:bidi="ar"/>
                    </w:rPr>
                    <w:t xml:space="preserve">15.9m/s </w:t>
                  </w:r>
                  <w:r>
                    <w:rPr>
                      <w:rFonts w:hint="eastAsia" w:ascii="宋体" w:hAnsi="宋体" w:eastAsia="宋体" w:cs="宋体"/>
                      <w:kern w:val="2"/>
                      <w:sz w:val="21"/>
                      <w:szCs w:val="21"/>
                      <w:lang w:val="en-US" w:eastAsia="zh-CN" w:bidi="ar"/>
                    </w:rPr>
                    <w:t>含湿量均值：</w:t>
                  </w:r>
                  <w:r>
                    <w:rPr>
                      <w:rFonts w:hint="default" w:ascii="Times New Roman" w:hAnsi="Times New Roman" w:eastAsia="宋体" w:cs="Times New Roman"/>
                      <w:kern w:val="2"/>
                      <w:sz w:val="21"/>
                      <w:szCs w:val="21"/>
                      <w:lang w:val="en-US" w:eastAsia="zh-CN" w:bidi="ar"/>
                    </w:rPr>
                    <w:t xml:space="preserve">3.9% </w:t>
                  </w:r>
                  <w:r>
                    <w:rPr>
                      <w:rFonts w:hint="eastAsia" w:ascii="宋体" w:hAnsi="宋体" w:eastAsia="宋体" w:cs="宋体"/>
                      <w:kern w:val="2"/>
                      <w:sz w:val="21"/>
                      <w:szCs w:val="21"/>
                      <w:lang w:val="en-US" w:eastAsia="zh-CN" w:bidi="ar"/>
                    </w:rPr>
                    <w:t>燃料：电</w:t>
                  </w:r>
                </w:p>
              </w:tc>
              <w:tc>
                <w:tcPr>
                  <w:tcW w:w="821" w:type="dxa"/>
                  <w:tcBorders>
                    <w:tl2br w:val="nil"/>
                    <w:tr2bl w:val="nil"/>
                  </w:tcBorders>
                  <w:shd w:val="clear" w:color="auto" w:fill="auto"/>
                  <w:vAlign w:val="center"/>
                </w:tcPr>
                <w:p w14:paraId="70FB9D88">
                  <w:pPr>
                    <w:keepNext w:val="0"/>
                    <w:keepLines w:val="0"/>
                    <w:widowControl w:val="0"/>
                    <w:suppressLineNumbers w:val="0"/>
                    <w:autoSpaceDE w:val="0"/>
                    <w:autoSpaceDN/>
                    <w:spacing w:before="0" w:beforeAutospacing="0" w:after="0" w:afterAutospacing="0" w:line="300" w:lineRule="exact"/>
                    <w:ind w:left="0" w:right="0" w:rightChars="0"/>
                    <w:jc w:val="both"/>
                    <w:rPr>
                      <w:rFonts w:hint="default" w:ascii="Times New Roman" w:hAnsi="Times New Roman" w:eastAsia="宋体" w:cs="Times New Roman"/>
                      <w:kern w:val="2"/>
                      <w:sz w:val="21"/>
                      <w:szCs w:val="21"/>
                      <w:lang w:val="en-US" w:eastAsia="zh-CN" w:bidi="ar"/>
                    </w:rPr>
                  </w:pPr>
                </w:p>
              </w:tc>
              <w:tc>
                <w:tcPr>
                  <w:tcW w:w="560" w:type="dxa"/>
                  <w:tcBorders>
                    <w:tl2br w:val="nil"/>
                    <w:tr2bl w:val="nil"/>
                  </w:tcBorders>
                  <w:shd w:val="clear" w:color="auto" w:fill="auto"/>
                  <w:vAlign w:val="center"/>
                </w:tcPr>
                <w:p w14:paraId="6DB086FE">
                  <w:pPr>
                    <w:keepNext w:val="0"/>
                    <w:keepLines w:val="0"/>
                    <w:widowControl w:val="0"/>
                    <w:suppressLineNumbers w:val="0"/>
                    <w:autoSpaceDE w:val="0"/>
                    <w:autoSpaceDN/>
                    <w:spacing w:before="0" w:beforeAutospacing="0" w:after="0" w:afterAutospacing="0" w:line="300" w:lineRule="exact"/>
                    <w:ind w:left="0" w:right="0" w:rightChars="0"/>
                    <w:jc w:val="both"/>
                    <w:rPr>
                      <w:rFonts w:hint="default" w:ascii="Times New Roman" w:hAnsi="Times New Roman" w:eastAsia="宋体" w:cs="Times New Roman"/>
                      <w:kern w:val="2"/>
                      <w:sz w:val="21"/>
                      <w:szCs w:val="21"/>
                      <w:lang w:val="en-US" w:eastAsia="zh-CN" w:bidi="ar"/>
                    </w:rPr>
                  </w:pPr>
                </w:p>
              </w:tc>
            </w:tr>
            <w:tr w14:paraId="0D9D0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tcBorders>
                    <w:tl2br w:val="nil"/>
                    <w:tr2bl w:val="nil"/>
                  </w:tcBorders>
                  <w:shd w:val="clear" w:color="auto" w:fill="auto"/>
                  <w:vAlign w:val="center"/>
                </w:tcPr>
                <w:p w14:paraId="67FE869B">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采样点位</w:t>
                  </w:r>
                </w:p>
              </w:tc>
              <w:tc>
                <w:tcPr>
                  <w:tcW w:w="954" w:type="dxa"/>
                  <w:tcBorders>
                    <w:tl2br w:val="nil"/>
                    <w:tr2bl w:val="nil"/>
                  </w:tcBorders>
                  <w:shd w:val="clear" w:color="auto" w:fill="auto"/>
                  <w:vAlign w:val="center"/>
                </w:tcPr>
                <w:p w14:paraId="0E9BCCEB">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检测项目</w:t>
                  </w:r>
                </w:p>
              </w:tc>
              <w:tc>
                <w:tcPr>
                  <w:tcW w:w="1855" w:type="dxa"/>
                  <w:tcBorders>
                    <w:tl2br w:val="nil"/>
                    <w:tr2bl w:val="nil"/>
                  </w:tcBorders>
                  <w:shd w:val="clear" w:color="auto" w:fill="auto"/>
                  <w:vAlign w:val="center"/>
                </w:tcPr>
                <w:p w14:paraId="75C8A201">
                  <w:pPr>
                    <w:keepNext w:val="0"/>
                    <w:keepLines w:val="0"/>
                    <w:widowControl w:val="0"/>
                    <w:suppressLineNumbers w:val="0"/>
                    <w:autoSpaceDE w:val="0"/>
                    <w:autoSpaceDN/>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bCs w:val="0"/>
                      <w:kern w:val="2"/>
                      <w:sz w:val="21"/>
                      <w:szCs w:val="21"/>
                    </w:rPr>
                  </w:pPr>
                  <w:r>
                    <w:rPr>
                      <w:rFonts w:hint="eastAsia" w:ascii="Times New Roman" w:hAnsi="Times New Roman" w:eastAsia="宋体" w:cs="Times New Roman"/>
                      <w:b/>
                      <w:bCs w:val="0"/>
                      <w:kern w:val="2"/>
                      <w:sz w:val="21"/>
                      <w:szCs w:val="21"/>
                      <w:lang w:eastAsia="zh-CN"/>
                    </w:rPr>
                    <w:t>项目</w:t>
                  </w:r>
                </w:p>
              </w:tc>
              <w:tc>
                <w:tcPr>
                  <w:tcW w:w="1212" w:type="dxa"/>
                  <w:tcBorders>
                    <w:tl2br w:val="nil"/>
                    <w:tr2bl w:val="nil"/>
                  </w:tcBorders>
                  <w:shd w:val="clear" w:color="auto" w:fill="auto"/>
                  <w:vAlign w:val="center"/>
                </w:tcPr>
                <w:p w14:paraId="5CDFEF3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
                    </w:rPr>
                    <w:t>Ⅰ</w:t>
                  </w:r>
                </w:p>
              </w:tc>
              <w:tc>
                <w:tcPr>
                  <w:tcW w:w="1200" w:type="dxa"/>
                  <w:tcBorders>
                    <w:tl2br w:val="nil"/>
                    <w:tr2bl w:val="nil"/>
                  </w:tcBorders>
                  <w:shd w:val="clear" w:color="auto" w:fill="auto"/>
                  <w:vAlign w:val="center"/>
                </w:tcPr>
                <w:p w14:paraId="5804DB9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
                    </w:rPr>
                    <w:t>Ⅱ</w:t>
                  </w:r>
                </w:p>
              </w:tc>
              <w:tc>
                <w:tcPr>
                  <w:tcW w:w="1302" w:type="dxa"/>
                  <w:tcBorders>
                    <w:tl2br w:val="nil"/>
                    <w:tr2bl w:val="nil"/>
                  </w:tcBorders>
                  <w:shd w:val="clear" w:color="auto" w:fill="auto"/>
                  <w:vAlign w:val="center"/>
                </w:tcPr>
                <w:p w14:paraId="0F6E627A">
                  <w:pPr>
                    <w:keepNext w:val="0"/>
                    <w:keepLines w:val="0"/>
                    <w:widowControl w:val="0"/>
                    <w:suppressLineNumbers w:val="0"/>
                    <w:autoSpaceDE w:val="0"/>
                    <w:autoSpaceDN/>
                    <w:spacing w:before="0" w:beforeAutospacing="0" w:after="0" w:afterAutospacing="0" w:line="280" w:lineRule="exact"/>
                    <w:ind w:left="-105" w:leftChars="-50" w:right="-105" w:rightChars="-50"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lang w:val="en-US" w:eastAsia="zh-CN" w:bidi="ar"/>
                    </w:rPr>
                    <w:t>Ⅲ</w:t>
                  </w:r>
                </w:p>
              </w:tc>
              <w:tc>
                <w:tcPr>
                  <w:tcW w:w="821" w:type="dxa"/>
                  <w:tcBorders>
                    <w:tl2br w:val="nil"/>
                    <w:tr2bl w:val="nil"/>
                  </w:tcBorders>
                  <w:shd w:val="clear" w:color="auto" w:fill="auto"/>
                  <w:vAlign w:val="center"/>
                </w:tcPr>
                <w:p w14:paraId="75BEF558">
                  <w:pPr>
                    <w:keepNext w:val="0"/>
                    <w:keepLines w:val="0"/>
                    <w:widowControl w:val="0"/>
                    <w:suppressLineNumbers w:val="0"/>
                    <w:autoSpaceDE w:val="0"/>
                    <w:autoSpaceDN/>
                    <w:spacing w:before="0" w:beforeAutospacing="0" w:after="0" w:afterAutospacing="0" w:line="280" w:lineRule="exact"/>
                    <w:ind w:left="-105" w:leftChars="-50" w:right="-105" w:rightChars="-50" w:firstLine="0" w:firstLineChars="0"/>
                    <w:jc w:val="center"/>
                    <w:rPr>
                      <w:rFonts w:hint="eastAsia" w:ascii="宋体" w:hAnsi="宋体" w:eastAsia="宋体" w:cs="宋体"/>
                      <w:b/>
                      <w:bCs w:val="0"/>
                      <w:kern w:val="2"/>
                      <w:sz w:val="21"/>
                      <w:szCs w:val="21"/>
                      <w:lang w:val="en-US" w:eastAsia="zh-CN" w:bidi="ar"/>
                    </w:rPr>
                  </w:pPr>
                </w:p>
              </w:tc>
              <w:tc>
                <w:tcPr>
                  <w:tcW w:w="560" w:type="dxa"/>
                  <w:tcBorders>
                    <w:tl2br w:val="nil"/>
                    <w:tr2bl w:val="nil"/>
                  </w:tcBorders>
                  <w:shd w:val="clear" w:color="auto" w:fill="auto"/>
                  <w:vAlign w:val="center"/>
                </w:tcPr>
                <w:p w14:paraId="3FB0098A">
                  <w:pPr>
                    <w:keepNext w:val="0"/>
                    <w:keepLines w:val="0"/>
                    <w:widowControl w:val="0"/>
                    <w:suppressLineNumbers w:val="0"/>
                    <w:autoSpaceDE w:val="0"/>
                    <w:autoSpaceDN/>
                    <w:spacing w:before="0" w:beforeAutospacing="0" w:after="0" w:afterAutospacing="0" w:line="280" w:lineRule="exact"/>
                    <w:ind w:left="-105" w:leftChars="-50" w:right="-105" w:rightChars="-50" w:firstLine="0" w:firstLineChars="0"/>
                    <w:jc w:val="center"/>
                    <w:rPr>
                      <w:rFonts w:hint="eastAsia" w:ascii="宋体" w:hAnsi="宋体" w:eastAsia="宋体" w:cs="宋体"/>
                      <w:b/>
                      <w:bCs w:val="0"/>
                      <w:kern w:val="2"/>
                      <w:sz w:val="21"/>
                      <w:szCs w:val="21"/>
                      <w:lang w:val="en-US" w:eastAsia="zh-CN" w:bidi="ar"/>
                    </w:rPr>
                  </w:pPr>
                </w:p>
              </w:tc>
            </w:tr>
            <w:tr w14:paraId="22518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restart"/>
                  <w:tcBorders>
                    <w:tl2br w:val="nil"/>
                    <w:tr2bl w:val="nil"/>
                  </w:tcBorders>
                  <w:shd w:val="clear" w:color="auto" w:fill="auto"/>
                  <w:vAlign w:val="center"/>
                </w:tcPr>
                <w:p w14:paraId="4D71CF1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焊接烟尘除尘器出口</w:t>
                  </w:r>
                  <w:r>
                    <w:rPr>
                      <w:rFonts w:hint="default" w:ascii="Times New Roman" w:hAnsi="Times New Roman" w:eastAsia="宋体" w:cs="Times New Roman"/>
                      <w:kern w:val="2"/>
                      <w:sz w:val="21"/>
                      <w:szCs w:val="21"/>
                      <w:lang w:val="en-US" w:eastAsia="zh-CN" w:bidi="ar"/>
                    </w:rPr>
                    <w:t>G2</w:t>
                  </w:r>
                </w:p>
              </w:tc>
              <w:tc>
                <w:tcPr>
                  <w:tcW w:w="954" w:type="dxa"/>
                  <w:vMerge w:val="restart"/>
                  <w:tcBorders>
                    <w:tl2br w:val="nil"/>
                    <w:tr2bl w:val="nil"/>
                  </w:tcBorders>
                  <w:shd w:val="clear" w:color="auto" w:fill="auto"/>
                  <w:vAlign w:val="center"/>
                </w:tcPr>
                <w:p w14:paraId="29BC9715">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b w:val="0"/>
                      <w:bCs/>
                      <w:kern w:val="2"/>
                      <w:sz w:val="21"/>
                      <w:szCs w:val="21"/>
                    </w:rPr>
                  </w:pPr>
                  <w:r>
                    <w:rPr>
                      <w:rFonts w:hint="eastAsia" w:ascii="宋体" w:hAnsi="宋体" w:eastAsia="宋体" w:cs="宋体"/>
                      <w:b w:val="0"/>
                      <w:bCs/>
                      <w:kern w:val="2"/>
                      <w:sz w:val="21"/>
                      <w:szCs w:val="21"/>
                      <w:lang w:val="en-US" w:eastAsia="zh-CN" w:bidi="ar"/>
                    </w:rPr>
                    <w:t>颗粒物</w:t>
                  </w:r>
                </w:p>
              </w:tc>
              <w:tc>
                <w:tcPr>
                  <w:tcW w:w="1855" w:type="dxa"/>
                  <w:tcBorders>
                    <w:tl2br w:val="nil"/>
                    <w:tr2bl w:val="nil"/>
                  </w:tcBorders>
                  <w:shd w:val="clear" w:color="auto" w:fill="auto"/>
                  <w:vAlign w:val="center"/>
                </w:tcPr>
                <w:p w14:paraId="7595C4C4">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rPr>
                  </w:pPr>
                  <w:r>
                    <w:rPr>
                      <w:rFonts w:hint="eastAsia" w:ascii="宋体" w:hAnsi="宋体" w:eastAsia="宋体" w:cs="宋体"/>
                      <w:b/>
                      <w:bCs w:val="0"/>
                      <w:kern w:val="2"/>
                      <w:sz w:val="21"/>
                      <w:szCs w:val="21"/>
                      <w:lang w:val="en-US" w:eastAsia="zh-CN" w:bidi="ar"/>
                    </w:rPr>
                    <w:t>标干流量（</w:t>
                  </w:r>
                  <w:r>
                    <w:rPr>
                      <w:rFonts w:hint="default" w:ascii="Times New Roman" w:hAnsi="Times New Roman" w:eastAsia="宋体" w:cs="Times New Roman"/>
                      <w:b/>
                      <w:bCs w:val="0"/>
                      <w:kern w:val="2"/>
                      <w:sz w:val="21"/>
                      <w:szCs w:val="21"/>
                      <w:lang w:val="en-US" w:eastAsia="zh-CN" w:bidi="ar"/>
                    </w:rPr>
                    <w:t>m</w:t>
                  </w:r>
                  <w:r>
                    <w:rPr>
                      <w:rFonts w:hint="default" w:ascii="Times New Roman" w:hAnsi="Times New Roman" w:eastAsia="宋体" w:cs="Times New Roman"/>
                      <w:b/>
                      <w:bCs w:val="0"/>
                      <w:kern w:val="2"/>
                      <w:sz w:val="21"/>
                      <w:szCs w:val="21"/>
                      <w:vertAlign w:val="superscript"/>
                      <w:lang w:val="en-US" w:eastAsia="zh-CN" w:bidi="ar"/>
                    </w:rPr>
                    <w:t>3</w:t>
                  </w:r>
                  <w:r>
                    <w:rPr>
                      <w:rFonts w:hint="default" w:ascii="Times New Roman" w:hAnsi="Times New Roman" w:eastAsia="宋体" w:cs="Times New Roman"/>
                      <w:b/>
                      <w:bCs w:val="0"/>
                      <w:kern w:val="2"/>
                      <w:sz w:val="21"/>
                      <w:szCs w:val="21"/>
                      <w:lang w:val="en-US" w:eastAsia="zh-CN" w:bidi="ar"/>
                    </w:rPr>
                    <w:t>/h</w:t>
                  </w:r>
                  <w:r>
                    <w:rPr>
                      <w:rFonts w:hint="eastAsia" w:ascii="宋体" w:hAnsi="宋体" w:eastAsia="宋体" w:cs="宋体"/>
                      <w:b/>
                      <w:bCs w:val="0"/>
                      <w:kern w:val="2"/>
                      <w:sz w:val="21"/>
                      <w:szCs w:val="21"/>
                      <w:lang w:val="en-US" w:eastAsia="zh-CN" w:bidi="ar"/>
                    </w:rPr>
                    <w:t>）</w:t>
                  </w:r>
                </w:p>
              </w:tc>
              <w:tc>
                <w:tcPr>
                  <w:tcW w:w="1212" w:type="dxa"/>
                  <w:tcBorders>
                    <w:tl2br w:val="nil"/>
                    <w:tr2bl w:val="nil"/>
                  </w:tcBorders>
                  <w:shd w:val="clear" w:color="auto" w:fill="auto"/>
                  <w:vAlign w:val="center"/>
                </w:tcPr>
                <w:p w14:paraId="4019FBBB">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38951</w:t>
                  </w:r>
                </w:p>
              </w:tc>
              <w:tc>
                <w:tcPr>
                  <w:tcW w:w="1200" w:type="dxa"/>
                  <w:tcBorders>
                    <w:tl2br w:val="nil"/>
                    <w:tr2bl w:val="nil"/>
                  </w:tcBorders>
                  <w:shd w:val="clear" w:color="auto" w:fill="auto"/>
                  <w:vAlign w:val="center"/>
                </w:tcPr>
                <w:p w14:paraId="0889AEA5">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39153</w:t>
                  </w:r>
                </w:p>
              </w:tc>
              <w:tc>
                <w:tcPr>
                  <w:tcW w:w="1302" w:type="dxa"/>
                  <w:tcBorders>
                    <w:tl2br w:val="nil"/>
                    <w:tr2bl w:val="nil"/>
                  </w:tcBorders>
                  <w:shd w:val="clear" w:color="auto" w:fill="auto"/>
                  <w:vAlign w:val="center"/>
                </w:tcPr>
                <w:p w14:paraId="27C4B6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37422</w:t>
                  </w:r>
                </w:p>
              </w:tc>
              <w:tc>
                <w:tcPr>
                  <w:tcW w:w="821" w:type="dxa"/>
                  <w:tcBorders>
                    <w:tl2br w:val="nil"/>
                    <w:tr2bl w:val="nil"/>
                  </w:tcBorders>
                  <w:shd w:val="clear" w:color="auto" w:fill="auto"/>
                  <w:vAlign w:val="center"/>
                </w:tcPr>
                <w:p w14:paraId="317163F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c>
                <w:tcPr>
                  <w:tcW w:w="560" w:type="dxa"/>
                  <w:tcBorders>
                    <w:tl2br w:val="nil"/>
                    <w:tr2bl w:val="nil"/>
                  </w:tcBorders>
                  <w:shd w:val="clear" w:color="auto" w:fill="auto"/>
                  <w:vAlign w:val="center"/>
                </w:tcPr>
                <w:p w14:paraId="4DB10F3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r>
            <w:tr w14:paraId="68C0A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continue"/>
                  <w:tcBorders>
                    <w:tl2br w:val="nil"/>
                    <w:tr2bl w:val="nil"/>
                  </w:tcBorders>
                  <w:shd w:val="clear" w:color="auto" w:fill="auto"/>
                  <w:vAlign w:val="center"/>
                </w:tcPr>
                <w:p w14:paraId="7EBF51D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954" w:type="dxa"/>
                  <w:vMerge w:val="continue"/>
                  <w:tcBorders>
                    <w:tl2br w:val="nil"/>
                    <w:tr2bl w:val="nil"/>
                  </w:tcBorders>
                  <w:shd w:val="clear" w:color="auto" w:fill="auto"/>
                  <w:vAlign w:val="center"/>
                </w:tcPr>
                <w:p w14:paraId="0FD7BE09">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eastAsia" w:ascii="宋体" w:hAnsi="宋体" w:eastAsia="宋体" w:cs="宋体"/>
                      <w:b w:val="0"/>
                      <w:bCs/>
                      <w:kern w:val="2"/>
                      <w:sz w:val="21"/>
                      <w:szCs w:val="21"/>
                      <w:lang w:val="en-US" w:eastAsia="zh-CN" w:bidi="ar"/>
                    </w:rPr>
                  </w:pPr>
                </w:p>
              </w:tc>
              <w:tc>
                <w:tcPr>
                  <w:tcW w:w="1855" w:type="dxa"/>
                  <w:tcBorders>
                    <w:tl2br w:val="nil"/>
                    <w:tr2bl w:val="nil"/>
                  </w:tcBorders>
                  <w:shd w:val="clear" w:color="auto" w:fill="auto"/>
                  <w:vAlign w:val="center"/>
                </w:tcPr>
                <w:p w14:paraId="100FCF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SA"/>
                    </w:rPr>
                  </w:pPr>
                  <w:r>
                    <w:rPr>
                      <w:rFonts w:hint="eastAsia" w:ascii="宋体" w:hAnsi="宋体" w:eastAsia="宋体" w:cs="宋体"/>
                      <w:b/>
                      <w:bCs w:val="0"/>
                      <w:kern w:val="2"/>
                      <w:sz w:val="21"/>
                      <w:szCs w:val="21"/>
                      <w:lang w:val="en-US" w:eastAsia="zh-CN" w:bidi="ar"/>
                    </w:rPr>
                    <w:t>实测浓度（</w:t>
                  </w:r>
                  <w:r>
                    <w:rPr>
                      <w:rFonts w:hint="default" w:ascii="Times New Roman" w:hAnsi="Times New Roman" w:eastAsia="宋体" w:cs="Times New Roman"/>
                      <w:b/>
                      <w:bCs w:val="0"/>
                      <w:kern w:val="2"/>
                      <w:sz w:val="21"/>
                      <w:szCs w:val="21"/>
                      <w:lang w:val="en-US" w:eastAsia="zh-CN" w:bidi="ar"/>
                    </w:rPr>
                    <w:t>mg/m</w:t>
                  </w:r>
                  <w:r>
                    <w:rPr>
                      <w:rFonts w:hint="default" w:ascii="Times New Roman" w:hAnsi="Times New Roman" w:eastAsia="宋体" w:cs="Times New Roman"/>
                      <w:b/>
                      <w:bCs w:val="0"/>
                      <w:kern w:val="2"/>
                      <w:sz w:val="21"/>
                      <w:szCs w:val="21"/>
                      <w:vertAlign w:val="superscript"/>
                      <w:lang w:val="en-US" w:eastAsia="zh-CN" w:bidi="ar"/>
                    </w:rPr>
                    <w:t>3</w:t>
                  </w:r>
                  <w:r>
                    <w:rPr>
                      <w:rFonts w:hint="eastAsia" w:ascii="宋体" w:hAnsi="宋体" w:eastAsia="宋体" w:cs="宋体"/>
                      <w:b/>
                      <w:bCs w:val="0"/>
                      <w:kern w:val="2"/>
                      <w:sz w:val="21"/>
                      <w:szCs w:val="21"/>
                      <w:lang w:val="en-US" w:eastAsia="zh-CN" w:bidi="ar"/>
                    </w:rPr>
                    <w:t>）</w:t>
                  </w:r>
                </w:p>
              </w:tc>
              <w:tc>
                <w:tcPr>
                  <w:tcW w:w="1212" w:type="dxa"/>
                  <w:tcBorders>
                    <w:tl2br w:val="nil"/>
                    <w:tr2bl w:val="nil"/>
                  </w:tcBorders>
                  <w:shd w:val="clear" w:color="auto" w:fill="auto"/>
                  <w:vAlign w:val="center"/>
                </w:tcPr>
                <w:p w14:paraId="11B63F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9.0</w:t>
                  </w:r>
                </w:p>
              </w:tc>
              <w:tc>
                <w:tcPr>
                  <w:tcW w:w="1200" w:type="dxa"/>
                  <w:tcBorders>
                    <w:tl2br w:val="nil"/>
                    <w:tr2bl w:val="nil"/>
                  </w:tcBorders>
                  <w:shd w:val="clear" w:color="auto" w:fill="auto"/>
                  <w:vAlign w:val="center"/>
                </w:tcPr>
                <w:p w14:paraId="05DC4D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
                    </w:rPr>
                    <w:t>8.5</w:t>
                  </w:r>
                </w:p>
              </w:tc>
              <w:tc>
                <w:tcPr>
                  <w:tcW w:w="1302" w:type="dxa"/>
                  <w:tcBorders>
                    <w:tl2br w:val="nil"/>
                    <w:tr2bl w:val="nil"/>
                  </w:tcBorders>
                  <w:shd w:val="clear" w:color="auto" w:fill="auto"/>
                  <w:vAlign w:val="center"/>
                </w:tcPr>
                <w:p w14:paraId="1D2C6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kern w:val="2"/>
                      <w:sz w:val="21"/>
                      <w:szCs w:val="21"/>
                      <w:lang w:val="en-US" w:eastAsia="zh-CN" w:bidi="ar"/>
                    </w:rPr>
                    <w:t>8.2</w:t>
                  </w:r>
                </w:p>
              </w:tc>
              <w:tc>
                <w:tcPr>
                  <w:tcW w:w="821" w:type="dxa"/>
                  <w:tcBorders>
                    <w:tl2br w:val="nil"/>
                    <w:tr2bl w:val="nil"/>
                  </w:tcBorders>
                  <w:shd w:val="clear" w:color="auto" w:fill="auto"/>
                  <w:vAlign w:val="center"/>
                </w:tcPr>
                <w:p w14:paraId="61D2B7D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120</w:t>
                  </w:r>
                </w:p>
              </w:tc>
              <w:tc>
                <w:tcPr>
                  <w:tcW w:w="560" w:type="dxa"/>
                  <w:tcBorders>
                    <w:tl2br w:val="nil"/>
                    <w:tr2bl w:val="nil"/>
                  </w:tcBorders>
                  <w:shd w:val="clear" w:color="auto" w:fill="auto"/>
                  <w:vAlign w:val="center"/>
                </w:tcPr>
                <w:p w14:paraId="39CD15B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达标</w:t>
                  </w:r>
                </w:p>
              </w:tc>
            </w:tr>
            <w:tr w14:paraId="53C26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149" w:type="dxa"/>
                  <w:vMerge w:val="continue"/>
                  <w:tcBorders>
                    <w:tl2br w:val="nil"/>
                    <w:tr2bl w:val="nil"/>
                  </w:tcBorders>
                  <w:shd w:val="clear" w:color="auto" w:fill="auto"/>
                  <w:vAlign w:val="center"/>
                </w:tcPr>
                <w:p w14:paraId="5DC1A11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lang w:val="en-US" w:eastAsia="zh-CN" w:bidi="ar"/>
                    </w:rPr>
                  </w:pPr>
                </w:p>
              </w:tc>
              <w:tc>
                <w:tcPr>
                  <w:tcW w:w="954" w:type="dxa"/>
                  <w:vMerge w:val="continue"/>
                  <w:tcBorders>
                    <w:tl2br w:val="nil"/>
                    <w:tr2bl w:val="nil"/>
                  </w:tcBorders>
                  <w:shd w:val="clear" w:color="auto" w:fill="auto"/>
                  <w:vAlign w:val="center"/>
                </w:tcPr>
                <w:p w14:paraId="61801487">
                  <w:pPr>
                    <w:keepNext w:val="0"/>
                    <w:keepLines w:val="0"/>
                    <w:widowControl/>
                    <w:suppressLineNumbers w:val="0"/>
                    <w:autoSpaceDE w:val="0"/>
                    <w:autoSpaceDN/>
                    <w:spacing w:before="0" w:beforeAutospacing="0" w:after="0" w:afterAutospacing="0" w:line="240" w:lineRule="exact"/>
                    <w:ind w:left="0" w:leftChars="0" w:right="0" w:rightChars="0" w:firstLine="0" w:firstLineChars="0"/>
                    <w:jc w:val="center"/>
                    <w:rPr>
                      <w:rFonts w:hint="eastAsia" w:ascii="宋体" w:hAnsi="宋体" w:eastAsia="宋体" w:cs="宋体"/>
                      <w:b w:val="0"/>
                      <w:bCs/>
                      <w:kern w:val="2"/>
                      <w:sz w:val="21"/>
                      <w:szCs w:val="21"/>
                      <w:lang w:val="en-US" w:eastAsia="zh-CN" w:bidi="ar"/>
                    </w:rPr>
                  </w:pPr>
                </w:p>
              </w:tc>
              <w:tc>
                <w:tcPr>
                  <w:tcW w:w="1855" w:type="dxa"/>
                  <w:tcBorders>
                    <w:tl2br w:val="nil"/>
                    <w:tr2bl w:val="nil"/>
                  </w:tcBorders>
                  <w:shd w:val="clear" w:color="auto" w:fill="auto"/>
                  <w:vAlign w:val="center"/>
                </w:tcPr>
                <w:p w14:paraId="45F4567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bCs w:val="0"/>
                      <w:kern w:val="2"/>
                      <w:sz w:val="21"/>
                      <w:szCs w:val="21"/>
                      <w:lang w:val="en-US" w:eastAsia="zh-CN" w:bidi="ar"/>
                    </w:rPr>
                    <w:t>排放速率（kg/h）</w:t>
                  </w:r>
                </w:p>
              </w:tc>
              <w:tc>
                <w:tcPr>
                  <w:tcW w:w="1212" w:type="dxa"/>
                  <w:tcBorders>
                    <w:tl2br w:val="nil"/>
                    <w:tr2bl w:val="nil"/>
                  </w:tcBorders>
                  <w:shd w:val="clear" w:color="auto" w:fill="auto"/>
                  <w:vAlign w:val="center"/>
                </w:tcPr>
                <w:p w14:paraId="1BB945EC">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0.35 </w:t>
                  </w:r>
                </w:p>
              </w:tc>
              <w:tc>
                <w:tcPr>
                  <w:tcW w:w="1200" w:type="dxa"/>
                  <w:tcBorders>
                    <w:tl2br w:val="nil"/>
                    <w:tr2bl w:val="nil"/>
                  </w:tcBorders>
                  <w:shd w:val="clear" w:color="auto" w:fill="auto"/>
                  <w:vAlign w:val="center"/>
                </w:tcPr>
                <w:p w14:paraId="60194BBF">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0.33 </w:t>
                  </w:r>
                </w:p>
              </w:tc>
              <w:tc>
                <w:tcPr>
                  <w:tcW w:w="1302" w:type="dxa"/>
                  <w:tcBorders>
                    <w:tl2br w:val="nil"/>
                    <w:tr2bl w:val="nil"/>
                  </w:tcBorders>
                  <w:shd w:val="clear" w:color="auto" w:fill="auto"/>
                  <w:vAlign w:val="center"/>
                </w:tcPr>
                <w:p w14:paraId="17DC532D">
                  <w:pPr>
                    <w:keepNext w:val="0"/>
                    <w:keepLines w:val="0"/>
                    <w:widowControl w:val="0"/>
                    <w:suppressLineNumbers w:val="0"/>
                    <w:autoSpaceDE w:val="0"/>
                    <w:autoSpaceDN/>
                    <w:spacing w:before="0" w:beforeAutospacing="0" w:after="0" w:afterAutospacing="0" w:line="260" w:lineRule="exact"/>
                    <w:ind w:left="-126" w:leftChars="-60" w:right="-126" w:rightChars="-60" w:firstLine="0" w:firstLineChars="0"/>
                    <w:jc w:val="center"/>
                    <w:rPr>
                      <w:rFonts w:hint="default"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 xml:space="preserve">0.31 </w:t>
                  </w:r>
                </w:p>
              </w:tc>
              <w:tc>
                <w:tcPr>
                  <w:tcW w:w="821" w:type="dxa"/>
                  <w:tcBorders>
                    <w:tl2br w:val="nil"/>
                    <w:tr2bl w:val="nil"/>
                  </w:tcBorders>
                  <w:shd w:val="clear" w:color="auto" w:fill="auto"/>
                  <w:vAlign w:val="center"/>
                </w:tcPr>
                <w:p w14:paraId="04577BE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1.75</w:t>
                  </w:r>
                </w:p>
              </w:tc>
              <w:tc>
                <w:tcPr>
                  <w:tcW w:w="560" w:type="dxa"/>
                  <w:tcBorders>
                    <w:tl2br w:val="nil"/>
                    <w:tr2bl w:val="nil"/>
                  </w:tcBorders>
                  <w:shd w:val="clear" w:color="auto" w:fill="auto"/>
                  <w:vAlign w:val="center"/>
                </w:tcPr>
                <w:p w14:paraId="733481C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达标</w:t>
                  </w:r>
                </w:p>
              </w:tc>
            </w:tr>
            <w:tr w14:paraId="6E3A3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78" w:hRule="atLeast"/>
                <w:jc w:val="center"/>
              </w:trPr>
              <w:tc>
                <w:tcPr>
                  <w:tcW w:w="9053" w:type="dxa"/>
                  <w:gridSpan w:val="8"/>
                  <w:tcBorders>
                    <w:tl2br w:val="nil"/>
                    <w:tr2bl w:val="nil"/>
                  </w:tcBorders>
                  <w:shd w:val="clear" w:color="auto" w:fill="auto"/>
                  <w:vAlign w:val="center"/>
                </w:tcPr>
                <w:p w14:paraId="6D9E5DA7">
                  <w:pPr>
                    <w:keepNext w:val="0"/>
                    <w:keepLines w:val="0"/>
                    <w:widowControl/>
                    <w:suppressLineNumbers w:val="0"/>
                    <w:spacing w:before="0" w:beforeAutospacing="0" w:after="0" w:afterAutospacing="0"/>
                    <w:ind w:left="0" w:leftChars="0" w:right="0" w:rightChars="0"/>
                    <w:jc w:val="both"/>
                    <w:textAlignment w:val="center"/>
                    <w:rPr>
                      <w:rFonts w:hint="eastAsia" w:ascii="Times New Roman" w:hAnsi="Times New Roman" w:eastAsia="宋体" w:cs="Times New Roman"/>
                      <w:b w:val="0"/>
                      <w:bCs/>
                      <w:kern w:val="2"/>
                      <w:sz w:val="21"/>
                      <w:szCs w:val="21"/>
                      <w:lang w:val="en-US" w:eastAsia="zh-CN" w:bidi="ar"/>
                    </w:rPr>
                  </w:pPr>
                  <w:r>
                    <w:rPr>
                      <w:rFonts w:hint="default" w:ascii="Times New Roman" w:hAnsi="Times New Roman" w:eastAsia="宋体" w:cs="Times New Roman"/>
                      <w:b w:val="0"/>
                      <w:bCs w:val="0"/>
                      <w:color w:val="auto"/>
                      <w:spacing w:val="0"/>
                      <w:w w:val="100"/>
                      <w:sz w:val="21"/>
                      <w:szCs w:val="21"/>
                      <w:u w:val="none" w:color="auto"/>
                      <w:lang w:val="en-US" w:eastAsia="zh-CN"/>
                    </w:rPr>
                    <w:t>排放速率严格50%执行</w:t>
                  </w:r>
                </w:p>
              </w:tc>
            </w:tr>
          </w:tbl>
          <w:p w14:paraId="457DE22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pacing w:val="0"/>
                <w:kern w:val="0"/>
                <w:sz w:val="24"/>
                <w:szCs w:val="24"/>
                <w:u w:val="none" w:color="auto"/>
                <w:lang w:val="en-US" w:eastAsia="zh-CN" w:bidi="ar"/>
              </w:rPr>
            </w:pPr>
            <w:r>
              <w:rPr>
                <w:rFonts w:hint="default" w:ascii="Times New Roman" w:hAnsi="Times New Roman" w:eastAsia="宋体" w:cs="Times New Roman"/>
                <w:color w:val="auto"/>
                <w:sz w:val="24"/>
                <w:szCs w:val="24"/>
                <w:u w:val="none" w:color="auto"/>
              </w:rPr>
              <w:t>由表</w:t>
            </w:r>
            <w:r>
              <w:rPr>
                <w:rFonts w:hint="eastAsia" w:ascii="Times New Roman" w:hAnsi="Times New Roman" w:cs="Times New Roman"/>
                <w:color w:val="auto"/>
                <w:sz w:val="24"/>
                <w:szCs w:val="24"/>
                <w:u w:val="none" w:color="auto"/>
                <w:lang w:val="en-US" w:eastAsia="zh-CN"/>
              </w:rPr>
              <w:t>2-9</w:t>
            </w:r>
            <w:r>
              <w:rPr>
                <w:rFonts w:hint="default" w:ascii="Times New Roman" w:hAnsi="Times New Roman" w:eastAsia="宋体" w:cs="Times New Roman"/>
                <w:color w:val="auto"/>
                <w:sz w:val="24"/>
                <w:szCs w:val="24"/>
                <w:u w:val="none" w:color="auto"/>
              </w:rPr>
              <w:t>可知，</w:t>
            </w:r>
            <w:r>
              <w:rPr>
                <w:rFonts w:hint="eastAsia" w:ascii="Times New Roman" w:hAnsi="Times New Roman" w:cs="Times New Roman"/>
                <w:color w:val="auto"/>
                <w:sz w:val="24"/>
                <w:szCs w:val="24"/>
                <w:u w:val="none" w:color="auto"/>
                <w:lang w:eastAsia="zh-CN"/>
              </w:rPr>
              <w:t>现有工程</w:t>
            </w:r>
            <w:r>
              <w:rPr>
                <w:rFonts w:hint="default" w:ascii="Times New Roman" w:hAnsi="Times New Roman" w:cs="Times New Roman" w:eastAsiaTheme="minorEastAsia"/>
                <w:color w:val="auto"/>
                <w:sz w:val="24"/>
                <w:szCs w:val="24"/>
              </w:rPr>
              <w:t>验收监测期间，</w:t>
            </w:r>
            <w:r>
              <w:rPr>
                <w:rFonts w:hint="eastAsia" w:ascii="Times New Roman" w:hAnsi="Times New Roman" w:cs="Times New Roman" w:eastAsiaTheme="minorEastAsia"/>
                <w:color w:val="auto"/>
                <w:sz w:val="24"/>
                <w:szCs w:val="24"/>
                <w:lang w:eastAsia="zh-CN"/>
              </w:rPr>
              <w:t>焊接烟尘除尘器</w:t>
            </w:r>
            <w:r>
              <w:rPr>
                <w:rFonts w:hint="default" w:ascii="Times New Roman" w:hAnsi="Times New Roman" w:cs="Times New Roman" w:eastAsiaTheme="minorEastAsia"/>
                <w:color w:val="auto"/>
                <w:sz w:val="24"/>
                <w:szCs w:val="24"/>
              </w:rPr>
              <w:t>出口</w:t>
            </w:r>
            <w:r>
              <w:rPr>
                <w:rFonts w:hint="eastAsia" w:ascii="Times New Roman" w:hAnsi="Times New Roman" w:cs="Times New Roman" w:eastAsiaTheme="minorEastAsia"/>
                <w:color w:val="auto"/>
                <w:sz w:val="24"/>
                <w:szCs w:val="24"/>
                <w:lang w:eastAsia="zh-CN"/>
              </w:rPr>
              <w:t>颗粒物</w:t>
            </w:r>
            <w:r>
              <w:rPr>
                <w:rFonts w:hint="default" w:ascii="Times New Roman" w:hAnsi="Times New Roman" w:cs="Times New Roman" w:eastAsiaTheme="minorEastAsia"/>
                <w:color w:val="auto"/>
                <w:sz w:val="24"/>
                <w:szCs w:val="24"/>
              </w:rPr>
              <w:t>监测浓度</w:t>
            </w:r>
            <w:r>
              <w:rPr>
                <w:rFonts w:hint="eastAsia" w:ascii="Times New Roman" w:hAnsi="Times New Roman" w:cs="Times New Roman" w:eastAsiaTheme="minorEastAsia"/>
                <w:color w:val="auto"/>
                <w:sz w:val="24"/>
                <w:szCs w:val="24"/>
                <w:lang w:eastAsia="zh-CN"/>
              </w:rPr>
              <w:t>最大值为</w:t>
            </w:r>
            <w:r>
              <w:rPr>
                <w:rFonts w:hint="eastAsia" w:ascii="Times New Roman" w:hAnsi="Times New Roman" w:cs="Times New Roman" w:eastAsiaTheme="minorEastAsia"/>
                <w:color w:val="auto"/>
                <w:sz w:val="24"/>
                <w:szCs w:val="24"/>
                <w:lang w:val="en-US" w:eastAsia="zh-CN"/>
              </w:rPr>
              <w:t>9.0mg/m</w:t>
            </w:r>
            <w:r>
              <w:rPr>
                <w:rFonts w:hint="eastAsia" w:ascii="Times New Roman" w:hAnsi="Times New Roman" w:cs="Times New Roman" w:eastAsiaTheme="minorEastAsia"/>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eastAsia="zh-CN"/>
              </w:rPr>
              <w:t>排放速率最大值为</w:t>
            </w:r>
            <w:r>
              <w:rPr>
                <w:rFonts w:hint="eastAsia" w:ascii="Times New Roman" w:hAnsi="Times New Roman" w:cs="Times New Roman" w:eastAsiaTheme="minorEastAsia"/>
                <w:color w:val="auto"/>
                <w:sz w:val="24"/>
                <w:szCs w:val="24"/>
                <w:lang w:val="en-US" w:eastAsia="zh-CN"/>
              </w:rPr>
              <w:t>0.35kg/h，均</w:t>
            </w:r>
            <w:r>
              <w:rPr>
                <w:rFonts w:hint="default" w:ascii="Times New Roman" w:hAnsi="Times New Roman" w:cs="Times New Roman" w:eastAsiaTheme="minorEastAsia"/>
                <w:color w:val="auto"/>
                <w:sz w:val="24"/>
                <w:szCs w:val="24"/>
              </w:rPr>
              <w:t>可满足《大气污染物</w:t>
            </w:r>
            <w:r>
              <w:rPr>
                <w:rFonts w:hint="eastAsia" w:ascii="Times New Roman" w:hAnsi="Times New Roman" w:cs="Times New Roman" w:eastAsiaTheme="minorEastAsia"/>
                <w:color w:val="auto"/>
                <w:sz w:val="24"/>
                <w:szCs w:val="24"/>
                <w:lang w:eastAsia="zh-CN"/>
              </w:rPr>
              <w:t>综合</w:t>
            </w:r>
            <w:r>
              <w:rPr>
                <w:rFonts w:hint="default" w:ascii="Times New Roman" w:hAnsi="Times New Roman" w:cs="Times New Roman" w:eastAsiaTheme="minorEastAsia"/>
                <w:color w:val="auto"/>
                <w:sz w:val="24"/>
                <w:szCs w:val="24"/>
              </w:rPr>
              <w:t>排放标准》</w:t>
            </w:r>
            <w:r>
              <w:rPr>
                <w:rFonts w:hint="default" w:ascii="Times New Roman" w:hAnsi="Times New Roman" w:eastAsiaTheme="minorEastAsia"/>
                <w:color w:val="auto"/>
                <w:sz w:val="24"/>
                <w:szCs w:val="24"/>
                <w:lang w:val="zh-CN"/>
              </w:rPr>
              <w:t>（GB16297-1996）</w:t>
            </w:r>
            <w:r>
              <w:rPr>
                <w:rFonts w:hint="default" w:ascii="Times New Roman" w:hAnsi="Times New Roman" w:cs="Times New Roman" w:eastAsiaTheme="minorEastAsia"/>
                <w:color w:val="auto"/>
                <w:sz w:val="24"/>
                <w:szCs w:val="24"/>
              </w:rPr>
              <w:t>排放限值</w:t>
            </w:r>
            <w:r>
              <w:rPr>
                <w:rFonts w:hint="eastAsia" w:ascii="Times New Roman" w:hAnsi="Times New Roman" w:cs="Times New Roman" w:eastAsiaTheme="minorEastAsia"/>
                <w:color w:val="auto"/>
                <w:sz w:val="24"/>
                <w:szCs w:val="24"/>
                <w:lang w:eastAsia="zh-CN"/>
              </w:rPr>
              <w:t>要求</w:t>
            </w:r>
            <w:r>
              <w:rPr>
                <w:rFonts w:hint="default" w:ascii="Times New Roman" w:hAnsi="Times New Roman" w:eastAsia="宋体" w:cs="Times New Roman"/>
                <w:spacing w:val="0"/>
                <w:kern w:val="0"/>
                <w:sz w:val="24"/>
                <w:szCs w:val="24"/>
                <w:u w:val="none" w:color="auto"/>
                <w:lang w:val="en-US" w:eastAsia="zh-CN" w:bidi="ar"/>
              </w:rPr>
              <w:t>。</w:t>
            </w:r>
          </w:p>
          <w:p w14:paraId="23F5B02E">
            <w:pPr>
              <w:keepNext w:val="0"/>
              <w:keepLines w:val="0"/>
              <w:widowControl w:val="0"/>
              <w:numPr>
                <w:ilvl w:val="0"/>
                <w:numId w:val="8"/>
              </w:numPr>
              <w:suppressLineNumbers w:val="0"/>
              <w:spacing w:before="0" w:beforeAutospacing="0" w:after="0" w:afterAutospacing="0" w:line="360" w:lineRule="auto"/>
              <w:ind w:left="0" w:right="0" w:firstLine="482" w:firstLineChars="200"/>
              <w:jc w:val="both"/>
              <w:rPr>
                <w:rFonts w:hint="default" w:ascii="Times New Roman" w:hAnsi="Times New Roman" w:eastAsiaTheme="minorEastAsia"/>
                <w:b/>
                <w:bCs/>
                <w:color w:val="auto"/>
                <w:sz w:val="24"/>
                <w:szCs w:val="24"/>
                <w:u w:val="none" w:color="auto"/>
              </w:rPr>
            </w:pPr>
            <w:r>
              <w:rPr>
                <w:rFonts w:hint="default" w:ascii="Times New Roman" w:hAnsi="Times New Roman" w:eastAsiaTheme="minorEastAsia"/>
                <w:b/>
                <w:bCs/>
                <w:color w:val="auto"/>
                <w:sz w:val="24"/>
                <w:szCs w:val="24"/>
                <w:u w:val="none" w:color="auto"/>
              </w:rPr>
              <w:t>无组织废气监测结果</w:t>
            </w:r>
          </w:p>
          <w:p w14:paraId="46917F4D">
            <w:pPr>
              <w:pStyle w:val="43"/>
              <w:keepNext w:val="0"/>
              <w:keepLines w:val="0"/>
              <w:widowControl w:val="0"/>
              <w:numPr>
                <w:ilvl w:val="0"/>
                <w:numId w:val="0"/>
              </w:numPr>
              <w:suppressLineNumbers w:val="0"/>
              <w:autoSpaceDE w:val="0"/>
              <w:autoSpaceDN w:val="0"/>
              <w:spacing w:before="0" w:beforeAutospacing="0" w:after="0" w:afterLines="0" w:afterAutospacing="0"/>
              <w:ind w:right="0" w:rightChars="0"/>
              <w:jc w:val="left"/>
              <w:rPr>
                <w:rFonts w:hint="default"/>
              </w:rPr>
            </w:pPr>
          </w:p>
          <w:p w14:paraId="633E8854">
            <w:pPr>
              <w:pStyle w:val="12"/>
              <w:keepNext w:val="0"/>
              <w:keepLines w:val="0"/>
              <w:suppressLineNumbers w:val="0"/>
              <w:spacing w:before="0" w:beforeAutospacing="0" w:after="0" w:afterAutospacing="0"/>
              <w:ind w:left="0" w:right="0"/>
              <w:rPr>
                <w:rFonts w:hint="default"/>
              </w:rPr>
            </w:pPr>
          </w:p>
          <w:p w14:paraId="689197F1">
            <w:pPr>
              <w:keepNext w:val="0"/>
              <w:keepLines w:val="0"/>
              <w:widowControl w:val="0"/>
              <w:suppressLineNumbers w:val="0"/>
              <w:spacing w:before="0" w:beforeAutospacing="0" w:after="0" w:afterAutospacing="0"/>
              <w:ind w:left="0" w:right="0"/>
              <w:jc w:val="center"/>
              <w:rPr>
                <w:rFonts w:hint="eastAsia" w:ascii="Times New Roman" w:hAnsi="Times New Roman" w:eastAsiaTheme="minorEastAsia"/>
                <w:b/>
                <w:bCs/>
                <w:color w:val="auto"/>
                <w:sz w:val="24"/>
                <w:szCs w:val="24"/>
                <w:u w:val="none" w:color="auto"/>
              </w:rPr>
            </w:pPr>
            <w:r>
              <w:rPr>
                <w:rFonts w:hint="eastAsia" w:ascii="Times New Roman" w:hAnsi="Times New Roman" w:eastAsiaTheme="minorEastAsia"/>
                <w:b/>
                <w:bCs/>
                <w:color w:val="auto"/>
                <w:sz w:val="24"/>
                <w:szCs w:val="24"/>
                <w:u w:val="none" w:color="auto"/>
              </w:rPr>
              <w:t>表</w:t>
            </w:r>
            <w:r>
              <w:rPr>
                <w:rFonts w:hint="eastAsia" w:ascii="Times New Roman" w:hAnsi="Times New Roman" w:eastAsiaTheme="minorEastAsia"/>
                <w:b/>
                <w:bCs/>
                <w:color w:val="auto"/>
                <w:sz w:val="24"/>
                <w:szCs w:val="24"/>
                <w:u w:val="none" w:color="auto"/>
                <w:lang w:val="en-US" w:eastAsia="zh-CN"/>
              </w:rPr>
              <w:t>2</w:t>
            </w:r>
            <w:r>
              <w:rPr>
                <w:rFonts w:hint="eastAsia" w:ascii="Times New Roman" w:hAnsi="Times New Roman" w:eastAsiaTheme="minorEastAsia"/>
                <w:b/>
                <w:bCs/>
                <w:color w:val="auto"/>
                <w:sz w:val="24"/>
                <w:szCs w:val="24"/>
                <w:u w:val="none" w:color="auto"/>
              </w:rPr>
              <w:t>-</w:t>
            </w:r>
            <w:r>
              <w:rPr>
                <w:rFonts w:hint="eastAsia" w:ascii="Times New Roman" w:hAnsi="Times New Roman" w:eastAsiaTheme="minorEastAsia"/>
                <w:b/>
                <w:bCs/>
                <w:color w:val="auto"/>
                <w:sz w:val="24"/>
                <w:szCs w:val="24"/>
                <w:u w:val="none" w:color="auto"/>
                <w:lang w:val="en-US" w:eastAsia="zh-CN"/>
              </w:rPr>
              <w:t>10</w:t>
            </w:r>
            <w:r>
              <w:rPr>
                <w:rFonts w:hint="eastAsia" w:ascii="Times New Roman" w:hAnsi="Times New Roman" w:eastAsiaTheme="minorEastAsia"/>
                <w:b/>
                <w:bCs/>
                <w:color w:val="auto"/>
                <w:sz w:val="24"/>
                <w:szCs w:val="24"/>
                <w:u w:val="none" w:color="auto"/>
              </w:rPr>
              <w:t xml:space="preserve">  </w:t>
            </w:r>
            <w:r>
              <w:rPr>
                <w:rFonts w:hint="eastAsia" w:ascii="Times New Roman" w:hAnsi="Times New Roman" w:eastAsiaTheme="minorEastAsia"/>
                <w:b/>
                <w:bCs/>
                <w:color w:val="auto"/>
                <w:sz w:val="24"/>
                <w:szCs w:val="24"/>
                <w:u w:val="none" w:color="auto"/>
                <w:lang w:eastAsia="zh-CN"/>
              </w:rPr>
              <w:t>现有工程</w:t>
            </w:r>
            <w:r>
              <w:rPr>
                <w:rFonts w:hint="eastAsia" w:ascii="Times New Roman" w:hAnsi="Times New Roman" w:eastAsiaTheme="minorEastAsia"/>
                <w:b/>
                <w:bCs/>
                <w:color w:val="auto"/>
                <w:sz w:val="24"/>
                <w:szCs w:val="24"/>
                <w:u w:val="none" w:color="auto"/>
              </w:rPr>
              <w:t>无组织废气监测结果</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87"/>
              <w:gridCol w:w="908"/>
              <w:gridCol w:w="1365"/>
              <w:gridCol w:w="998"/>
              <w:gridCol w:w="842"/>
              <w:gridCol w:w="1269"/>
              <w:gridCol w:w="1283"/>
              <w:gridCol w:w="1349"/>
            </w:tblGrid>
            <w:tr w14:paraId="0900C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617" w:type="dxa"/>
                  <w:vMerge w:val="restart"/>
                  <w:tcBorders>
                    <w:tl2br w:val="nil"/>
                    <w:tr2bl w:val="nil"/>
                  </w:tcBorders>
                  <w:shd w:val="clear" w:color="auto" w:fill="auto"/>
                  <w:vAlign w:val="center"/>
                </w:tcPr>
                <w:p w14:paraId="26858F64">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检测项目</w:t>
                  </w:r>
                </w:p>
              </w:tc>
              <w:tc>
                <w:tcPr>
                  <w:tcW w:w="955" w:type="dxa"/>
                  <w:vMerge w:val="restart"/>
                  <w:tcBorders>
                    <w:tl2br w:val="nil"/>
                    <w:tr2bl w:val="nil"/>
                  </w:tcBorders>
                  <w:shd w:val="clear" w:color="auto" w:fill="auto"/>
                  <w:vAlign w:val="center"/>
                </w:tcPr>
                <w:p w14:paraId="6167A1C5">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采样时间</w:t>
                  </w:r>
                </w:p>
              </w:tc>
              <w:tc>
                <w:tcPr>
                  <w:tcW w:w="1436" w:type="dxa"/>
                  <w:vMerge w:val="restart"/>
                  <w:tcBorders>
                    <w:tl2br w:val="nil"/>
                    <w:tr2bl w:val="nil"/>
                  </w:tcBorders>
                  <w:shd w:val="clear" w:color="auto" w:fill="auto"/>
                  <w:vAlign w:val="center"/>
                </w:tcPr>
                <w:p w14:paraId="0E6A1F25">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采样点位</w:t>
                  </w:r>
                </w:p>
              </w:tc>
              <w:tc>
                <w:tcPr>
                  <w:tcW w:w="3270" w:type="dxa"/>
                  <w:gridSpan w:val="3"/>
                  <w:tcBorders>
                    <w:tl2br w:val="nil"/>
                    <w:tr2bl w:val="nil"/>
                  </w:tcBorders>
                  <w:shd w:val="clear" w:color="auto" w:fill="auto"/>
                  <w:vAlign w:val="center"/>
                </w:tcPr>
                <w:p w14:paraId="112009A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采样次数和检测结果（</w:t>
                  </w:r>
                  <w:r>
                    <w:rPr>
                      <w:rFonts w:hint="default" w:ascii="Times New Roman" w:hAnsi="Times New Roman" w:eastAsia="宋体" w:cs="Times New Roman"/>
                      <w:b/>
                      <w:bCs/>
                      <w:kern w:val="2"/>
                      <w:sz w:val="21"/>
                      <w:szCs w:val="21"/>
                      <w:lang w:val="en-US" w:eastAsia="zh-CN" w:bidi="ar"/>
                    </w:rPr>
                    <w:t>mg/m</w:t>
                  </w:r>
                  <w:r>
                    <w:rPr>
                      <w:rFonts w:hint="default" w:ascii="Times New Roman" w:hAnsi="Times New Roman" w:eastAsia="宋体" w:cs="Times New Roman"/>
                      <w:b/>
                      <w:bCs/>
                      <w:kern w:val="2"/>
                      <w:sz w:val="21"/>
                      <w:szCs w:val="21"/>
                      <w:vertAlign w:val="superscript"/>
                      <w:lang w:val="en-US" w:eastAsia="zh-CN" w:bidi="ar"/>
                    </w:rPr>
                    <w:t>3</w:t>
                  </w:r>
                  <w:r>
                    <w:rPr>
                      <w:rFonts w:hint="eastAsia" w:ascii="宋体" w:hAnsi="宋体" w:eastAsia="宋体" w:cs="宋体"/>
                      <w:b/>
                      <w:bCs/>
                      <w:kern w:val="2"/>
                      <w:sz w:val="21"/>
                      <w:szCs w:val="21"/>
                      <w:lang w:val="en-US" w:eastAsia="zh-CN" w:bidi="ar"/>
                    </w:rPr>
                    <w:t>）</w:t>
                  </w:r>
                </w:p>
              </w:tc>
              <w:tc>
                <w:tcPr>
                  <w:tcW w:w="1350" w:type="dxa"/>
                  <w:vMerge w:val="restart"/>
                  <w:tcBorders>
                    <w:tl2br w:val="nil"/>
                    <w:tr2bl w:val="nil"/>
                  </w:tcBorders>
                  <w:shd w:val="clear" w:color="auto" w:fill="auto"/>
                  <w:vAlign w:val="center"/>
                </w:tcPr>
                <w:p w14:paraId="21D7690E">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标准值</w:t>
                  </w:r>
                </w:p>
              </w:tc>
              <w:tc>
                <w:tcPr>
                  <w:tcW w:w="1420" w:type="dxa"/>
                  <w:vMerge w:val="restart"/>
                  <w:tcBorders>
                    <w:tl2br w:val="nil"/>
                    <w:tr2bl w:val="nil"/>
                  </w:tcBorders>
                  <w:shd w:val="clear" w:color="auto" w:fill="auto"/>
                  <w:vAlign w:val="center"/>
                </w:tcPr>
                <w:p w14:paraId="7314D1AE">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达标情况</w:t>
                  </w:r>
                </w:p>
              </w:tc>
            </w:tr>
            <w:tr w14:paraId="1BD8A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7" w:type="dxa"/>
                  <w:vMerge w:val="continue"/>
                  <w:tcBorders>
                    <w:tl2br w:val="nil"/>
                    <w:tr2bl w:val="nil"/>
                  </w:tcBorders>
                  <w:shd w:val="clear" w:color="auto" w:fill="auto"/>
                  <w:vAlign w:val="center"/>
                </w:tcPr>
                <w:p w14:paraId="7C4AE394">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6503C749">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436" w:type="dxa"/>
                  <w:vMerge w:val="continue"/>
                  <w:tcBorders>
                    <w:tl2br w:val="nil"/>
                    <w:tr2bl w:val="nil"/>
                  </w:tcBorders>
                  <w:shd w:val="clear" w:color="auto" w:fill="auto"/>
                  <w:vAlign w:val="center"/>
                </w:tcPr>
                <w:p w14:paraId="68E5496E">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050" w:type="dxa"/>
                  <w:tcBorders>
                    <w:tl2br w:val="nil"/>
                    <w:tr2bl w:val="nil"/>
                  </w:tcBorders>
                  <w:shd w:val="clear" w:color="auto" w:fill="auto"/>
                  <w:vAlign w:val="center"/>
                </w:tcPr>
                <w:p w14:paraId="68F8E2B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Ⅰ</w:t>
                  </w:r>
                </w:p>
              </w:tc>
              <w:tc>
                <w:tcPr>
                  <w:tcW w:w="885" w:type="dxa"/>
                  <w:tcBorders>
                    <w:tl2br w:val="nil"/>
                    <w:tr2bl w:val="nil"/>
                  </w:tcBorders>
                  <w:shd w:val="clear" w:color="auto" w:fill="auto"/>
                  <w:vAlign w:val="center"/>
                </w:tcPr>
                <w:p w14:paraId="7F3795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Ⅱ</w:t>
                  </w:r>
                </w:p>
              </w:tc>
              <w:tc>
                <w:tcPr>
                  <w:tcW w:w="1335" w:type="dxa"/>
                  <w:tcBorders>
                    <w:tl2br w:val="nil"/>
                    <w:tr2bl w:val="nil"/>
                  </w:tcBorders>
                  <w:shd w:val="clear" w:color="auto" w:fill="auto"/>
                  <w:vAlign w:val="center"/>
                </w:tcPr>
                <w:p w14:paraId="5DD4153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Ⅲ</w:t>
                  </w:r>
                </w:p>
              </w:tc>
              <w:tc>
                <w:tcPr>
                  <w:tcW w:w="1350" w:type="dxa"/>
                  <w:vMerge w:val="continue"/>
                  <w:tcBorders>
                    <w:tl2br w:val="nil"/>
                    <w:tr2bl w:val="nil"/>
                  </w:tcBorders>
                  <w:shd w:val="clear" w:color="auto" w:fill="auto"/>
                  <w:vAlign w:val="center"/>
                </w:tcPr>
                <w:p w14:paraId="599560F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p>
              </w:tc>
              <w:tc>
                <w:tcPr>
                  <w:tcW w:w="1420" w:type="dxa"/>
                  <w:vMerge w:val="continue"/>
                  <w:tcBorders>
                    <w:tl2br w:val="nil"/>
                    <w:tr2bl w:val="nil"/>
                  </w:tcBorders>
                  <w:shd w:val="clear" w:color="auto" w:fill="auto"/>
                  <w:vAlign w:val="center"/>
                </w:tcPr>
                <w:p w14:paraId="3C337C2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p>
              </w:tc>
            </w:tr>
            <w:tr w14:paraId="52DD2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7" w:type="dxa"/>
                  <w:vMerge w:val="restart"/>
                  <w:tcBorders>
                    <w:tl2br w:val="nil"/>
                    <w:tr2bl w:val="nil"/>
                  </w:tcBorders>
                  <w:shd w:val="clear" w:color="auto" w:fill="auto"/>
                  <w:vAlign w:val="center"/>
                </w:tcPr>
                <w:p w14:paraId="1FF91B2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颗粒物</w:t>
                  </w:r>
                </w:p>
              </w:tc>
              <w:tc>
                <w:tcPr>
                  <w:tcW w:w="955" w:type="dxa"/>
                  <w:vMerge w:val="restart"/>
                  <w:tcBorders>
                    <w:tl2br w:val="nil"/>
                    <w:tr2bl w:val="nil"/>
                  </w:tcBorders>
                  <w:shd w:val="clear" w:color="auto" w:fill="auto"/>
                  <w:vAlign w:val="center"/>
                </w:tcPr>
                <w:p w14:paraId="5471AE92">
                  <w:pPr>
                    <w:keepNext w:val="0"/>
                    <w:keepLines w:val="0"/>
                    <w:widowControl w:val="0"/>
                    <w:suppressLineNumbers w:val="0"/>
                    <w:spacing w:before="0" w:beforeAutospacing="0" w:after="0" w:afterAutospacing="0" w:line="300" w:lineRule="exact"/>
                    <w:ind w:left="0" w:right="0"/>
                    <w:jc w:val="center"/>
                    <w:rPr>
                      <w:rFonts w:hint="eastAsia" w:ascii="Times New Roman" w:hAnsi="Times New Roman" w:eastAsia="宋体" w:cs="Times New Roman"/>
                      <w:color w:val="FF0000"/>
                      <w:kern w:val="2"/>
                      <w:sz w:val="21"/>
                      <w:szCs w:val="21"/>
                    </w:rPr>
                  </w:pPr>
                  <w:r>
                    <w:rPr>
                      <w:rFonts w:hint="default" w:ascii="Times New Roman" w:hAnsi="Times New Roman" w:eastAsia="宋体" w:cs="Times New Roman"/>
                      <w:kern w:val="2"/>
                      <w:sz w:val="21"/>
                      <w:szCs w:val="21"/>
                      <w:lang w:val="en-US" w:eastAsia="zh-CN" w:bidi="ar"/>
                    </w:rPr>
                    <w:t>2024.01.19</w:t>
                  </w:r>
                </w:p>
              </w:tc>
              <w:tc>
                <w:tcPr>
                  <w:tcW w:w="1436" w:type="dxa"/>
                  <w:tcBorders>
                    <w:tl2br w:val="nil"/>
                    <w:tr2bl w:val="nil"/>
                  </w:tcBorders>
                  <w:shd w:val="clear" w:color="auto" w:fill="auto"/>
                  <w:vAlign w:val="center"/>
                </w:tcPr>
                <w:p w14:paraId="3EC9886D">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厂界上风向</w:t>
                  </w:r>
                  <w:r>
                    <w:rPr>
                      <w:rFonts w:hint="default" w:ascii="Times New Roman" w:hAnsi="Times New Roman" w:eastAsia="宋体" w:cs="Times New Roman"/>
                      <w:kern w:val="2"/>
                      <w:sz w:val="21"/>
                      <w:szCs w:val="21"/>
                      <w:lang w:val="en-US" w:eastAsia="zh-CN" w:bidi="ar"/>
                    </w:rPr>
                    <w:t>G3</w:t>
                  </w:r>
                </w:p>
              </w:tc>
              <w:tc>
                <w:tcPr>
                  <w:tcW w:w="1050" w:type="dxa"/>
                  <w:tcBorders>
                    <w:tl2br w:val="nil"/>
                    <w:tr2bl w:val="nil"/>
                  </w:tcBorders>
                  <w:shd w:val="clear" w:color="auto" w:fill="auto"/>
                  <w:vAlign w:val="center"/>
                </w:tcPr>
                <w:p w14:paraId="1F8BD00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0.300</w:t>
                  </w:r>
                </w:p>
              </w:tc>
              <w:tc>
                <w:tcPr>
                  <w:tcW w:w="885" w:type="dxa"/>
                  <w:tcBorders>
                    <w:tl2br w:val="nil"/>
                    <w:tr2bl w:val="nil"/>
                  </w:tcBorders>
                  <w:shd w:val="clear" w:color="auto" w:fill="auto"/>
                  <w:vAlign w:val="center"/>
                </w:tcPr>
                <w:p w14:paraId="1E78D8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0.303</w:t>
                  </w:r>
                </w:p>
              </w:tc>
              <w:tc>
                <w:tcPr>
                  <w:tcW w:w="1335" w:type="dxa"/>
                  <w:tcBorders>
                    <w:tl2br w:val="nil"/>
                    <w:tr2bl w:val="nil"/>
                  </w:tcBorders>
                  <w:shd w:val="clear" w:color="auto" w:fill="auto"/>
                  <w:vAlign w:val="center"/>
                </w:tcPr>
                <w:p w14:paraId="0B8786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0.301</w:t>
                  </w:r>
                </w:p>
              </w:tc>
              <w:tc>
                <w:tcPr>
                  <w:tcW w:w="1350" w:type="dxa"/>
                  <w:tcBorders>
                    <w:tl2br w:val="nil"/>
                    <w:tr2bl w:val="nil"/>
                  </w:tcBorders>
                  <w:shd w:val="clear" w:color="auto" w:fill="auto"/>
                  <w:vAlign w:val="center"/>
                </w:tcPr>
                <w:p w14:paraId="5F4CE7C3">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c>
                <w:tcPr>
                  <w:tcW w:w="1420" w:type="dxa"/>
                  <w:tcBorders>
                    <w:tl2br w:val="nil"/>
                    <w:tr2bl w:val="nil"/>
                  </w:tcBorders>
                  <w:shd w:val="clear" w:color="auto" w:fill="auto"/>
                  <w:vAlign w:val="center"/>
                </w:tcPr>
                <w:p w14:paraId="1919A68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r>
            <w:tr w14:paraId="2A207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7" w:type="dxa"/>
                  <w:vMerge w:val="continue"/>
                  <w:tcBorders>
                    <w:tl2br w:val="nil"/>
                    <w:tr2bl w:val="nil"/>
                  </w:tcBorders>
                  <w:shd w:val="clear" w:color="auto" w:fill="auto"/>
                  <w:vAlign w:val="center"/>
                </w:tcPr>
                <w:p w14:paraId="4F0F4A8F">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76D46BE9">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436" w:type="dxa"/>
                  <w:tcBorders>
                    <w:tl2br w:val="nil"/>
                    <w:tr2bl w:val="nil"/>
                  </w:tcBorders>
                  <w:shd w:val="clear" w:color="auto" w:fill="auto"/>
                  <w:vAlign w:val="center"/>
                </w:tcPr>
                <w:p w14:paraId="303DA0B6">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厂界下风向</w:t>
                  </w:r>
                  <w:r>
                    <w:rPr>
                      <w:rFonts w:hint="default" w:ascii="Times New Roman" w:hAnsi="Times New Roman" w:eastAsia="宋体" w:cs="Times New Roman"/>
                      <w:kern w:val="2"/>
                      <w:sz w:val="21"/>
                      <w:szCs w:val="21"/>
                      <w:lang w:val="en-US" w:eastAsia="zh-CN" w:bidi="ar"/>
                    </w:rPr>
                    <w:t>G4</w:t>
                  </w:r>
                </w:p>
              </w:tc>
              <w:tc>
                <w:tcPr>
                  <w:tcW w:w="1050" w:type="dxa"/>
                  <w:tcBorders>
                    <w:tl2br w:val="nil"/>
                    <w:tr2bl w:val="nil"/>
                  </w:tcBorders>
                  <w:shd w:val="clear" w:color="auto" w:fill="auto"/>
                  <w:vAlign w:val="center"/>
                </w:tcPr>
                <w:p w14:paraId="41347FD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0.425</w:t>
                  </w:r>
                </w:p>
              </w:tc>
              <w:tc>
                <w:tcPr>
                  <w:tcW w:w="885" w:type="dxa"/>
                  <w:tcBorders>
                    <w:tl2br w:val="nil"/>
                    <w:tr2bl w:val="nil"/>
                  </w:tcBorders>
                  <w:shd w:val="clear" w:color="auto" w:fill="auto"/>
                  <w:vAlign w:val="center"/>
                </w:tcPr>
                <w:p w14:paraId="4BF9989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0.456</w:t>
                  </w:r>
                </w:p>
              </w:tc>
              <w:tc>
                <w:tcPr>
                  <w:tcW w:w="1335" w:type="dxa"/>
                  <w:tcBorders>
                    <w:tl2br w:val="nil"/>
                    <w:tr2bl w:val="nil"/>
                  </w:tcBorders>
                  <w:shd w:val="clear" w:color="auto" w:fill="auto"/>
                  <w:vAlign w:val="center"/>
                </w:tcPr>
                <w:p w14:paraId="78E8ED7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0.444</w:t>
                  </w:r>
                </w:p>
              </w:tc>
              <w:tc>
                <w:tcPr>
                  <w:tcW w:w="1350" w:type="dxa"/>
                  <w:tcBorders>
                    <w:tl2br w:val="nil"/>
                    <w:tr2bl w:val="nil"/>
                  </w:tcBorders>
                  <w:shd w:val="clear" w:color="auto" w:fill="auto"/>
                  <w:vAlign w:val="center"/>
                </w:tcPr>
                <w:p w14:paraId="7869791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1.0</w:t>
                  </w:r>
                </w:p>
              </w:tc>
              <w:tc>
                <w:tcPr>
                  <w:tcW w:w="1420" w:type="dxa"/>
                  <w:tcBorders>
                    <w:tl2br w:val="nil"/>
                    <w:tr2bl w:val="nil"/>
                  </w:tcBorders>
                  <w:shd w:val="clear" w:color="auto" w:fill="auto"/>
                  <w:vAlign w:val="center"/>
                </w:tcPr>
                <w:p w14:paraId="7A79BDD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达标</w:t>
                  </w:r>
                </w:p>
              </w:tc>
            </w:tr>
            <w:tr w14:paraId="66590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7" w:type="dxa"/>
                  <w:vMerge w:val="continue"/>
                  <w:tcBorders>
                    <w:tl2br w:val="nil"/>
                    <w:tr2bl w:val="nil"/>
                  </w:tcBorders>
                  <w:shd w:val="clear" w:color="auto" w:fill="auto"/>
                  <w:vAlign w:val="center"/>
                </w:tcPr>
                <w:p w14:paraId="04B73AB6">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21AF3CA5">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436" w:type="dxa"/>
                  <w:tcBorders>
                    <w:tl2br w:val="nil"/>
                    <w:tr2bl w:val="nil"/>
                  </w:tcBorders>
                  <w:shd w:val="clear" w:color="auto" w:fill="auto"/>
                  <w:vAlign w:val="center"/>
                </w:tcPr>
                <w:p w14:paraId="5F491358">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厂界下风向</w:t>
                  </w:r>
                  <w:r>
                    <w:rPr>
                      <w:rFonts w:hint="default" w:ascii="Times New Roman" w:hAnsi="Times New Roman" w:eastAsia="宋体" w:cs="Times New Roman"/>
                      <w:kern w:val="2"/>
                      <w:sz w:val="21"/>
                      <w:szCs w:val="21"/>
                      <w:lang w:val="en-US" w:eastAsia="zh-CN" w:bidi="ar"/>
                    </w:rPr>
                    <w:t>G5</w:t>
                  </w:r>
                </w:p>
              </w:tc>
              <w:tc>
                <w:tcPr>
                  <w:tcW w:w="1050" w:type="dxa"/>
                  <w:tcBorders>
                    <w:tl2br w:val="nil"/>
                    <w:tr2bl w:val="nil"/>
                  </w:tcBorders>
                  <w:shd w:val="clear" w:color="auto" w:fill="auto"/>
                  <w:vAlign w:val="center"/>
                </w:tcPr>
                <w:p w14:paraId="61E3F72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0.412</w:t>
                  </w:r>
                </w:p>
              </w:tc>
              <w:tc>
                <w:tcPr>
                  <w:tcW w:w="885" w:type="dxa"/>
                  <w:tcBorders>
                    <w:tl2br w:val="nil"/>
                    <w:tr2bl w:val="nil"/>
                  </w:tcBorders>
                  <w:shd w:val="clear" w:color="auto" w:fill="auto"/>
                  <w:vAlign w:val="center"/>
                </w:tcPr>
                <w:p w14:paraId="398553E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0.396</w:t>
                  </w:r>
                </w:p>
              </w:tc>
              <w:tc>
                <w:tcPr>
                  <w:tcW w:w="1335" w:type="dxa"/>
                  <w:tcBorders>
                    <w:tl2br w:val="nil"/>
                    <w:tr2bl w:val="nil"/>
                  </w:tcBorders>
                  <w:shd w:val="clear" w:color="auto" w:fill="auto"/>
                  <w:vAlign w:val="center"/>
                </w:tcPr>
                <w:p w14:paraId="228457B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0.399</w:t>
                  </w:r>
                </w:p>
              </w:tc>
              <w:tc>
                <w:tcPr>
                  <w:tcW w:w="1350" w:type="dxa"/>
                  <w:tcBorders>
                    <w:tl2br w:val="nil"/>
                    <w:tr2bl w:val="nil"/>
                  </w:tcBorders>
                  <w:shd w:val="clear" w:color="auto" w:fill="auto"/>
                  <w:vAlign w:val="center"/>
                </w:tcPr>
                <w:p w14:paraId="3E500E87">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1.0</w:t>
                  </w:r>
                </w:p>
              </w:tc>
              <w:tc>
                <w:tcPr>
                  <w:tcW w:w="1420" w:type="dxa"/>
                  <w:tcBorders>
                    <w:tl2br w:val="nil"/>
                    <w:tr2bl w:val="nil"/>
                  </w:tcBorders>
                  <w:shd w:val="clear" w:color="auto" w:fill="auto"/>
                  <w:vAlign w:val="center"/>
                </w:tcPr>
                <w:p w14:paraId="12A8C2E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达标</w:t>
                  </w:r>
                </w:p>
              </w:tc>
            </w:tr>
            <w:tr w14:paraId="2F904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7" w:type="dxa"/>
                  <w:vMerge w:val="continue"/>
                  <w:tcBorders>
                    <w:tl2br w:val="nil"/>
                    <w:tr2bl w:val="nil"/>
                  </w:tcBorders>
                  <w:shd w:val="clear" w:color="auto" w:fill="auto"/>
                  <w:vAlign w:val="center"/>
                </w:tcPr>
                <w:p w14:paraId="43C32850">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6F0D6D45">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436" w:type="dxa"/>
                  <w:tcBorders>
                    <w:tl2br w:val="nil"/>
                    <w:tr2bl w:val="nil"/>
                  </w:tcBorders>
                  <w:shd w:val="clear" w:color="auto" w:fill="auto"/>
                  <w:vAlign w:val="center"/>
                </w:tcPr>
                <w:p w14:paraId="69D8EAF4">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厂界下风向</w:t>
                  </w:r>
                  <w:r>
                    <w:rPr>
                      <w:rFonts w:hint="default" w:ascii="Times New Roman" w:hAnsi="Times New Roman" w:eastAsia="宋体" w:cs="Times New Roman"/>
                      <w:kern w:val="2"/>
                      <w:sz w:val="21"/>
                      <w:szCs w:val="21"/>
                      <w:lang w:val="en-US" w:eastAsia="zh-CN" w:bidi="ar"/>
                    </w:rPr>
                    <w:t>G6</w:t>
                  </w:r>
                </w:p>
              </w:tc>
              <w:tc>
                <w:tcPr>
                  <w:tcW w:w="1050" w:type="dxa"/>
                  <w:tcBorders>
                    <w:tl2br w:val="nil"/>
                    <w:tr2bl w:val="nil"/>
                  </w:tcBorders>
                  <w:shd w:val="clear" w:color="auto" w:fill="auto"/>
                  <w:vAlign w:val="center"/>
                </w:tcPr>
                <w:p w14:paraId="599730F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0.485</w:t>
                  </w:r>
                </w:p>
              </w:tc>
              <w:tc>
                <w:tcPr>
                  <w:tcW w:w="885" w:type="dxa"/>
                  <w:tcBorders>
                    <w:tl2br w:val="nil"/>
                    <w:tr2bl w:val="nil"/>
                  </w:tcBorders>
                  <w:shd w:val="clear" w:color="auto" w:fill="auto"/>
                  <w:vAlign w:val="center"/>
                </w:tcPr>
                <w:p w14:paraId="457451F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0.418</w:t>
                  </w:r>
                </w:p>
              </w:tc>
              <w:tc>
                <w:tcPr>
                  <w:tcW w:w="1335" w:type="dxa"/>
                  <w:tcBorders>
                    <w:tl2br w:val="nil"/>
                    <w:tr2bl w:val="nil"/>
                  </w:tcBorders>
                  <w:shd w:val="clear" w:color="auto" w:fill="auto"/>
                  <w:vAlign w:val="center"/>
                </w:tcPr>
                <w:p w14:paraId="322249C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0.458</w:t>
                  </w:r>
                </w:p>
              </w:tc>
              <w:tc>
                <w:tcPr>
                  <w:tcW w:w="1350" w:type="dxa"/>
                  <w:tcBorders>
                    <w:tl2br w:val="nil"/>
                    <w:tr2bl w:val="nil"/>
                  </w:tcBorders>
                  <w:shd w:val="clear" w:color="auto" w:fill="auto"/>
                  <w:vAlign w:val="center"/>
                </w:tcPr>
                <w:p w14:paraId="557A09A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1.0</w:t>
                  </w:r>
                </w:p>
              </w:tc>
              <w:tc>
                <w:tcPr>
                  <w:tcW w:w="1420" w:type="dxa"/>
                  <w:tcBorders>
                    <w:tl2br w:val="nil"/>
                    <w:tr2bl w:val="nil"/>
                  </w:tcBorders>
                  <w:shd w:val="clear" w:color="auto" w:fill="auto"/>
                  <w:vAlign w:val="center"/>
                </w:tcPr>
                <w:p w14:paraId="37804A7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达标</w:t>
                  </w:r>
                </w:p>
              </w:tc>
            </w:tr>
            <w:tr w14:paraId="2C7B7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7" w:type="dxa"/>
                  <w:vMerge w:val="continue"/>
                  <w:tcBorders>
                    <w:tl2br w:val="nil"/>
                    <w:tr2bl w:val="nil"/>
                  </w:tcBorders>
                  <w:shd w:val="clear" w:color="auto" w:fill="auto"/>
                  <w:vAlign w:val="center"/>
                </w:tcPr>
                <w:p w14:paraId="38F60325">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0"/>
                      <w:szCs w:val="20"/>
                    </w:rPr>
                  </w:pPr>
                </w:p>
              </w:tc>
              <w:tc>
                <w:tcPr>
                  <w:tcW w:w="955" w:type="dxa"/>
                  <w:vMerge w:val="restart"/>
                  <w:tcBorders>
                    <w:tl2br w:val="nil"/>
                    <w:tr2bl w:val="nil"/>
                  </w:tcBorders>
                  <w:shd w:val="clear" w:color="auto" w:fill="auto"/>
                  <w:vAlign w:val="center"/>
                </w:tcPr>
                <w:p w14:paraId="6412620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2024.01.20</w:t>
                  </w:r>
                </w:p>
              </w:tc>
              <w:tc>
                <w:tcPr>
                  <w:tcW w:w="1436" w:type="dxa"/>
                  <w:tcBorders>
                    <w:tl2br w:val="nil"/>
                    <w:tr2bl w:val="nil"/>
                  </w:tcBorders>
                  <w:shd w:val="clear" w:color="auto" w:fill="auto"/>
                  <w:vAlign w:val="center"/>
                </w:tcPr>
                <w:p w14:paraId="0BE9C9BB">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厂界上风向</w:t>
                  </w:r>
                  <w:r>
                    <w:rPr>
                      <w:rFonts w:hint="default" w:ascii="Times New Roman" w:hAnsi="Times New Roman" w:eastAsia="宋体" w:cs="Times New Roman"/>
                      <w:color w:val="auto"/>
                      <w:kern w:val="2"/>
                      <w:sz w:val="21"/>
                      <w:szCs w:val="21"/>
                      <w:lang w:val="en-US" w:eastAsia="zh-CN" w:bidi="ar"/>
                    </w:rPr>
                    <w:t>G3</w:t>
                  </w:r>
                </w:p>
              </w:tc>
              <w:tc>
                <w:tcPr>
                  <w:tcW w:w="1050" w:type="dxa"/>
                  <w:tcBorders>
                    <w:tl2br w:val="nil"/>
                    <w:tr2bl w:val="nil"/>
                  </w:tcBorders>
                  <w:shd w:val="clear" w:color="auto" w:fill="auto"/>
                  <w:vAlign w:val="center"/>
                </w:tcPr>
                <w:p w14:paraId="3DA3078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0.305</w:t>
                  </w:r>
                </w:p>
              </w:tc>
              <w:tc>
                <w:tcPr>
                  <w:tcW w:w="885" w:type="dxa"/>
                  <w:tcBorders>
                    <w:tl2br w:val="nil"/>
                    <w:tr2bl w:val="nil"/>
                  </w:tcBorders>
                  <w:shd w:val="clear" w:color="auto" w:fill="auto"/>
                  <w:vAlign w:val="center"/>
                </w:tcPr>
                <w:p w14:paraId="4137F1D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0.301</w:t>
                  </w:r>
                </w:p>
              </w:tc>
              <w:tc>
                <w:tcPr>
                  <w:tcW w:w="1335" w:type="dxa"/>
                  <w:tcBorders>
                    <w:tl2br w:val="nil"/>
                    <w:tr2bl w:val="nil"/>
                  </w:tcBorders>
                  <w:shd w:val="clear" w:color="auto" w:fill="auto"/>
                  <w:vAlign w:val="center"/>
                </w:tcPr>
                <w:p w14:paraId="21E59CE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0.306</w:t>
                  </w:r>
                </w:p>
              </w:tc>
              <w:tc>
                <w:tcPr>
                  <w:tcW w:w="1350" w:type="dxa"/>
                  <w:tcBorders>
                    <w:tl2br w:val="nil"/>
                    <w:tr2bl w:val="nil"/>
                  </w:tcBorders>
                  <w:shd w:val="clear" w:color="auto" w:fill="auto"/>
                  <w:vAlign w:val="center"/>
                </w:tcPr>
                <w:p w14:paraId="7BC97C7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c>
                <w:tcPr>
                  <w:tcW w:w="1420" w:type="dxa"/>
                  <w:tcBorders>
                    <w:tl2br w:val="nil"/>
                    <w:tr2bl w:val="nil"/>
                  </w:tcBorders>
                  <w:shd w:val="clear" w:color="auto" w:fill="auto"/>
                  <w:vAlign w:val="center"/>
                </w:tcPr>
                <w:p w14:paraId="4FCE5BB0">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kern w:val="2"/>
                      <w:sz w:val="21"/>
                      <w:szCs w:val="21"/>
                      <w:lang w:val="en-US" w:eastAsia="zh-CN" w:bidi="ar"/>
                    </w:rPr>
                    <w:t>/</w:t>
                  </w:r>
                </w:p>
              </w:tc>
            </w:tr>
            <w:tr w14:paraId="1BA67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7" w:type="dxa"/>
                  <w:vMerge w:val="continue"/>
                  <w:tcBorders>
                    <w:tl2br w:val="nil"/>
                    <w:tr2bl w:val="nil"/>
                  </w:tcBorders>
                  <w:shd w:val="clear" w:color="auto" w:fill="auto"/>
                  <w:vAlign w:val="center"/>
                </w:tcPr>
                <w:p w14:paraId="5362198C">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0"/>
                      <w:szCs w:val="20"/>
                    </w:rPr>
                  </w:pPr>
                </w:p>
              </w:tc>
              <w:tc>
                <w:tcPr>
                  <w:tcW w:w="955" w:type="dxa"/>
                  <w:vMerge w:val="continue"/>
                  <w:tcBorders>
                    <w:tl2br w:val="nil"/>
                    <w:tr2bl w:val="nil"/>
                  </w:tcBorders>
                  <w:shd w:val="clear" w:color="auto" w:fill="auto"/>
                  <w:vAlign w:val="center"/>
                </w:tcPr>
                <w:p w14:paraId="492C0680">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0"/>
                      <w:szCs w:val="20"/>
                    </w:rPr>
                  </w:pPr>
                </w:p>
              </w:tc>
              <w:tc>
                <w:tcPr>
                  <w:tcW w:w="1436" w:type="dxa"/>
                  <w:tcBorders>
                    <w:tl2br w:val="nil"/>
                    <w:tr2bl w:val="nil"/>
                  </w:tcBorders>
                  <w:shd w:val="clear" w:color="auto" w:fill="auto"/>
                  <w:vAlign w:val="center"/>
                </w:tcPr>
                <w:p w14:paraId="06AE983F">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厂界下风向</w:t>
                  </w:r>
                  <w:r>
                    <w:rPr>
                      <w:rFonts w:hint="default" w:ascii="Times New Roman" w:hAnsi="Times New Roman" w:eastAsia="宋体" w:cs="Times New Roman"/>
                      <w:color w:val="auto"/>
                      <w:kern w:val="2"/>
                      <w:sz w:val="21"/>
                      <w:szCs w:val="21"/>
                      <w:lang w:val="en-US" w:eastAsia="zh-CN" w:bidi="ar"/>
                    </w:rPr>
                    <w:t>G4</w:t>
                  </w:r>
                </w:p>
              </w:tc>
              <w:tc>
                <w:tcPr>
                  <w:tcW w:w="1050" w:type="dxa"/>
                  <w:tcBorders>
                    <w:tl2br w:val="nil"/>
                    <w:tr2bl w:val="nil"/>
                  </w:tcBorders>
                  <w:shd w:val="clear" w:color="auto" w:fill="auto"/>
                  <w:vAlign w:val="center"/>
                </w:tcPr>
                <w:p w14:paraId="63E2DC2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0.457</w:t>
                  </w:r>
                </w:p>
              </w:tc>
              <w:tc>
                <w:tcPr>
                  <w:tcW w:w="885" w:type="dxa"/>
                  <w:tcBorders>
                    <w:tl2br w:val="nil"/>
                    <w:tr2bl w:val="nil"/>
                  </w:tcBorders>
                  <w:shd w:val="clear" w:color="auto" w:fill="auto"/>
                  <w:vAlign w:val="center"/>
                </w:tcPr>
                <w:p w14:paraId="6D9D279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0.440</w:t>
                  </w:r>
                </w:p>
              </w:tc>
              <w:tc>
                <w:tcPr>
                  <w:tcW w:w="1335" w:type="dxa"/>
                  <w:tcBorders>
                    <w:tl2br w:val="nil"/>
                    <w:tr2bl w:val="nil"/>
                  </w:tcBorders>
                  <w:shd w:val="clear" w:color="auto" w:fill="auto"/>
                  <w:vAlign w:val="center"/>
                </w:tcPr>
                <w:p w14:paraId="7E02F56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0.449</w:t>
                  </w:r>
                </w:p>
              </w:tc>
              <w:tc>
                <w:tcPr>
                  <w:tcW w:w="1350" w:type="dxa"/>
                  <w:tcBorders>
                    <w:tl2br w:val="nil"/>
                    <w:tr2bl w:val="nil"/>
                  </w:tcBorders>
                  <w:shd w:val="clear" w:color="auto" w:fill="auto"/>
                  <w:vAlign w:val="center"/>
                </w:tcPr>
                <w:p w14:paraId="69BCCC1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kern w:val="2"/>
                      <w:sz w:val="21"/>
                      <w:szCs w:val="21"/>
                      <w:lang w:val="en-US" w:eastAsia="zh-CN" w:bidi="ar"/>
                    </w:rPr>
                    <w:t>1.0</w:t>
                  </w:r>
                </w:p>
              </w:tc>
              <w:tc>
                <w:tcPr>
                  <w:tcW w:w="1420" w:type="dxa"/>
                  <w:tcBorders>
                    <w:tl2br w:val="nil"/>
                    <w:tr2bl w:val="nil"/>
                  </w:tcBorders>
                  <w:shd w:val="clear" w:color="auto" w:fill="auto"/>
                  <w:vAlign w:val="center"/>
                </w:tcPr>
                <w:p w14:paraId="70F5D94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kern w:val="2"/>
                      <w:sz w:val="21"/>
                      <w:szCs w:val="21"/>
                      <w:lang w:val="en-US" w:eastAsia="zh-CN" w:bidi="ar"/>
                    </w:rPr>
                    <w:t>达标</w:t>
                  </w:r>
                </w:p>
              </w:tc>
            </w:tr>
            <w:tr w14:paraId="47F92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7" w:type="dxa"/>
                  <w:vMerge w:val="continue"/>
                  <w:tcBorders>
                    <w:tl2br w:val="nil"/>
                    <w:tr2bl w:val="nil"/>
                  </w:tcBorders>
                  <w:shd w:val="clear" w:color="auto" w:fill="auto"/>
                  <w:vAlign w:val="center"/>
                </w:tcPr>
                <w:p w14:paraId="4834BB52">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0"/>
                      <w:szCs w:val="20"/>
                    </w:rPr>
                  </w:pPr>
                </w:p>
              </w:tc>
              <w:tc>
                <w:tcPr>
                  <w:tcW w:w="955" w:type="dxa"/>
                  <w:vMerge w:val="continue"/>
                  <w:tcBorders>
                    <w:tl2br w:val="nil"/>
                    <w:tr2bl w:val="nil"/>
                  </w:tcBorders>
                  <w:shd w:val="clear" w:color="auto" w:fill="auto"/>
                  <w:vAlign w:val="center"/>
                </w:tcPr>
                <w:p w14:paraId="05BAEAF8">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0"/>
                      <w:szCs w:val="20"/>
                    </w:rPr>
                  </w:pPr>
                </w:p>
              </w:tc>
              <w:tc>
                <w:tcPr>
                  <w:tcW w:w="1436" w:type="dxa"/>
                  <w:tcBorders>
                    <w:tl2br w:val="nil"/>
                    <w:tr2bl w:val="nil"/>
                  </w:tcBorders>
                  <w:shd w:val="clear" w:color="auto" w:fill="auto"/>
                  <w:vAlign w:val="center"/>
                </w:tcPr>
                <w:p w14:paraId="1E953B86">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厂界下风向</w:t>
                  </w:r>
                  <w:r>
                    <w:rPr>
                      <w:rFonts w:hint="default" w:ascii="Times New Roman" w:hAnsi="Times New Roman" w:eastAsia="宋体" w:cs="Times New Roman"/>
                      <w:color w:val="auto"/>
                      <w:kern w:val="2"/>
                      <w:sz w:val="21"/>
                      <w:szCs w:val="21"/>
                      <w:lang w:val="en-US" w:eastAsia="zh-CN" w:bidi="ar"/>
                    </w:rPr>
                    <w:t>G5</w:t>
                  </w:r>
                </w:p>
              </w:tc>
              <w:tc>
                <w:tcPr>
                  <w:tcW w:w="1050" w:type="dxa"/>
                  <w:tcBorders>
                    <w:tl2br w:val="nil"/>
                    <w:tr2bl w:val="nil"/>
                  </w:tcBorders>
                  <w:shd w:val="clear" w:color="auto" w:fill="auto"/>
                  <w:vAlign w:val="center"/>
                </w:tcPr>
                <w:p w14:paraId="580F7AE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0.448</w:t>
                  </w:r>
                </w:p>
              </w:tc>
              <w:tc>
                <w:tcPr>
                  <w:tcW w:w="885" w:type="dxa"/>
                  <w:tcBorders>
                    <w:tl2br w:val="nil"/>
                    <w:tr2bl w:val="nil"/>
                  </w:tcBorders>
                  <w:shd w:val="clear" w:color="auto" w:fill="auto"/>
                  <w:vAlign w:val="center"/>
                </w:tcPr>
                <w:p w14:paraId="60FB85D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0.437</w:t>
                  </w:r>
                </w:p>
              </w:tc>
              <w:tc>
                <w:tcPr>
                  <w:tcW w:w="1335" w:type="dxa"/>
                  <w:tcBorders>
                    <w:tl2br w:val="nil"/>
                    <w:tr2bl w:val="nil"/>
                  </w:tcBorders>
                  <w:shd w:val="clear" w:color="auto" w:fill="auto"/>
                  <w:vAlign w:val="center"/>
                </w:tcPr>
                <w:p w14:paraId="592351B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0.426</w:t>
                  </w:r>
                </w:p>
              </w:tc>
              <w:tc>
                <w:tcPr>
                  <w:tcW w:w="1350" w:type="dxa"/>
                  <w:tcBorders>
                    <w:tl2br w:val="nil"/>
                    <w:tr2bl w:val="nil"/>
                  </w:tcBorders>
                  <w:shd w:val="clear" w:color="auto" w:fill="auto"/>
                  <w:vAlign w:val="center"/>
                </w:tcPr>
                <w:p w14:paraId="4DE4F9F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kern w:val="2"/>
                      <w:sz w:val="21"/>
                      <w:szCs w:val="21"/>
                      <w:lang w:val="en-US" w:eastAsia="zh-CN" w:bidi="ar"/>
                    </w:rPr>
                    <w:t>1.0</w:t>
                  </w:r>
                </w:p>
              </w:tc>
              <w:tc>
                <w:tcPr>
                  <w:tcW w:w="1420" w:type="dxa"/>
                  <w:tcBorders>
                    <w:tl2br w:val="nil"/>
                    <w:tr2bl w:val="nil"/>
                  </w:tcBorders>
                  <w:shd w:val="clear" w:color="auto" w:fill="auto"/>
                  <w:vAlign w:val="center"/>
                </w:tcPr>
                <w:p w14:paraId="1693A37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kern w:val="2"/>
                      <w:sz w:val="21"/>
                      <w:szCs w:val="21"/>
                      <w:lang w:val="en-US" w:eastAsia="zh-CN" w:bidi="ar"/>
                    </w:rPr>
                    <w:t>达标</w:t>
                  </w:r>
                </w:p>
              </w:tc>
            </w:tr>
            <w:tr w14:paraId="3DAA5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7" w:type="dxa"/>
                  <w:vMerge w:val="continue"/>
                  <w:tcBorders>
                    <w:tl2br w:val="nil"/>
                    <w:tr2bl w:val="nil"/>
                  </w:tcBorders>
                  <w:shd w:val="clear" w:color="auto" w:fill="auto"/>
                  <w:vAlign w:val="center"/>
                </w:tcPr>
                <w:p w14:paraId="1DBA2D72">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0"/>
                      <w:szCs w:val="20"/>
                    </w:rPr>
                  </w:pPr>
                </w:p>
              </w:tc>
              <w:tc>
                <w:tcPr>
                  <w:tcW w:w="955" w:type="dxa"/>
                  <w:vMerge w:val="continue"/>
                  <w:tcBorders>
                    <w:tl2br w:val="nil"/>
                    <w:tr2bl w:val="nil"/>
                  </w:tcBorders>
                  <w:shd w:val="clear" w:color="auto" w:fill="auto"/>
                  <w:vAlign w:val="center"/>
                </w:tcPr>
                <w:p w14:paraId="4FBCB10F">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0"/>
                      <w:szCs w:val="20"/>
                    </w:rPr>
                  </w:pPr>
                </w:p>
              </w:tc>
              <w:tc>
                <w:tcPr>
                  <w:tcW w:w="1436" w:type="dxa"/>
                  <w:tcBorders>
                    <w:tl2br w:val="nil"/>
                    <w:tr2bl w:val="nil"/>
                  </w:tcBorders>
                  <w:shd w:val="clear" w:color="auto" w:fill="auto"/>
                  <w:vAlign w:val="center"/>
                </w:tcPr>
                <w:p w14:paraId="216DEF15">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厂界下风向</w:t>
                  </w:r>
                  <w:r>
                    <w:rPr>
                      <w:rFonts w:hint="default" w:ascii="Times New Roman" w:hAnsi="Times New Roman" w:eastAsia="宋体" w:cs="Times New Roman"/>
                      <w:color w:val="auto"/>
                      <w:kern w:val="2"/>
                      <w:sz w:val="21"/>
                      <w:szCs w:val="21"/>
                      <w:lang w:val="en-US" w:eastAsia="zh-CN" w:bidi="ar"/>
                    </w:rPr>
                    <w:t>G6</w:t>
                  </w:r>
                </w:p>
              </w:tc>
              <w:tc>
                <w:tcPr>
                  <w:tcW w:w="1050" w:type="dxa"/>
                  <w:tcBorders>
                    <w:tl2br w:val="nil"/>
                    <w:tr2bl w:val="nil"/>
                  </w:tcBorders>
                  <w:shd w:val="clear" w:color="auto" w:fill="auto"/>
                  <w:vAlign w:val="center"/>
                </w:tcPr>
                <w:p w14:paraId="5159254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0.428</w:t>
                  </w:r>
                </w:p>
              </w:tc>
              <w:tc>
                <w:tcPr>
                  <w:tcW w:w="885" w:type="dxa"/>
                  <w:tcBorders>
                    <w:tl2br w:val="nil"/>
                    <w:tr2bl w:val="nil"/>
                  </w:tcBorders>
                  <w:shd w:val="clear" w:color="auto" w:fill="auto"/>
                  <w:vAlign w:val="center"/>
                </w:tcPr>
                <w:p w14:paraId="3B292B3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0.465</w:t>
                  </w:r>
                </w:p>
              </w:tc>
              <w:tc>
                <w:tcPr>
                  <w:tcW w:w="1335" w:type="dxa"/>
                  <w:tcBorders>
                    <w:tl2br w:val="nil"/>
                    <w:tr2bl w:val="nil"/>
                  </w:tcBorders>
                  <w:shd w:val="clear" w:color="auto" w:fill="auto"/>
                  <w:vAlign w:val="center"/>
                </w:tcPr>
                <w:p w14:paraId="1259281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0.420</w:t>
                  </w:r>
                </w:p>
              </w:tc>
              <w:tc>
                <w:tcPr>
                  <w:tcW w:w="1350" w:type="dxa"/>
                  <w:tcBorders>
                    <w:tl2br w:val="nil"/>
                    <w:tr2bl w:val="nil"/>
                  </w:tcBorders>
                  <w:shd w:val="clear" w:color="auto" w:fill="auto"/>
                  <w:vAlign w:val="center"/>
                </w:tcPr>
                <w:p w14:paraId="73C404BE">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kern w:val="2"/>
                      <w:sz w:val="21"/>
                      <w:szCs w:val="21"/>
                      <w:lang w:val="en-US" w:eastAsia="zh-CN" w:bidi="ar"/>
                    </w:rPr>
                    <w:t>1.0</w:t>
                  </w:r>
                </w:p>
              </w:tc>
              <w:tc>
                <w:tcPr>
                  <w:tcW w:w="1420" w:type="dxa"/>
                  <w:tcBorders>
                    <w:tl2br w:val="nil"/>
                    <w:tr2bl w:val="nil"/>
                  </w:tcBorders>
                  <w:shd w:val="clear" w:color="auto" w:fill="auto"/>
                  <w:vAlign w:val="center"/>
                </w:tcPr>
                <w:p w14:paraId="716BD64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kern w:val="2"/>
                      <w:sz w:val="21"/>
                      <w:szCs w:val="21"/>
                      <w:lang w:val="en-US" w:eastAsia="zh-CN" w:bidi="ar"/>
                    </w:rPr>
                    <w:t>达标</w:t>
                  </w:r>
                </w:p>
              </w:tc>
            </w:tr>
          </w:tbl>
          <w:p w14:paraId="73CC6A3E">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cs="Times New Roman" w:eastAsiaTheme="minorEastAsia"/>
                <w:b/>
                <w:bCs/>
                <w:color w:val="auto"/>
                <w:sz w:val="24"/>
                <w:szCs w:val="24"/>
                <w:u w:val="none" w:color="auto"/>
              </w:rPr>
            </w:pPr>
            <w:r>
              <w:rPr>
                <w:rFonts w:hint="eastAsia" w:cs="Times New Roman" w:eastAsiaTheme="minorEastAsia"/>
                <w:color w:val="auto"/>
                <w:sz w:val="24"/>
                <w:szCs w:val="24"/>
                <w:u w:val="none" w:color="auto"/>
                <w:lang w:eastAsia="zh-CN"/>
              </w:rPr>
              <w:t>由</w:t>
            </w:r>
            <w:r>
              <w:rPr>
                <w:rFonts w:hint="default" w:ascii="Times New Roman" w:hAnsi="Times New Roman" w:cs="Times New Roman" w:eastAsiaTheme="minorEastAsia"/>
                <w:color w:val="auto"/>
                <w:sz w:val="24"/>
                <w:szCs w:val="24"/>
                <w:u w:val="none" w:color="auto"/>
              </w:rPr>
              <w:t>表</w:t>
            </w:r>
            <w:r>
              <w:rPr>
                <w:rFonts w:hint="eastAsia" w:ascii="Times New Roman" w:hAnsi="Times New Roman" w:cs="Times New Roman" w:eastAsiaTheme="minorEastAsia"/>
                <w:color w:val="auto"/>
                <w:sz w:val="24"/>
                <w:szCs w:val="24"/>
                <w:u w:val="none" w:color="auto"/>
                <w:lang w:val="en-US" w:eastAsia="zh-CN"/>
              </w:rPr>
              <w:t>2</w:t>
            </w:r>
            <w:r>
              <w:rPr>
                <w:rFonts w:hint="default" w:ascii="Times New Roman" w:hAnsi="Times New Roman" w:cs="Times New Roman" w:eastAsiaTheme="minorEastAsia"/>
                <w:color w:val="auto"/>
                <w:sz w:val="24"/>
                <w:szCs w:val="24"/>
                <w:u w:val="none" w:color="auto"/>
              </w:rPr>
              <w:t>-</w:t>
            </w:r>
            <w:r>
              <w:rPr>
                <w:rFonts w:hint="eastAsia" w:ascii="Times New Roman" w:hAnsi="Times New Roman" w:cs="Times New Roman" w:eastAsiaTheme="minorEastAsia"/>
                <w:color w:val="auto"/>
                <w:sz w:val="24"/>
                <w:szCs w:val="24"/>
                <w:u w:val="none" w:color="auto"/>
                <w:lang w:val="en-US" w:eastAsia="zh-CN"/>
              </w:rPr>
              <w:t>10</w:t>
            </w:r>
            <w:r>
              <w:rPr>
                <w:rFonts w:hint="default" w:ascii="Times New Roman" w:hAnsi="Times New Roman" w:cs="Times New Roman" w:eastAsiaTheme="minorEastAsia"/>
                <w:color w:val="auto"/>
                <w:sz w:val="24"/>
                <w:szCs w:val="24"/>
                <w:u w:val="none" w:color="auto"/>
              </w:rPr>
              <w:t>监测结果表明，</w:t>
            </w:r>
            <w:r>
              <w:rPr>
                <w:rFonts w:hint="eastAsia" w:ascii="Times New Roman" w:hAnsi="Times New Roman" w:cs="Times New Roman"/>
                <w:sz w:val="24"/>
                <w:szCs w:val="24"/>
                <w:u w:val="none" w:color="auto"/>
                <w:lang w:eastAsia="zh-CN"/>
              </w:rPr>
              <w:t>现有工程</w:t>
            </w:r>
            <w:r>
              <w:rPr>
                <w:rFonts w:hint="default" w:ascii="Times New Roman" w:hAnsi="Times New Roman" w:eastAsia="宋体" w:cs="Times New Roman"/>
                <w:color w:val="auto"/>
                <w:spacing w:val="-1"/>
                <w:sz w:val="24"/>
                <w:szCs w:val="24"/>
                <w:u w:val="none" w:color="auto"/>
              </w:rPr>
              <w:t>验收监测期间，</w:t>
            </w:r>
            <w:r>
              <w:rPr>
                <w:rFonts w:hint="eastAsia" w:ascii="Times New Roman" w:hAnsi="Times New Roman" w:eastAsiaTheme="minorEastAsia"/>
                <w:color w:val="auto"/>
                <w:sz w:val="24"/>
                <w:szCs w:val="24"/>
                <w:lang w:eastAsia="zh-CN"/>
              </w:rPr>
              <w:t>厂界无组织颗粒物</w:t>
            </w:r>
            <w:r>
              <w:rPr>
                <w:rFonts w:hint="default" w:ascii="Times New Roman" w:hAnsi="Times New Roman" w:eastAsiaTheme="minorEastAsia"/>
                <w:color w:val="auto"/>
                <w:sz w:val="24"/>
                <w:szCs w:val="24"/>
              </w:rPr>
              <w:t>浓度最大值为</w:t>
            </w:r>
            <w:r>
              <w:rPr>
                <w:rFonts w:hint="eastAsia" w:ascii="Times New Roman" w:hAnsi="Times New Roman" w:eastAsiaTheme="minorEastAsia"/>
                <w:color w:val="auto"/>
                <w:sz w:val="24"/>
                <w:szCs w:val="24"/>
                <w:lang w:val="en-US" w:eastAsia="zh-CN"/>
              </w:rPr>
              <w:t>0.485</w:t>
            </w:r>
            <w:r>
              <w:rPr>
                <w:rFonts w:hint="default" w:ascii="Times New Roman" w:hAnsi="Times New Roman" w:eastAsiaTheme="minorEastAsia"/>
                <w:color w:val="auto"/>
                <w:sz w:val="24"/>
                <w:szCs w:val="24"/>
              </w:rPr>
              <w:t>mg/m</w:t>
            </w:r>
            <w:r>
              <w:rPr>
                <w:rFonts w:hint="default" w:ascii="Times New Roman" w:hAnsi="Times New Roman" w:eastAsiaTheme="minorEastAsia"/>
                <w:color w:val="auto"/>
                <w:sz w:val="24"/>
                <w:szCs w:val="24"/>
                <w:vertAlign w:val="superscript"/>
              </w:rPr>
              <w:t>3</w:t>
            </w:r>
            <w:r>
              <w:rPr>
                <w:rFonts w:hint="default" w:ascii="Times New Roman" w:hAnsi="Times New Roman" w:eastAsiaTheme="minorEastAsia"/>
                <w:color w:val="auto"/>
                <w:sz w:val="24"/>
                <w:szCs w:val="24"/>
              </w:rPr>
              <w:t>，可以满足</w:t>
            </w:r>
            <w:r>
              <w:rPr>
                <w:rFonts w:hint="default" w:ascii="Times New Roman" w:hAnsi="Times New Roman" w:eastAsiaTheme="minorEastAsia"/>
                <w:color w:val="auto"/>
                <w:sz w:val="24"/>
                <w:szCs w:val="24"/>
                <w:lang w:val="zh-CN"/>
              </w:rPr>
              <w:t>《大气污染物综合排放标准》（GB16297-1996）中无组织排放监控浓度限值</w:t>
            </w:r>
            <w:r>
              <w:rPr>
                <w:rFonts w:hint="eastAsia" w:ascii="Times New Roman" w:hAnsi="Times New Roman" w:eastAsiaTheme="minorEastAsia"/>
                <w:color w:val="auto"/>
                <w:sz w:val="24"/>
                <w:szCs w:val="24"/>
                <w:lang w:val="en-US" w:eastAsia="zh-CN"/>
              </w:rPr>
              <w:t>1.0</w:t>
            </w:r>
            <w:r>
              <w:rPr>
                <w:rFonts w:hint="default" w:ascii="Times New Roman" w:hAnsi="Times New Roman" w:eastAsiaTheme="minorEastAsia"/>
                <w:color w:val="auto"/>
                <w:sz w:val="24"/>
                <w:szCs w:val="24"/>
              </w:rPr>
              <w:t>mg/m</w:t>
            </w:r>
            <w:r>
              <w:rPr>
                <w:rFonts w:hint="default" w:ascii="Times New Roman" w:hAnsi="Times New Roman" w:eastAsiaTheme="minorEastAsia"/>
                <w:color w:val="auto"/>
                <w:sz w:val="24"/>
                <w:szCs w:val="24"/>
                <w:vertAlign w:val="superscript"/>
              </w:rPr>
              <w:t>3</w:t>
            </w:r>
            <w:r>
              <w:rPr>
                <w:rFonts w:hint="default" w:ascii="Times New Roman" w:hAnsi="Times New Roman" w:eastAsiaTheme="minorEastAsia"/>
                <w:color w:val="auto"/>
                <w:sz w:val="24"/>
                <w:szCs w:val="24"/>
                <w:lang w:val="zh-CN"/>
              </w:rPr>
              <w:t>要求</w:t>
            </w:r>
            <w:r>
              <w:rPr>
                <w:rFonts w:hint="default" w:ascii="Times New Roman" w:hAnsi="Times New Roman" w:eastAsia="宋体" w:cs="Times New Roman"/>
                <w:color w:val="auto"/>
                <w:spacing w:val="0"/>
                <w:kern w:val="0"/>
                <w:sz w:val="24"/>
                <w:szCs w:val="24"/>
                <w:u w:val="none" w:color="auto"/>
                <w:lang w:val="en-US" w:eastAsia="zh-CN" w:bidi="ar"/>
              </w:rPr>
              <w:t>。</w:t>
            </w:r>
          </w:p>
          <w:p w14:paraId="67B4E0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Theme="minorEastAsia"/>
                <w:b/>
                <w:bCs/>
                <w:color w:val="000000"/>
                <w:sz w:val="24"/>
                <w:szCs w:val="24"/>
                <w:u w:val="none" w:color="auto"/>
              </w:rPr>
            </w:pPr>
            <w:r>
              <w:rPr>
                <w:rFonts w:hint="eastAsia" w:ascii="Times New Roman" w:hAnsi="Times New Roman" w:eastAsiaTheme="minorEastAsia"/>
                <w:b/>
                <w:bCs/>
                <w:color w:val="000000"/>
                <w:sz w:val="24"/>
                <w:szCs w:val="24"/>
                <w:u w:val="none" w:color="auto"/>
              </w:rPr>
              <w:t>2、废</w:t>
            </w:r>
            <w:r>
              <w:rPr>
                <w:rFonts w:hint="default" w:ascii="Times New Roman" w:hAnsi="Times New Roman" w:eastAsiaTheme="minorEastAsia"/>
                <w:b/>
                <w:bCs/>
                <w:color w:val="000000"/>
                <w:sz w:val="24"/>
                <w:szCs w:val="24"/>
                <w:u w:val="none" w:color="auto"/>
              </w:rPr>
              <w:t>水</w:t>
            </w:r>
          </w:p>
          <w:p w14:paraId="6AC012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eastAsia" w:ascii="Times New Roman" w:hAnsi="Times New Roman" w:cs="Times New Roman"/>
                <w:b/>
                <w:bCs/>
                <w:color w:val="auto"/>
                <w:w w:val="100"/>
                <w:sz w:val="24"/>
                <w:highlight w:val="none"/>
                <w:u w:val="none" w:color="auto"/>
                <w:lang w:val="en-US" w:eastAsia="zh-CN"/>
              </w:rPr>
            </w:pPr>
            <w:r>
              <w:rPr>
                <w:rFonts w:hint="eastAsia" w:ascii="Times New Roman" w:hAnsi="Times New Roman" w:cs="Times New Roman"/>
                <w:b/>
                <w:bCs/>
                <w:color w:val="auto"/>
                <w:w w:val="100"/>
                <w:sz w:val="24"/>
                <w:highlight w:val="none"/>
                <w:u w:val="none" w:color="auto"/>
                <w:lang w:val="en-US" w:eastAsia="zh-CN"/>
              </w:rPr>
              <w:t>（1）</w:t>
            </w:r>
            <w:r>
              <w:rPr>
                <w:rFonts w:hint="eastAsia"/>
                <w:b/>
                <w:bCs/>
                <w:color w:val="auto"/>
                <w:sz w:val="24"/>
                <w:szCs w:val="24"/>
                <w:u w:val="none" w:color="auto"/>
                <w:lang w:val="en-US" w:eastAsia="zh-CN"/>
              </w:rPr>
              <w:t>现有工程废水处理措施及排放方式</w:t>
            </w:r>
          </w:p>
          <w:p w14:paraId="1D919060">
            <w:pPr>
              <w:pStyle w:val="33"/>
              <w:keepNext w:val="0"/>
              <w:keepLines w:val="0"/>
              <w:suppressLineNumbers w:val="0"/>
              <w:spacing w:before="0" w:beforeAutospacing="0" w:after="0" w:afterAutospacing="0"/>
              <w:ind w:left="0" w:leftChars="0" w:right="0" w:firstLine="480" w:firstLineChars="200"/>
              <w:rPr>
                <w:rFonts w:hint="eastAsia"/>
                <w:color w:val="auto"/>
                <w:lang w:val="en-US" w:eastAsia="zh-CN"/>
              </w:rPr>
            </w:pPr>
            <w:r>
              <w:rPr>
                <w:rFonts w:hint="eastAsia" w:ascii="Times New Roman" w:hAnsi="Times New Roman" w:eastAsia="宋体" w:cs="Times New Roman"/>
                <w:color w:val="auto"/>
                <w:sz w:val="24"/>
                <w:highlight w:val="none"/>
                <w:u w:val="none"/>
                <w:lang w:val="en-US" w:eastAsia="zh-CN"/>
              </w:rPr>
              <w:t>本项目试压废水经沉淀处理后，同经隔油化粪池预处理的生活污水一道，经本项目总排口排入市政污水管网</w:t>
            </w:r>
            <w:r>
              <w:rPr>
                <w:rFonts w:hint="eastAsia" w:ascii="Times New Roman" w:hAnsi="Times New Roman" w:cs="Times New Roman"/>
                <w:color w:val="auto"/>
                <w:sz w:val="24"/>
                <w:highlight w:val="none"/>
                <w:u w:val="none"/>
                <w:lang w:val="en-US" w:eastAsia="zh-CN"/>
              </w:rPr>
              <w:t>。</w:t>
            </w:r>
          </w:p>
          <w:p w14:paraId="5E47AB14">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color w:val="auto"/>
                <w:sz w:val="24"/>
                <w:szCs w:val="24"/>
                <w:highlight w:val="none"/>
                <w:u w:val="none" w:color="auto"/>
                <w:lang w:val="en-US" w:eastAsia="zh-CN"/>
              </w:rPr>
            </w:pPr>
            <w:r>
              <w:rPr>
                <w:rFonts w:hint="eastAsia" w:ascii="Times New Roman" w:hAnsi="Times New Roman" w:cs="Times New Roman"/>
                <w:color w:val="auto"/>
                <w:spacing w:val="0"/>
                <w:kern w:val="0"/>
                <w:sz w:val="24"/>
                <w:szCs w:val="24"/>
                <w:u w:val="none" w:color="auto"/>
                <w:lang w:val="en-US" w:eastAsia="zh-CN" w:bidi="ar"/>
              </w:rPr>
              <w:t xml:space="preserve"> </w:t>
            </w:r>
            <w:r>
              <w:rPr>
                <w:rFonts w:hint="eastAsia"/>
                <w:b/>
                <w:bCs/>
                <w:color w:val="auto"/>
                <w:sz w:val="24"/>
                <w:szCs w:val="24"/>
                <w:highlight w:val="none"/>
                <w:u w:val="none" w:color="auto"/>
                <w:lang w:val="en-US" w:eastAsia="zh-CN"/>
              </w:rPr>
              <w:t>（2）现有工程废水污染物排放达标情况</w:t>
            </w:r>
          </w:p>
          <w:p w14:paraId="063C843B">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color w:val="auto"/>
                <w:sz w:val="24"/>
                <w:szCs w:val="24"/>
                <w:highlight w:val="none"/>
                <w:u w:val="none" w:color="auto"/>
                <w:lang w:val="en-US" w:eastAsia="zh-CN"/>
              </w:rPr>
            </w:pPr>
            <w:r>
              <w:rPr>
                <w:rFonts w:hint="eastAsia"/>
                <w:color w:val="auto"/>
                <w:sz w:val="24"/>
                <w:szCs w:val="24"/>
                <w:highlight w:val="none"/>
                <w:u w:val="none" w:color="auto"/>
                <w:lang w:val="en-US" w:eastAsia="zh-CN"/>
              </w:rPr>
              <w:t>根据《</w:t>
            </w:r>
            <w:r>
              <w:rPr>
                <w:rFonts w:hint="eastAsia" w:ascii="Times New Roman" w:hAnsi="Times New Roman" w:eastAsiaTheme="minorEastAsia"/>
                <w:color w:val="auto"/>
                <w:sz w:val="24"/>
                <w:szCs w:val="24"/>
                <w:lang w:eastAsia="zh-CN"/>
              </w:rPr>
              <w:t>湖南众联设备智能制造产业园项目（第一阶段）</w:t>
            </w:r>
            <w:r>
              <w:rPr>
                <w:rFonts w:hint="eastAsia"/>
                <w:color w:val="auto"/>
                <w:sz w:val="24"/>
                <w:szCs w:val="24"/>
                <w:highlight w:val="none"/>
                <w:u w:val="none" w:color="auto"/>
                <w:lang w:val="en-US" w:eastAsia="zh-CN"/>
              </w:rPr>
              <w:t>竣工环境保护验收监测报告表》中废水总排口放废水污染物的监测结果如下：</w:t>
            </w:r>
          </w:p>
          <w:p w14:paraId="173AA5B4">
            <w:pPr>
              <w:keepNext w:val="0"/>
              <w:keepLines w:val="0"/>
              <w:widowControl w:val="0"/>
              <w:suppressLineNumbers w:val="0"/>
              <w:spacing w:before="0" w:beforeAutospacing="0" w:after="0" w:afterAutospacing="0"/>
              <w:ind w:left="0" w:right="0"/>
              <w:jc w:val="center"/>
              <w:rPr>
                <w:rFonts w:hint="eastAsia" w:ascii="Times New Roman" w:hAnsi="Times New Roman" w:eastAsiaTheme="minorEastAsia"/>
                <w:b/>
                <w:bCs/>
                <w:color w:val="auto"/>
                <w:sz w:val="24"/>
                <w:szCs w:val="24"/>
                <w:u w:val="none" w:color="auto"/>
              </w:rPr>
            </w:pPr>
            <w:r>
              <w:rPr>
                <w:rFonts w:hint="eastAsia" w:ascii="Times New Roman" w:hAnsi="Times New Roman" w:eastAsiaTheme="minorEastAsia"/>
                <w:b/>
                <w:bCs/>
                <w:color w:val="auto"/>
                <w:sz w:val="24"/>
                <w:szCs w:val="24"/>
                <w:u w:val="none" w:color="auto"/>
              </w:rPr>
              <w:t>表</w:t>
            </w:r>
            <w:r>
              <w:rPr>
                <w:rFonts w:hint="eastAsia" w:ascii="Times New Roman" w:hAnsi="Times New Roman" w:eastAsiaTheme="minorEastAsia"/>
                <w:b/>
                <w:bCs/>
                <w:color w:val="auto"/>
                <w:sz w:val="24"/>
                <w:szCs w:val="24"/>
                <w:u w:val="none" w:color="auto"/>
                <w:lang w:val="en-US" w:eastAsia="zh-CN"/>
              </w:rPr>
              <w:t>2</w:t>
            </w:r>
            <w:r>
              <w:rPr>
                <w:rFonts w:hint="eastAsia" w:ascii="Times New Roman" w:hAnsi="Times New Roman" w:eastAsiaTheme="minorEastAsia"/>
                <w:b/>
                <w:bCs/>
                <w:color w:val="auto"/>
                <w:sz w:val="24"/>
                <w:szCs w:val="24"/>
                <w:u w:val="none" w:color="auto"/>
              </w:rPr>
              <w:t>-</w:t>
            </w:r>
            <w:r>
              <w:rPr>
                <w:rFonts w:hint="eastAsia" w:ascii="Times New Roman" w:hAnsi="Times New Roman" w:eastAsiaTheme="minorEastAsia"/>
                <w:b/>
                <w:bCs/>
                <w:color w:val="auto"/>
                <w:sz w:val="24"/>
                <w:szCs w:val="24"/>
                <w:u w:val="none" w:color="auto"/>
                <w:lang w:val="en-US" w:eastAsia="zh-CN"/>
              </w:rPr>
              <w:t>11</w:t>
            </w:r>
            <w:r>
              <w:rPr>
                <w:rFonts w:hint="eastAsia" w:ascii="Times New Roman" w:hAnsi="Times New Roman" w:eastAsiaTheme="minorEastAsia"/>
                <w:b/>
                <w:bCs/>
                <w:color w:val="auto"/>
                <w:sz w:val="24"/>
                <w:szCs w:val="24"/>
                <w:u w:val="none" w:color="auto"/>
              </w:rPr>
              <w:t xml:space="preserve">  </w:t>
            </w:r>
            <w:r>
              <w:rPr>
                <w:rFonts w:hint="eastAsia" w:ascii="Times New Roman" w:hAnsi="Times New Roman" w:eastAsiaTheme="minorEastAsia"/>
                <w:b/>
                <w:bCs/>
                <w:color w:val="auto"/>
                <w:sz w:val="24"/>
                <w:szCs w:val="24"/>
                <w:u w:val="none" w:color="auto"/>
                <w:lang w:eastAsia="zh-CN"/>
              </w:rPr>
              <w:t>现有工程</w:t>
            </w:r>
            <w:r>
              <w:rPr>
                <w:rFonts w:hint="eastAsia" w:ascii="Times New Roman" w:hAnsi="Times New Roman" w:eastAsiaTheme="minorEastAsia"/>
                <w:b/>
                <w:bCs/>
                <w:color w:val="auto"/>
                <w:sz w:val="24"/>
                <w:szCs w:val="24"/>
                <w:u w:val="none" w:color="auto"/>
              </w:rPr>
              <w:t>废水监测结果</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82"/>
              <w:gridCol w:w="908"/>
              <w:gridCol w:w="1266"/>
              <w:gridCol w:w="935"/>
              <w:gridCol w:w="901"/>
              <w:gridCol w:w="651"/>
              <w:gridCol w:w="1141"/>
              <w:gridCol w:w="1198"/>
              <w:gridCol w:w="1019"/>
            </w:tblGrid>
            <w:tr w14:paraId="6A653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613" w:type="dxa"/>
                  <w:vMerge w:val="restart"/>
                  <w:tcBorders>
                    <w:tl2br w:val="nil"/>
                    <w:tr2bl w:val="nil"/>
                  </w:tcBorders>
                  <w:shd w:val="clear" w:color="auto" w:fill="auto"/>
                  <w:vAlign w:val="center"/>
                </w:tcPr>
                <w:p w14:paraId="4A13FB75">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采样点位</w:t>
                  </w:r>
                </w:p>
              </w:tc>
              <w:tc>
                <w:tcPr>
                  <w:tcW w:w="955" w:type="dxa"/>
                  <w:vMerge w:val="restart"/>
                  <w:tcBorders>
                    <w:tl2br w:val="nil"/>
                    <w:tr2bl w:val="nil"/>
                  </w:tcBorders>
                  <w:shd w:val="clear" w:color="auto" w:fill="auto"/>
                  <w:vAlign w:val="center"/>
                </w:tcPr>
                <w:p w14:paraId="10633A4D">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采样时间</w:t>
                  </w:r>
                </w:p>
              </w:tc>
              <w:tc>
                <w:tcPr>
                  <w:tcW w:w="1332" w:type="dxa"/>
                  <w:vMerge w:val="restart"/>
                  <w:tcBorders>
                    <w:tl2br w:val="nil"/>
                    <w:tr2bl w:val="nil"/>
                  </w:tcBorders>
                  <w:shd w:val="clear" w:color="auto" w:fill="auto"/>
                  <w:vAlign w:val="center"/>
                </w:tcPr>
                <w:p w14:paraId="06013B6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检测项目</w:t>
                  </w:r>
                </w:p>
              </w:tc>
              <w:tc>
                <w:tcPr>
                  <w:tcW w:w="3816" w:type="dxa"/>
                  <w:gridSpan w:val="4"/>
                  <w:tcBorders>
                    <w:tl2br w:val="nil"/>
                    <w:tr2bl w:val="nil"/>
                  </w:tcBorders>
                  <w:shd w:val="clear" w:color="auto" w:fill="auto"/>
                  <w:vAlign w:val="center"/>
                </w:tcPr>
                <w:p w14:paraId="1FCAA60D">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采样频次及检测结果（</w:t>
                  </w:r>
                  <w:r>
                    <w:rPr>
                      <w:rFonts w:hint="default" w:ascii="Times New Roman" w:hAnsi="Times New Roman" w:eastAsia="宋体" w:cs="Times New Roman"/>
                      <w:b/>
                      <w:bCs/>
                      <w:kern w:val="2"/>
                      <w:sz w:val="21"/>
                      <w:szCs w:val="21"/>
                      <w:lang w:val="en-US" w:eastAsia="zh-CN" w:bidi="ar"/>
                    </w:rPr>
                    <w:t>pH</w:t>
                  </w:r>
                  <w:r>
                    <w:rPr>
                      <w:rFonts w:hint="eastAsia" w:ascii="宋体" w:hAnsi="宋体" w:eastAsia="宋体" w:cs="宋体"/>
                      <w:b/>
                      <w:bCs/>
                      <w:kern w:val="2"/>
                      <w:sz w:val="21"/>
                      <w:szCs w:val="21"/>
                      <w:lang w:val="en-US" w:eastAsia="zh-CN" w:bidi="ar"/>
                    </w:rPr>
                    <w:t>无量纲，</w:t>
                  </w:r>
                  <w:r>
                    <w:rPr>
                      <w:rFonts w:hint="default" w:ascii="Times New Roman" w:hAnsi="Times New Roman" w:eastAsia="宋体" w:cs="Times New Roman"/>
                      <w:b/>
                      <w:bCs/>
                      <w:kern w:val="2"/>
                      <w:sz w:val="21"/>
                      <w:szCs w:val="21"/>
                      <w:lang w:val="en-US" w:eastAsia="zh-CN" w:bidi="ar"/>
                    </w:rPr>
                    <w:t>mg/L</w:t>
                  </w:r>
                  <w:r>
                    <w:rPr>
                      <w:rFonts w:hint="eastAsia" w:ascii="宋体" w:hAnsi="宋体" w:eastAsia="宋体" w:cs="宋体"/>
                      <w:b/>
                      <w:bCs/>
                      <w:kern w:val="2"/>
                      <w:sz w:val="21"/>
                      <w:szCs w:val="21"/>
                      <w:lang w:val="en-US" w:eastAsia="zh-CN" w:bidi="ar"/>
                    </w:rPr>
                    <w:t>）</w:t>
                  </w:r>
                </w:p>
              </w:tc>
              <w:tc>
                <w:tcPr>
                  <w:tcW w:w="1260" w:type="dxa"/>
                  <w:vMerge w:val="restart"/>
                  <w:tcBorders>
                    <w:tl2br w:val="nil"/>
                    <w:tr2bl w:val="nil"/>
                  </w:tcBorders>
                  <w:shd w:val="clear" w:color="auto" w:fill="auto"/>
                  <w:vAlign w:val="center"/>
                </w:tcPr>
                <w:p w14:paraId="2609C42F">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标准值</w:t>
                  </w:r>
                </w:p>
              </w:tc>
              <w:tc>
                <w:tcPr>
                  <w:tcW w:w="1072" w:type="dxa"/>
                  <w:vMerge w:val="restart"/>
                  <w:tcBorders>
                    <w:tl2br w:val="nil"/>
                    <w:tr2bl w:val="nil"/>
                  </w:tcBorders>
                  <w:shd w:val="clear" w:color="auto" w:fill="auto"/>
                  <w:vAlign w:val="center"/>
                </w:tcPr>
                <w:p w14:paraId="4187379A">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21"/>
                      <w:szCs w:val="21"/>
                      <w:lang w:val="en-US" w:eastAsia="zh-CN" w:bidi="ar"/>
                    </w:rPr>
                  </w:pPr>
                  <w:r>
                    <w:rPr>
                      <w:rFonts w:hint="eastAsia" w:ascii="宋体" w:hAnsi="宋体" w:eastAsia="宋体" w:cs="宋体"/>
                      <w:b/>
                      <w:bCs/>
                      <w:kern w:val="2"/>
                      <w:sz w:val="21"/>
                      <w:szCs w:val="21"/>
                      <w:lang w:val="en-US" w:eastAsia="zh-CN" w:bidi="ar"/>
                    </w:rPr>
                    <w:t>达标情况</w:t>
                  </w:r>
                </w:p>
              </w:tc>
            </w:tr>
            <w:tr w14:paraId="0249E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1CA5C4C8">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06D9DFF5">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vMerge w:val="continue"/>
                  <w:tcBorders>
                    <w:tl2br w:val="nil"/>
                    <w:tr2bl w:val="nil"/>
                  </w:tcBorders>
                  <w:shd w:val="clear" w:color="auto" w:fill="auto"/>
                  <w:vAlign w:val="center"/>
                </w:tcPr>
                <w:p w14:paraId="64365834">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84" w:type="dxa"/>
                  <w:tcBorders>
                    <w:tl2br w:val="nil"/>
                    <w:tr2bl w:val="nil"/>
                  </w:tcBorders>
                  <w:shd w:val="clear" w:color="auto" w:fill="auto"/>
                  <w:vAlign w:val="center"/>
                </w:tcPr>
                <w:p w14:paraId="332BD6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1"/>
                      <w:szCs w:val="21"/>
                      <w:lang w:val="en-US" w:eastAsia="zh-CN" w:bidi="ar"/>
                    </w:rPr>
                    <w:t>Ⅰ</w:t>
                  </w:r>
                </w:p>
              </w:tc>
              <w:tc>
                <w:tcPr>
                  <w:tcW w:w="948" w:type="dxa"/>
                  <w:tcBorders>
                    <w:tl2br w:val="nil"/>
                    <w:tr2bl w:val="nil"/>
                  </w:tcBorders>
                  <w:shd w:val="clear" w:color="auto" w:fill="auto"/>
                  <w:vAlign w:val="center"/>
                </w:tcPr>
                <w:p w14:paraId="5FDBF3F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1"/>
                      <w:szCs w:val="21"/>
                      <w:lang w:val="en-US" w:eastAsia="zh-CN" w:bidi="ar"/>
                    </w:rPr>
                    <w:t>Ⅱ</w:t>
                  </w:r>
                </w:p>
              </w:tc>
              <w:tc>
                <w:tcPr>
                  <w:tcW w:w="684" w:type="dxa"/>
                  <w:tcBorders>
                    <w:tl2br w:val="nil"/>
                    <w:tr2bl w:val="nil"/>
                  </w:tcBorders>
                  <w:shd w:val="clear" w:color="auto" w:fill="auto"/>
                  <w:vAlign w:val="center"/>
                </w:tcPr>
                <w:p w14:paraId="361B2DD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2"/>
                      <w:sz w:val="21"/>
                      <w:szCs w:val="21"/>
                      <w:lang w:val="en-US" w:eastAsia="zh-CN" w:bidi="ar"/>
                    </w:rPr>
                    <w:t>Ⅲ</w:t>
                  </w:r>
                </w:p>
              </w:tc>
              <w:tc>
                <w:tcPr>
                  <w:tcW w:w="1200" w:type="dxa"/>
                  <w:tcBorders>
                    <w:tl2br w:val="nil"/>
                    <w:tr2bl w:val="nil"/>
                  </w:tcBorders>
                  <w:shd w:val="clear" w:color="auto" w:fill="auto"/>
                  <w:vAlign w:val="center"/>
                </w:tcPr>
                <w:p w14:paraId="42CB1AA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Ⅳ</w:t>
                  </w:r>
                </w:p>
              </w:tc>
              <w:tc>
                <w:tcPr>
                  <w:tcW w:w="1260" w:type="dxa"/>
                  <w:vMerge w:val="continue"/>
                  <w:tcBorders>
                    <w:tl2br w:val="nil"/>
                    <w:tr2bl w:val="nil"/>
                  </w:tcBorders>
                  <w:shd w:val="clear" w:color="auto" w:fill="auto"/>
                  <w:vAlign w:val="center"/>
                </w:tcPr>
                <w:p w14:paraId="3E44B3F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p>
              </w:tc>
              <w:tc>
                <w:tcPr>
                  <w:tcW w:w="1072" w:type="dxa"/>
                  <w:vMerge w:val="continue"/>
                  <w:tcBorders>
                    <w:tl2br w:val="nil"/>
                    <w:tr2bl w:val="nil"/>
                  </w:tcBorders>
                  <w:shd w:val="clear" w:color="auto" w:fill="auto"/>
                  <w:vAlign w:val="center"/>
                </w:tcPr>
                <w:p w14:paraId="3539DEF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p>
              </w:tc>
            </w:tr>
            <w:tr w14:paraId="370D2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restart"/>
                  <w:tcBorders>
                    <w:tl2br w:val="nil"/>
                    <w:tr2bl w:val="nil"/>
                  </w:tcBorders>
                  <w:shd w:val="clear" w:color="auto" w:fill="auto"/>
                  <w:vAlign w:val="center"/>
                </w:tcPr>
                <w:p w14:paraId="751EC07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eastAsia" w:ascii="宋体" w:hAnsi="宋体" w:eastAsia="宋体" w:cs="宋体"/>
                      <w:kern w:val="2"/>
                      <w:sz w:val="21"/>
                      <w:szCs w:val="21"/>
                      <w:lang w:val="en-US" w:eastAsia="zh-CN" w:bidi="ar"/>
                    </w:rPr>
                    <w:t>废水总排口</w:t>
                  </w:r>
                  <w:r>
                    <w:rPr>
                      <w:rFonts w:hint="default" w:ascii="Times New Roman" w:hAnsi="Times New Roman" w:eastAsia="宋体" w:cs="Times New Roman"/>
                      <w:kern w:val="2"/>
                      <w:sz w:val="21"/>
                      <w:szCs w:val="21"/>
                      <w:lang w:val="en-US" w:eastAsia="zh-CN" w:bidi="ar"/>
                    </w:rPr>
                    <w:t>W1</w:t>
                  </w:r>
                </w:p>
              </w:tc>
              <w:tc>
                <w:tcPr>
                  <w:tcW w:w="955" w:type="dxa"/>
                  <w:vMerge w:val="restart"/>
                  <w:tcBorders>
                    <w:tl2br w:val="nil"/>
                    <w:tr2bl w:val="nil"/>
                  </w:tcBorders>
                  <w:shd w:val="clear" w:color="auto" w:fill="auto"/>
                  <w:vAlign w:val="center"/>
                </w:tcPr>
                <w:p w14:paraId="1FF233F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kern w:val="0"/>
                      <w:sz w:val="21"/>
                      <w:szCs w:val="21"/>
                    </w:rPr>
                  </w:pPr>
                  <w:r>
                    <w:rPr>
                      <w:rFonts w:hint="default" w:ascii="Times New Roman" w:hAnsi="Times New Roman" w:eastAsia="宋体" w:cs="Times New Roman"/>
                      <w:kern w:val="2"/>
                      <w:sz w:val="21"/>
                      <w:szCs w:val="21"/>
                      <w:lang w:val="en-US" w:eastAsia="zh-CN" w:bidi="ar"/>
                    </w:rPr>
                    <w:t>2024.01.19</w:t>
                  </w:r>
                </w:p>
              </w:tc>
              <w:tc>
                <w:tcPr>
                  <w:tcW w:w="1332" w:type="dxa"/>
                  <w:tcBorders>
                    <w:tl2br w:val="nil"/>
                    <w:tr2bl w:val="nil"/>
                  </w:tcBorders>
                  <w:shd w:val="clear" w:color="auto" w:fill="auto"/>
                  <w:vAlign w:val="center"/>
                </w:tcPr>
                <w:p w14:paraId="3950F0C2">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1"/>
                      <w:szCs w:val="21"/>
                      <w:lang w:val="en-US" w:eastAsia="zh-CN" w:bidi="ar"/>
                    </w:rPr>
                    <w:t>pH</w:t>
                  </w:r>
                  <w:r>
                    <w:rPr>
                      <w:rFonts w:hint="eastAsia" w:ascii="宋体" w:hAnsi="宋体" w:eastAsia="宋体" w:cs="宋体"/>
                      <w:kern w:val="2"/>
                      <w:sz w:val="21"/>
                      <w:szCs w:val="21"/>
                      <w:lang w:val="en-US" w:eastAsia="zh-CN" w:bidi="ar"/>
                    </w:rPr>
                    <w:t>值</w:t>
                  </w:r>
                </w:p>
              </w:tc>
              <w:tc>
                <w:tcPr>
                  <w:tcW w:w="984" w:type="dxa"/>
                  <w:tcBorders>
                    <w:tl2br w:val="nil"/>
                    <w:tr2bl w:val="nil"/>
                  </w:tcBorders>
                  <w:shd w:val="clear" w:color="auto" w:fill="auto"/>
                  <w:vAlign w:val="center"/>
                </w:tcPr>
                <w:p w14:paraId="4C0B47C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7.4</w:t>
                  </w:r>
                </w:p>
              </w:tc>
              <w:tc>
                <w:tcPr>
                  <w:tcW w:w="948" w:type="dxa"/>
                  <w:tcBorders>
                    <w:tl2br w:val="nil"/>
                    <w:tr2bl w:val="nil"/>
                  </w:tcBorders>
                  <w:shd w:val="clear" w:color="auto" w:fill="auto"/>
                  <w:vAlign w:val="center"/>
                </w:tcPr>
                <w:p w14:paraId="3A27EF1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7.5</w:t>
                  </w:r>
                </w:p>
              </w:tc>
              <w:tc>
                <w:tcPr>
                  <w:tcW w:w="684" w:type="dxa"/>
                  <w:tcBorders>
                    <w:tl2br w:val="nil"/>
                    <w:tr2bl w:val="nil"/>
                  </w:tcBorders>
                  <w:shd w:val="clear" w:color="auto" w:fill="auto"/>
                  <w:vAlign w:val="center"/>
                </w:tcPr>
                <w:p w14:paraId="22CDA4B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7.3</w:t>
                  </w:r>
                </w:p>
              </w:tc>
              <w:tc>
                <w:tcPr>
                  <w:tcW w:w="1200" w:type="dxa"/>
                  <w:tcBorders>
                    <w:tl2br w:val="nil"/>
                    <w:tr2bl w:val="nil"/>
                  </w:tcBorders>
                  <w:shd w:val="clear" w:color="auto" w:fill="auto"/>
                  <w:vAlign w:val="center"/>
                </w:tcPr>
                <w:p w14:paraId="19ABF9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7.7</w:t>
                  </w:r>
                </w:p>
              </w:tc>
              <w:tc>
                <w:tcPr>
                  <w:tcW w:w="1260" w:type="dxa"/>
                  <w:tcBorders>
                    <w:tl2br w:val="nil"/>
                    <w:tr2bl w:val="nil"/>
                  </w:tcBorders>
                  <w:shd w:val="clear" w:color="auto" w:fill="auto"/>
                  <w:vAlign w:val="center"/>
                </w:tcPr>
                <w:p w14:paraId="2FBA78C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6-9</w:t>
                  </w:r>
                </w:p>
              </w:tc>
              <w:tc>
                <w:tcPr>
                  <w:tcW w:w="1072" w:type="dxa"/>
                  <w:tcBorders>
                    <w:tl2br w:val="nil"/>
                    <w:tr2bl w:val="nil"/>
                  </w:tcBorders>
                  <w:shd w:val="clear" w:color="auto" w:fill="auto"/>
                  <w:vAlign w:val="center"/>
                </w:tcPr>
                <w:p w14:paraId="66BB62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达标</w:t>
                  </w:r>
                </w:p>
              </w:tc>
            </w:tr>
            <w:tr w14:paraId="34CD5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1215FA1D">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11893132">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13C2387C">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流量（</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3</w:t>
                  </w:r>
                  <w:r>
                    <w:rPr>
                      <w:rFonts w:hint="default" w:ascii="Times New Roman" w:hAnsi="Times New Roman" w:eastAsia="宋体" w:cs="Times New Roman"/>
                      <w:kern w:val="2"/>
                      <w:sz w:val="21"/>
                      <w:szCs w:val="21"/>
                      <w:lang w:val="en-US" w:eastAsia="zh-CN" w:bidi="ar"/>
                    </w:rPr>
                    <w:t>/s</w:t>
                  </w:r>
                  <w:r>
                    <w:rPr>
                      <w:rFonts w:hint="eastAsia" w:ascii="宋体" w:hAnsi="宋体" w:eastAsia="宋体" w:cs="宋体"/>
                      <w:kern w:val="2"/>
                      <w:sz w:val="21"/>
                      <w:szCs w:val="21"/>
                      <w:lang w:val="en-US" w:eastAsia="zh-CN" w:bidi="ar"/>
                    </w:rPr>
                    <w:t>）</w:t>
                  </w:r>
                </w:p>
              </w:tc>
              <w:tc>
                <w:tcPr>
                  <w:tcW w:w="984" w:type="dxa"/>
                  <w:tcBorders>
                    <w:tl2br w:val="nil"/>
                    <w:tr2bl w:val="nil"/>
                  </w:tcBorders>
                  <w:shd w:val="clear" w:color="auto" w:fill="auto"/>
                  <w:vAlign w:val="center"/>
                </w:tcPr>
                <w:p w14:paraId="2D2129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0.086</w:t>
                  </w:r>
                </w:p>
              </w:tc>
              <w:tc>
                <w:tcPr>
                  <w:tcW w:w="948" w:type="dxa"/>
                  <w:tcBorders>
                    <w:tl2br w:val="nil"/>
                    <w:tr2bl w:val="nil"/>
                  </w:tcBorders>
                  <w:shd w:val="clear" w:color="auto" w:fill="auto"/>
                  <w:vAlign w:val="center"/>
                </w:tcPr>
                <w:p w14:paraId="2F641CA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0.088</w:t>
                  </w:r>
                </w:p>
              </w:tc>
              <w:tc>
                <w:tcPr>
                  <w:tcW w:w="684" w:type="dxa"/>
                  <w:tcBorders>
                    <w:tl2br w:val="nil"/>
                    <w:tr2bl w:val="nil"/>
                  </w:tcBorders>
                  <w:shd w:val="clear" w:color="auto" w:fill="auto"/>
                  <w:vAlign w:val="center"/>
                </w:tcPr>
                <w:p w14:paraId="50FEED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0.089</w:t>
                  </w:r>
                </w:p>
              </w:tc>
              <w:tc>
                <w:tcPr>
                  <w:tcW w:w="1200" w:type="dxa"/>
                  <w:tcBorders>
                    <w:tl2br w:val="nil"/>
                    <w:tr2bl w:val="nil"/>
                  </w:tcBorders>
                  <w:shd w:val="clear" w:color="auto" w:fill="auto"/>
                  <w:vAlign w:val="center"/>
                </w:tcPr>
                <w:p w14:paraId="36D60ED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0.087</w:t>
                  </w:r>
                </w:p>
              </w:tc>
              <w:tc>
                <w:tcPr>
                  <w:tcW w:w="1260" w:type="dxa"/>
                  <w:tcBorders>
                    <w:tl2br w:val="nil"/>
                    <w:tr2bl w:val="nil"/>
                  </w:tcBorders>
                  <w:shd w:val="clear" w:color="auto" w:fill="auto"/>
                  <w:vAlign w:val="center"/>
                </w:tcPr>
                <w:p w14:paraId="5642933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color w:val="000000"/>
                      <w:kern w:val="2"/>
                      <w:sz w:val="21"/>
                      <w:szCs w:val="21"/>
                      <w:lang w:val="en-US" w:eastAsia="zh-CN" w:bidi="ar"/>
                    </w:rPr>
                    <w:t>/</w:t>
                  </w:r>
                </w:p>
              </w:tc>
              <w:tc>
                <w:tcPr>
                  <w:tcW w:w="1072" w:type="dxa"/>
                  <w:tcBorders>
                    <w:tl2br w:val="nil"/>
                    <w:tr2bl w:val="nil"/>
                  </w:tcBorders>
                  <w:shd w:val="clear" w:color="auto" w:fill="auto"/>
                  <w:vAlign w:val="center"/>
                </w:tcPr>
                <w:p w14:paraId="4C010B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w:t>
                  </w:r>
                </w:p>
              </w:tc>
            </w:tr>
            <w:tr w14:paraId="68959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2C7896BA">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6BDC9E8B">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0CA58401">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化学需氧量</w:t>
                  </w:r>
                </w:p>
              </w:tc>
              <w:tc>
                <w:tcPr>
                  <w:tcW w:w="984" w:type="dxa"/>
                  <w:tcBorders>
                    <w:tl2br w:val="nil"/>
                    <w:tr2bl w:val="nil"/>
                  </w:tcBorders>
                  <w:shd w:val="clear" w:color="auto" w:fill="auto"/>
                  <w:vAlign w:val="center"/>
                </w:tcPr>
                <w:p w14:paraId="7D06B5AF">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41</w:t>
                  </w:r>
                </w:p>
              </w:tc>
              <w:tc>
                <w:tcPr>
                  <w:tcW w:w="948" w:type="dxa"/>
                  <w:tcBorders>
                    <w:tl2br w:val="nil"/>
                    <w:tr2bl w:val="nil"/>
                  </w:tcBorders>
                  <w:shd w:val="clear" w:color="auto" w:fill="auto"/>
                  <w:vAlign w:val="center"/>
                </w:tcPr>
                <w:p w14:paraId="4D99396A">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36</w:t>
                  </w:r>
                </w:p>
              </w:tc>
              <w:tc>
                <w:tcPr>
                  <w:tcW w:w="684" w:type="dxa"/>
                  <w:tcBorders>
                    <w:tl2br w:val="nil"/>
                    <w:tr2bl w:val="nil"/>
                  </w:tcBorders>
                  <w:shd w:val="clear" w:color="auto" w:fill="auto"/>
                  <w:vAlign w:val="center"/>
                </w:tcPr>
                <w:p w14:paraId="26EE5CA2">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40</w:t>
                  </w:r>
                </w:p>
              </w:tc>
              <w:tc>
                <w:tcPr>
                  <w:tcW w:w="1200" w:type="dxa"/>
                  <w:tcBorders>
                    <w:tl2br w:val="nil"/>
                    <w:tr2bl w:val="nil"/>
                  </w:tcBorders>
                  <w:shd w:val="clear" w:color="auto" w:fill="auto"/>
                  <w:vAlign w:val="center"/>
                </w:tcPr>
                <w:p w14:paraId="65258E2D">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39</w:t>
                  </w:r>
                </w:p>
              </w:tc>
              <w:tc>
                <w:tcPr>
                  <w:tcW w:w="1260" w:type="dxa"/>
                  <w:tcBorders>
                    <w:tl2br w:val="nil"/>
                    <w:tr2bl w:val="nil"/>
                  </w:tcBorders>
                  <w:shd w:val="clear" w:color="auto" w:fill="auto"/>
                  <w:vAlign w:val="center"/>
                </w:tcPr>
                <w:p w14:paraId="5D8C8F4C">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500</w:t>
                  </w:r>
                </w:p>
              </w:tc>
              <w:tc>
                <w:tcPr>
                  <w:tcW w:w="1072" w:type="dxa"/>
                  <w:tcBorders>
                    <w:tl2br w:val="nil"/>
                    <w:tr2bl w:val="nil"/>
                  </w:tcBorders>
                  <w:shd w:val="clear" w:color="auto" w:fill="auto"/>
                  <w:vAlign w:val="center"/>
                </w:tcPr>
                <w:p w14:paraId="4153E3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达标</w:t>
                  </w:r>
                </w:p>
              </w:tc>
            </w:tr>
            <w:tr w14:paraId="63460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63EA9579">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1721C6E2">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14052F4B">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氨氮</w:t>
                  </w:r>
                </w:p>
              </w:tc>
              <w:tc>
                <w:tcPr>
                  <w:tcW w:w="984" w:type="dxa"/>
                  <w:tcBorders>
                    <w:tl2br w:val="nil"/>
                    <w:tr2bl w:val="nil"/>
                  </w:tcBorders>
                  <w:shd w:val="clear" w:color="auto" w:fill="auto"/>
                  <w:vAlign w:val="center"/>
                </w:tcPr>
                <w:p w14:paraId="27F3130C">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1.79 </w:t>
                  </w:r>
                </w:p>
              </w:tc>
              <w:tc>
                <w:tcPr>
                  <w:tcW w:w="948" w:type="dxa"/>
                  <w:tcBorders>
                    <w:tl2br w:val="nil"/>
                    <w:tr2bl w:val="nil"/>
                  </w:tcBorders>
                  <w:shd w:val="clear" w:color="auto" w:fill="auto"/>
                  <w:vAlign w:val="center"/>
                </w:tcPr>
                <w:p w14:paraId="677F9F53">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1.82 </w:t>
                  </w:r>
                </w:p>
              </w:tc>
              <w:tc>
                <w:tcPr>
                  <w:tcW w:w="684" w:type="dxa"/>
                  <w:tcBorders>
                    <w:tl2br w:val="nil"/>
                    <w:tr2bl w:val="nil"/>
                  </w:tcBorders>
                  <w:shd w:val="clear" w:color="auto" w:fill="auto"/>
                  <w:vAlign w:val="center"/>
                </w:tcPr>
                <w:p w14:paraId="44CBAC7A">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1.77 </w:t>
                  </w:r>
                </w:p>
              </w:tc>
              <w:tc>
                <w:tcPr>
                  <w:tcW w:w="1200" w:type="dxa"/>
                  <w:tcBorders>
                    <w:tl2br w:val="nil"/>
                    <w:tr2bl w:val="nil"/>
                  </w:tcBorders>
                  <w:shd w:val="clear" w:color="auto" w:fill="auto"/>
                  <w:vAlign w:val="center"/>
                </w:tcPr>
                <w:p w14:paraId="6C2ACB7F">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1.79 </w:t>
                  </w:r>
                </w:p>
              </w:tc>
              <w:tc>
                <w:tcPr>
                  <w:tcW w:w="1260" w:type="dxa"/>
                  <w:tcBorders>
                    <w:tl2br w:val="nil"/>
                    <w:tr2bl w:val="nil"/>
                  </w:tcBorders>
                  <w:shd w:val="clear" w:color="auto" w:fill="auto"/>
                  <w:vAlign w:val="center"/>
                </w:tcPr>
                <w:p w14:paraId="159698C3">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30</w:t>
                  </w:r>
                </w:p>
              </w:tc>
              <w:tc>
                <w:tcPr>
                  <w:tcW w:w="1072" w:type="dxa"/>
                  <w:tcBorders>
                    <w:tl2br w:val="nil"/>
                    <w:tr2bl w:val="nil"/>
                  </w:tcBorders>
                  <w:shd w:val="clear" w:color="auto" w:fill="auto"/>
                  <w:vAlign w:val="center"/>
                </w:tcPr>
                <w:p w14:paraId="327DDD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达标</w:t>
                  </w:r>
                </w:p>
              </w:tc>
            </w:tr>
            <w:tr w14:paraId="07064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364C9E9D">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6FA312A7">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75E0CA45">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总磷</w:t>
                  </w:r>
                </w:p>
              </w:tc>
              <w:tc>
                <w:tcPr>
                  <w:tcW w:w="984" w:type="dxa"/>
                  <w:tcBorders>
                    <w:tl2br w:val="nil"/>
                    <w:tr2bl w:val="nil"/>
                  </w:tcBorders>
                  <w:shd w:val="clear" w:color="auto" w:fill="auto"/>
                  <w:vAlign w:val="center"/>
                </w:tcPr>
                <w:p w14:paraId="6F4C15D9">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0.30 </w:t>
                  </w:r>
                </w:p>
              </w:tc>
              <w:tc>
                <w:tcPr>
                  <w:tcW w:w="948" w:type="dxa"/>
                  <w:tcBorders>
                    <w:tl2br w:val="nil"/>
                    <w:tr2bl w:val="nil"/>
                  </w:tcBorders>
                  <w:shd w:val="clear" w:color="auto" w:fill="auto"/>
                  <w:vAlign w:val="center"/>
                </w:tcPr>
                <w:p w14:paraId="66BD3860">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0.27</w:t>
                  </w:r>
                </w:p>
              </w:tc>
              <w:tc>
                <w:tcPr>
                  <w:tcW w:w="684" w:type="dxa"/>
                  <w:tcBorders>
                    <w:tl2br w:val="nil"/>
                    <w:tr2bl w:val="nil"/>
                  </w:tcBorders>
                  <w:shd w:val="clear" w:color="auto" w:fill="auto"/>
                  <w:vAlign w:val="center"/>
                </w:tcPr>
                <w:p w14:paraId="1D58471B">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0.31</w:t>
                  </w:r>
                </w:p>
              </w:tc>
              <w:tc>
                <w:tcPr>
                  <w:tcW w:w="1200" w:type="dxa"/>
                  <w:tcBorders>
                    <w:tl2br w:val="nil"/>
                    <w:tr2bl w:val="nil"/>
                  </w:tcBorders>
                  <w:shd w:val="clear" w:color="auto" w:fill="auto"/>
                  <w:vAlign w:val="center"/>
                </w:tcPr>
                <w:p w14:paraId="2896ED3D">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0.28</w:t>
                  </w:r>
                </w:p>
              </w:tc>
              <w:tc>
                <w:tcPr>
                  <w:tcW w:w="1260" w:type="dxa"/>
                  <w:tcBorders>
                    <w:tl2br w:val="nil"/>
                    <w:tr2bl w:val="nil"/>
                  </w:tcBorders>
                  <w:shd w:val="clear" w:color="auto" w:fill="auto"/>
                  <w:vAlign w:val="center"/>
                </w:tcPr>
                <w:p w14:paraId="3B87BBD0">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3.0</w:t>
                  </w:r>
                </w:p>
              </w:tc>
              <w:tc>
                <w:tcPr>
                  <w:tcW w:w="1072" w:type="dxa"/>
                  <w:tcBorders>
                    <w:tl2br w:val="nil"/>
                    <w:tr2bl w:val="nil"/>
                  </w:tcBorders>
                  <w:shd w:val="clear" w:color="auto" w:fill="auto"/>
                  <w:vAlign w:val="center"/>
                </w:tcPr>
                <w:p w14:paraId="3567845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达标</w:t>
                  </w:r>
                </w:p>
              </w:tc>
            </w:tr>
            <w:tr w14:paraId="0D16C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3BA82817">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3FE8CAF4">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78FDFC8F">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总氮</w:t>
                  </w:r>
                </w:p>
              </w:tc>
              <w:tc>
                <w:tcPr>
                  <w:tcW w:w="984" w:type="dxa"/>
                  <w:tcBorders>
                    <w:tl2br w:val="nil"/>
                    <w:tr2bl w:val="nil"/>
                  </w:tcBorders>
                  <w:shd w:val="clear" w:color="auto" w:fill="auto"/>
                  <w:vAlign w:val="center"/>
                </w:tcPr>
                <w:p w14:paraId="4BDAC08E">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3.46</w:t>
                  </w:r>
                </w:p>
              </w:tc>
              <w:tc>
                <w:tcPr>
                  <w:tcW w:w="948" w:type="dxa"/>
                  <w:tcBorders>
                    <w:tl2br w:val="nil"/>
                    <w:tr2bl w:val="nil"/>
                  </w:tcBorders>
                  <w:shd w:val="clear" w:color="auto" w:fill="auto"/>
                  <w:vAlign w:val="center"/>
                </w:tcPr>
                <w:p w14:paraId="47EAB2B5">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3.43</w:t>
                  </w:r>
                </w:p>
              </w:tc>
              <w:tc>
                <w:tcPr>
                  <w:tcW w:w="684" w:type="dxa"/>
                  <w:tcBorders>
                    <w:tl2br w:val="nil"/>
                    <w:tr2bl w:val="nil"/>
                  </w:tcBorders>
                  <w:shd w:val="clear" w:color="auto" w:fill="auto"/>
                  <w:vAlign w:val="center"/>
                </w:tcPr>
                <w:p w14:paraId="2BA45568">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3.45</w:t>
                  </w:r>
                </w:p>
              </w:tc>
              <w:tc>
                <w:tcPr>
                  <w:tcW w:w="1200" w:type="dxa"/>
                  <w:tcBorders>
                    <w:tl2br w:val="nil"/>
                    <w:tr2bl w:val="nil"/>
                  </w:tcBorders>
                  <w:shd w:val="clear" w:color="auto" w:fill="auto"/>
                  <w:vAlign w:val="center"/>
                </w:tcPr>
                <w:p w14:paraId="7F006A5B">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3.48</w:t>
                  </w:r>
                </w:p>
              </w:tc>
              <w:tc>
                <w:tcPr>
                  <w:tcW w:w="1260" w:type="dxa"/>
                  <w:tcBorders>
                    <w:tl2br w:val="nil"/>
                    <w:tr2bl w:val="nil"/>
                  </w:tcBorders>
                  <w:shd w:val="clear" w:color="auto" w:fill="auto"/>
                  <w:vAlign w:val="center"/>
                </w:tcPr>
                <w:p w14:paraId="662BDFCB">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40</w:t>
                  </w:r>
                </w:p>
              </w:tc>
              <w:tc>
                <w:tcPr>
                  <w:tcW w:w="1072" w:type="dxa"/>
                  <w:tcBorders>
                    <w:tl2br w:val="nil"/>
                    <w:tr2bl w:val="nil"/>
                  </w:tcBorders>
                  <w:shd w:val="clear" w:color="auto" w:fill="auto"/>
                  <w:vAlign w:val="center"/>
                </w:tcPr>
                <w:p w14:paraId="22B194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达标</w:t>
                  </w:r>
                </w:p>
              </w:tc>
            </w:tr>
            <w:tr w14:paraId="57719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5F240AE9">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5AEF26A7">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3BE9A789">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宋体" w:hAnsi="宋体" w:eastAsia="宋体" w:cs="宋体"/>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SS</w:t>
                  </w:r>
                </w:p>
              </w:tc>
              <w:tc>
                <w:tcPr>
                  <w:tcW w:w="984" w:type="dxa"/>
                  <w:tcBorders>
                    <w:tl2br w:val="nil"/>
                    <w:tr2bl w:val="nil"/>
                  </w:tcBorders>
                  <w:shd w:val="clear" w:color="auto" w:fill="auto"/>
                  <w:vAlign w:val="center"/>
                </w:tcPr>
                <w:p w14:paraId="729C9626">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36</w:t>
                  </w:r>
                </w:p>
              </w:tc>
              <w:tc>
                <w:tcPr>
                  <w:tcW w:w="948" w:type="dxa"/>
                  <w:tcBorders>
                    <w:tl2br w:val="nil"/>
                    <w:tr2bl w:val="nil"/>
                  </w:tcBorders>
                  <w:shd w:val="clear" w:color="auto" w:fill="auto"/>
                  <w:vAlign w:val="center"/>
                </w:tcPr>
                <w:p w14:paraId="76BEE892">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34</w:t>
                  </w:r>
                </w:p>
              </w:tc>
              <w:tc>
                <w:tcPr>
                  <w:tcW w:w="684" w:type="dxa"/>
                  <w:tcBorders>
                    <w:tl2br w:val="nil"/>
                    <w:tr2bl w:val="nil"/>
                  </w:tcBorders>
                  <w:shd w:val="clear" w:color="auto" w:fill="auto"/>
                  <w:vAlign w:val="center"/>
                </w:tcPr>
                <w:p w14:paraId="1C3C16B9">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37</w:t>
                  </w:r>
                </w:p>
              </w:tc>
              <w:tc>
                <w:tcPr>
                  <w:tcW w:w="1200" w:type="dxa"/>
                  <w:tcBorders>
                    <w:tl2br w:val="nil"/>
                    <w:tr2bl w:val="nil"/>
                  </w:tcBorders>
                  <w:shd w:val="clear" w:color="auto" w:fill="auto"/>
                  <w:vAlign w:val="center"/>
                </w:tcPr>
                <w:p w14:paraId="1C661469">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35</w:t>
                  </w:r>
                </w:p>
              </w:tc>
              <w:tc>
                <w:tcPr>
                  <w:tcW w:w="1260" w:type="dxa"/>
                  <w:tcBorders>
                    <w:tl2br w:val="nil"/>
                    <w:tr2bl w:val="nil"/>
                  </w:tcBorders>
                  <w:shd w:val="clear" w:color="auto" w:fill="auto"/>
                  <w:vAlign w:val="center"/>
                </w:tcPr>
                <w:p w14:paraId="44096454">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400</w:t>
                  </w:r>
                </w:p>
              </w:tc>
              <w:tc>
                <w:tcPr>
                  <w:tcW w:w="1072" w:type="dxa"/>
                  <w:tcBorders>
                    <w:tl2br w:val="nil"/>
                    <w:tr2bl w:val="nil"/>
                  </w:tcBorders>
                  <w:shd w:val="clear" w:color="auto" w:fill="auto"/>
                  <w:vAlign w:val="center"/>
                </w:tcPr>
                <w:p w14:paraId="64B9F29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达标</w:t>
                  </w:r>
                </w:p>
              </w:tc>
            </w:tr>
            <w:tr w14:paraId="30D53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restart"/>
                  <w:tcBorders>
                    <w:tl2br w:val="nil"/>
                    <w:tr2bl w:val="nil"/>
                  </w:tcBorders>
                  <w:shd w:val="clear" w:color="auto" w:fill="auto"/>
                  <w:vAlign w:val="center"/>
                </w:tcPr>
                <w:p w14:paraId="4BF8005D">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废水总排口</w:t>
                  </w:r>
                  <w:r>
                    <w:rPr>
                      <w:rFonts w:hint="default" w:ascii="Times New Roman" w:hAnsi="Times New Roman" w:eastAsia="宋体" w:cs="Times New Roman"/>
                      <w:kern w:val="2"/>
                      <w:sz w:val="21"/>
                      <w:szCs w:val="21"/>
                      <w:lang w:val="en-US" w:eastAsia="zh-CN" w:bidi="ar"/>
                    </w:rPr>
                    <w:t>W1</w:t>
                  </w:r>
                </w:p>
              </w:tc>
              <w:tc>
                <w:tcPr>
                  <w:tcW w:w="955" w:type="dxa"/>
                  <w:vMerge w:val="restart"/>
                  <w:tcBorders>
                    <w:tl2br w:val="nil"/>
                    <w:tr2bl w:val="nil"/>
                  </w:tcBorders>
                  <w:shd w:val="clear" w:color="auto" w:fill="auto"/>
                  <w:vAlign w:val="center"/>
                </w:tcPr>
                <w:p w14:paraId="783D2893">
                  <w:pPr>
                    <w:keepNext w:val="0"/>
                    <w:keepLines w:val="0"/>
                    <w:widowControl w:val="0"/>
                    <w:suppressLineNumbers w:val="0"/>
                    <w:spacing w:before="0" w:beforeAutospacing="0" w:after="0" w:afterAutospacing="0" w:line="300" w:lineRule="exact"/>
                    <w:ind w:left="0" w:right="0"/>
                    <w:jc w:val="center"/>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2024.01.20</w:t>
                  </w:r>
                </w:p>
              </w:tc>
              <w:tc>
                <w:tcPr>
                  <w:tcW w:w="1332" w:type="dxa"/>
                  <w:tcBorders>
                    <w:tl2br w:val="nil"/>
                    <w:tr2bl w:val="nil"/>
                  </w:tcBorders>
                  <w:shd w:val="clear" w:color="auto" w:fill="auto"/>
                  <w:vAlign w:val="center"/>
                </w:tcPr>
                <w:p w14:paraId="13E5B1B9">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pH</w:t>
                  </w:r>
                  <w:r>
                    <w:rPr>
                      <w:rFonts w:hint="eastAsia" w:ascii="宋体" w:hAnsi="宋体" w:eastAsia="宋体" w:cs="宋体"/>
                      <w:color w:val="auto"/>
                      <w:kern w:val="2"/>
                      <w:sz w:val="21"/>
                      <w:szCs w:val="21"/>
                      <w:lang w:val="en-US" w:eastAsia="zh-CN" w:bidi="ar"/>
                    </w:rPr>
                    <w:t>值</w:t>
                  </w:r>
                </w:p>
              </w:tc>
              <w:tc>
                <w:tcPr>
                  <w:tcW w:w="984" w:type="dxa"/>
                  <w:tcBorders>
                    <w:tl2br w:val="nil"/>
                    <w:tr2bl w:val="nil"/>
                  </w:tcBorders>
                  <w:shd w:val="clear" w:color="auto" w:fill="auto"/>
                  <w:vAlign w:val="center"/>
                </w:tcPr>
                <w:p w14:paraId="079A9E39">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7.2</w:t>
                  </w:r>
                </w:p>
              </w:tc>
              <w:tc>
                <w:tcPr>
                  <w:tcW w:w="948" w:type="dxa"/>
                  <w:tcBorders>
                    <w:tl2br w:val="nil"/>
                    <w:tr2bl w:val="nil"/>
                  </w:tcBorders>
                  <w:shd w:val="clear" w:color="auto" w:fill="auto"/>
                  <w:vAlign w:val="center"/>
                </w:tcPr>
                <w:p w14:paraId="4B726DFB">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7.6</w:t>
                  </w:r>
                </w:p>
              </w:tc>
              <w:tc>
                <w:tcPr>
                  <w:tcW w:w="684" w:type="dxa"/>
                  <w:tcBorders>
                    <w:tl2br w:val="nil"/>
                    <w:tr2bl w:val="nil"/>
                  </w:tcBorders>
                  <w:shd w:val="clear" w:color="auto" w:fill="auto"/>
                  <w:vAlign w:val="center"/>
                </w:tcPr>
                <w:p w14:paraId="1EC0BC4E">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7.5</w:t>
                  </w:r>
                </w:p>
              </w:tc>
              <w:tc>
                <w:tcPr>
                  <w:tcW w:w="1200" w:type="dxa"/>
                  <w:tcBorders>
                    <w:tl2br w:val="nil"/>
                    <w:tr2bl w:val="nil"/>
                  </w:tcBorders>
                  <w:shd w:val="clear" w:color="auto" w:fill="auto"/>
                  <w:vAlign w:val="center"/>
                </w:tcPr>
                <w:p w14:paraId="11C7ED48">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7.3</w:t>
                  </w:r>
                </w:p>
              </w:tc>
              <w:tc>
                <w:tcPr>
                  <w:tcW w:w="1260" w:type="dxa"/>
                  <w:tcBorders>
                    <w:tl2br w:val="nil"/>
                    <w:tr2bl w:val="nil"/>
                  </w:tcBorders>
                  <w:shd w:val="clear" w:color="auto" w:fill="auto"/>
                  <w:vAlign w:val="center"/>
                </w:tcPr>
                <w:p w14:paraId="54D0B288">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6-9</w:t>
                  </w:r>
                </w:p>
              </w:tc>
              <w:tc>
                <w:tcPr>
                  <w:tcW w:w="1072" w:type="dxa"/>
                  <w:tcBorders>
                    <w:tl2br w:val="nil"/>
                    <w:tr2bl w:val="nil"/>
                  </w:tcBorders>
                  <w:shd w:val="clear" w:color="auto" w:fill="auto"/>
                  <w:vAlign w:val="center"/>
                </w:tcPr>
                <w:p w14:paraId="4E3E6F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达标</w:t>
                  </w:r>
                </w:p>
              </w:tc>
            </w:tr>
            <w:tr w14:paraId="7C489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70339CC7">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6DF5CB18">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57ECBFFC">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流量（</w:t>
                  </w: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/s</w:t>
                  </w:r>
                  <w:r>
                    <w:rPr>
                      <w:rFonts w:hint="eastAsia" w:ascii="宋体" w:hAnsi="宋体" w:eastAsia="宋体" w:cs="宋体"/>
                      <w:color w:val="auto"/>
                      <w:kern w:val="2"/>
                      <w:sz w:val="21"/>
                      <w:szCs w:val="21"/>
                      <w:lang w:val="en-US" w:eastAsia="zh-CN" w:bidi="ar"/>
                    </w:rPr>
                    <w:t>）</w:t>
                  </w:r>
                </w:p>
              </w:tc>
              <w:tc>
                <w:tcPr>
                  <w:tcW w:w="984" w:type="dxa"/>
                  <w:tcBorders>
                    <w:tl2br w:val="nil"/>
                    <w:tr2bl w:val="nil"/>
                  </w:tcBorders>
                  <w:shd w:val="clear" w:color="auto" w:fill="auto"/>
                  <w:vAlign w:val="center"/>
                </w:tcPr>
                <w:p w14:paraId="501AC1F0">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0.087</w:t>
                  </w:r>
                </w:p>
              </w:tc>
              <w:tc>
                <w:tcPr>
                  <w:tcW w:w="948" w:type="dxa"/>
                  <w:tcBorders>
                    <w:tl2br w:val="nil"/>
                    <w:tr2bl w:val="nil"/>
                  </w:tcBorders>
                  <w:shd w:val="clear" w:color="auto" w:fill="auto"/>
                  <w:vAlign w:val="center"/>
                </w:tcPr>
                <w:p w14:paraId="45202176">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0.090</w:t>
                  </w:r>
                </w:p>
              </w:tc>
              <w:tc>
                <w:tcPr>
                  <w:tcW w:w="684" w:type="dxa"/>
                  <w:tcBorders>
                    <w:tl2br w:val="nil"/>
                    <w:tr2bl w:val="nil"/>
                  </w:tcBorders>
                  <w:shd w:val="clear" w:color="auto" w:fill="auto"/>
                  <w:vAlign w:val="center"/>
                </w:tcPr>
                <w:p w14:paraId="1FF14FF5">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0.089</w:t>
                  </w:r>
                </w:p>
              </w:tc>
              <w:tc>
                <w:tcPr>
                  <w:tcW w:w="1200" w:type="dxa"/>
                  <w:tcBorders>
                    <w:tl2br w:val="nil"/>
                    <w:tr2bl w:val="nil"/>
                  </w:tcBorders>
                  <w:shd w:val="clear" w:color="auto" w:fill="auto"/>
                  <w:vAlign w:val="center"/>
                </w:tcPr>
                <w:p w14:paraId="37CFEB62">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0.086</w:t>
                  </w:r>
                </w:p>
              </w:tc>
              <w:tc>
                <w:tcPr>
                  <w:tcW w:w="1260" w:type="dxa"/>
                  <w:tcBorders>
                    <w:tl2br w:val="nil"/>
                    <w:tr2bl w:val="nil"/>
                  </w:tcBorders>
                  <w:shd w:val="clear" w:color="auto" w:fill="auto"/>
                  <w:vAlign w:val="center"/>
                </w:tcPr>
                <w:p w14:paraId="1C43D86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w:t>
                  </w:r>
                </w:p>
              </w:tc>
              <w:tc>
                <w:tcPr>
                  <w:tcW w:w="1072" w:type="dxa"/>
                  <w:tcBorders>
                    <w:tl2br w:val="nil"/>
                    <w:tr2bl w:val="nil"/>
                  </w:tcBorders>
                  <w:shd w:val="clear" w:color="auto" w:fill="auto"/>
                  <w:vAlign w:val="center"/>
                </w:tcPr>
                <w:p w14:paraId="7E17FE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w:t>
                  </w:r>
                </w:p>
              </w:tc>
            </w:tr>
            <w:tr w14:paraId="3D8C7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56A09C0C">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457D11AA">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53FED707">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化学需氧量</w:t>
                  </w:r>
                </w:p>
              </w:tc>
              <w:tc>
                <w:tcPr>
                  <w:tcW w:w="984" w:type="dxa"/>
                  <w:tcBorders>
                    <w:tl2br w:val="nil"/>
                    <w:tr2bl w:val="nil"/>
                  </w:tcBorders>
                  <w:shd w:val="clear" w:color="auto" w:fill="auto"/>
                  <w:vAlign w:val="center"/>
                </w:tcPr>
                <w:p w14:paraId="48C7E8A0">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37</w:t>
                  </w:r>
                </w:p>
              </w:tc>
              <w:tc>
                <w:tcPr>
                  <w:tcW w:w="948" w:type="dxa"/>
                  <w:tcBorders>
                    <w:tl2br w:val="nil"/>
                    <w:tr2bl w:val="nil"/>
                  </w:tcBorders>
                  <w:shd w:val="clear" w:color="auto" w:fill="auto"/>
                  <w:vAlign w:val="center"/>
                </w:tcPr>
                <w:p w14:paraId="3BDA71F4">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38</w:t>
                  </w:r>
                </w:p>
              </w:tc>
              <w:tc>
                <w:tcPr>
                  <w:tcW w:w="684" w:type="dxa"/>
                  <w:tcBorders>
                    <w:tl2br w:val="nil"/>
                    <w:tr2bl w:val="nil"/>
                  </w:tcBorders>
                  <w:shd w:val="clear" w:color="auto" w:fill="auto"/>
                  <w:vAlign w:val="center"/>
                </w:tcPr>
                <w:p w14:paraId="0109FDCE">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34</w:t>
                  </w:r>
                </w:p>
              </w:tc>
              <w:tc>
                <w:tcPr>
                  <w:tcW w:w="1200" w:type="dxa"/>
                  <w:tcBorders>
                    <w:tl2br w:val="nil"/>
                    <w:tr2bl w:val="nil"/>
                  </w:tcBorders>
                  <w:shd w:val="clear" w:color="auto" w:fill="auto"/>
                  <w:vAlign w:val="center"/>
                </w:tcPr>
                <w:p w14:paraId="3B6BF9CA">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43</w:t>
                  </w:r>
                </w:p>
              </w:tc>
              <w:tc>
                <w:tcPr>
                  <w:tcW w:w="1260" w:type="dxa"/>
                  <w:tcBorders>
                    <w:tl2br w:val="nil"/>
                    <w:tr2bl w:val="nil"/>
                  </w:tcBorders>
                  <w:shd w:val="clear" w:color="auto" w:fill="auto"/>
                  <w:vAlign w:val="center"/>
                </w:tcPr>
                <w:p w14:paraId="31183DDF">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500</w:t>
                  </w:r>
                </w:p>
              </w:tc>
              <w:tc>
                <w:tcPr>
                  <w:tcW w:w="1072" w:type="dxa"/>
                  <w:tcBorders>
                    <w:tl2br w:val="nil"/>
                    <w:tr2bl w:val="nil"/>
                  </w:tcBorders>
                  <w:shd w:val="clear" w:color="auto" w:fill="auto"/>
                  <w:vAlign w:val="center"/>
                </w:tcPr>
                <w:p w14:paraId="666494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达标</w:t>
                  </w:r>
                </w:p>
              </w:tc>
            </w:tr>
            <w:tr w14:paraId="72909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46F6A162">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3E9B56D4">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7097DEB0">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氨氮</w:t>
                  </w:r>
                </w:p>
              </w:tc>
              <w:tc>
                <w:tcPr>
                  <w:tcW w:w="984" w:type="dxa"/>
                  <w:tcBorders>
                    <w:tl2br w:val="nil"/>
                    <w:tr2bl w:val="nil"/>
                  </w:tcBorders>
                  <w:shd w:val="clear" w:color="auto" w:fill="auto"/>
                  <w:vAlign w:val="center"/>
                </w:tcPr>
                <w:p w14:paraId="4DBF9125">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 xml:space="preserve">1.82 </w:t>
                  </w:r>
                </w:p>
              </w:tc>
              <w:tc>
                <w:tcPr>
                  <w:tcW w:w="948" w:type="dxa"/>
                  <w:tcBorders>
                    <w:tl2br w:val="nil"/>
                    <w:tr2bl w:val="nil"/>
                  </w:tcBorders>
                  <w:shd w:val="clear" w:color="auto" w:fill="auto"/>
                  <w:vAlign w:val="center"/>
                </w:tcPr>
                <w:p w14:paraId="6DAC9EC8">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 xml:space="preserve">1.82 </w:t>
                  </w:r>
                </w:p>
              </w:tc>
              <w:tc>
                <w:tcPr>
                  <w:tcW w:w="684" w:type="dxa"/>
                  <w:tcBorders>
                    <w:tl2br w:val="nil"/>
                    <w:tr2bl w:val="nil"/>
                  </w:tcBorders>
                  <w:shd w:val="clear" w:color="auto" w:fill="auto"/>
                  <w:vAlign w:val="center"/>
                </w:tcPr>
                <w:p w14:paraId="67EF310F">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 xml:space="preserve">1.85 </w:t>
                  </w:r>
                </w:p>
              </w:tc>
              <w:tc>
                <w:tcPr>
                  <w:tcW w:w="1200" w:type="dxa"/>
                  <w:tcBorders>
                    <w:tl2br w:val="nil"/>
                    <w:tr2bl w:val="nil"/>
                  </w:tcBorders>
                  <w:shd w:val="clear" w:color="auto" w:fill="auto"/>
                  <w:vAlign w:val="center"/>
                </w:tcPr>
                <w:p w14:paraId="1A38185F">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 xml:space="preserve">1.82 </w:t>
                  </w:r>
                </w:p>
              </w:tc>
              <w:tc>
                <w:tcPr>
                  <w:tcW w:w="1260" w:type="dxa"/>
                  <w:tcBorders>
                    <w:tl2br w:val="nil"/>
                    <w:tr2bl w:val="nil"/>
                  </w:tcBorders>
                  <w:shd w:val="clear" w:color="auto" w:fill="auto"/>
                  <w:vAlign w:val="center"/>
                </w:tcPr>
                <w:p w14:paraId="7EE092D4">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30</w:t>
                  </w:r>
                </w:p>
              </w:tc>
              <w:tc>
                <w:tcPr>
                  <w:tcW w:w="1072" w:type="dxa"/>
                  <w:tcBorders>
                    <w:tl2br w:val="nil"/>
                    <w:tr2bl w:val="nil"/>
                  </w:tcBorders>
                  <w:shd w:val="clear" w:color="auto" w:fill="auto"/>
                  <w:vAlign w:val="center"/>
                </w:tcPr>
                <w:p w14:paraId="4C1F41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达标</w:t>
                  </w:r>
                </w:p>
              </w:tc>
            </w:tr>
            <w:tr w14:paraId="30297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4FDF811F">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704142D6">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7DDF91D7">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总磷</w:t>
                  </w:r>
                </w:p>
              </w:tc>
              <w:tc>
                <w:tcPr>
                  <w:tcW w:w="984" w:type="dxa"/>
                  <w:tcBorders>
                    <w:tl2br w:val="nil"/>
                    <w:tr2bl w:val="nil"/>
                  </w:tcBorders>
                  <w:shd w:val="clear" w:color="auto" w:fill="auto"/>
                  <w:vAlign w:val="center"/>
                </w:tcPr>
                <w:p w14:paraId="491659DE">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0.32</w:t>
                  </w:r>
                </w:p>
              </w:tc>
              <w:tc>
                <w:tcPr>
                  <w:tcW w:w="948" w:type="dxa"/>
                  <w:tcBorders>
                    <w:tl2br w:val="nil"/>
                    <w:tr2bl w:val="nil"/>
                  </w:tcBorders>
                  <w:shd w:val="clear" w:color="auto" w:fill="auto"/>
                  <w:vAlign w:val="center"/>
                </w:tcPr>
                <w:p w14:paraId="3DD22F2C">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0.31</w:t>
                  </w:r>
                </w:p>
              </w:tc>
              <w:tc>
                <w:tcPr>
                  <w:tcW w:w="684" w:type="dxa"/>
                  <w:tcBorders>
                    <w:tl2br w:val="nil"/>
                    <w:tr2bl w:val="nil"/>
                  </w:tcBorders>
                  <w:shd w:val="clear" w:color="auto" w:fill="auto"/>
                  <w:vAlign w:val="center"/>
                </w:tcPr>
                <w:p w14:paraId="212895E3">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0.33</w:t>
                  </w:r>
                </w:p>
              </w:tc>
              <w:tc>
                <w:tcPr>
                  <w:tcW w:w="1200" w:type="dxa"/>
                  <w:tcBorders>
                    <w:tl2br w:val="nil"/>
                    <w:tr2bl w:val="nil"/>
                  </w:tcBorders>
                  <w:shd w:val="clear" w:color="auto" w:fill="auto"/>
                  <w:vAlign w:val="center"/>
                </w:tcPr>
                <w:p w14:paraId="3F9A3DF3">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0.29</w:t>
                  </w:r>
                </w:p>
              </w:tc>
              <w:tc>
                <w:tcPr>
                  <w:tcW w:w="1260" w:type="dxa"/>
                  <w:tcBorders>
                    <w:tl2br w:val="nil"/>
                    <w:tr2bl w:val="nil"/>
                  </w:tcBorders>
                  <w:shd w:val="clear" w:color="auto" w:fill="auto"/>
                  <w:vAlign w:val="center"/>
                </w:tcPr>
                <w:p w14:paraId="64AF1DE7">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3.0</w:t>
                  </w:r>
                </w:p>
              </w:tc>
              <w:tc>
                <w:tcPr>
                  <w:tcW w:w="1072" w:type="dxa"/>
                  <w:tcBorders>
                    <w:tl2br w:val="nil"/>
                    <w:tr2bl w:val="nil"/>
                  </w:tcBorders>
                  <w:shd w:val="clear" w:color="auto" w:fill="auto"/>
                  <w:vAlign w:val="center"/>
                </w:tcPr>
                <w:p w14:paraId="121224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达标</w:t>
                  </w:r>
                </w:p>
              </w:tc>
            </w:tr>
            <w:tr w14:paraId="28C6B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70F49F74">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5EE98249">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20308723">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eastAsia" w:ascii="宋体" w:hAnsi="宋体" w:eastAsia="宋体" w:cs="宋体"/>
                      <w:color w:val="auto"/>
                      <w:kern w:val="2"/>
                      <w:sz w:val="21"/>
                      <w:szCs w:val="21"/>
                      <w:lang w:val="en-US" w:eastAsia="zh-CN" w:bidi="ar"/>
                    </w:rPr>
                    <w:t>总氮</w:t>
                  </w:r>
                </w:p>
              </w:tc>
              <w:tc>
                <w:tcPr>
                  <w:tcW w:w="984" w:type="dxa"/>
                  <w:tcBorders>
                    <w:tl2br w:val="nil"/>
                    <w:tr2bl w:val="nil"/>
                  </w:tcBorders>
                  <w:shd w:val="clear" w:color="auto" w:fill="auto"/>
                  <w:vAlign w:val="center"/>
                </w:tcPr>
                <w:p w14:paraId="29876813">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3.43</w:t>
                  </w:r>
                </w:p>
              </w:tc>
              <w:tc>
                <w:tcPr>
                  <w:tcW w:w="948" w:type="dxa"/>
                  <w:tcBorders>
                    <w:tl2br w:val="nil"/>
                    <w:tr2bl w:val="nil"/>
                  </w:tcBorders>
                  <w:shd w:val="clear" w:color="auto" w:fill="auto"/>
                  <w:vAlign w:val="center"/>
                </w:tcPr>
                <w:p w14:paraId="69D4A942">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3.44</w:t>
                  </w:r>
                </w:p>
              </w:tc>
              <w:tc>
                <w:tcPr>
                  <w:tcW w:w="684" w:type="dxa"/>
                  <w:tcBorders>
                    <w:tl2br w:val="nil"/>
                    <w:tr2bl w:val="nil"/>
                  </w:tcBorders>
                  <w:shd w:val="clear" w:color="auto" w:fill="auto"/>
                  <w:vAlign w:val="center"/>
                </w:tcPr>
                <w:p w14:paraId="2BB2C999">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3.47</w:t>
                  </w:r>
                </w:p>
              </w:tc>
              <w:tc>
                <w:tcPr>
                  <w:tcW w:w="1200" w:type="dxa"/>
                  <w:tcBorders>
                    <w:tl2br w:val="nil"/>
                    <w:tr2bl w:val="nil"/>
                  </w:tcBorders>
                  <w:shd w:val="clear" w:color="auto" w:fill="auto"/>
                  <w:vAlign w:val="center"/>
                </w:tcPr>
                <w:p w14:paraId="0A94F59F">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3.45</w:t>
                  </w:r>
                </w:p>
              </w:tc>
              <w:tc>
                <w:tcPr>
                  <w:tcW w:w="1260" w:type="dxa"/>
                  <w:tcBorders>
                    <w:tl2br w:val="nil"/>
                    <w:tr2bl w:val="nil"/>
                  </w:tcBorders>
                  <w:shd w:val="clear" w:color="auto" w:fill="auto"/>
                  <w:vAlign w:val="center"/>
                </w:tcPr>
                <w:p w14:paraId="2FA66534">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40</w:t>
                  </w:r>
                </w:p>
              </w:tc>
              <w:tc>
                <w:tcPr>
                  <w:tcW w:w="1072" w:type="dxa"/>
                  <w:tcBorders>
                    <w:tl2br w:val="nil"/>
                    <w:tr2bl w:val="nil"/>
                  </w:tcBorders>
                  <w:shd w:val="clear" w:color="auto" w:fill="auto"/>
                  <w:vAlign w:val="center"/>
                </w:tcPr>
                <w:p w14:paraId="10A4FF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2"/>
                      <w:sz w:val="21"/>
                      <w:szCs w:val="21"/>
                      <w:lang w:val="en-US" w:eastAsia="zh-CN" w:bidi="ar"/>
                    </w:rPr>
                  </w:pPr>
                  <w:r>
                    <w:rPr>
                      <w:rFonts w:hint="eastAsia" w:ascii="Times New Roman" w:hAnsi="Times New Roman" w:eastAsia="宋体" w:cs="Times New Roman"/>
                      <w:b w:val="0"/>
                      <w:bCs/>
                      <w:kern w:val="2"/>
                      <w:sz w:val="21"/>
                      <w:szCs w:val="21"/>
                      <w:lang w:val="en-US" w:eastAsia="zh-CN" w:bidi="ar"/>
                    </w:rPr>
                    <w:t>达标</w:t>
                  </w:r>
                </w:p>
              </w:tc>
            </w:tr>
            <w:tr w14:paraId="288E0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13" w:type="dxa"/>
                  <w:vMerge w:val="continue"/>
                  <w:tcBorders>
                    <w:tl2br w:val="nil"/>
                    <w:tr2bl w:val="nil"/>
                  </w:tcBorders>
                  <w:shd w:val="clear" w:color="auto" w:fill="auto"/>
                  <w:vAlign w:val="center"/>
                </w:tcPr>
                <w:p w14:paraId="1315AC93">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955" w:type="dxa"/>
                  <w:vMerge w:val="continue"/>
                  <w:tcBorders>
                    <w:tl2br w:val="nil"/>
                    <w:tr2bl w:val="nil"/>
                  </w:tcBorders>
                  <w:shd w:val="clear" w:color="auto" w:fill="auto"/>
                  <w:vAlign w:val="center"/>
                </w:tcPr>
                <w:p w14:paraId="684E5929">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0"/>
                      <w:szCs w:val="20"/>
                    </w:rPr>
                  </w:pPr>
                </w:p>
              </w:tc>
              <w:tc>
                <w:tcPr>
                  <w:tcW w:w="1332" w:type="dxa"/>
                  <w:tcBorders>
                    <w:tl2br w:val="nil"/>
                    <w:tr2bl w:val="nil"/>
                  </w:tcBorders>
                  <w:shd w:val="clear" w:color="auto" w:fill="auto"/>
                  <w:vAlign w:val="center"/>
                </w:tcPr>
                <w:p w14:paraId="2DF26299">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eastAsia" w:ascii="宋体" w:hAnsi="宋体" w:eastAsia="宋体" w:cs="宋体"/>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SS</w:t>
                  </w:r>
                </w:p>
              </w:tc>
              <w:tc>
                <w:tcPr>
                  <w:tcW w:w="984" w:type="dxa"/>
                  <w:tcBorders>
                    <w:tl2br w:val="nil"/>
                    <w:tr2bl w:val="nil"/>
                  </w:tcBorders>
                  <w:shd w:val="clear" w:color="auto" w:fill="auto"/>
                  <w:vAlign w:val="center"/>
                </w:tcPr>
                <w:p w14:paraId="75D7B478">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35</w:t>
                  </w:r>
                </w:p>
              </w:tc>
              <w:tc>
                <w:tcPr>
                  <w:tcW w:w="948" w:type="dxa"/>
                  <w:tcBorders>
                    <w:tl2br w:val="nil"/>
                    <w:tr2bl w:val="nil"/>
                  </w:tcBorders>
                  <w:shd w:val="clear" w:color="auto" w:fill="auto"/>
                  <w:vAlign w:val="center"/>
                </w:tcPr>
                <w:p w14:paraId="46EC92BC">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37</w:t>
                  </w:r>
                </w:p>
              </w:tc>
              <w:tc>
                <w:tcPr>
                  <w:tcW w:w="684" w:type="dxa"/>
                  <w:tcBorders>
                    <w:tl2br w:val="nil"/>
                    <w:tr2bl w:val="nil"/>
                  </w:tcBorders>
                  <w:shd w:val="clear" w:color="auto" w:fill="auto"/>
                  <w:vAlign w:val="center"/>
                </w:tcPr>
                <w:p w14:paraId="0F8CC31B">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36</w:t>
                  </w:r>
                </w:p>
              </w:tc>
              <w:tc>
                <w:tcPr>
                  <w:tcW w:w="1200" w:type="dxa"/>
                  <w:tcBorders>
                    <w:tl2br w:val="nil"/>
                    <w:tr2bl w:val="nil"/>
                  </w:tcBorders>
                  <w:shd w:val="clear" w:color="auto" w:fill="auto"/>
                  <w:vAlign w:val="center"/>
                </w:tcPr>
                <w:p w14:paraId="69109E45">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34</w:t>
                  </w:r>
                </w:p>
              </w:tc>
              <w:tc>
                <w:tcPr>
                  <w:tcW w:w="1260" w:type="dxa"/>
                  <w:tcBorders>
                    <w:tl2br w:val="nil"/>
                    <w:tr2bl w:val="nil"/>
                  </w:tcBorders>
                  <w:shd w:val="clear" w:color="auto" w:fill="auto"/>
                  <w:vAlign w:val="center"/>
                </w:tcPr>
                <w:p w14:paraId="548D3A0A">
                  <w:pPr>
                    <w:keepNext w:val="0"/>
                    <w:keepLines w:val="0"/>
                    <w:widowControl w:val="0"/>
                    <w:suppressLineNumbers w:val="0"/>
                    <w:autoSpaceDE w:val="0"/>
                    <w:autoSpaceDN/>
                    <w:spacing w:before="0" w:beforeAutospacing="0" w:after="0" w:afterAutospacing="0" w:line="260" w:lineRule="exact"/>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400</w:t>
                  </w:r>
                </w:p>
              </w:tc>
              <w:tc>
                <w:tcPr>
                  <w:tcW w:w="1072" w:type="dxa"/>
                  <w:tcBorders>
                    <w:tl2br w:val="nil"/>
                    <w:tr2bl w:val="nil"/>
                  </w:tcBorders>
                  <w:shd w:val="clear" w:color="auto" w:fill="auto"/>
                  <w:vAlign w:val="center"/>
                </w:tcPr>
                <w:p w14:paraId="2B1A90A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color w:val="auto"/>
                      <w:kern w:val="2"/>
                      <w:sz w:val="21"/>
                      <w:szCs w:val="21"/>
                      <w:lang w:val="en-US" w:eastAsia="zh-CN" w:bidi="ar"/>
                    </w:rPr>
                  </w:pPr>
                  <w:r>
                    <w:rPr>
                      <w:rFonts w:hint="eastAsia" w:ascii="Times New Roman" w:hAnsi="Times New Roman" w:eastAsia="宋体" w:cs="Times New Roman"/>
                      <w:b w:val="0"/>
                      <w:bCs/>
                      <w:color w:val="auto"/>
                      <w:kern w:val="2"/>
                      <w:sz w:val="21"/>
                      <w:szCs w:val="21"/>
                      <w:lang w:val="en-US" w:eastAsia="zh-CN" w:bidi="ar"/>
                    </w:rPr>
                    <w:t>达标</w:t>
                  </w:r>
                </w:p>
              </w:tc>
            </w:tr>
          </w:tbl>
          <w:p w14:paraId="3F4D4EEE">
            <w:pPr>
              <w:keepNext w:val="0"/>
              <w:keepLines w:val="0"/>
              <w:widowControl w:val="0"/>
              <w:suppressLineNumbers w:val="0"/>
              <w:spacing w:before="156" w:beforeLines="50" w:beforeAutospacing="0" w:after="0" w:afterAutospacing="0" w:line="360" w:lineRule="auto"/>
              <w:ind w:left="0" w:right="0" w:firstLine="480" w:firstLineChars="200"/>
              <w:jc w:val="both"/>
              <w:rPr>
                <w:rFonts w:hint="default" w:ascii="Times New Roman" w:hAnsi="Times New Roman" w:eastAsiaTheme="minorEastAsia"/>
                <w:color w:val="auto"/>
                <w:sz w:val="24"/>
                <w:szCs w:val="24"/>
                <w:u w:val="none" w:color="auto"/>
              </w:rPr>
            </w:pPr>
            <w:r>
              <w:rPr>
                <w:rFonts w:hint="default" w:ascii="Times New Roman" w:hAnsi="Times New Roman" w:eastAsiaTheme="minorEastAsia"/>
                <w:color w:val="auto"/>
                <w:sz w:val="24"/>
                <w:szCs w:val="24"/>
                <w:u w:val="none" w:color="auto"/>
              </w:rPr>
              <w:t>根据表</w:t>
            </w:r>
            <w:r>
              <w:rPr>
                <w:rFonts w:hint="eastAsia" w:eastAsiaTheme="minorEastAsia"/>
                <w:color w:val="auto"/>
                <w:sz w:val="24"/>
                <w:szCs w:val="24"/>
                <w:u w:val="none" w:color="auto"/>
                <w:lang w:val="en-US" w:eastAsia="zh-CN"/>
              </w:rPr>
              <w:t>2</w:t>
            </w:r>
            <w:r>
              <w:rPr>
                <w:rFonts w:hint="default" w:ascii="Times New Roman" w:hAnsi="Times New Roman" w:eastAsiaTheme="minorEastAsia"/>
                <w:color w:val="auto"/>
                <w:sz w:val="24"/>
                <w:szCs w:val="24"/>
                <w:u w:val="none" w:color="auto"/>
              </w:rPr>
              <w:t>-</w:t>
            </w:r>
            <w:r>
              <w:rPr>
                <w:rFonts w:hint="eastAsia" w:eastAsiaTheme="minorEastAsia"/>
                <w:color w:val="auto"/>
                <w:sz w:val="24"/>
                <w:szCs w:val="24"/>
                <w:u w:val="none" w:color="auto"/>
                <w:lang w:val="en-US" w:eastAsia="zh-CN"/>
              </w:rPr>
              <w:t>11</w:t>
            </w:r>
            <w:r>
              <w:rPr>
                <w:rFonts w:hint="default" w:ascii="Times New Roman" w:hAnsi="Times New Roman" w:eastAsiaTheme="minorEastAsia"/>
                <w:color w:val="auto"/>
                <w:sz w:val="24"/>
                <w:szCs w:val="24"/>
                <w:u w:val="none" w:color="auto"/>
              </w:rPr>
              <w:t>监测结果表明，</w:t>
            </w:r>
            <w:r>
              <w:rPr>
                <w:rFonts w:hint="eastAsia" w:ascii="Times New Roman" w:hAnsi="Times New Roman" w:eastAsiaTheme="minorEastAsia"/>
                <w:color w:val="auto"/>
                <w:sz w:val="24"/>
                <w:szCs w:val="24"/>
                <w:u w:val="none" w:color="auto"/>
                <w:lang w:eastAsia="zh-CN"/>
              </w:rPr>
              <w:t>现有工程</w:t>
            </w:r>
            <w:r>
              <w:rPr>
                <w:rFonts w:hint="default" w:ascii="Times New Roman" w:hAnsi="Times New Roman" w:eastAsia="宋体" w:cs="Times New Roman"/>
                <w:color w:val="auto"/>
                <w:spacing w:val="-1"/>
                <w:sz w:val="24"/>
                <w:szCs w:val="24"/>
                <w:u w:val="none" w:color="auto"/>
              </w:rPr>
              <w:t>验收监测期间，</w:t>
            </w:r>
            <w:r>
              <w:rPr>
                <w:rFonts w:hint="eastAsia" w:ascii="Times New Roman" w:hAnsi="Times New Roman" w:eastAsiaTheme="minorEastAsia"/>
                <w:color w:val="auto"/>
                <w:sz w:val="24"/>
                <w:szCs w:val="24"/>
                <w:lang w:eastAsia="zh-CN"/>
              </w:rPr>
              <w:t>废水</w:t>
            </w:r>
            <w:r>
              <w:rPr>
                <w:rFonts w:hint="default" w:ascii="Times New Roman" w:hAnsi="Times New Roman" w:eastAsiaTheme="minorEastAsia"/>
                <w:color w:val="auto"/>
                <w:sz w:val="24"/>
                <w:szCs w:val="24"/>
              </w:rPr>
              <w:t>总排口废水中各项指标均达到</w:t>
            </w:r>
            <w:r>
              <w:rPr>
                <w:rFonts w:hint="eastAsia" w:ascii="Times New Roman" w:hAnsi="Times New Roman" w:eastAsiaTheme="minorEastAsia"/>
                <w:color w:val="auto"/>
                <w:sz w:val="24"/>
                <w:szCs w:val="24"/>
              </w:rPr>
              <w:t>《污水综合排放标准》（GB8978-1996）</w:t>
            </w:r>
            <w:r>
              <w:rPr>
                <w:rFonts w:hint="eastAsia" w:ascii="Times New Roman" w:hAnsi="Times New Roman" w:eastAsiaTheme="minorEastAsia"/>
                <w:color w:val="auto"/>
                <w:sz w:val="24"/>
                <w:szCs w:val="24"/>
                <w:lang w:eastAsia="zh-CN"/>
              </w:rPr>
              <w:t>三</w:t>
            </w:r>
            <w:r>
              <w:rPr>
                <w:rFonts w:hint="eastAsia" w:ascii="Times New Roman" w:hAnsi="Times New Roman" w:eastAsiaTheme="minorEastAsia"/>
                <w:color w:val="auto"/>
                <w:sz w:val="24"/>
                <w:szCs w:val="24"/>
              </w:rPr>
              <w:t>级标准</w:t>
            </w:r>
            <w:r>
              <w:rPr>
                <w:rFonts w:hint="eastAsia" w:ascii="Times New Roman" w:hAnsi="Times New Roman" w:eastAsiaTheme="minorEastAsia"/>
                <w:color w:val="auto"/>
                <w:sz w:val="24"/>
                <w:szCs w:val="24"/>
                <w:lang w:eastAsia="zh-CN"/>
              </w:rPr>
              <w:t>及污水处理厂进水水质标准中较严格标准</w:t>
            </w:r>
            <w:r>
              <w:rPr>
                <w:rFonts w:hint="default" w:ascii="Times New Roman" w:hAnsi="Times New Roman" w:eastAsiaTheme="minorEastAsia"/>
                <w:color w:val="auto"/>
                <w:sz w:val="24"/>
                <w:szCs w:val="24"/>
                <w:u w:val="none" w:color="auto"/>
              </w:rPr>
              <w:t>。</w:t>
            </w:r>
          </w:p>
          <w:p w14:paraId="17CF7299">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Theme="minorEastAsia"/>
                <w:b/>
                <w:bCs/>
                <w:color w:val="000000"/>
                <w:sz w:val="24"/>
                <w:szCs w:val="24"/>
                <w:u w:val="none" w:color="auto"/>
              </w:rPr>
            </w:pPr>
            <w:r>
              <w:rPr>
                <w:rFonts w:hint="eastAsia" w:ascii="Times New Roman" w:hAnsi="Times New Roman" w:eastAsiaTheme="minorEastAsia"/>
                <w:b/>
                <w:bCs/>
                <w:color w:val="000000"/>
                <w:sz w:val="24"/>
                <w:szCs w:val="24"/>
                <w:u w:val="none" w:color="auto"/>
              </w:rPr>
              <w:t>3</w:t>
            </w:r>
            <w:r>
              <w:rPr>
                <w:rFonts w:hint="default" w:ascii="Times New Roman" w:hAnsi="Times New Roman" w:eastAsiaTheme="minorEastAsia"/>
                <w:b/>
                <w:bCs/>
                <w:color w:val="000000"/>
                <w:sz w:val="24"/>
                <w:szCs w:val="24"/>
                <w:u w:val="none" w:color="auto"/>
              </w:rPr>
              <w:t>、噪声</w:t>
            </w:r>
          </w:p>
          <w:p w14:paraId="1011514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Theme="minorEastAsia"/>
                <w:color w:val="000000"/>
                <w:sz w:val="24"/>
                <w:szCs w:val="24"/>
                <w:u w:val="none" w:color="auto"/>
              </w:rPr>
            </w:pPr>
            <w:r>
              <w:rPr>
                <w:rFonts w:hint="eastAsia" w:ascii="宋体" w:hAnsi="宋体" w:cs="宋体"/>
                <w:color w:val="000000"/>
                <w:kern w:val="0"/>
                <w:sz w:val="24"/>
                <w:szCs w:val="24"/>
                <w:u w:val="none" w:color="auto"/>
                <w:lang w:val="en-US" w:eastAsia="zh-CN" w:bidi="ar"/>
              </w:rPr>
              <w:t>现有工程</w:t>
            </w:r>
            <w:r>
              <w:rPr>
                <w:rFonts w:hint="eastAsia" w:ascii="宋体" w:hAnsi="宋体" w:eastAsia="宋体" w:cs="宋体"/>
                <w:color w:val="000000"/>
                <w:kern w:val="0"/>
                <w:sz w:val="24"/>
                <w:szCs w:val="24"/>
                <w:u w:val="none" w:color="auto"/>
                <w:lang w:val="en-US" w:eastAsia="zh-CN" w:bidi="ar"/>
              </w:rPr>
              <w:t>噪声主要</w:t>
            </w:r>
            <w:r>
              <w:rPr>
                <w:rFonts w:hint="default" w:ascii="Times New Roman" w:hAnsi="Times New Roman" w:eastAsia="宋体" w:cs="Times New Roman"/>
                <w:color w:val="auto"/>
                <w:spacing w:val="0"/>
                <w:position w:val="0"/>
                <w:sz w:val="24"/>
                <w:szCs w:val="24"/>
                <w:u w:val="none" w:color="auto"/>
              </w:rPr>
              <w:t>来源于生产设备运行时产生的</w:t>
            </w:r>
            <w:r>
              <w:rPr>
                <w:rFonts w:hint="eastAsia" w:ascii="Times New Roman" w:hAnsi="Times New Roman" w:eastAsia="宋体" w:cs="Times New Roman"/>
                <w:color w:val="auto"/>
                <w:spacing w:val="0"/>
                <w:position w:val="0"/>
                <w:sz w:val="24"/>
                <w:szCs w:val="24"/>
                <w:u w:val="none" w:color="auto"/>
                <w:lang w:eastAsia="zh-CN"/>
              </w:rPr>
              <w:t>设备</w:t>
            </w:r>
            <w:r>
              <w:rPr>
                <w:rFonts w:hint="default" w:ascii="Times New Roman" w:hAnsi="Times New Roman" w:eastAsia="宋体" w:cs="Times New Roman"/>
                <w:color w:val="auto"/>
                <w:spacing w:val="0"/>
                <w:position w:val="0"/>
                <w:sz w:val="24"/>
                <w:szCs w:val="24"/>
                <w:u w:val="none" w:color="auto"/>
              </w:rPr>
              <w:t>噪声，其噪声值在75~90dB</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A</w:t>
            </w:r>
            <w:r>
              <w:rPr>
                <w:rFonts w:hint="default" w:ascii="Times New Roman" w:hAnsi="Times New Roman"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之间，所有生产设备均位于室内</w:t>
            </w:r>
            <w:r>
              <w:rPr>
                <w:rFonts w:hint="eastAsia" w:ascii="宋体" w:hAnsi="宋体" w:eastAsia="宋体" w:cs="宋体"/>
                <w:color w:val="000000"/>
                <w:kern w:val="0"/>
                <w:sz w:val="24"/>
                <w:szCs w:val="24"/>
                <w:u w:val="none" w:color="auto"/>
                <w:lang w:val="en-US" w:eastAsia="zh-CN" w:bidi="ar"/>
              </w:rPr>
              <w:t>。通过优先选用低噪声设备、厂房隔声、基础减震、加强设备维修保养等措施减轻噪声影响，</w:t>
            </w:r>
            <w:r>
              <w:rPr>
                <w:rFonts w:hint="default" w:ascii="Times New Roman" w:hAnsi="Times New Roman" w:eastAsiaTheme="minorEastAsia"/>
                <w:color w:val="000000"/>
                <w:sz w:val="24"/>
                <w:szCs w:val="24"/>
                <w:u w:val="none" w:color="auto"/>
              </w:rPr>
              <w:t>项目</w:t>
            </w:r>
            <w:r>
              <w:rPr>
                <w:rFonts w:hint="eastAsia" w:ascii="Times New Roman" w:hAnsi="Times New Roman" w:eastAsiaTheme="minorEastAsia"/>
                <w:color w:val="000000"/>
                <w:sz w:val="24"/>
                <w:szCs w:val="24"/>
                <w:u w:val="none" w:color="auto"/>
                <w:lang w:eastAsia="zh-CN"/>
              </w:rPr>
              <w:t>厂界</w:t>
            </w:r>
            <w:r>
              <w:rPr>
                <w:rFonts w:hint="default" w:ascii="Times New Roman" w:hAnsi="Times New Roman" w:eastAsiaTheme="minorEastAsia"/>
                <w:color w:val="000000"/>
                <w:sz w:val="24"/>
                <w:szCs w:val="24"/>
                <w:u w:val="none" w:color="auto"/>
              </w:rPr>
              <w:t>噪声能</w:t>
            </w:r>
            <w:r>
              <w:rPr>
                <w:rFonts w:hint="eastAsia" w:ascii="Times New Roman" w:hAnsi="Times New Roman" w:eastAsiaTheme="minorEastAsia"/>
                <w:color w:val="000000"/>
                <w:sz w:val="24"/>
                <w:szCs w:val="24"/>
                <w:u w:val="none" w:color="auto"/>
                <w:lang w:eastAsia="zh-CN"/>
              </w:rPr>
              <w:t>达到</w:t>
            </w:r>
            <w:r>
              <w:rPr>
                <w:rFonts w:hint="eastAsia" w:ascii="Times New Roman" w:hAnsi="Times New Roman" w:eastAsiaTheme="minorEastAsia"/>
                <w:color w:val="000000"/>
                <w:sz w:val="24"/>
                <w:szCs w:val="24"/>
                <w:u w:val="none" w:color="auto"/>
              </w:rPr>
              <w:t>《工业企业厂界环境噪声排放标准》（GB12348-2008）</w:t>
            </w:r>
            <w:r>
              <w:rPr>
                <w:rFonts w:hint="eastAsia" w:ascii="Times New Roman" w:hAnsi="Times New Roman" w:eastAsiaTheme="minorEastAsia"/>
                <w:color w:val="000000"/>
                <w:sz w:val="24"/>
                <w:szCs w:val="24"/>
                <w:u w:val="none" w:color="auto"/>
                <w:lang w:val="en-US" w:eastAsia="zh-CN"/>
              </w:rPr>
              <w:t>3</w:t>
            </w:r>
            <w:r>
              <w:rPr>
                <w:rFonts w:hint="eastAsia" w:ascii="Times New Roman" w:hAnsi="Times New Roman" w:eastAsiaTheme="minorEastAsia"/>
                <w:color w:val="000000"/>
                <w:sz w:val="24"/>
                <w:szCs w:val="24"/>
                <w:u w:val="none" w:color="auto"/>
              </w:rPr>
              <w:t>类标准</w:t>
            </w:r>
            <w:r>
              <w:rPr>
                <w:rFonts w:hint="default" w:ascii="Times New Roman" w:hAnsi="Times New Roman" w:eastAsiaTheme="minorEastAsia"/>
                <w:color w:val="000000"/>
                <w:sz w:val="24"/>
                <w:szCs w:val="24"/>
                <w:u w:val="none" w:color="auto"/>
              </w:rPr>
              <w:t>。</w:t>
            </w:r>
          </w:p>
          <w:p w14:paraId="38D537EE">
            <w:pPr>
              <w:keepNext w:val="0"/>
              <w:keepLines w:val="0"/>
              <w:widowControl w:val="0"/>
              <w:suppressLineNumbers w:val="0"/>
              <w:spacing w:before="0" w:beforeAutospacing="0" w:after="0" w:afterAutospacing="0"/>
              <w:ind w:left="0" w:right="0"/>
              <w:jc w:val="center"/>
              <w:rPr>
                <w:rFonts w:hint="eastAsia" w:ascii="Times New Roman" w:hAnsi="Times New Roman" w:eastAsiaTheme="minorEastAsia"/>
                <w:b/>
                <w:bCs/>
                <w:color w:val="auto"/>
                <w:sz w:val="24"/>
                <w:szCs w:val="24"/>
                <w:u w:val="none" w:color="auto"/>
              </w:rPr>
            </w:pPr>
            <w:r>
              <w:rPr>
                <w:rFonts w:hint="eastAsia" w:ascii="Times New Roman" w:hAnsi="Times New Roman" w:cs="Times New Roman" w:eastAsiaTheme="minorEastAsia"/>
                <w:b/>
                <w:bCs/>
                <w:color w:val="auto"/>
                <w:sz w:val="24"/>
                <w:szCs w:val="24"/>
                <w:u w:val="none" w:color="auto"/>
                <w:lang w:val="en-US" w:eastAsia="zh-CN"/>
              </w:rPr>
              <w:t>表2-12</w:t>
            </w:r>
            <w:r>
              <w:rPr>
                <w:rFonts w:hint="eastAsia" w:ascii="Times New Roman" w:hAnsi="Times New Roman" w:eastAsiaTheme="minorEastAsia"/>
                <w:color w:val="000000"/>
                <w:sz w:val="24"/>
                <w:szCs w:val="24"/>
                <w:u w:val="none" w:color="auto"/>
                <w:lang w:val="en-US" w:eastAsia="zh-CN"/>
              </w:rPr>
              <w:t xml:space="preserve">  </w:t>
            </w:r>
            <w:r>
              <w:rPr>
                <w:rFonts w:hint="eastAsia" w:ascii="Times New Roman" w:hAnsi="Times New Roman" w:eastAsiaTheme="minorEastAsia"/>
                <w:b/>
                <w:bCs/>
                <w:color w:val="auto"/>
                <w:sz w:val="24"/>
                <w:szCs w:val="24"/>
                <w:u w:val="none" w:color="auto"/>
                <w:lang w:eastAsia="zh-CN"/>
              </w:rPr>
              <w:t>现有工程</w:t>
            </w:r>
            <w:r>
              <w:rPr>
                <w:rFonts w:hint="eastAsia" w:ascii="Times New Roman" w:hAnsi="Times New Roman" w:eastAsiaTheme="minorEastAsia"/>
                <w:b/>
                <w:bCs/>
                <w:color w:val="auto"/>
                <w:sz w:val="24"/>
                <w:szCs w:val="24"/>
                <w:u w:val="none" w:color="auto"/>
              </w:rPr>
              <w:t>噪声监测结果</w:t>
            </w:r>
          </w:p>
          <w:tbl>
            <w:tblPr>
              <w:tblStyle w:val="3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88"/>
              <w:gridCol w:w="3008"/>
              <w:gridCol w:w="3008"/>
            </w:tblGrid>
            <w:tr w14:paraId="5F583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545" w:type="dxa"/>
                  <w:vMerge w:val="restart"/>
                  <w:tcBorders>
                    <w:tl2br w:val="nil"/>
                    <w:tr2bl w:val="nil"/>
                  </w:tcBorders>
                  <w:shd w:val="clear" w:color="auto" w:fill="auto"/>
                  <w:vAlign w:val="center"/>
                </w:tcPr>
                <w:p w14:paraId="1EA08AE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lang w:val="en-US" w:eastAsia="zh-CN" w:bidi="ar"/>
                    </w:rPr>
                  </w:pPr>
                  <w:r>
                    <w:rPr>
                      <w:rFonts w:hint="default" w:ascii="Times New Roman" w:hAnsi="Times New Roman" w:eastAsia="宋体" w:cs="Times New Roman"/>
                      <w:b/>
                      <w:bCs/>
                      <w:kern w:val="2"/>
                      <w:sz w:val="21"/>
                      <w:szCs w:val="21"/>
                      <w:lang w:val="en-US" w:eastAsia="zh-CN" w:bidi="ar"/>
                    </w:rPr>
                    <w:t>采样点位</w:t>
                  </w:r>
                </w:p>
              </w:tc>
              <w:tc>
                <w:tcPr>
                  <w:tcW w:w="6154" w:type="dxa"/>
                  <w:gridSpan w:val="2"/>
                  <w:tcBorders>
                    <w:tl2br w:val="nil"/>
                    <w:tr2bl w:val="nil"/>
                  </w:tcBorders>
                  <w:shd w:val="clear" w:color="auto" w:fill="auto"/>
                  <w:vAlign w:val="center"/>
                </w:tcPr>
                <w:p w14:paraId="358B2F9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lang w:val="en-US" w:eastAsia="zh-CN" w:bidi="ar"/>
                    </w:rPr>
                  </w:pPr>
                  <w:r>
                    <w:rPr>
                      <w:rFonts w:hint="default" w:ascii="Times New Roman" w:hAnsi="Times New Roman" w:eastAsia="宋体" w:cs="Times New Roman"/>
                      <w:b/>
                      <w:bCs/>
                      <w:kern w:val="2"/>
                      <w:sz w:val="21"/>
                      <w:szCs w:val="21"/>
                      <w:lang w:val="en-US" w:eastAsia="zh-CN" w:bidi="ar"/>
                    </w:rPr>
                    <w:t>采样时间及检测结果dB（A）</w:t>
                  </w:r>
                </w:p>
              </w:tc>
            </w:tr>
            <w:tr w14:paraId="1DC00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545" w:type="dxa"/>
                  <w:vMerge w:val="continue"/>
                  <w:tcBorders>
                    <w:tl2br w:val="nil"/>
                    <w:tr2bl w:val="nil"/>
                  </w:tcBorders>
                  <w:shd w:val="clear" w:color="auto" w:fill="auto"/>
                  <w:vAlign w:val="center"/>
                </w:tcPr>
                <w:p w14:paraId="1FBD38B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lang w:val="en-US" w:eastAsia="zh-CN" w:bidi="ar"/>
                    </w:rPr>
                  </w:pPr>
                </w:p>
              </w:tc>
              <w:tc>
                <w:tcPr>
                  <w:tcW w:w="3077" w:type="dxa"/>
                  <w:tcBorders>
                    <w:tl2br w:val="nil"/>
                    <w:tr2bl w:val="nil"/>
                  </w:tcBorders>
                  <w:shd w:val="clear" w:color="auto" w:fill="auto"/>
                  <w:vAlign w:val="center"/>
                </w:tcPr>
                <w:p w14:paraId="47EE941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lang w:val="en-US" w:eastAsia="zh-CN" w:bidi="ar"/>
                    </w:rPr>
                  </w:pPr>
                  <w:r>
                    <w:rPr>
                      <w:rFonts w:hint="default" w:ascii="Times New Roman" w:hAnsi="Times New Roman" w:eastAsia="宋体" w:cs="Times New Roman"/>
                      <w:b/>
                      <w:bCs/>
                      <w:kern w:val="2"/>
                      <w:sz w:val="21"/>
                      <w:szCs w:val="21"/>
                      <w:lang w:val="en-US" w:eastAsia="zh-CN" w:bidi="ar"/>
                    </w:rPr>
                    <w:t>2024.01.19</w:t>
                  </w:r>
                </w:p>
              </w:tc>
              <w:tc>
                <w:tcPr>
                  <w:tcW w:w="3077" w:type="dxa"/>
                  <w:tcBorders>
                    <w:tl2br w:val="nil"/>
                    <w:tr2bl w:val="nil"/>
                  </w:tcBorders>
                  <w:shd w:val="clear" w:color="auto" w:fill="auto"/>
                  <w:vAlign w:val="center"/>
                </w:tcPr>
                <w:p w14:paraId="709E496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lang w:val="en-US" w:eastAsia="zh-CN" w:bidi="ar"/>
                    </w:rPr>
                  </w:pPr>
                  <w:r>
                    <w:rPr>
                      <w:rFonts w:hint="default" w:ascii="Times New Roman" w:hAnsi="Times New Roman" w:eastAsia="宋体" w:cs="Times New Roman"/>
                      <w:b/>
                      <w:bCs/>
                      <w:kern w:val="2"/>
                      <w:sz w:val="21"/>
                      <w:szCs w:val="21"/>
                      <w:lang w:val="en-US" w:eastAsia="zh-CN" w:bidi="ar"/>
                    </w:rPr>
                    <w:t>2024.01.20</w:t>
                  </w:r>
                </w:p>
              </w:tc>
            </w:tr>
            <w:tr w14:paraId="431F1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545" w:type="dxa"/>
                  <w:vMerge w:val="continue"/>
                  <w:tcBorders>
                    <w:tl2br w:val="nil"/>
                    <w:tr2bl w:val="nil"/>
                  </w:tcBorders>
                  <w:shd w:val="clear" w:color="auto" w:fill="auto"/>
                  <w:vAlign w:val="center"/>
                </w:tcPr>
                <w:p w14:paraId="7FBF5E7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lang w:val="en-US" w:eastAsia="zh-CN" w:bidi="ar"/>
                    </w:rPr>
                  </w:pPr>
                </w:p>
              </w:tc>
              <w:tc>
                <w:tcPr>
                  <w:tcW w:w="3077" w:type="dxa"/>
                  <w:tcBorders>
                    <w:tl2br w:val="nil"/>
                    <w:tr2bl w:val="nil"/>
                  </w:tcBorders>
                  <w:shd w:val="clear" w:color="auto" w:fill="auto"/>
                  <w:vAlign w:val="center"/>
                </w:tcPr>
                <w:p w14:paraId="4A6F96A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lang w:val="en-US" w:eastAsia="zh-CN" w:bidi="ar"/>
                    </w:rPr>
                  </w:pPr>
                  <w:r>
                    <w:rPr>
                      <w:rFonts w:hint="default" w:ascii="Times New Roman" w:hAnsi="Times New Roman" w:eastAsia="宋体" w:cs="Times New Roman"/>
                      <w:b/>
                      <w:bCs/>
                      <w:kern w:val="2"/>
                      <w:sz w:val="21"/>
                      <w:szCs w:val="21"/>
                      <w:lang w:val="en-US" w:eastAsia="zh-CN" w:bidi="ar"/>
                    </w:rPr>
                    <w:t>昼间（Leq）</w:t>
                  </w:r>
                </w:p>
              </w:tc>
              <w:tc>
                <w:tcPr>
                  <w:tcW w:w="3077" w:type="dxa"/>
                  <w:tcBorders>
                    <w:tl2br w:val="nil"/>
                    <w:tr2bl w:val="nil"/>
                  </w:tcBorders>
                  <w:shd w:val="clear" w:color="auto" w:fill="auto"/>
                  <w:vAlign w:val="center"/>
                </w:tcPr>
                <w:p w14:paraId="74AC8ED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lang w:val="en-US" w:eastAsia="zh-CN" w:bidi="ar"/>
                    </w:rPr>
                  </w:pPr>
                  <w:r>
                    <w:rPr>
                      <w:rFonts w:hint="default" w:ascii="Times New Roman" w:hAnsi="Times New Roman" w:eastAsia="宋体" w:cs="Times New Roman"/>
                      <w:b/>
                      <w:bCs/>
                      <w:kern w:val="2"/>
                      <w:sz w:val="21"/>
                      <w:szCs w:val="21"/>
                      <w:lang w:val="en-US" w:eastAsia="zh-CN" w:bidi="ar"/>
                    </w:rPr>
                    <w:t>昼间（Leq）</w:t>
                  </w:r>
                </w:p>
              </w:tc>
            </w:tr>
            <w:tr w14:paraId="5DC6D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tcBorders>
                    <w:tl2br w:val="nil"/>
                    <w:tr2bl w:val="nil"/>
                  </w:tcBorders>
                  <w:shd w:val="clear" w:color="auto" w:fill="auto"/>
                  <w:vAlign w:val="center"/>
                </w:tcPr>
                <w:p w14:paraId="0457C74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厂界东侧外1m处</w:t>
                  </w:r>
                </w:p>
              </w:tc>
              <w:tc>
                <w:tcPr>
                  <w:tcW w:w="3077" w:type="dxa"/>
                  <w:tcBorders>
                    <w:tl2br w:val="nil"/>
                    <w:tr2bl w:val="nil"/>
                  </w:tcBorders>
                  <w:shd w:val="clear" w:color="auto" w:fill="auto"/>
                  <w:vAlign w:val="center"/>
                </w:tcPr>
                <w:p w14:paraId="57E8AC1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55</w:t>
                  </w:r>
                </w:p>
              </w:tc>
              <w:tc>
                <w:tcPr>
                  <w:tcW w:w="3077" w:type="dxa"/>
                  <w:tcBorders>
                    <w:tl2br w:val="nil"/>
                    <w:tr2bl w:val="nil"/>
                  </w:tcBorders>
                  <w:shd w:val="clear" w:color="auto" w:fill="auto"/>
                  <w:vAlign w:val="center"/>
                </w:tcPr>
                <w:p w14:paraId="2DBEA6A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56</w:t>
                  </w:r>
                </w:p>
              </w:tc>
            </w:tr>
            <w:tr w14:paraId="62B17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tcBorders>
                    <w:tl2br w:val="nil"/>
                    <w:tr2bl w:val="nil"/>
                  </w:tcBorders>
                  <w:shd w:val="clear" w:color="auto" w:fill="auto"/>
                  <w:vAlign w:val="center"/>
                </w:tcPr>
                <w:p w14:paraId="739E6CA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厂界南侧外1m处</w:t>
                  </w:r>
                </w:p>
              </w:tc>
              <w:tc>
                <w:tcPr>
                  <w:tcW w:w="3077" w:type="dxa"/>
                  <w:tcBorders>
                    <w:tl2br w:val="nil"/>
                    <w:tr2bl w:val="nil"/>
                  </w:tcBorders>
                  <w:shd w:val="clear" w:color="auto" w:fill="auto"/>
                  <w:vAlign w:val="center"/>
                </w:tcPr>
                <w:p w14:paraId="7A66A4D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56</w:t>
                  </w:r>
                </w:p>
              </w:tc>
              <w:tc>
                <w:tcPr>
                  <w:tcW w:w="3077" w:type="dxa"/>
                  <w:tcBorders>
                    <w:tl2br w:val="nil"/>
                    <w:tr2bl w:val="nil"/>
                  </w:tcBorders>
                  <w:shd w:val="clear" w:color="auto" w:fill="auto"/>
                  <w:vAlign w:val="center"/>
                </w:tcPr>
                <w:p w14:paraId="6A17676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55</w:t>
                  </w:r>
                </w:p>
              </w:tc>
            </w:tr>
            <w:tr w14:paraId="0963E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tcBorders>
                    <w:tl2br w:val="nil"/>
                    <w:tr2bl w:val="nil"/>
                  </w:tcBorders>
                  <w:shd w:val="clear" w:color="auto" w:fill="auto"/>
                  <w:vAlign w:val="center"/>
                </w:tcPr>
                <w:p w14:paraId="394D932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厂界西侧外1m处</w:t>
                  </w:r>
                </w:p>
              </w:tc>
              <w:tc>
                <w:tcPr>
                  <w:tcW w:w="3077" w:type="dxa"/>
                  <w:tcBorders>
                    <w:tl2br w:val="nil"/>
                    <w:tr2bl w:val="nil"/>
                  </w:tcBorders>
                  <w:shd w:val="clear" w:color="auto" w:fill="auto"/>
                  <w:vAlign w:val="center"/>
                </w:tcPr>
                <w:p w14:paraId="6A51905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52</w:t>
                  </w:r>
                </w:p>
              </w:tc>
              <w:tc>
                <w:tcPr>
                  <w:tcW w:w="3077" w:type="dxa"/>
                  <w:tcBorders>
                    <w:tl2br w:val="nil"/>
                    <w:tr2bl w:val="nil"/>
                  </w:tcBorders>
                  <w:shd w:val="clear" w:color="auto" w:fill="auto"/>
                  <w:vAlign w:val="center"/>
                </w:tcPr>
                <w:p w14:paraId="4702BD2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56</w:t>
                  </w:r>
                </w:p>
              </w:tc>
            </w:tr>
            <w:tr w14:paraId="0984B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45" w:type="dxa"/>
                  <w:tcBorders>
                    <w:tl2br w:val="nil"/>
                    <w:tr2bl w:val="nil"/>
                  </w:tcBorders>
                  <w:shd w:val="clear" w:color="auto" w:fill="auto"/>
                  <w:vAlign w:val="center"/>
                </w:tcPr>
                <w:p w14:paraId="74B9D8B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厂界北侧外1m处</w:t>
                  </w:r>
                </w:p>
              </w:tc>
              <w:tc>
                <w:tcPr>
                  <w:tcW w:w="3077" w:type="dxa"/>
                  <w:tcBorders>
                    <w:tl2br w:val="nil"/>
                    <w:tr2bl w:val="nil"/>
                  </w:tcBorders>
                  <w:shd w:val="clear" w:color="auto" w:fill="auto"/>
                  <w:vAlign w:val="center"/>
                </w:tcPr>
                <w:p w14:paraId="7D6CFAC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56</w:t>
                  </w:r>
                </w:p>
              </w:tc>
              <w:tc>
                <w:tcPr>
                  <w:tcW w:w="3077" w:type="dxa"/>
                  <w:tcBorders>
                    <w:tl2br w:val="nil"/>
                    <w:tr2bl w:val="nil"/>
                  </w:tcBorders>
                  <w:shd w:val="clear" w:color="auto" w:fill="auto"/>
                  <w:vAlign w:val="center"/>
                </w:tcPr>
                <w:p w14:paraId="33D12B3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56</w:t>
                  </w:r>
                </w:p>
              </w:tc>
            </w:tr>
          </w:tbl>
          <w:p w14:paraId="12350E4D">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Theme="minorEastAsia"/>
                <w:color w:val="000000"/>
                <w:sz w:val="24"/>
                <w:szCs w:val="24"/>
                <w:u w:val="none" w:color="auto"/>
                <w:lang w:val="en-US" w:eastAsia="zh-CN"/>
              </w:rPr>
            </w:pPr>
            <w:r>
              <w:rPr>
                <w:rFonts w:hint="default" w:ascii="Times New Roman" w:hAnsi="Times New Roman" w:eastAsiaTheme="minorEastAsia"/>
                <w:color w:val="auto"/>
                <w:sz w:val="24"/>
                <w:szCs w:val="24"/>
                <w:u w:val="none" w:color="auto"/>
              </w:rPr>
              <w:t>根据表</w:t>
            </w:r>
            <w:r>
              <w:rPr>
                <w:rFonts w:hint="eastAsia" w:ascii="Times New Roman" w:hAnsi="Times New Roman" w:eastAsiaTheme="minorEastAsia"/>
                <w:color w:val="auto"/>
                <w:sz w:val="24"/>
                <w:szCs w:val="24"/>
                <w:u w:val="none" w:color="auto"/>
                <w:lang w:val="en-US" w:eastAsia="zh-CN"/>
              </w:rPr>
              <w:t>2-12</w:t>
            </w:r>
            <w:r>
              <w:rPr>
                <w:rFonts w:hint="default" w:ascii="Times New Roman" w:hAnsi="Times New Roman" w:eastAsiaTheme="minorEastAsia"/>
                <w:color w:val="auto"/>
                <w:sz w:val="24"/>
                <w:szCs w:val="24"/>
                <w:u w:val="none" w:color="auto"/>
              </w:rPr>
              <w:t>监测结果表明，</w:t>
            </w:r>
            <w:r>
              <w:rPr>
                <w:rFonts w:hint="default" w:ascii="Times New Roman" w:hAnsi="Times New Roman" w:eastAsia="宋体" w:cs="Times New Roman"/>
                <w:color w:val="auto"/>
                <w:spacing w:val="-1"/>
                <w:sz w:val="24"/>
                <w:szCs w:val="24"/>
                <w:u w:val="none" w:color="auto"/>
              </w:rPr>
              <w:t>验收监测期间，</w:t>
            </w:r>
            <w:r>
              <w:rPr>
                <w:rFonts w:hint="default" w:ascii="Times New Roman" w:hAnsi="Times New Roman" w:eastAsiaTheme="minorEastAsia"/>
                <w:color w:val="auto"/>
                <w:sz w:val="24"/>
                <w:szCs w:val="24"/>
                <w:u w:val="none" w:color="auto"/>
              </w:rPr>
              <w:t>厂界噪声监测值能满足《工业企业厂界环境噪声排放标准》（GB12348-2008）</w:t>
            </w:r>
            <w:r>
              <w:rPr>
                <w:rFonts w:hint="eastAsia" w:ascii="Times New Roman" w:hAnsi="Times New Roman" w:eastAsiaTheme="minorEastAsia"/>
                <w:color w:val="auto"/>
                <w:sz w:val="24"/>
                <w:szCs w:val="24"/>
                <w:u w:val="none" w:color="auto"/>
                <w:lang w:val="en-US" w:eastAsia="zh-CN"/>
              </w:rPr>
              <w:t>3</w:t>
            </w:r>
            <w:r>
              <w:rPr>
                <w:rFonts w:hint="default" w:ascii="Times New Roman" w:hAnsi="Times New Roman" w:eastAsiaTheme="minorEastAsia"/>
                <w:color w:val="auto"/>
                <w:sz w:val="24"/>
                <w:szCs w:val="24"/>
                <w:u w:val="none" w:color="auto"/>
              </w:rPr>
              <w:t>类标准要求。</w:t>
            </w:r>
          </w:p>
          <w:p w14:paraId="360512CD">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Theme="minorEastAsia"/>
                <w:b/>
                <w:bCs/>
                <w:color w:val="000000"/>
                <w:sz w:val="24"/>
                <w:szCs w:val="24"/>
                <w:u w:val="none" w:color="auto"/>
              </w:rPr>
            </w:pPr>
            <w:r>
              <w:rPr>
                <w:rFonts w:hint="eastAsia" w:ascii="Times New Roman" w:hAnsi="Times New Roman" w:eastAsiaTheme="minorEastAsia"/>
                <w:b/>
                <w:bCs/>
                <w:color w:val="000000"/>
                <w:sz w:val="24"/>
                <w:szCs w:val="24"/>
                <w:u w:val="none" w:color="auto"/>
              </w:rPr>
              <w:t>4</w:t>
            </w:r>
            <w:r>
              <w:rPr>
                <w:rFonts w:hint="default" w:ascii="Times New Roman" w:hAnsi="Times New Roman" w:eastAsiaTheme="minorEastAsia"/>
                <w:b/>
                <w:bCs/>
                <w:color w:val="000000"/>
                <w:sz w:val="24"/>
                <w:szCs w:val="24"/>
                <w:u w:val="none" w:color="auto"/>
              </w:rPr>
              <w:t>、固体废物</w:t>
            </w:r>
          </w:p>
          <w:p w14:paraId="06CE39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cs="Times New Roman"/>
                <w:b w:val="0"/>
                <w:bCs w:val="0"/>
                <w:color w:val="auto"/>
                <w:spacing w:val="0"/>
                <w:sz w:val="24"/>
                <w:szCs w:val="24"/>
                <w:u w:val="none" w:color="auto"/>
                <w:lang w:val="en-US" w:eastAsia="zh-CN"/>
              </w:rPr>
              <w:t>现有工程</w:t>
            </w:r>
            <w:r>
              <w:rPr>
                <w:rFonts w:hint="eastAsia" w:ascii="Times New Roman" w:hAnsi="Times New Roman" w:eastAsia="宋体" w:cs="Times New Roman"/>
                <w:b w:val="0"/>
                <w:bCs w:val="0"/>
                <w:color w:val="auto"/>
                <w:spacing w:val="0"/>
                <w:sz w:val="24"/>
                <w:szCs w:val="24"/>
                <w:u w:val="none" w:color="auto"/>
                <w:lang w:val="en-US" w:eastAsia="zh-CN"/>
              </w:rPr>
              <w:t>产生的固体废物主要包括</w:t>
            </w:r>
            <w:r>
              <w:rPr>
                <w:rFonts w:hint="eastAsia" w:ascii="Times New Roman" w:hAnsi="Times New Roman" w:eastAsia="宋体" w:cs="Times New Roman"/>
                <w:b w:val="0"/>
                <w:bCs w:val="0"/>
                <w:color w:val="auto"/>
                <w:spacing w:val="0"/>
                <w:sz w:val="24"/>
                <w:szCs w:val="24"/>
                <w:lang w:val="en-US" w:eastAsia="zh-CN"/>
              </w:rPr>
              <w:t>生活垃圾、一般工业固体废物和危险废物。</w:t>
            </w:r>
          </w:p>
          <w:p w14:paraId="4AEAA0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其中一般工业固体废物包括：一般性废包装材料、机加工产生的金属边角料；焊接工序产生的废焊渣等。一般工业固体废物收集暂存于厂区北侧的一般固废暂存间后，</w:t>
            </w:r>
            <w:r>
              <w:rPr>
                <w:rFonts w:hint="eastAsia" w:ascii="Times New Roman" w:hAnsi="Times New Roman" w:eastAsia="宋体" w:cs="Times New Roman"/>
                <w:color w:val="auto"/>
                <w:spacing w:val="0"/>
                <w:w w:val="100"/>
                <w:kern w:val="0"/>
                <w:position w:val="0"/>
                <w:sz w:val="24"/>
                <w:szCs w:val="24"/>
                <w:u w:val="none" w:color="auto"/>
                <w:lang w:val="en-US" w:eastAsia="zh-CN"/>
              </w:rPr>
              <w:t>委托物资回收公司回收处理。</w:t>
            </w:r>
          </w:p>
          <w:p w14:paraId="1BAA2E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危险废物包括：焊缝钝化时产生的毛刷、废抹布；设备维修产生的废润滑油、废油桶、废油抹布及手套等；机加工产生的废冷却液、废液压油等，收集暂存于危废暂存间后，交由相关资质单位进行处理处置。本项目在厂房北侧建有一座危废暂存间，按《危险废物贮存污染控制标准》相关要求建设，并与湖南省云风岚环保有限责任公司签订危废处置协议。</w:t>
            </w:r>
          </w:p>
          <w:p w14:paraId="53560595">
            <w:pPr>
              <w:pStyle w:val="8"/>
              <w:numPr>
                <w:ilvl w:val="1"/>
                <w:numId w:val="0"/>
              </w:numPr>
              <w:suppressLineNumbers w:val="0"/>
              <w:spacing w:before="0" w:beforeAutospacing="0" w:after="0" w:afterAutospacing="0"/>
              <w:ind w:left="0" w:leftChars="0" w:right="0" w:firstLine="480" w:firstLineChars="200"/>
              <w:rPr>
                <w:rFonts w:hint="eastAsia"/>
                <w:b/>
                <w:bCs/>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b w:val="0"/>
                <w:bCs w:val="0"/>
                <w:color w:val="auto"/>
                <w:spacing w:val="0"/>
                <w:sz w:val="24"/>
                <w:szCs w:val="24"/>
                <w:u w:val="none" w:color="auto"/>
                <w:lang w:val="en-US" w:eastAsia="zh-CN"/>
              </w:rPr>
              <w:t>生活垃圾收集进垃圾桶后，定期交由环卫部门清运处理。</w:t>
            </w:r>
          </w:p>
          <w:p w14:paraId="51F7C0A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bCs/>
                <w:color w:val="000000"/>
                <w:sz w:val="24"/>
                <w:szCs w:val="24"/>
              </w:rPr>
            </w:pPr>
            <w:r>
              <w:rPr>
                <w:rFonts w:hint="eastAsia"/>
                <w:bCs/>
                <w:color w:val="000000"/>
                <w:sz w:val="24"/>
                <w:szCs w:val="24"/>
                <w:lang w:eastAsia="zh-CN"/>
              </w:rPr>
              <w:t>根据</w:t>
            </w:r>
            <w:r>
              <w:rPr>
                <w:rFonts w:hint="eastAsia" w:cs="Times New Roman"/>
                <w:color w:val="auto"/>
                <w:spacing w:val="0"/>
                <w:w w:val="100"/>
                <w:position w:val="0"/>
                <w:sz w:val="24"/>
                <w:szCs w:val="24"/>
                <w:highlight w:val="none"/>
                <w:u w:val="none" w:color="auto"/>
                <w:lang w:val="en-US" w:eastAsia="zh-CN"/>
              </w:rPr>
              <w:t>《</w:t>
            </w:r>
            <w:r>
              <w:rPr>
                <w:rFonts w:hint="eastAsia" w:ascii="Times New Roman" w:hAnsi="Times New Roman" w:eastAsiaTheme="minorEastAsia"/>
                <w:color w:val="auto"/>
                <w:sz w:val="24"/>
                <w:szCs w:val="24"/>
                <w:lang w:eastAsia="zh-CN"/>
              </w:rPr>
              <w:t>湖南众联设备智能制造产业园项目</w:t>
            </w:r>
            <w:r>
              <w:rPr>
                <w:rFonts w:hint="eastAsia" w:ascii="Times New Roman" w:hAnsi="Times New Roman" w:eastAsia="宋体" w:cs="Times New Roman"/>
                <w:color w:val="auto"/>
                <w:sz w:val="24"/>
                <w:szCs w:val="24"/>
                <w:highlight w:val="none"/>
                <w:u w:val="none" w:color="auto"/>
                <w:lang w:val="en-US" w:eastAsia="zh-CN"/>
              </w:rPr>
              <w:t>环境影响报告表</w:t>
            </w:r>
            <w:r>
              <w:rPr>
                <w:rFonts w:hint="eastAsia" w:cs="Times New Roman"/>
                <w:color w:val="auto"/>
                <w:spacing w:val="0"/>
                <w:w w:val="100"/>
                <w:position w:val="0"/>
                <w:sz w:val="24"/>
                <w:szCs w:val="24"/>
                <w:highlight w:val="none"/>
                <w:u w:val="none" w:color="auto"/>
                <w:lang w:val="en-US" w:eastAsia="zh-CN"/>
              </w:rPr>
              <w:t>》及实际情况，确定现有</w:t>
            </w:r>
            <w:r>
              <w:rPr>
                <w:rFonts w:hint="default" w:ascii="Times New Roman" w:hAnsi="Times New Roman" w:eastAsia="宋体"/>
                <w:bCs/>
                <w:color w:val="000000"/>
                <w:sz w:val="24"/>
                <w:szCs w:val="24"/>
              </w:rPr>
              <w:t>项目固体废物产生及处置情况见下表。</w:t>
            </w:r>
          </w:p>
          <w:p w14:paraId="4C8B797A">
            <w:pPr>
              <w:keepNext w:val="0"/>
              <w:keepLines w:val="0"/>
              <w:widowControl w:val="0"/>
              <w:suppressLineNumbers w:val="0"/>
              <w:spacing w:before="0" w:beforeAutospacing="0" w:after="0" w:afterAutospacing="0"/>
              <w:ind w:left="0" w:right="0" w:firstLine="482" w:firstLineChars="200"/>
              <w:jc w:val="center"/>
              <w:rPr>
                <w:rFonts w:hint="default" w:ascii="Times New Roman" w:hAnsi="Times New Roman" w:eastAsia="宋体"/>
                <w:b/>
                <w:sz w:val="24"/>
                <w:szCs w:val="24"/>
              </w:rPr>
            </w:pPr>
            <w:r>
              <w:rPr>
                <w:rFonts w:hint="default" w:ascii="Times New Roman" w:hAnsi="Times New Roman" w:eastAsia="宋体"/>
                <w:b/>
                <w:sz w:val="24"/>
                <w:szCs w:val="24"/>
              </w:rPr>
              <w:t>表</w:t>
            </w:r>
            <w:r>
              <w:rPr>
                <w:rFonts w:hint="eastAsia"/>
                <w:b/>
                <w:sz w:val="24"/>
                <w:szCs w:val="24"/>
                <w:lang w:val="en-US" w:eastAsia="zh-CN"/>
              </w:rPr>
              <w:t>2</w:t>
            </w:r>
            <w:r>
              <w:rPr>
                <w:rFonts w:hint="default" w:ascii="Times New Roman" w:hAnsi="Times New Roman" w:eastAsia="宋体"/>
                <w:b/>
                <w:sz w:val="24"/>
                <w:szCs w:val="24"/>
              </w:rPr>
              <w:t>-</w:t>
            </w:r>
            <w:r>
              <w:rPr>
                <w:rFonts w:hint="eastAsia" w:ascii="Times New Roman" w:hAnsi="Times New Roman" w:eastAsia="宋体"/>
                <w:b/>
                <w:sz w:val="24"/>
                <w:szCs w:val="24"/>
                <w:lang w:val="en-US" w:eastAsia="zh-CN"/>
              </w:rPr>
              <w:t>1</w:t>
            </w:r>
            <w:r>
              <w:rPr>
                <w:rFonts w:hint="eastAsia"/>
                <w:b/>
                <w:sz w:val="24"/>
                <w:szCs w:val="24"/>
                <w:lang w:val="en-US" w:eastAsia="zh-CN"/>
              </w:rPr>
              <w:t>3</w:t>
            </w:r>
            <w:r>
              <w:rPr>
                <w:rFonts w:hint="default" w:ascii="Times New Roman" w:hAnsi="Times New Roman" w:eastAsia="宋体"/>
                <w:b/>
                <w:sz w:val="24"/>
                <w:szCs w:val="24"/>
              </w:rPr>
              <w:t xml:space="preserve">  </w:t>
            </w:r>
            <w:r>
              <w:rPr>
                <w:rFonts w:hint="eastAsia" w:ascii="Times New Roman" w:hAnsi="Times New Roman" w:cs="Times New Roman"/>
                <w:b/>
                <w:color w:val="auto"/>
                <w:spacing w:val="0"/>
                <w:kern w:val="2"/>
                <w:position w:val="0"/>
                <w:sz w:val="24"/>
                <w:szCs w:val="24"/>
                <w:u w:val="none" w:color="auto"/>
                <w:lang w:val="en-US" w:eastAsia="zh-CN" w:bidi="ar-SA"/>
              </w:rPr>
              <w:t>现有工程</w:t>
            </w:r>
            <w:r>
              <w:rPr>
                <w:rFonts w:hint="default" w:ascii="Times New Roman" w:hAnsi="Times New Roman" w:eastAsia="宋体" w:cs="Times New Roman"/>
                <w:b/>
                <w:color w:val="auto"/>
                <w:spacing w:val="0"/>
                <w:kern w:val="2"/>
                <w:position w:val="0"/>
                <w:sz w:val="24"/>
                <w:szCs w:val="24"/>
                <w:u w:val="none" w:color="auto"/>
                <w:lang w:val="en-US" w:eastAsia="zh-CN" w:bidi="ar-SA"/>
              </w:rPr>
              <w:t>固体废物污染物信息表</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43"/>
              <w:gridCol w:w="1776"/>
              <w:gridCol w:w="1624"/>
              <w:gridCol w:w="960"/>
              <w:gridCol w:w="2403"/>
            </w:tblGrid>
            <w:tr w14:paraId="184D7E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70" w:type="pct"/>
                  <w:tcBorders>
                    <w:tl2br w:val="nil"/>
                    <w:tr2bl w:val="nil"/>
                  </w:tcBorders>
                  <w:noWrap/>
                  <w:tcMar>
                    <w:top w:w="15" w:type="dxa"/>
                    <w:left w:w="15" w:type="dxa"/>
                    <w:right w:w="15" w:type="dxa"/>
                  </w:tcMar>
                  <w:vAlign w:val="center"/>
                </w:tcPr>
                <w:p w14:paraId="0E60FE7F">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类别</w:t>
                  </w:r>
                </w:p>
              </w:tc>
              <w:tc>
                <w:tcPr>
                  <w:tcW w:w="1031" w:type="pct"/>
                  <w:tcBorders>
                    <w:tl2br w:val="nil"/>
                    <w:tr2bl w:val="nil"/>
                  </w:tcBorders>
                  <w:noWrap/>
                  <w:tcMar>
                    <w:top w:w="15" w:type="dxa"/>
                    <w:left w:w="15" w:type="dxa"/>
                    <w:right w:w="15" w:type="dxa"/>
                  </w:tcMar>
                  <w:vAlign w:val="center"/>
                </w:tcPr>
                <w:p w14:paraId="7684B470">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名称</w:t>
                  </w:r>
                </w:p>
              </w:tc>
              <w:tc>
                <w:tcPr>
                  <w:tcW w:w="943" w:type="pct"/>
                  <w:tcBorders>
                    <w:tl2br w:val="nil"/>
                    <w:tr2bl w:val="nil"/>
                  </w:tcBorders>
                  <w:noWrap/>
                  <w:tcMar>
                    <w:top w:w="15" w:type="dxa"/>
                    <w:left w:w="15" w:type="dxa"/>
                    <w:right w:w="15" w:type="dxa"/>
                  </w:tcMar>
                  <w:vAlign w:val="center"/>
                </w:tcPr>
                <w:p w14:paraId="6A186384">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来源</w:t>
                  </w:r>
                </w:p>
              </w:tc>
              <w:tc>
                <w:tcPr>
                  <w:tcW w:w="557" w:type="pct"/>
                  <w:tcBorders>
                    <w:tl2br w:val="nil"/>
                    <w:tr2bl w:val="nil"/>
                  </w:tcBorders>
                  <w:noWrap/>
                  <w:tcMar>
                    <w:top w:w="15" w:type="dxa"/>
                    <w:left w:w="15" w:type="dxa"/>
                    <w:right w:w="15" w:type="dxa"/>
                  </w:tcMar>
                  <w:vAlign w:val="center"/>
                </w:tcPr>
                <w:p w14:paraId="1FC5B29E">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产生量t/a</w:t>
                  </w:r>
                </w:p>
              </w:tc>
              <w:tc>
                <w:tcPr>
                  <w:tcW w:w="1396" w:type="pct"/>
                  <w:tcBorders>
                    <w:tl2br w:val="nil"/>
                    <w:tr2bl w:val="nil"/>
                  </w:tcBorders>
                  <w:noWrap/>
                  <w:tcMar>
                    <w:top w:w="15" w:type="dxa"/>
                    <w:left w:w="15" w:type="dxa"/>
                    <w:right w:w="15" w:type="dxa"/>
                  </w:tcMar>
                  <w:vAlign w:val="center"/>
                </w:tcPr>
                <w:p w14:paraId="5644A492">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处置方式</w:t>
                  </w:r>
                </w:p>
              </w:tc>
            </w:tr>
            <w:tr w14:paraId="483CEE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70" w:type="pct"/>
                  <w:vMerge w:val="restart"/>
                  <w:tcBorders>
                    <w:tl2br w:val="nil"/>
                    <w:tr2bl w:val="nil"/>
                  </w:tcBorders>
                  <w:noWrap/>
                  <w:tcMar>
                    <w:top w:w="15" w:type="dxa"/>
                    <w:left w:w="15" w:type="dxa"/>
                    <w:right w:w="15" w:type="dxa"/>
                  </w:tcMar>
                  <w:vAlign w:val="center"/>
                </w:tcPr>
                <w:p w14:paraId="673EE5AD">
                  <w:pPr>
                    <w:pStyle w:val="59"/>
                    <w:keepNext w:val="0"/>
                    <w:keepLines w:val="0"/>
                    <w:widowControl/>
                    <w:suppressLineNumbers w:val="0"/>
                    <w:spacing w:before="0" w:beforeAutospacing="0" w:after="0" w:afterAutospacing="0"/>
                    <w:ind w:left="0" w:right="0"/>
                    <w:jc w:val="center"/>
                    <w:rPr>
                      <w:rStyle w:val="96"/>
                      <w:rFonts w:hint="default"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lang w:val="en-US" w:eastAsia="zh-CN"/>
                    </w:rPr>
                    <w:t>一般工业固体废物</w:t>
                  </w:r>
                </w:p>
              </w:tc>
              <w:tc>
                <w:tcPr>
                  <w:tcW w:w="1031" w:type="pct"/>
                  <w:tcBorders>
                    <w:tl2br w:val="nil"/>
                    <w:tr2bl w:val="nil"/>
                  </w:tcBorders>
                  <w:noWrap/>
                  <w:tcMar>
                    <w:top w:w="15" w:type="dxa"/>
                    <w:left w:w="15" w:type="dxa"/>
                    <w:right w:w="15" w:type="dxa"/>
                  </w:tcMar>
                  <w:vAlign w:val="center"/>
                </w:tcPr>
                <w:p w14:paraId="5973C36C">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eastAsia="zh-CN"/>
                    </w:rPr>
                  </w:pPr>
                  <w:r>
                    <w:rPr>
                      <w:rStyle w:val="96"/>
                      <w:rFonts w:hint="eastAsia" w:ascii="Times New Roman" w:hAnsi="Times New Roman" w:eastAsia="宋体" w:cs="Times New Roman"/>
                      <w:sz w:val="21"/>
                      <w:szCs w:val="21"/>
                    </w:rPr>
                    <w:t>废包装</w:t>
                  </w:r>
                  <w:r>
                    <w:rPr>
                      <w:rStyle w:val="96"/>
                      <w:rFonts w:hint="eastAsia" w:ascii="Times New Roman" w:hAnsi="Times New Roman" w:eastAsia="宋体" w:cs="Times New Roman"/>
                      <w:sz w:val="21"/>
                      <w:szCs w:val="21"/>
                      <w:lang w:eastAsia="zh-CN"/>
                    </w:rPr>
                    <w:t>物</w:t>
                  </w:r>
                </w:p>
              </w:tc>
              <w:tc>
                <w:tcPr>
                  <w:tcW w:w="943" w:type="pct"/>
                  <w:tcBorders>
                    <w:tl2br w:val="nil"/>
                    <w:tr2bl w:val="nil"/>
                  </w:tcBorders>
                  <w:noWrap/>
                  <w:tcMar>
                    <w:top w:w="15" w:type="dxa"/>
                    <w:left w:w="15" w:type="dxa"/>
                    <w:right w:w="15" w:type="dxa"/>
                  </w:tcMar>
                  <w:vAlign w:val="center"/>
                </w:tcPr>
                <w:p w14:paraId="6A8D1EED">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lang w:eastAsia="zh-CN"/>
                    </w:rPr>
                    <w:t>包装</w:t>
                  </w:r>
                </w:p>
              </w:tc>
              <w:tc>
                <w:tcPr>
                  <w:tcW w:w="960" w:type="dxa"/>
                  <w:tcBorders>
                    <w:tl2br w:val="nil"/>
                    <w:tr2bl w:val="nil"/>
                  </w:tcBorders>
                  <w:noWrap/>
                  <w:tcMar>
                    <w:top w:w="15" w:type="dxa"/>
                    <w:left w:w="15" w:type="dxa"/>
                    <w:right w:w="15" w:type="dxa"/>
                  </w:tcMar>
                  <w:vAlign w:val="center"/>
                </w:tcPr>
                <w:p w14:paraId="501A7E14">
                  <w:pPr>
                    <w:pStyle w:val="59"/>
                    <w:keepNext w:val="0"/>
                    <w:keepLines w:val="0"/>
                    <w:widowControl/>
                    <w:suppressLineNumbers w:val="0"/>
                    <w:spacing w:before="0" w:beforeAutospacing="0" w:after="0" w:afterAutospacing="0"/>
                    <w:ind w:left="0" w:leftChars="0" w:right="0" w:rightChars="0"/>
                    <w:jc w:val="center"/>
                    <w:rPr>
                      <w:rStyle w:val="96"/>
                      <w:rFonts w:hint="eastAsia"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0.01 </w:t>
                  </w:r>
                </w:p>
              </w:tc>
              <w:tc>
                <w:tcPr>
                  <w:tcW w:w="1396" w:type="pct"/>
                  <w:tcBorders>
                    <w:tl2br w:val="nil"/>
                    <w:tr2bl w:val="nil"/>
                  </w:tcBorders>
                  <w:noWrap/>
                  <w:tcMar>
                    <w:top w:w="15" w:type="dxa"/>
                    <w:left w:w="15" w:type="dxa"/>
                    <w:right w:w="15" w:type="dxa"/>
                  </w:tcMar>
                  <w:vAlign w:val="center"/>
                </w:tcPr>
                <w:p w14:paraId="0EA55E52">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lang w:eastAsia="zh-CN"/>
                    </w:rPr>
                    <w:t>外售综合利用</w:t>
                  </w:r>
                </w:p>
              </w:tc>
            </w:tr>
            <w:tr w14:paraId="7FF0F1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70" w:type="pct"/>
                  <w:vMerge w:val="continue"/>
                  <w:tcBorders>
                    <w:tl2br w:val="nil"/>
                    <w:tr2bl w:val="nil"/>
                  </w:tcBorders>
                  <w:noWrap/>
                  <w:tcMar>
                    <w:top w:w="15" w:type="dxa"/>
                    <w:left w:w="15" w:type="dxa"/>
                    <w:right w:w="15" w:type="dxa"/>
                  </w:tcMar>
                  <w:vAlign w:val="center"/>
                </w:tcPr>
                <w:p w14:paraId="5311FF26">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p>
              </w:tc>
              <w:tc>
                <w:tcPr>
                  <w:tcW w:w="1031" w:type="pct"/>
                  <w:tcBorders>
                    <w:tl2br w:val="nil"/>
                    <w:tr2bl w:val="nil"/>
                  </w:tcBorders>
                  <w:noWrap/>
                  <w:tcMar>
                    <w:top w:w="15" w:type="dxa"/>
                    <w:left w:w="15" w:type="dxa"/>
                    <w:right w:w="15" w:type="dxa"/>
                  </w:tcMar>
                  <w:vAlign w:val="center"/>
                </w:tcPr>
                <w:p w14:paraId="0DF7B8A3">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eastAsia="zh-CN"/>
                    </w:rPr>
                  </w:pPr>
                  <w:r>
                    <w:rPr>
                      <w:rStyle w:val="96"/>
                      <w:rFonts w:hint="eastAsia" w:ascii="Times New Roman" w:hAnsi="Times New Roman" w:eastAsia="宋体" w:cs="Times New Roman"/>
                      <w:sz w:val="21"/>
                      <w:szCs w:val="21"/>
                      <w:lang w:val="en-US" w:eastAsia="zh-CN"/>
                    </w:rPr>
                    <w:t>金属边角料</w:t>
                  </w:r>
                </w:p>
              </w:tc>
              <w:tc>
                <w:tcPr>
                  <w:tcW w:w="943" w:type="pct"/>
                  <w:tcBorders>
                    <w:tl2br w:val="nil"/>
                    <w:tr2bl w:val="nil"/>
                  </w:tcBorders>
                  <w:noWrap/>
                  <w:tcMar>
                    <w:top w:w="15" w:type="dxa"/>
                    <w:left w:w="15" w:type="dxa"/>
                    <w:right w:w="15" w:type="dxa"/>
                  </w:tcMar>
                  <w:vAlign w:val="center"/>
                </w:tcPr>
                <w:p w14:paraId="52A4A741">
                  <w:pPr>
                    <w:pStyle w:val="59"/>
                    <w:keepNext w:val="0"/>
                    <w:keepLines w:val="0"/>
                    <w:widowControl/>
                    <w:suppressLineNumbers w:val="0"/>
                    <w:spacing w:before="0" w:beforeAutospacing="0" w:after="0" w:afterAutospacing="0"/>
                    <w:ind w:left="0" w:right="0"/>
                    <w:jc w:val="center"/>
                    <w:rPr>
                      <w:rStyle w:val="96"/>
                      <w:rFonts w:hint="default" w:ascii="Times New Roman" w:hAnsi="Times New Roman" w:eastAsia="宋体" w:cs="Times New Roman"/>
                      <w:sz w:val="21"/>
                      <w:szCs w:val="21"/>
                      <w:lang w:val="en-US"/>
                    </w:rPr>
                  </w:pPr>
                  <w:r>
                    <w:rPr>
                      <w:rStyle w:val="96"/>
                      <w:rFonts w:hint="eastAsia" w:ascii="Times New Roman" w:hAnsi="Times New Roman" w:eastAsia="宋体" w:cs="Times New Roman"/>
                      <w:sz w:val="21"/>
                      <w:szCs w:val="21"/>
                      <w:lang w:eastAsia="zh-CN"/>
                    </w:rPr>
                    <w:t>下料、</w:t>
                  </w:r>
                  <w:r>
                    <w:rPr>
                      <w:rStyle w:val="96"/>
                      <w:rFonts w:hint="eastAsia" w:ascii="Times New Roman" w:hAnsi="Times New Roman" w:eastAsia="宋体" w:cs="Times New Roman"/>
                      <w:sz w:val="21"/>
                      <w:szCs w:val="21"/>
                      <w:lang w:val="en-US" w:eastAsia="zh-CN"/>
                    </w:rPr>
                    <w:t>机加工</w:t>
                  </w:r>
                </w:p>
              </w:tc>
              <w:tc>
                <w:tcPr>
                  <w:tcW w:w="960" w:type="dxa"/>
                  <w:tcBorders>
                    <w:tl2br w:val="nil"/>
                    <w:tr2bl w:val="nil"/>
                  </w:tcBorders>
                  <w:noWrap/>
                  <w:tcMar>
                    <w:top w:w="15" w:type="dxa"/>
                    <w:left w:w="15" w:type="dxa"/>
                    <w:right w:w="15" w:type="dxa"/>
                  </w:tcMar>
                  <w:vAlign w:val="center"/>
                </w:tcPr>
                <w:p w14:paraId="71B73853">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0.87 </w:t>
                  </w:r>
                </w:p>
              </w:tc>
              <w:tc>
                <w:tcPr>
                  <w:tcW w:w="1396" w:type="pct"/>
                  <w:tcBorders>
                    <w:tl2br w:val="nil"/>
                    <w:tr2bl w:val="nil"/>
                  </w:tcBorders>
                  <w:noWrap/>
                  <w:tcMar>
                    <w:top w:w="15" w:type="dxa"/>
                    <w:left w:w="15" w:type="dxa"/>
                    <w:right w:w="15" w:type="dxa"/>
                  </w:tcMar>
                  <w:vAlign w:val="center"/>
                </w:tcPr>
                <w:p w14:paraId="6F7F2FC3">
                  <w:pPr>
                    <w:pStyle w:val="59"/>
                    <w:keepNext w:val="0"/>
                    <w:keepLines w:val="0"/>
                    <w:widowControl/>
                    <w:suppressLineNumbers w:val="0"/>
                    <w:spacing w:before="0" w:beforeAutospacing="0" w:after="0" w:afterAutospacing="0"/>
                    <w:ind w:left="0" w:right="0"/>
                    <w:jc w:val="center"/>
                    <w:rPr>
                      <w:rStyle w:val="96"/>
                      <w:rFonts w:hint="default"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lang w:eastAsia="zh-CN"/>
                    </w:rPr>
                    <w:t>外售综合利用</w:t>
                  </w:r>
                </w:p>
              </w:tc>
            </w:tr>
            <w:tr w14:paraId="776BC1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70" w:type="pct"/>
                  <w:vMerge w:val="continue"/>
                  <w:tcBorders>
                    <w:tl2br w:val="nil"/>
                    <w:tr2bl w:val="nil"/>
                  </w:tcBorders>
                  <w:noWrap/>
                  <w:tcMar>
                    <w:top w:w="15" w:type="dxa"/>
                    <w:left w:w="15" w:type="dxa"/>
                    <w:right w:w="15" w:type="dxa"/>
                  </w:tcMar>
                  <w:vAlign w:val="center"/>
                </w:tcPr>
                <w:p w14:paraId="081FEBF5">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p>
              </w:tc>
              <w:tc>
                <w:tcPr>
                  <w:tcW w:w="1031" w:type="pct"/>
                  <w:tcBorders>
                    <w:tl2br w:val="nil"/>
                    <w:tr2bl w:val="nil"/>
                  </w:tcBorders>
                  <w:noWrap/>
                  <w:tcMar>
                    <w:top w:w="15" w:type="dxa"/>
                    <w:left w:w="15" w:type="dxa"/>
                    <w:right w:w="15" w:type="dxa"/>
                  </w:tcMar>
                  <w:vAlign w:val="center"/>
                </w:tcPr>
                <w:p w14:paraId="1480ADDE">
                  <w:pPr>
                    <w:pStyle w:val="59"/>
                    <w:keepNext w:val="0"/>
                    <w:keepLines w:val="0"/>
                    <w:widowControl/>
                    <w:suppressLineNumbers w:val="0"/>
                    <w:spacing w:before="0" w:beforeAutospacing="0" w:after="0" w:afterAutospacing="0"/>
                    <w:ind w:left="0" w:right="0"/>
                    <w:jc w:val="center"/>
                    <w:rPr>
                      <w:rStyle w:val="96"/>
                      <w:rFonts w:hint="default"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lang w:val="en-US" w:eastAsia="zh-CN"/>
                    </w:rPr>
                    <w:t>焊</w:t>
                  </w:r>
                  <w:r>
                    <w:rPr>
                      <w:rStyle w:val="96"/>
                      <w:rFonts w:hint="eastAsia" w:ascii="Times New Roman" w:hAnsi="Times New Roman" w:eastAsia="宋体" w:cs="Times New Roman"/>
                      <w:sz w:val="21"/>
                      <w:szCs w:val="21"/>
                      <w:lang w:eastAsia="zh-CN"/>
                    </w:rPr>
                    <w:t>渣</w:t>
                  </w:r>
                </w:p>
              </w:tc>
              <w:tc>
                <w:tcPr>
                  <w:tcW w:w="943" w:type="pct"/>
                  <w:tcBorders>
                    <w:tl2br w:val="nil"/>
                    <w:tr2bl w:val="nil"/>
                  </w:tcBorders>
                  <w:noWrap/>
                  <w:tcMar>
                    <w:top w:w="15" w:type="dxa"/>
                    <w:left w:w="15" w:type="dxa"/>
                    <w:right w:w="15" w:type="dxa"/>
                  </w:tcMar>
                  <w:vAlign w:val="center"/>
                </w:tcPr>
                <w:p w14:paraId="7A3137F6">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lang w:eastAsia="zh-CN"/>
                    </w:rPr>
                    <w:t>焊接</w:t>
                  </w:r>
                </w:p>
              </w:tc>
              <w:tc>
                <w:tcPr>
                  <w:tcW w:w="960" w:type="dxa"/>
                  <w:tcBorders>
                    <w:tl2br w:val="nil"/>
                    <w:tr2bl w:val="nil"/>
                  </w:tcBorders>
                  <w:noWrap/>
                  <w:tcMar>
                    <w:top w:w="15" w:type="dxa"/>
                    <w:left w:w="15" w:type="dxa"/>
                    <w:right w:w="15" w:type="dxa"/>
                  </w:tcMar>
                  <w:vAlign w:val="center"/>
                </w:tcPr>
                <w:p w14:paraId="302EF63C">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0.09 </w:t>
                  </w:r>
                </w:p>
              </w:tc>
              <w:tc>
                <w:tcPr>
                  <w:tcW w:w="1396" w:type="pct"/>
                  <w:tcBorders>
                    <w:tl2br w:val="nil"/>
                    <w:tr2bl w:val="nil"/>
                  </w:tcBorders>
                  <w:noWrap/>
                  <w:tcMar>
                    <w:top w:w="15" w:type="dxa"/>
                    <w:left w:w="15" w:type="dxa"/>
                    <w:right w:w="15" w:type="dxa"/>
                  </w:tcMar>
                  <w:vAlign w:val="center"/>
                </w:tcPr>
                <w:p w14:paraId="4380FBB2">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lang w:eastAsia="zh-CN"/>
                    </w:rPr>
                    <w:t>外售综合利用</w:t>
                  </w:r>
                </w:p>
              </w:tc>
            </w:tr>
            <w:tr w14:paraId="03329B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70" w:type="pct"/>
                  <w:vMerge w:val="restart"/>
                  <w:tcBorders>
                    <w:tl2br w:val="nil"/>
                    <w:tr2bl w:val="nil"/>
                  </w:tcBorders>
                  <w:noWrap/>
                  <w:tcMar>
                    <w:top w:w="15" w:type="dxa"/>
                    <w:left w:w="15" w:type="dxa"/>
                    <w:right w:w="15" w:type="dxa"/>
                  </w:tcMar>
                  <w:vAlign w:val="center"/>
                </w:tcPr>
                <w:p w14:paraId="4A375FF6">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eastAsia="zh-CN"/>
                    </w:rPr>
                  </w:pPr>
                  <w:r>
                    <w:rPr>
                      <w:rStyle w:val="96"/>
                      <w:rFonts w:hint="eastAsia" w:ascii="Times New Roman" w:hAnsi="Times New Roman" w:eastAsia="宋体" w:cs="Times New Roman"/>
                      <w:sz w:val="21"/>
                      <w:szCs w:val="21"/>
                      <w:lang w:eastAsia="zh-CN"/>
                    </w:rPr>
                    <w:t>危险废物</w:t>
                  </w:r>
                </w:p>
              </w:tc>
              <w:tc>
                <w:tcPr>
                  <w:tcW w:w="1031" w:type="pct"/>
                  <w:tcBorders>
                    <w:tl2br w:val="nil"/>
                    <w:tr2bl w:val="nil"/>
                  </w:tcBorders>
                  <w:noWrap/>
                  <w:tcMar>
                    <w:top w:w="15" w:type="dxa"/>
                    <w:left w:w="15" w:type="dxa"/>
                    <w:right w:w="15" w:type="dxa"/>
                  </w:tcMar>
                  <w:vAlign w:val="center"/>
                </w:tcPr>
                <w:p w14:paraId="037BB453">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lang w:val="en-US" w:eastAsia="zh-CN"/>
                    </w:rPr>
                    <w:t>钝化毛刷、抹布</w:t>
                  </w:r>
                </w:p>
              </w:tc>
              <w:tc>
                <w:tcPr>
                  <w:tcW w:w="943" w:type="pct"/>
                  <w:tcBorders>
                    <w:tl2br w:val="nil"/>
                    <w:tr2bl w:val="nil"/>
                  </w:tcBorders>
                  <w:noWrap/>
                  <w:tcMar>
                    <w:top w:w="15" w:type="dxa"/>
                    <w:left w:w="15" w:type="dxa"/>
                    <w:right w:w="15" w:type="dxa"/>
                  </w:tcMar>
                  <w:vAlign w:val="center"/>
                </w:tcPr>
                <w:p w14:paraId="2D6566F8">
                  <w:pPr>
                    <w:pStyle w:val="59"/>
                    <w:keepNext w:val="0"/>
                    <w:keepLines w:val="0"/>
                    <w:widowControl/>
                    <w:suppressLineNumbers w:val="0"/>
                    <w:spacing w:before="0" w:beforeAutospacing="0" w:after="0" w:afterAutospacing="0"/>
                    <w:ind w:left="0" w:right="0"/>
                    <w:jc w:val="center"/>
                    <w:rPr>
                      <w:rStyle w:val="96"/>
                      <w:rFonts w:hint="default"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lang w:val="en-US" w:eastAsia="zh-CN"/>
                    </w:rPr>
                    <w:t>焊缝处理</w:t>
                  </w:r>
                </w:p>
              </w:tc>
              <w:tc>
                <w:tcPr>
                  <w:tcW w:w="960" w:type="dxa"/>
                  <w:tcBorders>
                    <w:tl2br w:val="nil"/>
                    <w:tr2bl w:val="nil"/>
                  </w:tcBorders>
                  <w:noWrap/>
                  <w:tcMar>
                    <w:top w:w="15" w:type="dxa"/>
                    <w:left w:w="15" w:type="dxa"/>
                    <w:right w:w="15" w:type="dxa"/>
                  </w:tcMar>
                  <w:vAlign w:val="center"/>
                </w:tcPr>
                <w:p w14:paraId="182E02CB">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0.03 </w:t>
                  </w:r>
                </w:p>
              </w:tc>
              <w:tc>
                <w:tcPr>
                  <w:tcW w:w="1396" w:type="pct"/>
                  <w:tcBorders>
                    <w:tl2br w:val="nil"/>
                    <w:tr2bl w:val="nil"/>
                  </w:tcBorders>
                  <w:noWrap/>
                  <w:tcMar>
                    <w:top w:w="15" w:type="dxa"/>
                    <w:left w:w="15" w:type="dxa"/>
                    <w:right w:w="15" w:type="dxa"/>
                  </w:tcMar>
                  <w:vAlign w:val="center"/>
                </w:tcPr>
                <w:p w14:paraId="1E6770D9">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rPr>
                    <w:t>委托</w:t>
                  </w:r>
                  <w:r>
                    <w:rPr>
                      <w:rFonts w:hint="eastAsia" w:ascii="Times New Roman" w:hAnsi="Times New Roman" w:eastAsia="宋体" w:cs="Times New Roman"/>
                      <w:b w:val="0"/>
                      <w:bCs w:val="0"/>
                      <w:color w:val="auto"/>
                      <w:spacing w:val="0"/>
                      <w:sz w:val="21"/>
                      <w:szCs w:val="21"/>
                      <w:lang w:val="en-US" w:eastAsia="zh-CN"/>
                    </w:rPr>
                    <w:t>湖南省云风岚环保有限责任公司</w:t>
                  </w:r>
                  <w:r>
                    <w:rPr>
                      <w:rStyle w:val="96"/>
                      <w:rFonts w:hint="eastAsia" w:ascii="Times New Roman" w:hAnsi="Times New Roman" w:eastAsia="宋体" w:cs="Times New Roman"/>
                      <w:sz w:val="21"/>
                      <w:szCs w:val="21"/>
                    </w:rPr>
                    <w:t>处置</w:t>
                  </w:r>
                </w:p>
              </w:tc>
            </w:tr>
            <w:tr w14:paraId="08B884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70" w:type="pct"/>
                  <w:vMerge w:val="continue"/>
                  <w:tcBorders>
                    <w:tl2br w:val="nil"/>
                    <w:tr2bl w:val="nil"/>
                  </w:tcBorders>
                  <w:noWrap/>
                  <w:tcMar>
                    <w:top w:w="15" w:type="dxa"/>
                    <w:left w:w="15" w:type="dxa"/>
                    <w:right w:w="15" w:type="dxa"/>
                  </w:tcMar>
                  <w:vAlign w:val="center"/>
                </w:tcPr>
                <w:p w14:paraId="1A482060">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p>
              </w:tc>
              <w:tc>
                <w:tcPr>
                  <w:tcW w:w="1031" w:type="pct"/>
                  <w:tcBorders>
                    <w:tl2br w:val="nil"/>
                    <w:tr2bl w:val="nil"/>
                  </w:tcBorders>
                  <w:noWrap/>
                  <w:tcMar>
                    <w:top w:w="15" w:type="dxa"/>
                    <w:left w:w="15" w:type="dxa"/>
                    <w:right w:w="15" w:type="dxa"/>
                  </w:tcMar>
                  <w:vAlign w:val="center"/>
                </w:tcPr>
                <w:p w14:paraId="18C4BCFB">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lang w:val="en-US" w:eastAsia="zh-CN"/>
                    </w:rPr>
                    <w:t>废液压油</w:t>
                  </w:r>
                </w:p>
              </w:tc>
              <w:tc>
                <w:tcPr>
                  <w:tcW w:w="943" w:type="pct"/>
                  <w:tcBorders>
                    <w:tl2br w:val="nil"/>
                    <w:tr2bl w:val="nil"/>
                  </w:tcBorders>
                  <w:noWrap/>
                  <w:tcMar>
                    <w:top w:w="15" w:type="dxa"/>
                    <w:left w:w="15" w:type="dxa"/>
                    <w:right w:w="15" w:type="dxa"/>
                  </w:tcMar>
                  <w:vAlign w:val="center"/>
                </w:tcPr>
                <w:p w14:paraId="1564701A">
                  <w:pPr>
                    <w:pStyle w:val="59"/>
                    <w:keepNext w:val="0"/>
                    <w:keepLines w:val="0"/>
                    <w:widowControl/>
                    <w:suppressLineNumbers w:val="0"/>
                    <w:spacing w:before="0" w:beforeAutospacing="0" w:after="0" w:afterAutospacing="0"/>
                    <w:ind w:left="0" w:right="0"/>
                    <w:jc w:val="center"/>
                    <w:rPr>
                      <w:rStyle w:val="96"/>
                      <w:rFonts w:hint="default"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lang w:val="en-US" w:eastAsia="zh-CN"/>
                    </w:rPr>
                    <w:t>机加工</w:t>
                  </w:r>
                </w:p>
              </w:tc>
              <w:tc>
                <w:tcPr>
                  <w:tcW w:w="960" w:type="dxa"/>
                  <w:tcBorders>
                    <w:tl2br w:val="nil"/>
                    <w:tr2bl w:val="nil"/>
                  </w:tcBorders>
                  <w:noWrap/>
                  <w:tcMar>
                    <w:top w:w="15" w:type="dxa"/>
                    <w:left w:w="15" w:type="dxa"/>
                    <w:right w:w="15" w:type="dxa"/>
                  </w:tcMar>
                  <w:vAlign w:val="center"/>
                </w:tcPr>
                <w:p w14:paraId="1917DD96">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0.17 </w:t>
                  </w:r>
                </w:p>
              </w:tc>
              <w:tc>
                <w:tcPr>
                  <w:tcW w:w="1396" w:type="pct"/>
                  <w:tcBorders>
                    <w:tl2br w:val="nil"/>
                    <w:tr2bl w:val="nil"/>
                  </w:tcBorders>
                  <w:noWrap/>
                  <w:tcMar>
                    <w:top w:w="15" w:type="dxa"/>
                    <w:left w:w="15" w:type="dxa"/>
                    <w:right w:w="15" w:type="dxa"/>
                  </w:tcMar>
                  <w:vAlign w:val="center"/>
                </w:tcPr>
                <w:p w14:paraId="493B69C3">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委托相关资质单位处置</w:t>
                  </w:r>
                </w:p>
              </w:tc>
            </w:tr>
            <w:tr w14:paraId="7CC768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70" w:type="pct"/>
                  <w:vMerge w:val="continue"/>
                  <w:tcBorders>
                    <w:tl2br w:val="nil"/>
                    <w:tr2bl w:val="nil"/>
                  </w:tcBorders>
                  <w:noWrap/>
                  <w:tcMar>
                    <w:top w:w="15" w:type="dxa"/>
                    <w:left w:w="15" w:type="dxa"/>
                    <w:right w:w="15" w:type="dxa"/>
                  </w:tcMar>
                  <w:vAlign w:val="center"/>
                </w:tcPr>
                <w:p w14:paraId="64172BFB">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p>
              </w:tc>
              <w:tc>
                <w:tcPr>
                  <w:tcW w:w="1031" w:type="pct"/>
                  <w:tcBorders>
                    <w:tl2br w:val="nil"/>
                    <w:tr2bl w:val="nil"/>
                  </w:tcBorders>
                  <w:noWrap/>
                  <w:tcMar>
                    <w:top w:w="15" w:type="dxa"/>
                    <w:left w:w="15" w:type="dxa"/>
                    <w:right w:w="15" w:type="dxa"/>
                  </w:tcMar>
                  <w:vAlign w:val="center"/>
                </w:tcPr>
                <w:p w14:paraId="22B32FFA">
                  <w:pPr>
                    <w:pStyle w:val="59"/>
                    <w:keepNext w:val="0"/>
                    <w:keepLines w:val="0"/>
                    <w:widowControl/>
                    <w:suppressLineNumbers w:val="0"/>
                    <w:spacing w:before="0" w:beforeAutospacing="0" w:after="0" w:afterAutospacing="0"/>
                    <w:ind w:left="0" w:right="0"/>
                    <w:jc w:val="center"/>
                    <w:rPr>
                      <w:rStyle w:val="96"/>
                      <w:rFonts w:hint="default"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lang w:val="en-US" w:eastAsia="zh-CN"/>
                    </w:rPr>
                    <w:t>废冷却液</w:t>
                  </w:r>
                </w:p>
              </w:tc>
              <w:tc>
                <w:tcPr>
                  <w:tcW w:w="943" w:type="pct"/>
                  <w:tcBorders>
                    <w:tl2br w:val="nil"/>
                    <w:tr2bl w:val="nil"/>
                  </w:tcBorders>
                  <w:noWrap/>
                  <w:tcMar>
                    <w:top w:w="15" w:type="dxa"/>
                    <w:left w:w="15" w:type="dxa"/>
                    <w:right w:w="15" w:type="dxa"/>
                  </w:tcMar>
                  <w:vAlign w:val="center"/>
                </w:tcPr>
                <w:p w14:paraId="4F8CA485">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lang w:val="en-US" w:eastAsia="zh-CN"/>
                    </w:rPr>
                    <w:t>机加工</w:t>
                  </w:r>
                </w:p>
              </w:tc>
              <w:tc>
                <w:tcPr>
                  <w:tcW w:w="960" w:type="dxa"/>
                  <w:tcBorders>
                    <w:tl2br w:val="nil"/>
                    <w:tr2bl w:val="nil"/>
                  </w:tcBorders>
                  <w:noWrap/>
                  <w:tcMar>
                    <w:top w:w="15" w:type="dxa"/>
                    <w:left w:w="15" w:type="dxa"/>
                    <w:right w:w="15" w:type="dxa"/>
                  </w:tcMar>
                  <w:vAlign w:val="center"/>
                </w:tcPr>
                <w:p w14:paraId="0311D2F4">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0.07 </w:t>
                  </w:r>
                </w:p>
              </w:tc>
              <w:tc>
                <w:tcPr>
                  <w:tcW w:w="1396" w:type="pct"/>
                  <w:tcBorders>
                    <w:tl2br w:val="nil"/>
                    <w:tr2bl w:val="nil"/>
                  </w:tcBorders>
                  <w:noWrap/>
                  <w:tcMar>
                    <w:top w:w="15" w:type="dxa"/>
                    <w:left w:w="15" w:type="dxa"/>
                    <w:right w:w="15" w:type="dxa"/>
                  </w:tcMar>
                  <w:vAlign w:val="center"/>
                </w:tcPr>
                <w:p w14:paraId="5B609C46">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委托相关资质单位处置</w:t>
                  </w:r>
                </w:p>
              </w:tc>
            </w:tr>
            <w:tr w14:paraId="5ED40D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70" w:type="pct"/>
                  <w:vMerge w:val="continue"/>
                  <w:tcBorders>
                    <w:tl2br w:val="nil"/>
                    <w:tr2bl w:val="nil"/>
                  </w:tcBorders>
                  <w:noWrap/>
                  <w:tcMar>
                    <w:top w:w="15" w:type="dxa"/>
                    <w:left w:w="15" w:type="dxa"/>
                    <w:right w:w="15" w:type="dxa"/>
                  </w:tcMar>
                  <w:vAlign w:val="center"/>
                </w:tcPr>
                <w:p w14:paraId="304001C4">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p>
              </w:tc>
              <w:tc>
                <w:tcPr>
                  <w:tcW w:w="1031" w:type="pct"/>
                  <w:tcBorders>
                    <w:tl2br w:val="nil"/>
                    <w:tr2bl w:val="nil"/>
                  </w:tcBorders>
                  <w:noWrap/>
                  <w:tcMar>
                    <w:top w:w="15" w:type="dxa"/>
                    <w:left w:w="15" w:type="dxa"/>
                    <w:right w:w="15" w:type="dxa"/>
                  </w:tcMar>
                  <w:vAlign w:val="center"/>
                </w:tcPr>
                <w:p w14:paraId="28504D4C">
                  <w:pPr>
                    <w:pStyle w:val="59"/>
                    <w:keepNext w:val="0"/>
                    <w:keepLines w:val="0"/>
                    <w:widowControl/>
                    <w:suppressLineNumbers w:val="0"/>
                    <w:spacing w:before="0" w:beforeAutospacing="0" w:after="0" w:afterAutospacing="0"/>
                    <w:ind w:left="0" w:right="0"/>
                    <w:jc w:val="center"/>
                    <w:rPr>
                      <w:rStyle w:val="96"/>
                      <w:rFonts w:hint="default"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lang w:eastAsia="zh-CN"/>
                    </w:rPr>
                    <w:t>废</w:t>
                  </w:r>
                  <w:r>
                    <w:rPr>
                      <w:rStyle w:val="96"/>
                      <w:rFonts w:hint="eastAsia" w:ascii="Times New Roman" w:hAnsi="Times New Roman" w:eastAsia="宋体" w:cs="Times New Roman"/>
                      <w:sz w:val="21"/>
                      <w:szCs w:val="21"/>
                      <w:lang w:val="en-US" w:eastAsia="zh-CN"/>
                    </w:rPr>
                    <w:t>润滑油</w:t>
                  </w:r>
                </w:p>
              </w:tc>
              <w:tc>
                <w:tcPr>
                  <w:tcW w:w="943" w:type="pct"/>
                  <w:tcBorders>
                    <w:tl2br w:val="nil"/>
                    <w:tr2bl w:val="nil"/>
                  </w:tcBorders>
                  <w:noWrap/>
                  <w:tcMar>
                    <w:top w:w="15" w:type="dxa"/>
                    <w:left w:w="15" w:type="dxa"/>
                    <w:right w:w="15" w:type="dxa"/>
                  </w:tcMar>
                  <w:vAlign w:val="center"/>
                </w:tcPr>
                <w:p w14:paraId="0E7BFCE5">
                  <w:pPr>
                    <w:pStyle w:val="59"/>
                    <w:keepNext w:val="0"/>
                    <w:keepLines w:val="0"/>
                    <w:widowControl/>
                    <w:suppressLineNumbers w:val="0"/>
                    <w:spacing w:before="0" w:beforeAutospacing="0" w:after="0" w:afterAutospacing="0"/>
                    <w:ind w:left="0" w:right="0"/>
                    <w:jc w:val="center"/>
                    <w:rPr>
                      <w:rStyle w:val="96"/>
                      <w:rFonts w:hint="default" w:ascii="Times New Roman" w:hAnsi="Times New Roman" w:eastAsia="宋体" w:cs="Times New Roman"/>
                      <w:sz w:val="21"/>
                      <w:szCs w:val="21"/>
                      <w:lang w:val="en-US" w:eastAsia="zh-CN"/>
                    </w:rPr>
                  </w:pPr>
                  <w:r>
                    <w:rPr>
                      <w:rStyle w:val="96"/>
                      <w:rFonts w:hint="eastAsia" w:ascii="Times New Roman" w:hAnsi="Times New Roman" w:eastAsia="宋体" w:cs="Times New Roman"/>
                      <w:sz w:val="21"/>
                      <w:szCs w:val="21"/>
                      <w:lang w:eastAsia="zh-CN"/>
                    </w:rPr>
                    <w:t>设备</w:t>
                  </w:r>
                  <w:r>
                    <w:rPr>
                      <w:rStyle w:val="96"/>
                      <w:rFonts w:hint="eastAsia" w:ascii="Times New Roman" w:hAnsi="Times New Roman" w:eastAsia="宋体" w:cs="Times New Roman"/>
                      <w:sz w:val="21"/>
                      <w:szCs w:val="21"/>
                      <w:lang w:val="en-US" w:eastAsia="zh-CN"/>
                    </w:rPr>
                    <w:t>维修</w:t>
                  </w:r>
                </w:p>
              </w:tc>
              <w:tc>
                <w:tcPr>
                  <w:tcW w:w="960" w:type="dxa"/>
                  <w:tcBorders>
                    <w:tl2br w:val="nil"/>
                    <w:tr2bl w:val="nil"/>
                  </w:tcBorders>
                  <w:noWrap/>
                  <w:tcMar>
                    <w:top w:w="15" w:type="dxa"/>
                    <w:left w:w="15" w:type="dxa"/>
                    <w:right w:w="15" w:type="dxa"/>
                  </w:tcMar>
                  <w:vAlign w:val="center"/>
                </w:tcPr>
                <w:p w14:paraId="12DE965C">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0.02 </w:t>
                  </w:r>
                </w:p>
              </w:tc>
              <w:tc>
                <w:tcPr>
                  <w:tcW w:w="1396" w:type="pct"/>
                  <w:tcBorders>
                    <w:tl2br w:val="nil"/>
                    <w:tr2bl w:val="nil"/>
                  </w:tcBorders>
                  <w:noWrap/>
                  <w:tcMar>
                    <w:top w:w="15" w:type="dxa"/>
                    <w:left w:w="15" w:type="dxa"/>
                    <w:right w:w="15" w:type="dxa"/>
                  </w:tcMar>
                  <w:vAlign w:val="center"/>
                </w:tcPr>
                <w:p w14:paraId="2FDE7F12">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委托相关资质单位处置</w:t>
                  </w:r>
                </w:p>
              </w:tc>
            </w:tr>
            <w:tr w14:paraId="643766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70" w:type="pct"/>
                  <w:vMerge w:val="continue"/>
                  <w:tcBorders>
                    <w:tl2br w:val="nil"/>
                    <w:tr2bl w:val="nil"/>
                  </w:tcBorders>
                  <w:noWrap/>
                  <w:tcMar>
                    <w:top w:w="15" w:type="dxa"/>
                    <w:left w:w="15" w:type="dxa"/>
                    <w:right w:w="15" w:type="dxa"/>
                  </w:tcMar>
                  <w:vAlign w:val="center"/>
                </w:tcPr>
                <w:p w14:paraId="4901698A">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p>
              </w:tc>
              <w:tc>
                <w:tcPr>
                  <w:tcW w:w="1031" w:type="pct"/>
                  <w:tcBorders>
                    <w:tl2br w:val="nil"/>
                    <w:tr2bl w:val="nil"/>
                  </w:tcBorders>
                  <w:noWrap/>
                  <w:tcMar>
                    <w:top w:w="15" w:type="dxa"/>
                    <w:left w:w="15" w:type="dxa"/>
                    <w:right w:w="15" w:type="dxa"/>
                  </w:tcMar>
                  <w:vAlign w:val="center"/>
                </w:tcPr>
                <w:p w14:paraId="24FD29A1">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eastAsia="zh-CN"/>
                    </w:rPr>
                  </w:pPr>
                  <w:r>
                    <w:rPr>
                      <w:rStyle w:val="96"/>
                      <w:rFonts w:hint="eastAsia" w:ascii="Times New Roman" w:hAnsi="Times New Roman" w:eastAsia="宋体" w:cs="Times New Roman"/>
                      <w:sz w:val="21"/>
                      <w:szCs w:val="21"/>
                      <w:lang w:val="en-US" w:eastAsia="zh-CN"/>
                    </w:rPr>
                    <w:t>废油抹布及手套</w:t>
                  </w:r>
                </w:p>
              </w:tc>
              <w:tc>
                <w:tcPr>
                  <w:tcW w:w="943" w:type="pct"/>
                  <w:tcBorders>
                    <w:tl2br w:val="nil"/>
                    <w:tr2bl w:val="nil"/>
                  </w:tcBorders>
                  <w:noWrap/>
                  <w:tcMar>
                    <w:top w:w="15" w:type="dxa"/>
                    <w:left w:w="15" w:type="dxa"/>
                    <w:right w:w="15" w:type="dxa"/>
                  </w:tcMar>
                  <w:vAlign w:val="center"/>
                </w:tcPr>
                <w:p w14:paraId="70E41487">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eastAsia="zh-CN"/>
                    </w:rPr>
                  </w:pPr>
                  <w:r>
                    <w:rPr>
                      <w:rStyle w:val="96"/>
                      <w:rFonts w:hint="eastAsia" w:ascii="Times New Roman" w:hAnsi="Times New Roman" w:eastAsia="宋体" w:cs="Times New Roman"/>
                      <w:sz w:val="21"/>
                      <w:szCs w:val="21"/>
                      <w:lang w:eastAsia="zh-CN"/>
                    </w:rPr>
                    <w:t>设备</w:t>
                  </w:r>
                  <w:r>
                    <w:rPr>
                      <w:rStyle w:val="96"/>
                      <w:rFonts w:hint="eastAsia" w:ascii="Times New Roman" w:hAnsi="Times New Roman" w:eastAsia="宋体" w:cs="Times New Roman"/>
                      <w:sz w:val="21"/>
                      <w:szCs w:val="21"/>
                      <w:lang w:val="en-US" w:eastAsia="zh-CN"/>
                    </w:rPr>
                    <w:t>维修</w:t>
                  </w:r>
                </w:p>
              </w:tc>
              <w:tc>
                <w:tcPr>
                  <w:tcW w:w="960" w:type="dxa"/>
                  <w:tcBorders>
                    <w:tl2br w:val="nil"/>
                    <w:tr2bl w:val="nil"/>
                  </w:tcBorders>
                  <w:noWrap/>
                  <w:tcMar>
                    <w:top w:w="15" w:type="dxa"/>
                    <w:left w:w="15" w:type="dxa"/>
                    <w:right w:w="15" w:type="dxa"/>
                  </w:tcMar>
                  <w:vAlign w:val="center"/>
                </w:tcPr>
                <w:p w14:paraId="17163431">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0.003 </w:t>
                  </w:r>
                </w:p>
              </w:tc>
              <w:tc>
                <w:tcPr>
                  <w:tcW w:w="1396" w:type="pct"/>
                  <w:tcBorders>
                    <w:tl2br w:val="nil"/>
                    <w:tr2bl w:val="nil"/>
                  </w:tcBorders>
                  <w:noWrap/>
                  <w:tcMar>
                    <w:top w:w="15" w:type="dxa"/>
                    <w:left w:w="15" w:type="dxa"/>
                    <w:right w:w="15" w:type="dxa"/>
                  </w:tcMar>
                  <w:vAlign w:val="center"/>
                </w:tcPr>
                <w:p w14:paraId="63AA7006">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委托相关资质单位处置</w:t>
                  </w:r>
                </w:p>
              </w:tc>
            </w:tr>
            <w:tr w14:paraId="364975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70" w:type="pct"/>
                  <w:vMerge w:val="continue"/>
                  <w:tcBorders>
                    <w:tl2br w:val="nil"/>
                    <w:tr2bl w:val="nil"/>
                  </w:tcBorders>
                  <w:noWrap/>
                  <w:tcMar>
                    <w:top w:w="15" w:type="dxa"/>
                    <w:left w:w="15" w:type="dxa"/>
                    <w:right w:w="15" w:type="dxa"/>
                  </w:tcMar>
                  <w:vAlign w:val="center"/>
                </w:tcPr>
                <w:p w14:paraId="4BF4BB11">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p>
              </w:tc>
              <w:tc>
                <w:tcPr>
                  <w:tcW w:w="1031" w:type="pct"/>
                  <w:tcBorders>
                    <w:tl2br w:val="nil"/>
                    <w:tr2bl w:val="nil"/>
                  </w:tcBorders>
                  <w:noWrap/>
                  <w:tcMar>
                    <w:top w:w="15" w:type="dxa"/>
                    <w:left w:w="15" w:type="dxa"/>
                    <w:right w:w="15" w:type="dxa"/>
                  </w:tcMar>
                  <w:vAlign w:val="center"/>
                </w:tcPr>
                <w:p w14:paraId="28711DF0">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eastAsia="zh-CN"/>
                    </w:rPr>
                  </w:pPr>
                  <w:r>
                    <w:rPr>
                      <w:rStyle w:val="96"/>
                      <w:rFonts w:hint="eastAsia" w:ascii="Times New Roman" w:hAnsi="Times New Roman" w:eastAsia="宋体" w:cs="Times New Roman"/>
                      <w:sz w:val="21"/>
                      <w:szCs w:val="21"/>
                      <w:lang w:eastAsia="zh-CN"/>
                    </w:rPr>
                    <w:t>油类包装桶</w:t>
                  </w:r>
                </w:p>
              </w:tc>
              <w:tc>
                <w:tcPr>
                  <w:tcW w:w="943" w:type="pct"/>
                  <w:tcBorders>
                    <w:tl2br w:val="nil"/>
                    <w:tr2bl w:val="nil"/>
                  </w:tcBorders>
                  <w:noWrap/>
                  <w:tcMar>
                    <w:top w:w="15" w:type="dxa"/>
                    <w:left w:w="15" w:type="dxa"/>
                    <w:right w:w="15" w:type="dxa"/>
                  </w:tcMar>
                  <w:vAlign w:val="center"/>
                </w:tcPr>
                <w:p w14:paraId="077B18B4">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eastAsia="zh-CN"/>
                    </w:rPr>
                  </w:pPr>
                  <w:r>
                    <w:rPr>
                      <w:rStyle w:val="96"/>
                      <w:rFonts w:hint="eastAsia" w:ascii="Times New Roman" w:hAnsi="Times New Roman" w:eastAsia="宋体" w:cs="Times New Roman"/>
                      <w:sz w:val="21"/>
                      <w:szCs w:val="21"/>
                      <w:lang w:val="en-US" w:eastAsia="zh-CN"/>
                    </w:rPr>
                    <w:t>包装</w:t>
                  </w:r>
                </w:p>
              </w:tc>
              <w:tc>
                <w:tcPr>
                  <w:tcW w:w="960" w:type="dxa"/>
                  <w:tcBorders>
                    <w:tl2br w:val="nil"/>
                    <w:tr2bl w:val="nil"/>
                  </w:tcBorders>
                  <w:noWrap/>
                  <w:tcMar>
                    <w:top w:w="15" w:type="dxa"/>
                    <w:left w:w="15" w:type="dxa"/>
                    <w:right w:w="15" w:type="dxa"/>
                  </w:tcMar>
                  <w:vAlign w:val="center"/>
                </w:tcPr>
                <w:p w14:paraId="7A709FB1">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0.003 </w:t>
                  </w:r>
                </w:p>
              </w:tc>
              <w:tc>
                <w:tcPr>
                  <w:tcW w:w="1396" w:type="pct"/>
                  <w:tcBorders>
                    <w:tl2br w:val="nil"/>
                    <w:tr2bl w:val="nil"/>
                  </w:tcBorders>
                  <w:noWrap/>
                  <w:tcMar>
                    <w:top w:w="15" w:type="dxa"/>
                    <w:left w:w="15" w:type="dxa"/>
                    <w:right w:w="15" w:type="dxa"/>
                  </w:tcMar>
                  <w:vAlign w:val="center"/>
                </w:tcPr>
                <w:p w14:paraId="01A54954">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委托相关资质单位处置</w:t>
                  </w:r>
                </w:p>
              </w:tc>
            </w:tr>
            <w:tr w14:paraId="03B51E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2" w:type="pct"/>
                  <w:gridSpan w:val="2"/>
                  <w:tcBorders>
                    <w:tl2br w:val="nil"/>
                    <w:tr2bl w:val="nil"/>
                  </w:tcBorders>
                  <w:noWrap/>
                  <w:tcMar>
                    <w:top w:w="15" w:type="dxa"/>
                    <w:left w:w="15" w:type="dxa"/>
                    <w:right w:w="15" w:type="dxa"/>
                  </w:tcMar>
                  <w:vAlign w:val="center"/>
                </w:tcPr>
                <w:p w14:paraId="1790B369">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eastAsia="zh-CN"/>
                    </w:rPr>
                  </w:pPr>
                  <w:r>
                    <w:rPr>
                      <w:rStyle w:val="96"/>
                      <w:rFonts w:hint="eastAsia" w:ascii="Times New Roman" w:hAnsi="Times New Roman" w:eastAsia="宋体" w:cs="Times New Roman"/>
                      <w:sz w:val="21"/>
                      <w:szCs w:val="21"/>
                    </w:rPr>
                    <w:t>生活垃圾</w:t>
                  </w:r>
                </w:p>
              </w:tc>
              <w:tc>
                <w:tcPr>
                  <w:tcW w:w="943" w:type="pct"/>
                  <w:tcBorders>
                    <w:tl2br w:val="nil"/>
                    <w:tr2bl w:val="nil"/>
                  </w:tcBorders>
                  <w:noWrap/>
                  <w:tcMar>
                    <w:top w:w="15" w:type="dxa"/>
                    <w:left w:w="15" w:type="dxa"/>
                    <w:right w:w="15" w:type="dxa"/>
                  </w:tcMar>
                  <w:vAlign w:val="center"/>
                </w:tcPr>
                <w:p w14:paraId="7FFC6C46">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lang w:eastAsia="zh-CN"/>
                    </w:rPr>
                  </w:pPr>
                  <w:r>
                    <w:rPr>
                      <w:rStyle w:val="96"/>
                      <w:rFonts w:hint="eastAsia" w:ascii="Times New Roman" w:hAnsi="Times New Roman" w:eastAsia="宋体" w:cs="Times New Roman"/>
                      <w:sz w:val="21"/>
                      <w:szCs w:val="21"/>
                    </w:rPr>
                    <w:t>员工</w:t>
                  </w:r>
                </w:p>
              </w:tc>
              <w:tc>
                <w:tcPr>
                  <w:tcW w:w="557" w:type="pct"/>
                  <w:tcBorders>
                    <w:tl2br w:val="nil"/>
                    <w:tr2bl w:val="nil"/>
                  </w:tcBorders>
                  <w:noWrap/>
                  <w:tcMar>
                    <w:top w:w="15" w:type="dxa"/>
                    <w:left w:w="15" w:type="dxa"/>
                    <w:right w:w="15" w:type="dxa"/>
                  </w:tcMar>
                  <w:vAlign w:val="center"/>
                </w:tcPr>
                <w:p w14:paraId="401343FE">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1.9</w:t>
                  </w:r>
                </w:p>
              </w:tc>
              <w:tc>
                <w:tcPr>
                  <w:tcW w:w="1396" w:type="pct"/>
                  <w:tcBorders>
                    <w:tl2br w:val="nil"/>
                    <w:tr2bl w:val="nil"/>
                  </w:tcBorders>
                  <w:noWrap/>
                  <w:tcMar>
                    <w:top w:w="15" w:type="dxa"/>
                    <w:left w:w="15" w:type="dxa"/>
                    <w:right w:w="15" w:type="dxa"/>
                  </w:tcMar>
                  <w:vAlign w:val="center"/>
                </w:tcPr>
                <w:p w14:paraId="1C63BF20">
                  <w:pPr>
                    <w:pStyle w:val="59"/>
                    <w:keepNext w:val="0"/>
                    <w:keepLines w:val="0"/>
                    <w:widowControl/>
                    <w:suppressLineNumbers w:val="0"/>
                    <w:spacing w:before="0" w:beforeAutospacing="0" w:after="0" w:afterAutospacing="0"/>
                    <w:ind w:left="0" w:right="0"/>
                    <w:jc w:val="center"/>
                    <w:rPr>
                      <w:rStyle w:val="96"/>
                      <w:rFonts w:hint="eastAsia" w:ascii="Times New Roman" w:hAnsi="Times New Roman" w:eastAsia="宋体" w:cs="Times New Roman"/>
                      <w:sz w:val="21"/>
                      <w:szCs w:val="21"/>
                    </w:rPr>
                  </w:pPr>
                  <w:r>
                    <w:rPr>
                      <w:rStyle w:val="96"/>
                      <w:rFonts w:hint="eastAsia" w:ascii="Times New Roman" w:hAnsi="Times New Roman" w:eastAsia="宋体" w:cs="Times New Roman"/>
                      <w:sz w:val="21"/>
                      <w:szCs w:val="21"/>
                    </w:rPr>
                    <w:t>环卫部门统一清运</w:t>
                  </w:r>
                </w:p>
              </w:tc>
            </w:tr>
          </w:tbl>
          <w:p w14:paraId="06DA9BC4">
            <w:pPr>
              <w:pStyle w:val="8"/>
              <w:numPr>
                <w:ilvl w:val="1"/>
                <w:numId w:val="0"/>
              </w:numPr>
              <w:suppressLineNumbers w:val="0"/>
              <w:spacing w:before="0" w:beforeAutospacing="0" w:after="0" w:afterAutospacing="0"/>
              <w:ind w:left="0" w:leftChars="0" w:right="0" w:firstLine="482" w:firstLineChars="200"/>
              <w:rPr>
                <w:rFonts w:hint="eastAsia"/>
                <w:color w:val="000000" w:themeColor="text1"/>
                <w:sz w:val="24"/>
                <w:szCs w:val="24"/>
                <w:u w:val="none" w:color="auto"/>
                <w:lang w:val="en-US" w:eastAsia="zh-CN"/>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三、现有工程污染物实际排放总量</w:t>
            </w:r>
          </w:p>
          <w:p w14:paraId="5C939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pacing w:val="0"/>
                <w:w w:val="100"/>
                <w:position w:val="0"/>
                <w:sz w:val="24"/>
                <w:szCs w:val="24"/>
                <w:highlight w:val="none"/>
                <w:u w:val="none" w:color="auto"/>
                <w:lang w:val="en-US" w:eastAsia="zh-CN"/>
              </w:rPr>
            </w:pPr>
            <w:r>
              <w:rPr>
                <w:rFonts w:hint="eastAsia" w:ascii="Times New Roman" w:hAnsi="Times New Roman" w:eastAsia="宋体" w:cs="Times New Roman"/>
                <w:color w:val="auto"/>
                <w:spacing w:val="0"/>
                <w:w w:val="100"/>
                <w:position w:val="0"/>
                <w:sz w:val="24"/>
                <w:szCs w:val="24"/>
                <w:highlight w:val="none"/>
                <w:u w:val="none" w:color="auto"/>
                <w:lang w:val="en-US" w:eastAsia="zh-CN"/>
              </w:rPr>
              <w:t>根据</w:t>
            </w:r>
            <w:r>
              <w:rPr>
                <w:rFonts w:hint="eastAsia" w:cs="Times New Roman"/>
                <w:color w:val="auto"/>
                <w:spacing w:val="0"/>
                <w:w w:val="100"/>
                <w:position w:val="0"/>
                <w:sz w:val="24"/>
                <w:szCs w:val="24"/>
                <w:highlight w:val="none"/>
                <w:u w:val="none" w:color="auto"/>
                <w:lang w:val="en-US" w:eastAsia="zh-CN"/>
              </w:rPr>
              <w:t>《</w:t>
            </w:r>
            <w:r>
              <w:rPr>
                <w:rFonts w:hint="eastAsia" w:ascii="Times New Roman" w:hAnsi="Times New Roman" w:eastAsiaTheme="minorEastAsia"/>
                <w:color w:val="auto"/>
                <w:sz w:val="24"/>
                <w:szCs w:val="24"/>
                <w:lang w:eastAsia="zh-CN"/>
              </w:rPr>
              <w:t>湖南众联设备智能制造产业园项目</w:t>
            </w:r>
            <w:r>
              <w:rPr>
                <w:rFonts w:hint="eastAsia" w:ascii="Times New Roman" w:hAnsi="Times New Roman" w:eastAsia="宋体" w:cs="Times New Roman"/>
                <w:color w:val="auto"/>
                <w:sz w:val="24"/>
                <w:szCs w:val="24"/>
                <w:highlight w:val="none"/>
                <w:u w:val="none" w:color="auto"/>
                <w:lang w:val="en-US" w:eastAsia="zh-CN"/>
              </w:rPr>
              <w:t>环境影响报告表</w:t>
            </w:r>
            <w:r>
              <w:rPr>
                <w:rFonts w:hint="eastAsia" w:cs="Times New Roman"/>
                <w:color w:val="auto"/>
                <w:spacing w:val="0"/>
                <w:w w:val="100"/>
                <w:position w:val="0"/>
                <w:sz w:val="24"/>
                <w:szCs w:val="24"/>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w:t>
            </w:r>
            <w:r>
              <w:rPr>
                <w:rFonts w:hint="eastAsia" w:cs="Times New Roman"/>
                <w:color w:val="auto"/>
                <w:spacing w:val="0"/>
                <w:w w:val="100"/>
                <w:position w:val="0"/>
                <w:sz w:val="24"/>
                <w:szCs w:val="24"/>
                <w:highlight w:val="none"/>
                <w:u w:val="none" w:color="auto"/>
                <w:lang w:val="en-US" w:eastAsia="zh-CN"/>
              </w:rPr>
              <w:t>《</w:t>
            </w:r>
            <w:r>
              <w:rPr>
                <w:rFonts w:hint="eastAsia" w:ascii="Times New Roman" w:hAnsi="Times New Roman" w:eastAsiaTheme="minorEastAsia"/>
                <w:color w:val="auto"/>
                <w:sz w:val="24"/>
                <w:szCs w:val="24"/>
                <w:lang w:eastAsia="zh-CN"/>
              </w:rPr>
              <w:t>湖南众联设备智能制造产业园项目（第一阶段）</w:t>
            </w:r>
            <w:r>
              <w:rPr>
                <w:rFonts w:hint="eastAsia"/>
                <w:color w:val="auto"/>
                <w:sz w:val="24"/>
                <w:szCs w:val="24"/>
                <w:highlight w:val="none"/>
                <w:u w:val="none" w:color="auto"/>
                <w:lang w:val="en-US" w:eastAsia="zh-CN"/>
              </w:rPr>
              <w:t>竣工环境保护验收监测报告表</w:t>
            </w:r>
            <w:r>
              <w:rPr>
                <w:rFonts w:hint="eastAsia" w:cs="Times New Roman"/>
                <w:color w:val="auto"/>
                <w:spacing w:val="0"/>
                <w:w w:val="100"/>
                <w:position w:val="0"/>
                <w:sz w:val="24"/>
                <w:szCs w:val="24"/>
                <w:highlight w:val="none"/>
                <w:u w:val="none" w:color="auto"/>
                <w:lang w:val="en-US" w:eastAsia="zh-CN"/>
              </w:rPr>
              <w:t>》及实际情况</w:t>
            </w:r>
            <w:r>
              <w:rPr>
                <w:rFonts w:hint="eastAsia" w:ascii="Times New Roman" w:hAnsi="Times New Roman" w:eastAsia="宋体" w:cs="Times New Roman"/>
                <w:color w:val="auto"/>
                <w:spacing w:val="0"/>
                <w:w w:val="100"/>
                <w:position w:val="0"/>
                <w:sz w:val="24"/>
                <w:szCs w:val="24"/>
                <w:highlight w:val="none"/>
                <w:u w:val="none" w:color="auto"/>
                <w:lang w:val="en-US" w:eastAsia="zh-CN"/>
              </w:rPr>
              <w:t>，现有工程主要污染物</w:t>
            </w:r>
            <w:r>
              <w:rPr>
                <w:rFonts w:hint="eastAsia" w:ascii="Times New Roman" w:hAnsi="Times New Roman" w:cs="Times New Roman"/>
                <w:color w:val="auto"/>
                <w:spacing w:val="0"/>
                <w:w w:val="100"/>
                <w:position w:val="0"/>
                <w:sz w:val="24"/>
                <w:szCs w:val="24"/>
                <w:highlight w:val="none"/>
                <w:u w:val="none" w:color="auto"/>
                <w:lang w:val="en-US" w:eastAsia="zh-CN"/>
              </w:rPr>
              <w:t>实际</w:t>
            </w:r>
            <w:r>
              <w:rPr>
                <w:rFonts w:hint="eastAsia" w:ascii="Times New Roman" w:hAnsi="Times New Roman" w:eastAsia="宋体" w:cs="Times New Roman"/>
                <w:color w:val="auto"/>
                <w:spacing w:val="0"/>
                <w:w w:val="100"/>
                <w:position w:val="0"/>
                <w:sz w:val="24"/>
                <w:szCs w:val="24"/>
                <w:highlight w:val="none"/>
                <w:u w:val="none" w:color="auto"/>
                <w:lang w:val="en-US" w:eastAsia="zh-CN"/>
              </w:rPr>
              <w:t>排放</w:t>
            </w:r>
            <w:r>
              <w:rPr>
                <w:rFonts w:hint="eastAsia" w:cs="Times New Roman"/>
                <w:color w:val="auto"/>
                <w:spacing w:val="0"/>
                <w:w w:val="100"/>
                <w:position w:val="0"/>
                <w:sz w:val="24"/>
                <w:szCs w:val="24"/>
                <w:highlight w:val="none"/>
                <w:u w:val="none" w:color="auto"/>
                <w:lang w:val="en-US" w:eastAsia="zh-CN"/>
              </w:rPr>
              <w:t>量</w:t>
            </w:r>
            <w:r>
              <w:rPr>
                <w:rFonts w:hint="eastAsia" w:ascii="Times New Roman" w:hAnsi="Times New Roman" w:eastAsia="宋体" w:cs="Times New Roman"/>
                <w:color w:val="auto"/>
                <w:spacing w:val="0"/>
                <w:w w:val="100"/>
                <w:position w:val="0"/>
                <w:sz w:val="24"/>
                <w:szCs w:val="24"/>
                <w:highlight w:val="none"/>
                <w:u w:val="none" w:color="auto"/>
                <w:lang w:val="en-US" w:eastAsia="zh-CN"/>
              </w:rPr>
              <w:t>汇总如下：</w:t>
            </w:r>
          </w:p>
          <w:p w14:paraId="084CA02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bCs/>
                <w:color w:val="auto"/>
                <w:spacing w:val="0"/>
                <w:position w:val="0"/>
                <w:sz w:val="24"/>
                <w:szCs w:val="24"/>
                <w:highlight w:val="none"/>
                <w:u w:val="none" w:color="auto"/>
                <w:lang w:val="en-US" w:eastAsia="zh-CN" w:bidi="ar-SA"/>
              </w:rPr>
            </w:pPr>
            <w:r>
              <w:rPr>
                <w:rFonts w:hint="default" w:ascii="Times New Roman" w:hAnsi="Times New Roman" w:eastAsia="宋体" w:cs="Times New Roman"/>
                <w:b/>
                <w:bCs/>
                <w:color w:val="auto"/>
                <w:spacing w:val="0"/>
                <w:position w:val="0"/>
                <w:sz w:val="24"/>
                <w:szCs w:val="24"/>
                <w:highlight w:val="none"/>
                <w:u w:val="none" w:color="auto"/>
                <w:lang w:val="en-US" w:eastAsia="zh-CN" w:bidi="ar-SA"/>
              </w:rPr>
              <w:t>表2-</w:t>
            </w:r>
            <w:r>
              <w:rPr>
                <w:rFonts w:hint="eastAsia" w:cs="Times New Roman"/>
                <w:b/>
                <w:bCs/>
                <w:color w:val="auto"/>
                <w:spacing w:val="0"/>
                <w:position w:val="0"/>
                <w:sz w:val="24"/>
                <w:szCs w:val="24"/>
                <w:highlight w:val="none"/>
                <w:u w:val="none" w:color="auto"/>
                <w:lang w:val="en-US" w:eastAsia="zh-CN" w:bidi="ar-SA"/>
              </w:rPr>
              <w:t>14</w:t>
            </w:r>
            <w:r>
              <w:rPr>
                <w:rFonts w:hint="default" w:ascii="Times New Roman" w:hAnsi="Times New Roman" w:cs="Times New Roman"/>
                <w:b/>
                <w:bCs/>
                <w:color w:val="auto"/>
                <w:spacing w:val="0"/>
                <w:position w:val="0"/>
                <w:sz w:val="24"/>
                <w:szCs w:val="24"/>
                <w:highlight w:val="none"/>
                <w:u w:val="none" w:color="auto"/>
                <w:lang w:val="en-US" w:eastAsia="zh-CN" w:bidi="ar-SA"/>
              </w:rPr>
              <w:t xml:space="preserve">   </w:t>
            </w:r>
            <w:r>
              <w:rPr>
                <w:rFonts w:hint="default" w:ascii="Times New Roman" w:hAnsi="Times New Roman" w:eastAsia="宋体" w:cs="Times New Roman"/>
                <w:b/>
                <w:bCs/>
                <w:color w:val="auto"/>
                <w:spacing w:val="0"/>
                <w:position w:val="0"/>
                <w:sz w:val="24"/>
                <w:szCs w:val="24"/>
                <w:highlight w:val="none"/>
                <w:u w:val="none" w:color="auto"/>
                <w:lang w:val="en-US" w:eastAsia="zh-CN" w:bidi="ar-SA"/>
              </w:rPr>
              <w:t>现有工程</w:t>
            </w:r>
            <w:r>
              <w:rPr>
                <w:rFonts w:hint="eastAsia" w:cs="Times New Roman"/>
                <w:b/>
                <w:bCs/>
                <w:color w:val="auto"/>
                <w:spacing w:val="0"/>
                <w:position w:val="0"/>
                <w:sz w:val="24"/>
                <w:szCs w:val="24"/>
                <w:highlight w:val="none"/>
                <w:u w:val="none" w:color="auto"/>
                <w:lang w:val="en-US" w:eastAsia="zh-CN" w:bidi="ar-SA"/>
              </w:rPr>
              <w:t>主要</w:t>
            </w:r>
            <w:r>
              <w:rPr>
                <w:rFonts w:hint="default" w:ascii="Times New Roman" w:hAnsi="Times New Roman" w:eastAsia="宋体" w:cs="Times New Roman"/>
                <w:b/>
                <w:bCs/>
                <w:color w:val="auto"/>
                <w:spacing w:val="0"/>
                <w:position w:val="0"/>
                <w:sz w:val="24"/>
                <w:szCs w:val="24"/>
                <w:highlight w:val="none"/>
                <w:u w:val="none" w:color="auto"/>
                <w:lang w:val="en-US" w:eastAsia="zh-CN" w:bidi="ar-SA"/>
              </w:rPr>
              <w:t>污染物排放量一览表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073"/>
              <w:gridCol w:w="2562"/>
              <w:gridCol w:w="4057"/>
            </w:tblGrid>
            <w:tr w14:paraId="05714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2" w:type="pct"/>
                  <w:gridSpan w:val="3"/>
                  <w:tcBorders>
                    <w:tl2br w:val="nil"/>
                    <w:tr2bl w:val="nil"/>
                  </w:tcBorders>
                  <w:noWrap w:val="0"/>
                  <w:vAlign w:val="center"/>
                </w:tcPr>
                <w:p w14:paraId="3A698C20">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b/>
                      <w:bCs/>
                      <w:color w:val="auto"/>
                      <w:spacing w:val="0"/>
                      <w:position w:val="0"/>
                      <w:sz w:val="21"/>
                      <w:szCs w:val="21"/>
                      <w:highlight w:val="none"/>
                      <w:u w:val="none" w:color="auto"/>
                    </w:rPr>
                  </w:pPr>
                  <w:r>
                    <w:rPr>
                      <w:rFonts w:hint="default" w:ascii="Times New Roman" w:hAnsi="Times New Roman" w:cs="Times New Roman"/>
                      <w:b/>
                      <w:bCs/>
                      <w:color w:val="auto"/>
                      <w:spacing w:val="0"/>
                      <w:position w:val="0"/>
                      <w:sz w:val="21"/>
                      <w:szCs w:val="21"/>
                      <w:highlight w:val="none"/>
                      <w:u w:val="none" w:color="auto"/>
                    </w:rPr>
                    <w:t>污染物</w:t>
                  </w:r>
                </w:p>
              </w:tc>
              <w:tc>
                <w:tcPr>
                  <w:tcW w:w="2357" w:type="pct"/>
                  <w:tcBorders>
                    <w:tl2br w:val="nil"/>
                    <w:tr2bl w:val="nil"/>
                  </w:tcBorders>
                  <w:noWrap w:val="0"/>
                  <w:vAlign w:val="center"/>
                </w:tcPr>
                <w:p w14:paraId="0FD734D7">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eastAsia="宋体" w:cs="Times New Roman"/>
                      <w:b/>
                      <w:bCs/>
                      <w:color w:val="auto"/>
                      <w:spacing w:val="0"/>
                      <w:position w:val="0"/>
                      <w:sz w:val="21"/>
                      <w:szCs w:val="21"/>
                      <w:highlight w:val="none"/>
                      <w:u w:val="none" w:color="auto"/>
                      <w:lang w:val="en-US" w:eastAsia="zh-CN"/>
                    </w:rPr>
                  </w:pPr>
                  <w:r>
                    <w:rPr>
                      <w:rFonts w:hint="default" w:ascii="Times New Roman" w:hAnsi="Times New Roman" w:cs="Times New Roman"/>
                      <w:b/>
                      <w:bCs/>
                      <w:color w:val="auto"/>
                      <w:spacing w:val="0"/>
                      <w:position w:val="0"/>
                      <w:sz w:val="21"/>
                      <w:szCs w:val="21"/>
                      <w:highlight w:val="none"/>
                      <w:u w:val="none" w:color="auto"/>
                    </w:rPr>
                    <w:t>排放量</w:t>
                  </w:r>
                  <w:r>
                    <w:rPr>
                      <w:rFonts w:hint="default" w:ascii="Times New Roman" w:hAnsi="Times New Roman" w:cs="Times New Roman"/>
                      <w:b/>
                      <w:bCs/>
                      <w:color w:val="auto"/>
                      <w:spacing w:val="0"/>
                      <w:position w:val="0"/>
                      <w:sz w:val="21"/>
                      <w:szCs w:val="21"/>
                      <w:highlight w:val="none"/>
                      <w:u w:val="none" w:color="auto"/>
                      <w:lang w:val="en-US" w:eastAsia="zh-CN"/>
                    </w:rPr>
                    <w:t>/固体废物产生量</w:t>
                  </w:r>
                  <w:r>
                    <w:rPr>
                      <w:rFonts w:hint="default" w:ascii="Times New Roman" w:hAnsi="Times New Roman" w:cs="Times New Roman"/>
                      <w:b/>
                      <w:bCs/>
                      <w:color w:val="auto"/>
                      <w:spacing w:val="0"/>
                      <w:position w:val="0"/>
                      <w:sz w:val="21"/>
                      <w:szCs w:val="21"/>
                      <w:highlight w:val="none"/>
                      <w:u w:val="none" w:color="auto"/>
                      <w:lang w:eastAsia="zh-CN"/>
                    </w:rPr>
                    <w:t>（</w:t>
                  </w:r>
                  <w:r>
                    <w:rPr>
                      <w:rFonts w:hint="default" w:ascii="Times New Roman" w:hAnsi="Times New Roman" w:cs="Times New Roman"/>
                      <w:b/>
                      <w:bCs/>
                      <w:color w:val="auto"/>
                      <w:spacing w:val="0"/>
                      <w:position w:val="0"/>
                      <w:sz w:val="21"/>
                      <w:szCs w:val="21"/>
                      <w:highlight w:val="none"/>
                      <w:u w:val="none" w:color="auto"/>
                      <w:lang w:val="en-US" w:eastAsia="zh-CN"/>
                    </w:rPr>
                    <w:t>t/a</w:t>
                  </w:r>
                  <w:r>
                    <w:rPr>
                      <w:rFonts w:hint="default" w:ascii="Times New Roman" w:hAnsi="Times New Roman" w:cs="Times New Roman"/>
                      <w:b/>
                      <w:bCs/>
                      <w:color w:val="auto"/>
                      <w:spacing w:val="0"/>
                      <w:position w:val="0"/>
                      <w:sz w:val="21"/>
                      <w:szCs w:val="21"/>
                      <w:highlight w:val="none"/>
                      <w:u w:val="none" w:color="auto"/>
                      <w:lang w:eastAsia="zh-CN"/>
                    </w:rPr>
                    <w:t>）</w:t>
                  </w:r>
                </w:p>
              </w:tc>
            </w:tr>
            <w:tr w14:paraId="75755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tcBorders>
                    <w:tl2br w:val="nil"/>
                    <w:tr2bl w:val="nil"/>
                  </w:tcBorders>
                  <w:noWrap w:val="0"/>
                  <w:vAlign w:val="center"/>
                </w:tcPr>
                <w:p w14:paraId="2C88555B">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rPr>
                  </w:pPr>
                  <w:r>
                    <w:rPr>
                      <w:rFonts w:hint="default" w:ascii="Times New Roman" w:hAnsi="Times New Roman" w:cs="Times New Roman"/>
                      <w:color w:val="auto"/>
                      <w:spacing w:val="0"/>
                      <w:position w:val="0"/>
                      <w:sz w:val="21"/>
                      <w:szCs w:val="21"/>
                      <w:highlight w:val="none"/>
                      <w:u w:val="none" w:color="auto"/>
                    </w:rPr>
                    <w:t>废气</w:t>
                  </w:r>
                </w:p>
              </w:tc>
              <w:tc>
                <w:tcPr>
                  <w:tcW w:w="2112" w:type="pct"/>
                  <w:gridSpan w:val="2"/>
                  <w:tcBorders>
                    <w:tl2br w:val="nil"/>
                    <w:tr2bl w:val="nil"/>
                  </w:tcBorders>
                  <w:noWrap w:val="0"/>
                  <w:vAlign w:val="center"/>
                </w:tcPr>
                <w:p w14:paraId="5A594AE1">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颗粒物</w:t>
                  </w:r>
                </w:p>
              </w:tc>
              <w:tc>
                <w:tcPr>
                  <w:tcW w:w="2357" w:type="pct"/>
                  <w:tcBorders>
                    <w:tl2br w:val="nil"/>
                    <w:tr2bl w:val="nil"/>
                  </w:tcBorders>
                  <w:noWrap w:val="0"/>
                  <w:vAlign w:val="center"/>
                </w:tcPr>
                <w:p w14:paraId="2699B6B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outlineLvl w:val="9"/>
                    <w:rPr>
                      <w:rFonts w:hint="default" w:ascii="Times New Roman" w:hAnsi="Times New Roman" w:eastAsia="宋体" w:cs="Times New Roman"/>
                      <w:b w:val="0"/>
                      <w:bCs w:val="0"/>
                      <w:color w:val="auto"/>
                      <w:spacing w:val="0"/>
                      <w:position w:val="0"/>
                      <w:sz w:val="21"/>
                      <w:szCs w:val="21"/>
                      <w:highlight w:val="none"/>
                      <w:u w:val="none" w:color="auto"/>
                      <w:lang w:val="en-US" w:eastAsia="zh-CN"/>
                    </w:rPr>
                  </w:pPr>
                  <w:r>
                    <w:rPr>
                      <w:rFonts w:hint="eastAsia" w:cs="Times New Roman"/>
                      <w:color w:val="auto"/>
                      <w:spacing w:val="0"/>
                      <w:position w:val="0"/>
                      <w:sz w:val="21"/>
                      <w:szCs w:val="21"/>
                      <w:highlight w:val="none"/>
                      <w:u w:val="none" w:color="auto"/>
                      <w:lang w:val="en-US" w:eastAsia="zh-CN"/>
                    </w:rPr>
                    <w:t>1.031</w:t>
                  </w:r>
                </w:p>
              </w:tc>
            </w:tr>
            <w:tr w14:paraId="1D8AD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restart"/>
                  <w:tcBorders>
                    <w:tl2br w:val="nil"/>
                    <w:tr2bl w:val="nil"/>
                  </w:tcBorders>
                  <w:noWrap w:val="0"/>
                  <w:vAlign w:val="center"/>
                </w:tcPr>
                <w:p w14:paraId="7CF5C4B1">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r>
                    <w:rPr>
                      <w:rFonts w:hint="default" w:ascii="Times New Roman" w:hAnsi="Times New Roman" w:cs="Times New Roman"/>
                      <w:color w:val="auto"/>
                      <w:spacing w:val="0"/>
                      <w:position w:val="0"/>
                      <w:sz w:val="21"/>
                      <w:szCs w:val="21"/>
                      <w:highlight w:val="none"/>
                      <w:u w:val="none" w:color="auto"/>
                      <w:lang w:eastAsia="zh-CN"/>
                    </w:rPr>
                    <w:t>废水</w:t>
                  </w:r>
                </w:p>
              </w:tc>
              <w:tc>
                <w:tcPr>
                  <w:tcW w:w="2112" w:type="pct"/>
                  <w:gridSpan w:val="2"/>
                  <w:tcBorders>
                    <w:tl2br w:val="nil"/>
                    <w:tr2bl w:val="nil"/>
                  </w:tcBorders>
                  <w:noWrap w:val="0"/>
                  <w:vAlign w:val="center"/>
                </w:tcPr>
                <w:p w14:paraId="365A5AF2">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default" w:ascii="Times New Roman" w:hAnsi="Times New Roman" w:eastAsia="宋体" w:cs="Times New Roman"/>
                      <w:color w:val="auto"/>
                      <w:sz w:val="21"/>
                      <w:szCs w:val="21"/>
                      <w:lang w:val="en-US" w:eastAsia="zh-CN"/>
                    </w:rPr>
                    <w:t>CODcr</w:t>
                  </w:r>
                </w:p>
              </w:tc>
              <w:tc>
                <w:tcPr>
                  <w:tcW w:w="2357" w:type="pct"/>
                  <w:tcBorders>
                    <w:tl2br w:val="nil"/>
                    <w:tr2bl w:val="nil"/>
                  </w:tcBorders>
                  <w:noWrap w:val="0"/>
                  <w:vAlign w:val="center"/>
                </w:tcPr>
                <w:p w14:paraId="00584A46">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0.024</w:t>
                  </w:r>
                </w:p>
              </w:tc>
            </w:tr>
            <w:tr w14:paraId="2C8F0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17F775CC">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2112" w:type="pct"/>
                  <w:gridSpan w:val="2"/>
                  <w:tcBorders>
                    <w:tl2br w:val="nil"/>
                    <w:tr2bl w:val="nil"/>
                  </w:tcBorders>
                  <w:noWrap w:val="0"/>
                  <w:vAlign w:val="center"/>
                </w:tcPr>
                <w:p w14:paraId="26F882A6">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NH</w:t>
                  </w:r>
                  <w:r>
                    <w:rPr>
                      <w:rStyle w:val="96"/>
                      <w:rFonts w:hint="eastAsia" w:ascii="Times New Roman" w:hAnsi="Times New Roman" w:eastAsia="宋体" w:cs="Times New Roman"/>
                      <w:color w:val="auto"/>
                      <w:sz w:val="21"/>
                      <w:szCs w:val="21"/>
                      <w:vertAlign w:val="subscript"/>
                      <w:lang w:val="en-US" w:eastAsia="zh-CN"/>
                    </w:rPr>
                    <w:t>3</w:t>
                  </w:r>
                  <w:r>
                    <w:rPr>
                      <w:rStyle w:val="96"/>
                      <w:rFonts w:hint="eastAsia" w:ascii="Times New Roman" w:hAnsi="Times New Roman" w:eastAsia="宋体" w:cs="Times New Roman"/>
                      <w:color w:val="auto"/>
                      <w:sz w:val="21"/>
                      <w:szCs w:val="21"/>
                      <w:lang w:val="en-US" w:eastAsia="zh-CN"/>
                    </w:rPr>
                    <w:t>-N</w:t>
                  </w:r>
                </w:p>
              </w:tc>
              <w:tc>
                <w:tcPr>
                  <w:tcW w:w="2357" w:type="pct"/>
                  <w:tcBorders>
                    <w:tl2br w:val="nil"/>
                    <w:tr2bl w:val="nil"/>
                  </w:tcBorders>
                  <w:noWrap w:val="0"/>
                  <w:vAlign w:val="center"/>
                </w:tcPr>
                <w:p w14:paraId="4511CABB">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default" w:ascii="Times New Roman" w:hAnsi="Times New Roman" w:eastAsia="宋体" w:cs="Times New Roman"/>
                      <w:color w:val="auto"/>
                      <w:sz w:val="21"/>
                      <w:szCs w:val="21"/>
                      <w:lang w:val="en-US" w:eastAsia="zh-CN"/>
                    </w:rPr>
                    <w:t>0.</w:t>
                  </w:r>
                  <w:r>
                    <w:rPr>
                      <w:rStyle w:val="96"/>
                      <w:rFonts w:hint="eastAsia" w:ascii="Times New Roman" w:hAnsi="Times New Roman" w:eastAsia="宋体" w:cs="Times New Roman"/>
                      <w:color w:val="auto"/>
                      <w:sz w:val="21"/>
                      <w:szCs w:val="21"/>
                      <w:lang w:val="en-US" w:eastAsia="zh-CN"/>
                    </w:rPr>
                    <w:t>001</w:t>
                  </w:r>
                </w:p>
              </w:tc>
            </w:tr>
            <w:tr w14:paraId="0718B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3F1B3647">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FF0000"/>
                      <w:spacing w:val="0"/>
                      <w:position w:val="0"/>
                      <w:sz w:val="21"/>
                      <w:szCs w:val="21"/>
                      <w:highlight w:val="none"/>
                      <w:u w:val="none" w:color="auto"/>
                      <w:lang w:eastAsia="zh-CN"/>
                    </w:rPr>
                  </w:pPr>
                </w:p>
              </w:tc>
              <w:tc>
                <w:tcPr>
                  <w:tcW w:w="2112" w:type="pct"/>
                  <w:gridSpan w:val="2"/>
                  <w:tcBorders>
                    <w:tl2br w:val="nil"/>
                    <w:tr2bl w:val="nil"/>
                  </w:tcBorders>
                  <w:noWrap w:val="0"/>
                  <w:vAlign w:val="center"/>
                </w:tcPr>
                <w:p w14:paraId="30E56F79">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TP</w:t>
                  </w:r>
                </w:p>
              </w:tc>
              <w:tc>
                <w:tcPr>
                  <w:tcW w:w="4057" w:type="dxa"/>
                  <w:tcBorders>
                    <w:tl2br w:val="nil"/>
                    <w:tr2bl w:val="nil"/>
                  </w:tcBorders>
                  <w:noWrap w:val="0"/>
                  <w:vAlign w:val="center"/>
                </w:tcPr>
                <w:p w14:paraId="0BB24C10">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0.0002 </w:t>
                  </w:r>
                </w:p>
              </w:tc>
            </w:tr>
            <w:tr w14:paraId="3537B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22C9AC67">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FF0000"/>
                      <w:spacing w:val="0"/>
                      <w:position w:val="0"/>
                      <w:sz w:val="21"/>
                      <w:szCs w:val="21"/>
                      <w:highlight w:val="none"/>
                      <w:u w:val="none" w:color="auto"/>
                      <w:lang w:eastAsia="zh-CN"/>
                    </w:rPr>
                  </w:pPr>
                </w:p>
              </w:tc>
              <w:tc>
                <w:tcPr>
                  <w:tcW w:w="2112" w:type="pct"/>
                  <w:gridSpan w:val="2"/>
                  <w:tcBorders>
                    <w:tl2br w:val="nil"/>
                    <w:tr2bl w:val="nil"/>
                  </w:tcBorders>
                  <w:noWrap w:val="0"/>
                  <w:vAlign w:val="center"/>
                </w:tcPr>
                <w:p w14:paraId="034283FD">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TN</w:t>
                  </w:r>
                </w:p>
              </w:tc>
              <w:tc>
                <w:tcPr>
                  <w:tcW w:w="4057" w:type="dxa"/>
                  <w:tcBorders>
                    <w:tl2br w:val="nil"/>
                    <w:tr2bl w:val="nil"/>
                  </w:tcBorders>
                  <w:noWrap w:val="0"/>
                  <w:vAlign w:val="center"/>
                </w:tcPr>
                <w:p w14:paraId="1E3D9215">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0.0022 </w:t>
                  </w:r>
                </w:p>
              </w:tc>
            </w:tr>
            <w:tr w14:paraId="485EF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14CFD547">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FF0000"/>
                      <w:spacing w:val="0"/>
                      <w:position w:val="0"/>
                      <w:sz w:val="21"/>
                      <w:szCs w:val="21"/>
                      <w:highlight w:val="none"/>
                      <w:u w:val="none" w:color="auto"/>
                      <w:lang w:eastAsia="zh-CN"/>
                    </w:rPr>
                  </w:pPr>
                </w:p>
              </w:tc>
              <w:tc>
                <w:tcPr>
                  <w:tcW w:w="2112" w:type="pct"/>
                  <w:gridSpan w:val="2"/>
                  <w:tcBorders>
                    <w:tl2br w:val="nil"/>
                    <w:tr2bl w:val="nil"/>
                  </w:tcBorders>
                  <w:noWrap w:val="0"/>
                  <w:vAlign w:val="center"/>
                </w:tcPr>
                <w:p w14:paraId="0A739CAF">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SS</w:t>
                  </w:r>
                </w:p>
              </w:tc>
              <w:tc>
                <w:tcPr>
                  <w:tcW w:w="4057" w:type="dxa"/>
                  <w:tcBorders>
                    <w:tl2br w:val="nil"/>
                    <w:tr2bl w:val="nil"/>
                  </w:tcBorders>
                  <w:noWrap w:val="0"/>
                  <w:vAlign w:val="center"/>
                </w:tcPr>
                <w:p w14:paraId="7C387B8D">
                  <w:pPr>
                    <w:pStyle w:val="59"/>
                    <w:keepNext w:val="0"/>
                    <w:keepLines w:val="0"/>
                    <w:widowControl/>
                    <w:suppressLineNumbers w:val="0"/>
                    <w:spacing w:before="0" w:beforeAutospacing="0" w:after="0" w:afterAutospacing="0"/>
                    <w:ind w:left="0" w:leftChars="0" w:right="0" w:rightChars="0"/>
                    <w:jc w:val="center"/>
                    <w:rPr>
                      <w:rStyle w:val="96"/>
                      <w:rFonts w:hint="default"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 xml:space="preserve">0.0225 </w:t>
                  </w:r>
                </w:p>
              </w:tc>
            </w:tr>
            <w:tr w14:paraId="2276F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restart"/>
                  <w:tcBorders>
                    <w:tl2br w:val="nil"/>
                    <w:tr2bl w:val="nil"/>
                  </w:tcBorders>
                  <w:noWrap w:val="0"/>
                  <w:vAlign w:val="center"/>
                </w:tcPr>
                <w:p w14:paraId="763BE4DF">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r>
                    <w:rPr>
                      <w:rFonts w:hint="default" w:ascii="Times New Roman" w:hAnsi="Times New Roman" w:cs="Times New Roman"/>
                      <w:color w:val="auto"/>
                      <w:spacing w:val="0"/>
                      <w:position w:val="0"/>
                      <w:sz w:val="21"/>
                      <w:szCs w:val="21"/>
                      <w:highlight w:val="none"/>
                      <w:u w:val="none" w:color="auto"/>
                      <w:lang w:eastAsia="zh-CN"/>
                    </w:rPr>
                    <w:t>固废</w:t>
                  </w:r>
                </w:p>
              </w:tc>
              <w:tc>
                <w:tcPr>
                  <w:tcW w:w="2112" w:type="pct"/>
                  <w:gridSpan w:val="2"/>
                  <w:tcBorders>
                    <w:tl2br w:val="nil"/>
                    <w:tr2bl w:val="nil"/>
                  </w:tcBorders>
                  <w:noWrap w:val="0"/>
                  <w:vAlign w:val="center"/>
                </w:tcPr>
                <w:p w14:paraId="69147C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eastAsia="zh-CN"/>
                    </w:rPr>
                  </w:pPr>
                  <w:r>
                    <w:rPr>
                      <w:rFonts w:hint="default" w:ascii="Times New Roman" w:hAnsi="Times New Roman" w:eastAsia="宋体" w:cs="Times New Roman"/>
                      <w:b w:val="0"/>
                      <w:bCs w:val="0"/>
                      <w:color w:val="auto"/>
                      <w:spacing w:val="0"/>
                      <w:kern w:val="0"/>
                      <w:position w:val="0"/>
                      <w:sz w:val="21"/>
                      <w:szCs w:val="21"/>
                      <w:highlight w:val="none"/>
                      <w:u w:val="none" w:color="auto"/>
                      <w:lang w:eastAsia="zh-CN"/>
                    </w:rPr>
                    <w:t>生活垃圾</w:t>
                  </w:r>
                </w:p>
              </w:tc>
              <w:tc>
                <w:tcPr>
                  <w:tcW w:w="2357" w:type="pct"/>
                  <w:tcBorders>
                    <w:tl2br w:val="nil"/>
                    <w:tr2bl w:val="nil"/>
                  </w:tcBorders>
                  <w:noWrap w:val="0"/>
                  <w:vAlign w:val="center"/>
                </w:tcPr>
                <w:p w14:paraId="06ACA3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val="en-US"/>
                    </w:rPr>
                  </w:pPr>
                  <w:r>
                    <w:rPr>
                      <w:rFonts w:hint="eastAsia" w:cs="Times New Roman"/>
                      <w:b w:val="0"/>
                      <w:bCs w:val="0"/>
                      <w:color w:val="auto"/>
                      <w:spacing w:val="0"/>
                      <w:kern w:val="0"/>
                      <w:position w:val="0"/>
                      <w:sz w:val="21"/>
                      <w:szCs w:val="21"/>
                      <w:highlight w:val="none"/>
                      <w:u w:val="none" w:color="auto"/>
                      <w:lang w:val="en-US" w:eastAsia="zh-CN"/>
                    </w:rPr>
                    <w:t>1.9</w:t>
                  </w:r>
                </w:p>
              </w:tc>
            </w:tr>
            <w:tr w14:paraId="7B0C6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59B28219">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623" w:type="pct"/>
                  <w:vMerge w:val="restart"/>
                  <w:tcBorders>
                    <w:tl2br w:val="nil"/>
                    <w:tr2bl w:val="nil"/>
                  </w:tcBorders>
                  <w:noWrap w:val="0"/>
                  <w:vAlign w:val="center"/>
                </w:tcPr>
                <w:p w14:paraId="398C52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val="en-US" w:eastAsia="zh-CN"/>
                    </w:rPr>
                  </w:pPr>
                  <w:r>
                    <w:rPr>
                      <w:rFonts w:hint="default" w:ascii="Times New Roman" w:hAnsi="Times New Roman" w:cs="Times New Roman"/>
                      <w:color w:val="auto"/>
                      <w:spacing w:val="0"/>
                      <w:position w:val="0"/>
                      <w:sz w:val="21"/>
                      <w:szCs w:val="21"/>
                      <w:highlight w:val="none"/>
                      <w:u w:val="none" w:color="auto"/>
                      <w:lang w:val="en-US" w:eastAsia="zh-CN"/>
                    </w:rPr>
                    <w:t>一般</w:t>
                  </w:r>
                </w:p>
                <w:p w14:paraId="5B5165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val="en-US" w:eastAsia="zh-CN"/>
                    </w:rPr>
                  </w:pPr>
                  <w:r>
                    <w:rPr>
                      <w:rFonts w:hint="default" w:ascii="Times New Roman" w:hAnsi="Times New Roman" w:cs="Times New Roman"/>
                      <w:color w:val="auto"/>
                      <w:spacing w:val="0"/>
                      <w:position w:val="0"/>
                      <w:sz w:val="21"/>
                      <w:szCs w:val="21"/>
                      <w:highlight w:val="none"/>
                      <w:u w:val="none" w:color="auto"/>
                      <w:lang w:val="en-US" w:eastAsia="zh-CN"/>
                    </w:rPr>
                    <w:t>固废</w:t>
                  </w:r>
                </w:p>
              </w:tc>
              <w:tc>
                <w:tcPr>
                  <w:tcW w:w="1489" w:type="pct"/>
                  <w:tcBorders>
                    <w:tl2br w:val="nil"/>
                    <w:tr2bl w:val="nil"/>
                  </w:tcBorders>
                  <w:noWrap w:val="0"/>
                  <w:vAlign w:val="center"/>
                </w:tcPr>
                <w:p w14:paraId="505DD82F">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0"/>
                      <w:kern w:val="2"/>
                      <w:position w:val="0"/>
                      <w:sz w:val="21"/>
                      <w:szCs w:val="21"/>
                      <w:u w:val="none" w:color="auto"/>
                      <w:lang w:val="en-US" w:eastAsia="zh-CN" w:bidi="ar-SA"/>
                    </w:rPr>
                  </w:pPr>
                  <w:r>
                    <w:rPr>
                      <w:rStyle w:val="96"/>
                      <w:rFonts w:hint="eastAsia" w:ascii="Times New Roman" w:hAnsi="Times New Roman" w:eastAsia="宋体" w:cs="Times New Roman"/>
                      <w:color w:val="auto"/>
                      <w:sz w:val="21"/>
                      <w:szCs w:val="21"/>
                    </w:rPr>
                    <w:t>废包装</w:t>
                  </w:r>
                  <w:r>
                    <w:rPr>
                      <w:rStyle w:val="96"/>
                      <w:rFonts w:hint="eastAsia" w:ascii="Times New Roman" w:hAnsi="Times New Roman" w:eastAsia="宋体" w:cs="Times New Roman"/>
                      <w:color w:val="auto"/>
                      <w:sz w:val="21"/>
                      <w:szCs w:val="21"/>
                      <w:lang w:eastAsia="zh-CN"/>
                    </w:rPr>
                    <w:t>物</w:t>
                  </w:r>
                </w:p>
              </w:tc>
              <w:tc>
                <w:tcPr>
                  <w:tcW w:w="4057" w:type="dxa"/>
                  <w:tcBorders>
                    <w:tl2br w:val="nil"/>
                    <w:tr2bl w:val="nil"/>
                  </w:tcBorders>
                  <w:noWrap w:val="0"/>
                  <w:vAlign w:val="center"/>
                </w:tcPr>
                <w:p w14:paraId="311CDFDD">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spacing w:val="0"/>
                      <w:position w:val="0"/>
                      <w:sz w:val="21"/>
                      <w:szCs w:val="21"/>
                      <w:highlight w:val="none"/>
                      <w:u w:val="none" w:color="auto"/>
                    </w:rPr>
                  </w:pPr>
                  <w:r>
                    <w:rPr>
                      <w:rStyle w:val="96"/>
                      <w:rFonts w:hint="eastAsia" w:ascii="Times New Roman" w:hAnsi="Times New Roman" w:eastAsia="宋体" w:cs="Times New Roman"/>
                      <w:color w:val="auto"/>
                      <w:sz w:val="21"/>
                      <w:szCs w:val="21"/>
                      <w:lang w:val="en-US" w:eastAsia="zh-CN"/>
                    </w:rPr>
                    <w:t xml:space="preserve">0.01 </w:t>
                  </w:r>
                </w:p>
              </w:tc>
            </w:tr>
            <w:tr w14:paraId="1478E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0E15A688">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623" w:type="pct"/>
                  <w:vMerge w:val="continue"/>
                  <w:tcBorders>
                    <w:tl2br w:val="nil"/>
                    <w:tr2bl w:val="nil"/>
                  </w:tcBorders>
                  <w:noWrap w:val="0"/>
                  <w:vAlign w:val="center"/>
                </w:tcPr>
                <w:p w14:paraId="31E641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eastAsia="zh-CN"/>
                    </w:rPr>
                  </w:pPr>
                </w:p>
              </w:tc>
              <w:tc>
                <w:tcPr>
                  <w:tcW w:w="1489" w:type="pct"/>
                  <w:tcBorders>
                    <w:tl2br w:val="nil"/>
                    <w:tr2bl w:val="nil"/>
                  </w:tcBorders>
                  <w:noWrap w:val="0"/>
                  <w:vAlign w:val="center"/>
                </w:tcPr>
                <w:p w14:paraId="0174205D">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0"/>
                      <w:kern w:val="2"/>
                      <w:position w:val="0"/>
                      <w:sz w:val="21"/>
                      <w:szCs w:val="21"/>
                      <w:u w:val="none" w:color="auto"/>
                      <w:lang w:val="en-US" w:eastAsia="zh-CN" w:bidi="ar-SA"/>
                    </w:rPr>
                  </w:pPr>
                  <w:r>
                    <w:rPr>
                      <w:rStyle w:val="96"/>
                      <w:rFonts w:hint="eastAsia" w:ascii="Times New Roman" w:hAnsi="Times New Roman" w:eastAsia="宋体" w:cs="Times New Roman"/>
                      <w:color w:val="auto"/>
                      <w:sz w:val="21"/>
                      <w:szCs w:val="21"/>
                      <w:lang w:val="en-US" w:eastAsia="zh-CN"/>
                    </w:rPr>
                    <w:t>金属边角料</w:t>
                  </w:r>
                </w:p>
              </w:tc>
              <w:tc>
                <w:tcPr>
                  <w:tcW w:w="4057" w:type="dxa"/>
                  <w:tcBorders>
                    <w:tl2br w:val="nil"/>
                    <w:tr2bl w:val="nil"/>
                  </w:tcBorders>
                  <w:noWrap w:val="0"/>
                  <w:vAlign w:val="center"/>
                </w:tcPr>
                <w:p w14:paraId="48037246">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spacing w:val="0"/>
                      <w:position w:val="0"/>
                      <w:sz w:val="21"/>
                      <w:szCs w:val="21"/>
                      <w:highlight w:val="none"/>
                      <w:u w:val="none" w:color="auto"/>
                    </w:rPr>
                  </w:pPr>
                  <w:r>
                    <w:rPr>
                      <w:rStyle w:val="96"/>
                      <w:rFonts w:hint="eastAsia" w:ascii="Times New Roman" w:hAnsi="Times New Roman" w:eastAsia="宋体" w:cs="Times New Roman"/>
                      <w:color w:val="auto"/>
                      <w:sz w:val="21"/>
                      <w:szCs w:val="21"/>
                      <w:lang w:val="en-US" w:eastAsia="zh-CN"/>
                    </w:rPr>
                    <w:t xml:space="preserve">0.87 </w:t>
                  </w:r>
                </w:p>
              </w:tc>
            </w:tr>
            <w:tr w14:paraId="74FB4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72CFCC18">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623" w:type="pct"/>
                  <w:vMerge w:val="continue"/>
                  <w:tcBorders>
                    <w:tl2br w:val="nil"/>
                    <w:tr2bl w:val="nil"/>
                  </w:tcBorders>
                  <w:noWrap w:val="0"/>
                  <w:vAlign w:val="center"/>
                </w:tcPr>
                <w:p w14:paraId="6D73BA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eastAsia="zh-CN"/>
                    </w:rPr>
                  </w:pPr>
                </w:p>
              </w:tc>
              <w:tc>
                <w:tcPr>
                  <w:tcW w:w="1489" w:type="pct"/>
                  <w:tcBorders>
                    <w:tl2br w:val="nil"/>
                    <w:tr2bl w:val="nil"/>
                  </w:tcBorders>
                  <w:noWrap w:val="0"/>
                  <w:vAlign w:val="center"/>
                </w:tcPr>
                <w:p w14:paraId="574C47B5">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0"/>
                      <w:kern w:val="2"/>
                      <w:position w:val="0"/>
                      <w:sz w:val="21"/>
                      <w:szCs w:val="21"/>
                      <w:u w:val="none" w:color="auto"/>
                      <w:lang w:val="en-US" w:eastAsia="zh-CN" w:bidi="ar-SA"/>
                    </w:rPr>
                  </w:pPr>
                  <w:r>
                    <w:rPr>
                      <w:rStyle w:val="96"/>
                      <w:rFonts w:hint="eastAsia" w:ascii="Times New Roman" w:hAnsi="Times New Roman" w:eastAsia="宋体" w:cs="Times New Roman"/>
                      <w:color w:val="auto"/>
                      <w:sz w:val="21"/>
                      <w:szCs w:val="21"/>
                      <w:lang w:val="en-US" w:eastAsia="zh-CN"/>
                    </w:rPr>
                    <w:t>焊</w:t>
                  </w:r>
                  <w:r>
                    <w:rPr>
                      <w:rStyle w:val="96"/>
                      <w:rFonts w:hint="eastAsia" w:ascii="Times New Roman" w:hAnsi="Times New Roman" w:eastAsia="宋体" w:cs="Times New Roman"/>
                      <w:color w:val="auto"/>
                      <w:sz w:val="21"/>
                      <w:szCs w:val="21"/>
                      <w:lang w:eastAsia="zh-CN"/>
                    </w:rPr>
                    <w:t>渣</w:t>
                  </w:r>
                </w:p>
              </w:tc>
              <w:tc>
                <w:tcPr>
                  <w:tcW w:w="4057" w:type="dxa"/>
                  <w:tcBorders>
                    <w:tl2br w:val="nil"/>
                    <w:tr2bl w:val="nil"/>
                  </w:tcBorders>
                  <w:noWrap w:val="0"/>
                  <w:vAlign w:val="center"/>
                </w:tcPr>
                <w:p w14:paraId="06BD0215">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0"/>
                      <w:kern w:val="0"/>
                      <w:position w:val="0"/>
                      <w:sz w:val="21"/>
                      <w:szCs w:val="21"/>
                      <w:highlight w:val="none"/>
                      <w:u w:val="none" w:color="auto"/>
                      <w:lang w:val="en-US" w:eastAsia="zh-CN"/>
                    </w:rPr>
                  </w:pPr>
                  <w:r>
                    <w:rPr>
                      <w:rStyle w:val="96"/>
                      <w:rFonts w:hint="eastAsia" w:ascii="Times New Roman" w:hAnsi="Times New Roman" w:eastAsia="宋体" w:cs="Times New Roman"/>
                      <w:color w:val="auto"/>
                      <w:sz w:val="21"/>
                      <w:szCs w:val="21"/>
                      <w:lang w:val="en-US" w:eastAsia="zh-CN"/>
                    </w:rPr>
                    <w:t xml:space="preserve">0.09 </w:t>
                  </w:r>
                </w:p>
              </w:tc>
            </w:tr>
            <w:tr w14:paraId="5D6C1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3BD3466F">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623" w:type="pct"/>
                  <w:vMerge w:val="restart"/>
                  <w:tcBorders>
                    <w:tl2br w:val="nil"/>
                    <w:tr2bl w:val="nil"/>
                  </w:tcBorders>
                  <w:noWrap w:val="0"/>
                  <w:vAlign w:val="center"/>
                </w:tcPr>
                <w:p w14:paraId="16F2DC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val="en-US" w:eastAsia="zh-CN"/>
                    </w:rPr>
                  </w:pPr>
                  <w:r>
                    <w:rPr>
                      <w:rFonts w:hint="default" w:ascii="Times New Roman" w:hAnsi="Times New Roman" w:cs="Times New Roman"/>
                      <w:color w:val="auto"/>
                      <w:spacing w:val="0"/>
                      <w:position w:val="0"/>
                      <w:sz w:val="21"/>
                      <w:szCs w:val="21"/>
                      <w:highlight w:val="none"/>
                      <w:u w:val="none" w:color="auto"/>
                      <w:lang w:val="en-US" w:eastAsia="zh-CN"/>
                    </w:rPr>
                    <w:t>危险</w:t>
                  </w:r>
                </w:p>
                <w:p w14:paraId="4E8977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val="en-US" w:eastAsia="zh-CN"/>
                    </w:rPr>
                  </w:pPr>
                  <w:r>
                    <w:rPr>
                      <w:rFonts w:hint="default" w:ascii="Times New Roman" w:hAnsi="Times New Roman" w:cs="Times New Roman"/>
                      <w:color w:val="auto"/>
                      <w:spacing w:val="0"/>
                      <w:position w:val="0"/>
                      <w:sz w:val="21"/>
                      <w:szCs w:val="21"/>
                      <w:highlight w:val="none"/>
                      <w:u w:val="none" w:color="auto"/>
                      <w:lang w:val="en-US" w:eastAsia="zh-CN"/>
                    </w:rPr>
                    <w:t>废物</w:t>
                  </w:r>
                </w:p>
              </w:tc>
              <w:tc>
                <w:tcPr>
                  <w:tcW w:w="1489" w:type="pct"/>
                  <w:tcBorders>
                    <w:tl2br w:val="nil"/>
                    <w:tr2bl w:val="nil"/>
                  </w:tcBorders>
                  <w:noWrap w:val="0"/>
                  <w:vAlign w:val="center"/>
                </w:tcPr>
                <w:p w14:paraId="4CC88008">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0"/>
                      <w:kern w:val="2"/>
                      <w:position w:val="0"/>
                      <w:sz w:val="21"/>
                      <w:szCs w:val="21"/>
                      <w:u w:val="none" w:color="auto"/>
                      <w:lang w:val="en-US" w:eastAsia="zh-CN" w:bidi="ar-SA"/>
                    </w:rPr>
                  </w:pPr>
                  <w:r>
                    <w:rPr>
                      <w:rStyle w:val="96"/>
                      <w:rFonts w:hint="eastAsia" w:ascii="Times New Roman" w:hAnsi="Times New Roman" w:eastAsia="宋体" w:cs="Times New Roman"/>
                      <w:color w:val="auto"/>
                      <w:sz w:val="21"/>
                      <w:szCs w:val="21"/>
                      <w:lang w:val="en-US" w:eastAsia="zh-CN"/>
                    </w:rPr>
                    <w:t>钝化毛刷、抹布</w:t>
                  </w:r>
                </w:p>
              </w:tc>
              <w:tc>
                <w:tcPr>
                  <w:tcW w:w="4057" w:type="dxa"/>
                  <w:tcBorders>
                    <w:tl2br w:val="nil"/>
                    <w:tr2bl w:val="nil"/>
                  </w:tcBorders>
                  <w:noWrap w:val="0"/>
                  <w:vAlign w:val="center"/>
                </w:tcPr>
                <w:p w14:paraId="465A7E4D">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0"/>
                      <w:kern w:val="0"/>
                      <w:position w:val="0"/>
                      <w:sz w:val="21"/>
                      <w:szCs w:val="21"/>
                      <w:highlight w:val="none"/>
                      <w:u w:val="none" w:color="auto"/>
                      <w:lang w:val="en-US" w:eastAsia="zh-CN" w:bidi="ar-SA"/>
                    </w:rPr>
                  </w:pPr>
                  <w:r>
                    <w:rPr>
                      <w:rStyle w:val="96"/>
                      <w:rFonts w:hint="eastAsia" w:ascii="Times New Roman" w:hAnsi="Times New Roman" w:eastAsia="宋体" w:cs="Times New Roman"/>
                      <w:color w:val="auto"/>
                      <w:sz w:val="21"/>
                      <w:szCs w:val="21"/>
                      <w:lang w:val="en-US" w:eastAsia="zh-CN"/>
                    </w:rPr>
                    <w:t xml:space="preserve">0.03 </w:t>
                  </w:r>
                </w:p>
              </w:tc>
            </w:tr>
            <w:tr w14:paraId="47FC1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23A412A3">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623" w:type="pct"/>
                  <w:vMerge w:val="continue"/>
                  <w:tcBorders>
                    <w:tl2br w:val="nil"/>
                    <w:tr2bl w:val="nil"/>
                  </w:tcBorders>
                  <w:noWrap w:val="0"/>
                  <w:vAlign w:val="center"/>
                </w:tcPr>
                <w:p w14:paraId="0175C0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eastAsia="zh-CN"/>
                    </w:rPr>
                  </w:pPr>
                </w:p>
              </w:tc>
              <w:tc>
                <w:tcPr>
                  <w:tcW w:w="1489" w:type="pct"/>
                  <w:tcBorders>
                    <w:tl2br w:val="nil"/>
                    <w:tr2bl w:val="nil"/>
                  </w:tcBorders>
                  <w:noWrap w:val="0"/>
                  <w:vAlign w:val="center"/>
                </w:tcPr>
                <w:p w14:paraId="6A540CBA">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0"/>
                      <w:kern w:val="2"/>
                      <w:position w:val="0"/>
                      <w:sz w:val="21"/>
                      <w:szCs w:val="21"/>
                      <w:u w:val="none" w:color="auto"/>
                      <w:lang w:val="en-US" w:eastAsia="zh-CN" w:bidi="ar-SA"/>
                    </w:rPr>
                  </w:pPr>
                  <w:r>
                    <w:rPr>
                      <w:rStyle w:val="96"/>
                      <w:rFonts w:hint="eastAsia" w:ascii="Times New Roman" w:hAnsi="Times New Roman" w:eastAsia="宋体" w:cs="Times New Roman"/>
                      <w:color w:val="auto"/>
                      <w:sz w:val="21"/>
                      <w:szCs w:val="21"/>
                      <w:lang w:val="en-US" w:eastAsia="zh-CN"/>
                    </w:rPr>
                    <w:t>废液压油</w:t>
                  </w:r>
                </w:p>
              </w:tc>
              <w:tc>
                <w:tcPr>
                  <w:tcW w:w="4057" w:type="dxa"/>
                  <w:tcBorders>
                    <w:tl2br w:val="nil"/>
                    <w:tr2bl w:val="nil"/>
                  </w:tcBorders>
                  <w:noWrap w:val="0"/>
                  <w:vAlign w:val="center"/>
                </w:tcPr>
                <w:p w14:paraId="25BCBE44">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0"/>
                      <w:kern w:val="2"/>
                      <w:position w:val="0"/>
                      <w:sz w:val="21"/>
                      <w:szCs w:val="21"/>
                      <w:highlight w:val="none"/>
                      <w:u w:val="none" w:color="auto"/>
                      <w:lang w:val="en-US" w:eastAsia="zh-CN" w:bidi="ar-SA"/>
                    </w:rPr>
                  </w:pPr>
                  <w:r>
                    <w:rPr>
                      <w:rStyle w:val="96"/>
                      <w:rFonts w:hint="eastAsia" w:ascii="Times New Roman" w:hAnsi="Times New Roman" w:eastAsia="宋体" w:cs="Times New Roman"/>
                      <w:color w:val="auto"/>
                      <w:sz w:val="21"/>
                      <w:szCs w:val="21"/>
                      <w:lang w:val="en-US" w:eastAsia="zh-CN"/>
                    </w:rPr>
                    <w:t xml:space="preserve">0.17 </w:t>
                  </w:r>
                </w:p>
              </w:tc>
            </w:tr>
            <w:tr w14:paraId="217DD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5F3F5C47">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623" w:type="pct"/>
                  <w:vMerge w:val="continue"/>
                  <w:tcBorders>
                    <w:tl2br w:val="nil"/>
                    <w:tr2bl w:val="nil"/>
                  </w:tcBorders>
                  <w:noWrap w:val="0"/>
                  <w:vAlign w:val="center"/>
                </w:tcPr>
                <w:p w14:paraId="5A2A88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eastAsia="zh-CN"/>
                    </w:rPr>
                  </w:pPr>
                </w:p>
              </w:tc>
              <w:tc>
                <w:tcPr>
                  <w:tcW w:w="1489" w:type="pct"/>
                  <w:tcBorders>
                    <w:tl2br w:val="nil"/>
                    <w:tr2bl w:val="nil"/>
                  </w:tcBorders>
                  <w:noWrap w:val="0"/>
                  <w:vAlign w:val="center"/>
                </w:tcPr>
                <w:p w14:paraId="3CF523E8">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0"/>
                      <w:kern w:val="2"/>
                      <w:position w:val="0"/>
                      <w:sz w:val="21"/>
                      <w:szCs w:val="21"/>
                      <w:u w:val="none" w:color="auto"/>
                      <w:lang w:val="en-US" w:eastAsia="zh-CN" w:bidi="ar-SA"/>
                    </w:rPr>
                  </w:pPr>
                  <w:r>
                    <w:rPr>
                      <w:rStyle w:val="96"/>
                      <w:rFonts w:hint="eastAsia" w:ascii="Times New Roman" w:hAnsi="Times New Roman" w:eastAsia="宋体" w:cs="Times New Roman"/>
                      <w:color w:val="auto"/>
                      <w:sz w:val="21"/>
                      <w:szCs w:val="21"/>
                      <w:lang w:val="en-US" w:eastAsia="zh-CN"/>
                    </w:rPr>
                    <w:t>废冷却液</w:t>
                  </w:r>
                </w:p>
              </w:tc>
              <w:tc>
                <w:tcPr>
                  <w:tcW w:w="4057" w:type="dxa"/>
                  <w:tcBorders>
                    <w:tl2br w:val="nil"/>
                    <w:tr2bl w:val="nil"/>
                  </w:tcBorders>
                  <w:noWrap w:val="0"/>
                  <w:vAlign w:val="center"/>
                </w:tcPr>
                <w:p w14:paraId="361460FA">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0"/>
                      <w:kern w:val="2"/>
                      <w:position w:val="0"/>
                      <w:sz w:val="21"/>
                      <w:szCs w:val="21"/>
                      <w:highlight w:val="none"/>
                      <w:u w:val="none" w:color="auto"/>
                      <w:lang w:val="en-US" w:eastAsia="zh-CN" w:bidi="ar-SA"/>
                    </w:rPr>
                  </w:pPr>
                  <w:r>
                    <w:rPr>
                      <w:rStyle w:val="96"/>
                      <w:rFonts w:hint="eastAsia" w:ascii="Times New Roman" w:hAnsi="Times New Roman" w:eastAsia="宋体" w:cs="Times New Roman"/>
                      <w:color w:val="auto"/>
                      <w:sz w:val="21"/>
                      <w:szCs w:val="21"/>
                      <w:lang w:val="en-US" w:eastAsia="zh-CN"/>
                    </w:rPr>
                    <w:t xml:space="preserve">0.07 </w:t>
                  </w:r>
                </w:p>
              </w:tc>
            </w:tr>
            <w:tr w14:paraId="36F4F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7B8DA122">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623" w:type="pct"/>
                  <w:vMerge w:val="continue"/>
                  <w:tcBorders>
                    <w:tl2br w:val="nil"/>
                    <w:tr2bl w:val="nil"/>
                  </w:tcBorders>
                  <w:noWrap w:val="0"/>
                  <w:vAlign w:val="center"/>
                </w:tcPr>
                <w:p w14:paraId="7510D7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eastAsia="zh-CN"/>
                    </w:rPr>
                  </w:pPr>
                </w:p>
              </w:tc>
              <w:tc>
                <w:tcPr>
                  <w:tcW w:w="1489" w:type="pct"/>
                  <w:tcBorders>
                    <w:tl2br w:val="nil"/>
                    <w:tr2bl w:val="nil"/>
                  </w:tcBorders>
                  <w:noWrap w:val="0"/>
                  <w:vAlign w:val="center"/>
                </w:tcPr>
                <w:p w14:paraId="51D6D727">
                  <w:pPr>
                    <w:pStyle w:val="59"/>
                    <w:keepNext w:val="0"/>
                    <w:keepLines w:val="0"/>
                    <w:widowControl/>
                    <w:suppressLineNumbers w:val="0"/>
                    <w:spacing w:before="0" w:beforeAutospacing="0" w:after="0" w:afterAutospacing="0"/>
                    <w:ind w:left="0" w:leftChars="0" w:right="0" w:rightChars="0"/>
                    <w:jc w:val="center"/>
                    <w:rPr>
                      <w:rFonts w:hint="eastAsia" w:cs="Times New Roman"/>
                      <w:color w:val="auto"/>
                      <w:spacing w:val="0"/>
                      <w:position w:val="0"/>
                      <w:sz w:val="21"/>
                      <w:szCs w:val="21"/>
                      <w:u w:val="none" w:color="auto"/>
                      <w:lang w:eastAsia="zh-CN"/>
                    </w:rPr>
                  </w:pPr>
                  <w:r>
                    <w:rPr>
                      <w:rStyle w:val="96"/>
                      <w:rFonts w:hint="eastAsia" w:ascii="Times New Roman" w:hAnsi="Times New Roman" w:eastAsia="宋体" w:cs="Times New Roman"/>
                      <w:color w:val="auto"/>
                      <w:sz w:val="21"/>
                      <w:szCs w:val="21"/>
                      <w:lang w:eastAsia="zh-CN"/>
                    </w:rPr>
                    <w:t>废</w:t>
                  </w:r>
                  <w:r>
                    <w:rPr>
                      <w:rStyle w:val="96"/>
                      <w:rFonts w:hint="eastAsia" w:ascii="Times New Roman" w:hAnsi="Times New Roman" w:eastAsia="宋体" w:cs="Times New Roman"/>
                      <w:color w:val="auto"/>
                      <w:sz w:val="21"/>
                      <w:szCs w:val="21"/>
                      <w:lang w:val="en-US" w:eastAsia="zh-CN"/>
                    </w:rPr>
                    <w:t>润滑油</w:t>
                  </w:r>
                </w:p>
              </w:tc>
              <w:tc>
                <w:tcPr>
                  <w:tcW w:w="4057" w:type="dxa"/>
                  <w:tcBorders>
                    <w:tl2br w:val="nil"/>
                    <w:tr2bl w:val="nil"/>
                  </w:tcBorders>
                  <w:noWrap w:val="0"/>
                  <w:vAlign w:val="center"/>
                </w:tcPr>
                <w:p w14:paraId="33EFDA93">
                  <w:pPr>
                    <w:pStyle w:val="59"/>
                    <w:keepNext w:val="0"/>
                    <w:keepLines w:val="0"/>
                    <w:widowControl/>
                    <w:suppressLineNumbers w:val="0"/>
                    <w:spacing w:before="0" w:beforeAutospacing="0" w:after="0" w:afterAutospacing="0"/>
                    <w:ind w:left="0" w:leftChars="0" w:right="0" w:rightChars="0"/>
                    <w:jc w:val="center"/>
                    <w:rPr>
                      <w:rFonts w:hint="eastAsia" w:cs="Times New Roman"/>
                      <w:color w:val="auto"/>
                      <w:spacing w:val="0"/>
                      <w:position w:val="0"/>
                      <w:sz w:val="21"/>
                      <w:szCs w:val="21"/>
                      <w:u w:val="none" w:color="auto"/>
                      <w:lang w:val="en-US" w:eastAsia="zh-CN"/>
                    </w:rPr>
                  </w:pPr>
                  <w:r>
                    <w:rPr>
                      <w:rStyle w:val="96"/>
                      <w:rFonts w:hint="eastAsia" w:ascii="Times New Roman" w:hAnsi="Times New Roman" w:eastAsia="宋体" w:cs="Times New Roman"/>
                      <w:color w:val="auto"/>
                      <w:sz w:val="21"/>
                      <w:szCs w:val="21"/>
                      <w:lang w:val="en-US" w:eastAsia="zh-CN"/>
                    </w:rPr>
                    <w:t xml:space="preserve">0.02 </w:t>
                  </w:r>
                </w:p>
              </w:tc>
            </w:tr>
            <w:tr w14:paraId="5C5F0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15377F01">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623" w:type="pct"/>
                  <w:vMerge w:val="continue"/>
                  <w:tcBorders>
                    <w:tl2br w:val="nil"/>
                    <w:tr2bl w:val="nil"/>
                  </w:tcBorders>
                  <w:noWrap w:val="0"/>
                  <w:vAlign w:val="center"/>
                </w:tcPr>
                <w:p w14:paraId="59E532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eastAsia="zh-CN"/>
                    </w:rPr>
                  </w:pPr>
                </w:p>
              </w:tc>
              <w:tc>
                <w:tcPr>
                  <w:tcW w:w="1489" w:type="pct"/>
                  <w:tcBorders>
                    <w:tl2br w:val="nil"/>
                    <w:tr2bl w:val="nil"/>
                  </w:tcBorders>
                  <w:noWrap w:val="0"/>
                  <w:vAlign w:val="center"/>
                </w:tcPr>
                <w:p w14:paraId="454A8D70">
                  <w:pPr>
                    <w:pStyle w:val="59"/>
                    <w:keepNext w:val="0"/>
                    <w:keepLines w:val="0"/>
                    <w:widowControl/>
                    <w:suppressLineNumbers w:val="0"/>
                    <w:spacing w:before="0" w:beforeAutospacing="0" w:after="0" w:afterAutospacing="0"/>
                    <w:ind w:left="0" w:leftChars="0" w:right="0" w:rightChars="0"/>
                    <w:jc w:val="center"/>
                    <w:rPr>
                      <w:rFonts w:hint="eastAsia" w:cs="Times New Roman"/>
                      <w:color w:val="auto"/>
                      <w:spacing w:val="0"/>
                      <w:position w:val="0"/>
                      <w:sz w:val="21"/>
                      <w:szCs w:val="21"/>
                      <w:u w:val="none" w:color="auto"/>
                      <w:lang w:eastAsia="zh-CN"/>
                    </w:rPr>
                  </w:pPr>
                  <w:r>
                    <w:rPr>
                      <w:rStyle w:val="96"/>
                      <w:rFonts w:hint="eastAsia" w:ascii="Times New Roman" w:hAnsi="Times New Roman" w:eastAsia="宋体" w:cs="Times New Roman"/>
                      <w:color w:val="auto"/>
                      <w:sz w:val="21"/>
                      <w:szCs w:val="21"/>
                      <w:lang w:val="en-US" w:eastAsia="zh-CN"/>
                    </w:rPr>
                    <w:t>废油抹布及手套</w:t>
                  </w:r>
                </w:p>
              </w:tc>
              <w:tc>
                <w:tcPr>
                  <w:tcW w:w="4057" w:type="dxa"/>
                  <w:tcBorders>
                    <w:tl2br w:val="nil"/>
                    <w:tr2bl w:val="nil"/>
                  </w:tcBorders>
                  <w:noWrap w:val="0"/>
                  <w:vAlign w:val="center"/>
                </w:tcPr>
                <w:p w14:paraId="529CD313">
                  <w:pPr>
                    <w:pStyle w:val="59"/>
                    <w:keepNext w:val="0"/>
                    <w:keepLines w:val="0"/>
                    <w:widowControl/>
                    <w:suppressLineNumbers w:val="0"/>
                    <w:spacing w:before="0" w:beforeAutospacing="0" w:after="0" w:afterAutospacing="0"/>
                    <w:ind w:left="0" w:leftChars="0" w:right="0" w:rightChars="0"/>
                    <w:jc w:val="center"/>
                    <w:rPr>
                      <w:rFonts w:hint="eastAsia" w:cs="Times New Roman"/>
                      <w:color w:val="auto"/>
                      <w:spacing w:val="0"/>
                      <w:position w:val="0"/>
                      <w:sz w:val="21"/>
                      <w:szCs w:val="21"/>
                      <w:u w:val="none" w:color="auto"/>
                      <w:lang w:val="en-US" w:eastAsia="zh-CN"/>
                    </w:rPr>
                  </w:pPr>
                  <w:r>
                    <w:rPr>
                      <w:rStyle w:val="96"/>
                      <w:rFonts w:hint="eastAsia" w:ascii="Times New Roman" w:hAnsi="Times New Roman" w:eastAsia="宋体" w:cs="Times New Roman"/>
                      <w:color w:val="auto"/>
                      <w:sz w:val="21"/>
                      <w:szCs w:val="21"/>
                      <w:lang w:val="en-US" w:eastAsia="zh-CN"/>
                    </w:rPr>
                    <w:t xml:space="preserve">0.003 </w:t>
                  </w:r>
                </w:p>
              </w:tc>
            </w:tr>
            <w:tr w14:paraId="7E66A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pct"/>
                  <w:vMerge w:val="continue"/>
                  <w:tcBorders>
                    <w:tl2br w:val="nil"/>
                    <w:tr2bl w:val="nil"/>
                  </w:tcBorders>
                  <w:noWrap w:val="0"/>
                  <w:vAlign w:val="center"/>
                </w:tcPr>
                <w:p w14:paraId="511D5B25">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623" w:type="pct"/>
                  <w:vMerge w:val="continue"/>
                  <w:tcBorders>
                    <w:tl2br w:val="nil"/>
                    <w:tr2bl w:val="nil"/>
                  </w:tcBorders>
                  <w:noWrap w:val="0"/>
                  <w:vAlign w:val="center"/>
                </w:tcPr>
                <w:p w14:paraId="096A03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outlineLvl w:val="9"/>
                    <w:rPr>
                      <w:rFonts w:hint="default" w:ascii="Times New Roman" w:hAnsi="Times New Roman" w:cs="Times New Roman"/>
                      <w:color w:val="auto"/>
                      <w:spacing w:val="0"/>
                      <w:position w:val="0"/>
                      <w:sz w:val="21"/>
                      <w:szCs w:val="21"/>
                      <w:highlight w:val="none"/>
                      <w:u w:val="none" w:color="auto"/>
                      <w:lang w:eastAsia="zh-CN"/>
                    </w:rPr>
                  </w:pPr>
                </w:p>
              </w:tc>
              <w:tc>
                <w:tcPr>
                  <w:tcW w:w="1489" w:type="pct"/>
                  <w:tcBorders>
                    <w:tl2br w:val="nil"/>
                    <w:tr2bl w:val="nil"/>
                  </w:tcBorders>
                  <w:noWrap w:val="0"/>
                  <w:vAlign w:val="center"/>
                </w:tcPr>
                <w:p w14:paraId="75DAE87C">
                  <w:pPr>
                    <w:pStyle w:val="59"/>
                    <w:keepNext w:val="0"/>
                    <w:keepLines w:val="0"/>
                    <w:widowControl/>
                    <w:suppressLineNumbers w:val="0"/>
                    <w:spacing w:before="0" w:beforeAutospacing="0" w:after="0" w:afterAutospacing="0"/>
                    <w:ind w:left="0" w:leftChars="0" w:right="0" w:rightChars="0"/>
                    <w:jc w:val="center"/>
                    <w:rPr>
                      <w:rFonts w:hint="eastAsia" w:cs="Times New Roman"/>
                      <w:color w:val="auto"/>
                      <w:spacing w:val="0"/>
                      <w:position w:val="0"/>
                      <w:sz w:val="21"/>
                      <w:szCs w:val="21"/>
                      <w:u w:val="none" w:color="auto"/>
                      <w:lang w:eastAsia="zh-CN"/>
                    </w:rPr>
                  </w:pPr>
                  <w:r>
                    <w:rPr>
                      <w:rStyle w:val="96"/>
                      <w:rFonts w:hint="eastAsia" w:ascii="Times New Roman" w:hAnsi="Times New Roman" w:eastAsia="宋体" w:cs="Times New Roman"/>
                      <w:color w:val="auto"/>
                      <w:sz w:val="21"/>
                      <w:szCs w:val="21"/>
                      <w:lang w:eastAsia="zh-CN"/>
                    </w:rPr>
                    <w:t>油类包装桶</w:t>
                  </w:r>
                </w:p>
              </w:tc>
              <w:tc>
                <w:tcPr>
                  <w:tcW w:w="4057" w:type="dxa"/>
                  <w:tcBorders>
                    <w:tl2br w:val="nil"/>
                    <w:tr2bl w:val="nil"/>
                  </w:tcBorders>
                  <w:noWrap w:val="0"/>
                  <w:vAlign w:val="center"/>
                </w:tcPr>
                <w:p w14:paraId="11593776">
                  <w:pPr>
                    <w:pStyle w:val="59"/>
                    <w:keepNext w:val="0"/>
                    <w:keepLines w:val="0"/>
                    <w:widowControl/>
                    <w:suppressLineNumbers w:val="0"/>
                    <w:spacing w:before="0" w:beforeAutospacing="0" w:after="0" w:afterAutospacing="0"/>
                    <w:ind w:left="0" w:leftChars="0" w:right="0" w:rightChars="0"/>
                    <w:jc w:val="center"/>
                    <w:rPr>
                      <w:rFonts w:hint="eastAsia" w:cs="Times New Roman"/>
                      <w:color w:val="auto"/>
                      <w:spacing w:val="0"/>
                      <w:position w:val="0"/>
                      <w:sz w:val="21"/>
                      <w:szCs w:val="21"/>
                      <w:u w:val="none" w:color="auto"/>
                      <w:lang w:val="en-US" w:eastAsia="zh-CN"/>
                    </w:rPr>
                  </w:pPr>
                  <w:r>
                    <w:rPr>
                      <w:rStyle w:val="96"/>
                      <w:rFonts w:hint="eastAsia" w:ascii="Times New Roman" w:hAnsi="Times New Roman" w:eastAsia="宋体" w:cs="Times New Roman"/>
                      <w:color w:val="auto"/>
                      <w:sz w:val="21"/>
                      <w:szCs w:val="21"/>
                      <w:lang w:val="en-US" w:eastAsia="zh-CN"/>
                    </w:rPr>
                    <w:t xml:space="preserve">0.003 </w:t>
                  </w:r>
                </w:p>
              </w:tc>
            </w:tr>
          </w:tbl>
          <w:p w14:paraId="53223616">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outlineLvl w:val="9"/>
              <w:rPr>
                <w:rFonts w:hint="default" w:ascii="Times New Roman" w:hAnsi="Times New Roman" w:cs="Times New Roman"/>
                <w:b/>
                <w:bCs/>
                <w:color w:val="auto"/>
                <w:spacing w:val="0"/>
                <w:position w:val="0"/>
                <w:sz w:val="24"/>
                <w:highlight w:val="none"/>
                <w:u w:val="none" w:color="auto"/>
                <w:lang w:val="en-US" w:eastAsia="zh-CN"/>
              </w:rPr>
            </w:pPr>
            <w:r>
              <w:rPr>
                <w:rFonts w:hint="eastAsia" w:cs="Times New Roman"/>
                <w:b/>
                <w:bCs/>
                <w:color w:val="000000" w:themeColor="text1"/>
                <w:spacing w:val="0"/>
                <w:position w:val="0"/>
                <w:sz w:val="24"/>
                <w:highlight w:val="none"/>
                <w:u w:val="none" w:color="auto"/>
                <w:lang w:val="en-US" w:eastAsia="zh-CN"/>
                <w14:textFill>
                  <w14:solidFill>
                    <w14:schemeClr w14:val="tx1"/>
                  </w14:solidFill>
                </w14:textFill>
              </w:rPr>
              <w:t>四</w:t>
            </w:r>
            <w:r>
              <w:rPr>
                <w:rFonts w:hint="default" w:ascii="Times New Roman" w:hAnsi="Times New Roman" w:cs="Times New Roman"/>
                <w:b/>
                <w:bCs/>
                <w:color w:val="000000" w:themeColor="text1"/>
                <w:spacing w:val="0"/>
                <w:position w:val="0"/>
                <w:sz w:val="24"/>
                <w:highlight w:val="none"/>
                <w:u w:val="none" w:color="auto"/>
                <w:lang w:val="en-US" w:eastAsia="zh-CN"/>
                <w14:textFill>
                  <w14:solidFill>
                    <w14:schemeClr w14:val="tx1"/>
                  </w14:solidFill>
                </w14:textFill>
              </w:rPr>
              <w:t>、</w:t>
            </w:r>
            <w:r>
              <w:rPr>
                <w:rFonts w:hint="default" w:ascii="Times New Roman" w:hAnsi="Times New Roman" w:cs="Times New Roman"/>
                <w:b/>
                <w:bCs/>
                <w:color w:val="auto"/>
                <w:spacing w:val="0"/>
                <w:position w:val="0"/>
                <w:sz w:val="24"/>
                <w:highlight w:val="none"/>
                <w:u w:val="none" w:color="auto"/>
                <w:lang w:val="en-US" w:eastAsia="zh-CN"/>
              </w:rPr>
              <w:t>在建工程污染物排放量</w:t>
            </w:r>
          </w:p>
          <w:p w14:paraId="0AD73CB2">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pacing w:val="0"/>
                <w:position w:val="0"/>
                <w:sz w:val="24"/>
                <w:highlight w:val="none"/>
                <w:u w:val="none" w:color="auto"/>
                <w:lang w:val="en-US" w:eastAsia="zh-CN"/>
              </w:rPr>
            </w:pPr>
            <w:r>
              <w:rPr>
                <w:rFonts w:hint="eastAsia" w:eastAsia="宋体" w:cs="Times New Roman"/>
                <w:color w:val="auto"/>
                <w:sz w:val="24"/>
                <w:highlight w:val="none"/>
                <w:u w:val="none" w:color="auto"/>
                <w:lang w:val="en-US" w:eastAsia="zh-CN"/>
              </w:rPr>
              <w:t>“</w:t>
            </w:r>
            <w:r>
              <w:rPr>
                <w:rFonts w:hint="eastAsia" w:ascii="Times New Roman" w:hAnsi="Times New Roman" w:eastAsia="宋体" w:cs="Times New Roman"/>
                <w:color w:val="000000"/>
                <w:kern w:val="0"/>
                <w:sz w:val="24"/>
                <w:szCs w:val="24"/>
                <w:u w:val="none" w:color="auto"/>
                <w:lang w:val="en-US" w:eastAsia="zh-CN" w:bidi="ar"/>
              </w:rPr>
              <w:t>湖南众联设备智能制造产业园</w:t>
            </w:r>
            <w:r>
              <w:rPr>
                <w:rFonts w:hint="default" w:ascii="Times New Roman" w:hAnsi="Times New Roman" w:eastAsia="宋体" w:cs="Times New Roman"/>
                <w:color w:val="000000"/>
                <w:kern w:val="0"/>
                <w:sz w:val="24"/>
                <w:szCs w:val="24"/>
                <w:u w:val="none" w:color="auto"/>
                <w:lang w:val="en-US" w:eastAsia="zh-CN" w:bidi="ar"/>
              </w:rPr>
              <w:t>建设项目</w:t>
            </w:r>
            <w:r>
              <w:rPr>
                <w:rFonts w:hint="eastAsia" w:ascii="Times New Roman" w:hAnsi="Times New Roman" w:eastAsia="宋体" w:cs="Times New Roman"/>
                <w:color w:val="auto"/>
                <w:sz w:val="24"/>
                <w:highlight w:val="none"/>
                <w:u w:val="none" w:color="auto"/>
                <w:lang w:val="en-US" w:eastAsia="zh-CN"/>
              </w:rPr>
              <w:t>”已</w:t>
            </w:r>
            <w:r>
              <w:rPr>
                <w:rFonts w:hint="eastAsia" w:ascii="Times New Roman" w:hAnsi="Times New Roman" w:cs="Times New Roman" w:eastAsiaTheme="minorEastAsia"/>
                <w:sz w:val="24"/>
                <w:szCs w:val="24"/>
                <w:lang w:eastAsia="zh-CN"/>
              </w:rPr>
              <w:t>完成第一阶段建设，二阶段正在建设中。本次评价所指在建工程为二阶段建设内容，包括年产</w:t>
            </w:r>
            <w:r>
              <w:rPr>
                <w:rFonts w:hint="eastAsia" w:ascii="Times New Roman" w:hAnsi="Times New Roman" w:cs="Times New Roman" w:eastAsiaTheme="minorEastAsia"/>
                <w:sz w:val="24"/>
                <w:szCs w:val="24"/>
                <w:lang w:val="en-US" w:eastAsia="zh-CN"/>
              </w:rPr>
              <w:t>2000t压力容器建设内容，以及</w:t>
            </w:r>
            <w:r>
              <w:rPr>
                <w:rFonts w:hint="eastAsia" w:ascii="Times New Roman" w:hAnsi="Times New Roman" w:cs="Times New Roman" w:eastAsiaTheme="minorEastAsia"/>
                <w:sz w:val="24"/>
                <w:szCs w:val="24"/>
                <w:lang w:eastAsia="zh-CN"/>
              </w:rPr>
              <w:t>一阶段压力容器生产时未建成的抛丸和喷漆相应设备及废气处理设施。</w:t>
            </w:r>
            <w:r>
              <w:rPr>
                <w:rFonts w:hint="default" w:ascii="Times New Roman" w:hAnsi="Times New Roman" w:cs="Times New Roman"/>
                <w:color w:val="auto"/>
                <w:spacing w:val="0"/>
                <w:position w:val="0"/>
                <w:sz w:val="24"/>
                <w:highlight w:val="none"/>
                <w:u w:val="none" w:color="auto"/>
                <w:lang w:val="en-US" w:eastAsia="zh-CN"/>
              </w:rPr>
              <w:t>在建工程污染物排放量</w:t>
            </w:r>
            <w:r>
              <w:rPr>
                <w:rFonts w:hint="eastAsia" w:ascii="Times New Roman" w:hAnsi="Times New Roman" w:cs="Times New Roman"/>
                <w:color w:val="auto"/>
                <w:spacing w:val="0"/>
                <w:position w:val="0"/>
                <w:sz w:val="24"/>
                <w:highlight w:val="none"/>
                <w:u w:val="none" w:color="auto"/>
                <w:lang w:val="en-US" w:eastAsia="zh-CN"/>
              </w:rPr>
              <w:t>按照已批复的原环评报告及现有验收监测数据确定，具体</w:t>
            </w:r>
            <w:r>
              <w:rPr>
                <w:rFonts w:hint="default" w:ascii="Times New Roman" w:hAnsi="Times New Roman" w:cs="Times New Roman"/>
                <w:color w:val="auto"/>
                <w:spacing w:val="0"/>
                <w:position w:val="0"/>
                <w:sz w:val="24"/>
                <w:highlight w:val="none"/>
                <w:u w:val="none" w:color="auto"/>
                <w:lang w:val="en-US" w:eastAsia="zh-CN"/>
              </w:rPr>
              <w:t>见下表。</w:t>
            </w:r>
          </w:p>
          <w:p w14:paraId="1B950344">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default"/>
                <w:lang w:val="en-US" w:eastAsia="zh-CN"/>
              </w:rPr>
            </w:pPr>
            <w:r>
              <w:rPr>
                <w:rFonts w:hint="default" w:ascii="Times New Roman" w:hAnsi="Times New Roman" w:cs="Times New Roman"/>
                <w:b/>
                <w:bCs/>
                <w:color w:val="auto"/>
                <w:spacing w:val="0"/>
                <w:position w:val="0"/>
                <w:sz w:val="21"/>
                <w:szCs w:val="21"/>
                <w:highlight w:val="none"/>
                <w:u w:val="none" w:color="auto"/>
                <w:lang w:val="en-US" w:eastAsia="zh-CN"/>
              </w:rPr>
              <w:t>表2-1</w:t>
            </w:r>
            <w:r>
              <w:rPr>
                <w:rFonts w:hint="eastAsia" w:ascii="Times New Roman" w:hAnsi="Times New Roman" w:cs="Times New Roman"/>
                <w:b/>
                <w:bCs/>
                <w:color w:val="auto"/>
                <w:spacing w:val="0"/>
                <w:position w:val="0"/>
                <w:sz w:val="21"/>
                <w:szCs w:val="21"/>
                <w:highlight w:val="none"/>
                <w:u w:val="none" w:color="auto"/>
                <w:lang w:val="en-US" w:eastAsia="zh-CN"/>
              </w:rPr>
              <w:t>5</w:t>
            </w:r>
            <w:r>
              <w:rPr>
                <w:rFonts w:hint="default" w:ascii="Times New Roman" w:hAnsi="Times New Roman" w:cs="Times New Roman"/>
                <w:b/>
                <w:bCs/>
                <w:color w:val="auto"/>
                <w:spacing w:val="0"/>
                <w:position w:val="0"/>
                <w:sz w:val="21"/>
                <w:szCs w:val="21"/>
                <w:highlight w:val="none"/>
                <w:u w:val="none" w:color="auto"/>
                <w:lang w:val="en-US" w:eastAsia="zh-CN"/>
              </w:rPr>
              <w:t xml:space="preserve">   在建工程污染物排放量一览表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41"/>
              <w:gridCol w:w="3075"/>
              <w:gridCol w:w="3707"/>
            </w:tblGrid>
            <w:tr w14:paraId="71C74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5" w:type="pct"/>
                  <w:gridSpan w:val="3"/>
                  <w:tcBorders>
                    <w:tl2br w:val="nil"/>
                    <w:tr2bl w:val="nil"/>
                  </w:tcBorders>
                  <w:noWrap w:val="0"/>
                  <w:vAlign w:val="center"/>
                </w:tcPr>
                <w:p w14:paraId="58CFDA0E">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b/>
                      <w:bCs/>
                      <w:color w:val="auto"/>
                      <w:spacing w:val="0"/>
                      <w:position w:val="0"/>
                      <w:sz w:val="21"/>
                      <w:szCs w:val="21"/>
                      <w:highlight w:val="none"/>
                      <w:u w:val="none" w:color="auto"/>
                    </w:rPr>
                  </w:pPr>
                  <w:r>
                    <w:rPr>
                      <w:rFonts w:hint="default" w:ascii="Times New Roman" w:hAnsi="Times New Roman" w:cs="Times New Roman"/>
                      <w:b/>
                      <w:bCs/>
                      <w:color w:val="auto"/>
                      <w:spacing w:val="0"/>
                      <w:position w:val="0"/>
                      <w:sz w:val="21"/>
                      <w:szCs w:val="21"/>
                      <w:highlight w:val="none"/>
                      <w:u w:val="none" w:color="auto"/>
                    </w:rPr>
                    <w:t>污染物</w:t>
                  </w:r>
                </w:p>
              </w:tc>
              <w:tc>
                <w:tcPr>
                  <w:tcW w:w="2154" w:type="pct"/>
                  <w:tcBorders>
                    <w:tl2br w:val="nil"/>
                    <w:tr2bl w:val="nil"/>
                  </w:tcBorders>
                  <w:noWrap w:val="0"/>
                  <w:vAlign w:val="center"/>
                </w:tcPr>
                <w:p w14:paraId="1B8E2DE4">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b/>
                      <w:bCs/>
                      <w:color w:val="auto"/>
                      <w:spacing w:val="0"/>
                      <w:position w:val="0"/>
                      <w:sz w:val="21"/>
                      <w:szCs w:val="21"/>
                      <w:highlight w:val="none"/>
                      <w:u w:val="none" w:color="auto"/>
                      <w:lang w:val="en-US" w:eastAsia="zh-CN"/>
                    </w:rPr>
                  </w:pPr>
                  <w:r>
                    <w:rPr>
                      <w:rFonts w:hint="default" w:ascii="Times New Roman" w:hAnsi="Times New Roman" w:cs="Times New Roman"/>
                      <w:b/>
                      <w:bCs/>
                      <w:color w:val="auto"/>
                      <w:spacing w:val="0"/>
                      <w:position w:val="0"/>
                      <w:sz w:val="21"/>
                      <w:szCs w:val="21"/>
                      <w:highlight w:val="none"/>
                      <w:u w:val="none" w:color="auto"/>
                    </w:rPr>
                    <w:t>排放</w:t>
                  </w:r>
                  <w:r>
                    <w:rPr>
                      <w:rFonts w:hint="default" w:ascii="Times New Roman" w:hAnsi="Times New Roman" w:cs="Times New Roman"/>
                      <w:b/>
                      <w:bCs/>
                      <w:color w:val="auto"/>
                      <w:spacing w:val="0"/>
                      <w:position w:val="0"/>
                      <w:sz w:val="21"/>
                      <w:szCs w:val="21"/>
                      <w:highlight w:val="none"/>
                      <w:u w:val="none" w:color="auto"/>
                      <w:lang w:eastAsia="zh-CN"/>
                    </w:rPr>
                    <w:t>量</w:t>
                  </w:r>
                  <w:r>
                    <w:rPr>
                      <w:rFonts w:hint="default" w:ascii="Times New Roman" w:hAnsi="Times New Roman" w:cs="Times New Roman"/>
                      <w:b/>
                      <w:bCs/>
                      <w:color w:val="auto"/>
                      <w:spacing w:val="0"/>
                      <w:position w:val="0"/>
                      <w:sz w:val="21"/>
                      <w:szCs w:val="21"/>
                      <w:highlight w:val="none"/>
                      <w:u w:val="none" w:color="auto"/>
                      <w:lang w:val="en-US" w:eastAsia="zh-CN"/>
                    </w:rPr>
                    <w:t>/固体废物产生量</w:t>
                  </w:r>
                  <w:r>
                    <w:rPr>
                      <w:rFonts w:hint="default" w:ascii="Times New Roman" w:hAnsi="Times New Roman" w:cs="Times New Roman"/>
                      <w:b/>
                      <w:bCs/>
                      <w:color w:val="auto"/>
                      <w:spacing w:val="0"/>
                      <w:position w:val="0"/>
                      <w:sz w:val="21"/>
                      <w:szCs w:val="21"/>
                      <w:highlight w:val="none"/>
                      <w:u w:val="none" w:color="auto"/>
                      <w:lang w:eastAsia="zh-CN"/>
                    </w:rPr>
                    <w:t>（</w:t>
                  </w:r>
                  <w:r>
                    <w:rPr>
                      <w:rFonts w:hint="default" w:ascii="Times New Roman" w:hAnsi="Times New Roman" w:cs="Times New Roman"/>
                      <w:b/>
                      <w:bCs/>
                      <w:color w:val="auto"/>
                      <w:spacing w:val="0"/>
                      <w:position w:val="0"/>
                      <w:sz w:val="21"/>
                      <w:szCs w:val="21"/>
                      <w:highlight w:val="none"/>
                      <w:u w:val="none" w:color="auto"/>
                      <w:lang w:val="en-US" w:eastAsia="zh-CN"/>
                    </w:rPr>
                    <w:t>t/a</w:t>
                  </w:r>
                  <w:r>
                    <w:rPr>
                      <w:rFonts w:hint="default" w:ascii="Times New Roman" w:hAnsi="Times New Roman" w:cs="Times New Roman"/>
                      <w:b/>
                      <w:bCs/>
                      <w:color w:val="auto"/>
                      <w:spacing w:val="0"/>
                      <w:position w:val="0"/>
                      <w:sz w:val="21"/>
                      <w:szCs w:val="21"/>
                      <w:highlight w:val="none"/>
                      <w:u w:val="none" w:color="auto"/>
                      <w:lang w:eastAsia="zh-CN"/>
                    </w:rPr>
                    <w:t>）</w:t>
                  </w:r>
                </w:p>
              </w:tc>
            </w:tr>
            <w:tr w14:paraId="0D5B1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restart"/>
                  <w:tcBorders>
                    <w:tl2br w:val="nil"/>
                    <w:tr2bl w:val="nil"/>
                  </w:tcBorders>
                  <w:noWrap w:val="0"/>
                  <w:vAlign w:val="center"/>
                </w:tcPr>
                <w:p w14:paraId="60C421E7">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rPr>
                  </w:pPr>
                  <w:r>
                    <w:rPr>
                      <w:rFonts w:hint="default" w:ascii="Times New Roman" w:hAnsi="Times New Roman" w:cs="Times New Roman"/>
                      <w:color w:val="auto"/>
                      <w:spacing w:val="0"/>
                      <w:position w:val="0"/>
                      <w:sz w:val="21"/>
                      <w:szCs w:val="21"/>
                      <w:highlight w:val="none"/>
                      <w:u w:val="none" w:color="auto"/>
                    </w:rPr>
                    <w:t>废气</w:t>
                  </w:r>
                </w:p>
              </w:tc>
              <w:tc>
                <w:tcPr>
                  <w:tcW w:w="2275" w:type="pct"/>
                  <w:gridSpan w:val="2"/>
                  <w:tcBorders>
                    <w:tl2br w:val="nil"/>
                    <w:tr2bl w:val="nil"/>
                  </w:tcBorders>
                  <w:noWrap w:val="0"/>
                  <w:vAlign w:val="center"/>
                </w:tcPr>
                <w:p w14:paraId="0BF3F72A">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color w:val="auto"/>
                      <w:spacing w:val="0"/>
                      <w:position w:val="0"/>
                      <w:sz w:val="21"/>
                      <w:szCs w:val="21"/>
                      <w:highlight w:val="none"/>
                      <w:u w:val="none" w:color="auto"/>
                      <w:lang w:val="en-US" w:eastAsia="zh-CN"/>
                    </w:rPr>
                  </w:pPr>
                  <w:r>
                    <w:rPr>
                      <w:rFonts w:hint="eastAsia"/>
                      <w:strike w:val="0"/>
                      <w:dstrike w:val="0"/>
                      <w:color w:val="auto"/>
                      <w:sz w:val="21"/>
                      <w:szCs w:val="21"/>
                      <w:u w:val="none" w:color="auto"/>
                      <w:lang w:val="en-US" w:eastAsia="zh-CN"/>
                    </w:rPr>
                    <w:t>甲苯</w:t>
                  </w:r>
                </w:p>
              </w:tc>
              <w:tc>
                <w:tcPr>
                  <w:tcW w:w="2154" w:type="pct"/>
                  <w:tcBorders>
                    <w:tl2br w:val="nil"/>
                    <w:tr2bl w:val="nil"/>
                  </w:tcBorders>
                  <w:noWrap w:val="0"/>
                  <w:vAlign w:val="center"/>
                </w:tcPr>
                <w:p w14:paraId="66518733">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pacing w:val="0"/>
                      <w:position w:val="0"/>
                      <w:sz w:val="21"/>
                      <w:szCs w:val="21"/>
                      <w:highlight w:val="none"/>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0.017</w:t>
                  </w:r>
                </w:p>
              </w:tc>
            </w:tr>
            <w:tr w14:paraId="4B84C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7FFB302A">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rPr>
                  </w:pPr>
                </w:p>
              </w:tc>
              <w:tc>
                <w:tcPr>
                  <w:tcW w:w="2275" w:type="pct"/>
                  <w:gridSpan w:val="2"/>
                  <w:tcBorders>
                    <w:tl2br w:val="nil"/>
                    <w:tr2bl w:val="nil"/>
                  </w:tcBorders>
                  <w:noWrap w:val="0"/>
                  <w:vAlign w:val="center"/>
                </w:tcPr>
                <w:p w14:paraId="13A15BA7">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color w:val="auto"/>
                      <w:spacing w:val="0"/>
                      <w:position w:val="0"/>
                      <w:sz w:val="21"/>
                      <w:szCs w:val="21"/>
                      <w:highlight w:val="none"/>
                      <w:u w:val="none" w:color="auto"/>
                      <w:lang w:val="en-US" w:eastAsia="zh-CN"/>
                    </w:rPr>
                  </w:pPr>
                  <w:r>
                    <w:rPr>
                      <w:rFonts w:hint="eastAsia"/>
                      <w:strike w:val="0"/>
                      <w:dstrike w:val="0"/>
                      <w:color w:val="auto"/>
                      <w:sz w:val="21"/>
                      <w:szCs w:val="21"/>
                      <w:u w:val="none" w:color="auto"/>
                      <w:lang w:val="en-US" w:eastAsia="zh-CN"/>
                    </w:rPr>
                    <w:t>二甲苯</w:t>
                  </w:r>
                </w:p>
              </w:tc>
              <w:tc>
                <w:tcPr>
                  <w:tcW w:w="2154" w:type="pct"/>
                  <w:tcBorders>
                    <w:tl2br w:val="nil"/>
                    <w:tr2bl w:val="nil"/>
                  </w:tcBorders>
                  <w:noWrap w:val="0"/>
                  <w:vAlign w:val="center"/>
                </w:tcPr>
                <w:p w14:paraId="07C4720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pacing w:val="0"/>
                      <w:kern w:val="0"/>
                      <w:positio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0.179</w:t>
                  </w:r>
                </w:p>
              </w:tc>
            </w:tr>
            <w:tr w14:paraId="37317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450C616D">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rPr>
                  </w:pPr>
                </w:p>
              </w:tc>
              <w:tc>
                <w:tcPr>
                  <w:tcW w:w="2275" w:type="pct"/>
                  <w:gridSpan w:val="2"/>
                  <w:tcBorders>
                    <w:tl2br w:val="nil"/>
                    <w:tr2bl w:val="nil"/>
                  </w:tcBorders>
                  <w:noWrap w:val="0"/>
                  <w:vAlign w:val="center"/>
                </w:tcPr>
                <w:p w14:paraId="5304D6A1">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color w:val="auto"/>
                      <w:spacing w:val="0"/>
                      <w:position w:val="0"/>
                      <w:sz w:val="21"/>
                      <w:szCs w:val="21"/>
                      <w:highlight w:val="none"/>
                      <w:u w:val="none" w:color="auto"/>
                      <w:lang w:val="en-US" w:eastAsia="zh-CN"/>
                    </w:rPr>
                  </w:pPr>
                  <w:r>
                    <w:rPr>
                      <w:rFonts w:hint="eastAsia"/>
                      <w:strike w:val="0"/>
                      <w:dstrike w:val="0"/>
                      <w:color w:val="auto"/>
                      <w:sz w:val="21"/>
                      <w:szCs w:val="21"/>
                      <w:u w:val="none" w:color="auto"/>
                      <w:lang w:eastAsia="zh-CN"/>
                    </w:rPr>
                    <w:t>VOCs</w:t>
                  </w:r>
                </w:p>
              </w:tc>
              <w:tc>
                <w:tcPr>
                  <w:tcW w:w="2154" w:type="pct"/>
                  <w:tcBorders>
                    <w:tl2br w:val="nil"/>
                    <w:tr2bl w:val="nil"/>
                  </w:tcBorders>
                  <w:noWrap w:val="0"/>
                  <w:vAlign w:val="center"/>
                </w:tcPr>
                <w:p w14:paraId="4701DE8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pacing w:val="0"/>
                      <w:kern w:val="0"/>
                      <w:positio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0.342</w:t>
                  </w:r>
                </w:p>
              </w:tc>
            </w:tr>
            <w:tr w14:paraId="750D0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69" w:type="pct"/>
                  <w:vMerge w:val="continue"/>
                  <w:tcBorders>
                    <w:tl2br w:val="nil"/>
                    <w:tr2bl w:val="nil"/>
                  </w:tcBorders>
                  <w:noWrap w:val="0"/>
                  <w:vAlign w:val="center"/>
                </w:tcPr>
                <w:p w14:paraId="3D9C620F">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rPr>
                  </w:pPr>
                </w:p>
              </w:tc>
              <w:tc>
                <w:tcPr>
                  <w:tcW w:w="2275" w:type="pct"/>
                  <w:gridSpan w:val="2"/>
                  <w:tcBorders>
                    <w:tl2br w:val="nil"/>
                    <w:tr2bl w:val="nil"/>
                  </w:tcBorders>
                  <w:noWrap w:val="0"/>
                  <w:vAlign w:val="center"/>
                </w:tcPr>
                <w:p w14:paraId="5AF39B8D">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val="en-US" w:eastAsia="zh-CN"/>
                    </w:rPr>
                  </w:pPr>
                  <w:r>
                    <w:rPr>
                      <w:rFonts w:hint="eastAsia" w:ascii="Times New Roman" w:hAnsi="Times New Roman" w:cs="Times New Roman"/>
                      <w:color w:val="auto"/>
                      <w:spacing w:val="0"/>
                      <w:position w:val="0"/>
                      <w:sz w:val="21"/>
                      <w:szCs w:val="21"/>
                      <w:highlight w:val="none"/>
                      <w:u w:val="none" w:color="auto"/>
                      <w:lang w:val="en-US" w:eastAsia="zh-CN"/>
                    </w:rPr>
                    <w:t>颗粒物</w:t>
                  </w:r>
                </w:p>
              </w:tc>
              <w:tc>
                <w:tcPr>
                  <w:tcW w:w="2154" w:type="pct"/>
                  <w:tcBorders>
                    <w:tl2br w:val="nil"/>
                    <w:tr2bl w:val="nil"/>
                  </w:tcBorders>
                  <w:noWrap w:val="0"/>
                  <w:vAlign w:val="center"/>
                </w:tcPr>
                <w:p w14:paraId="3C644EAE">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center"/>
                    <w:outlineLvl w:val="9"/>
                    <w:rPr>
                      <w:rFonts w:hint="default" w:ascii="Times New Roman" w:hAnsi="Times New Roman" w:cs="Times New Roman"/>
                      <w:b w:val="0"/>
                      <w:bCs w:val="0"/>
                      <w:color w:val="auto"/>
                      <w:spacing w:val="0"/>
                      <w:position w:val="0"/>
                      <w:sz w:val="21"/>
                      <w:szCs w:val="21"/>
                      <w:highlight w:val="none"/>
                      <w:u w:val="none" w:color="auto"/>
                      <w:lang w:val="en-US" w:eastAsia="zh-CN"/>
                    </w:rPr>
                  </w:pPr>
                  <w:r>
                    <w:rPr>
                      <w:rFonts w:hint="eastAsia" w:ascii="Times New Roman" w:hAnsi="Times New Roman" w:cs="Times New Roman"/>
                      <w:i w:val="0"/>
                      <w:iCs w:val="0"/>
                      <w:color w:val="auto"/>
                      <w:spacing w:val="0"/>
                      <w:kern w:val="0"/>
                      <w:position w:val="0"/>
                      <w:sz w:val="21"/>
                      <w:szCs w:val="21"/>
                      <w:u w:val="none" w:color="auto"/>
                      <w:lang w:val="en-US" w:eastAsia="zh-CN" w:bidi="ar"/>
                    </w:rPr>
                    <w:t>0.684</w:t>
                  </w:r>
                </w:p>
              </w:tc>
            </w:tr>
            <w:tr w14:paraId="0E550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restart"/>
                  <w:tcBorders>
                    <w:tl2br w:val="nil"/>
                    <w:tr2bl w:val="nil"/>
                  </w:tcBorders>
                  <w:noWrap w:val="0"/>
                  <w:vAlign w:val="center"/>
                </w:tcPr>
                <w:p w14:paraId="1C95016E">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r>
                    <w:rPr>
                      <w:rFonts w:hint="default" w:ascii="Times New Roman" w:hAnsi="Times New Roman" w:cs="Times New Roman"/>
                      <w:color w:val="auto"/>
                      <w:spacing w:val="0"/>
                      <w:position w:val="0"/>
                      <w:sz w:val="21"/>
                      <w:szCs w:val="21"/>
                      <w:highlight w:val="none"/>
                      <w:u w:val="none" w:color="auto"/>
                      <w:lang w:eastAsia="zh-CN"/>
                    </w:rPr>
                    <w:t>废水</w:t>
                  </w:r>
                </w:p>
              </w:tc>
              <w:tc>
                <w:tcPr>
                  <w:tcW w:w="2275" w:type="pct"/>
                  <w:gridSpan w:val="2"/>
                  <w:tcBorders>
                    <w:tl2br w:val="nil"/>
                    <w:tr2bl w:val="nil"/>
                  </w:tcBorders>
                  <w:noWrap w:val="0"/>
                  <w:vAlign w:val="center"/>
                </w:tcPr>
                <w:p w14:paraId="5F1080C1">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snapToGrid w:val="0"/>
                      <w:color w:val="auto"/>
                      <w:spacing w:val="0"/>
                      <w:kern w:val="0"/>
                      <w:position w:val="0"/>
                      <w:sz w:val="21"/>
                      <w:szCs w:val="21"/>
                      <w:highlight w:val="none"/>
                      <w:u w:val="none" w:color="auto"/>
                      <w:lang w:val="en-US" w:eastAsia="zh-CN" w:bidi="ar-SA"/>
                    </w:rPr>
                  </w:pPr>
                  <w:r>
                    <w:rPr>
                      <w:rStyle w:val="96"/>
                      <w:rFonts w:hint="default" w:ascii="Times New Roman" w:hAnsi="Times New Roman" w:eastAsia="宋体" w:cs="Times New Roman"/>
                      <w:color w:val="auto"/>
                      <w:sz w:val="21"/>
                      <w:szCs w:val="21"/>
                      <w:lang w:val="en-US" w:eastAsia="zh-CN"/>
                    </w:rPr>
                    <w:t>CODcr</w:t>
                  </w:r>
                </w:p>
              </w:tc>
              <w:tc>
                <w:tcPr>
                  <w:tcW w:w="3694" w:type="dxa"/>
                  <w:tcBorders>
                    <w:tl2br w:val="nil"/>
                    <w:tr2bl w:val="nil"/>
                  </w:tcBorders>
                  <w:noWrap w:val="0"/>
                  <w:vAlign w:val="center"/>
                </w:tcPr>
                <w:p w14:paraId="75D8283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0.036</w:t>
                  </w:r>
                </w:p>
              </w:tc>
            </w:tr>
            <w:tr w14:paraId="70FB8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1FEBD749">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2275" w:type="pct"/>
                  <w:gridSpan w:val="2"/>
                  <w:tcBorders>
                    <w:tl2br w:val="nil"/>
                    <w:tr2bl w:val="nil"/>
                  </w:tcBorders>
                  <w:noWrap w:val="0"/>
                  <w:vAlign w:val="center"/>
                </w:tcPr>
                <w:p w14:paraId="7DD99554">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snapToGrid w:val="0"/>
                      <w:color w:val="auto"/>
                      <w:spacing w:val="0"/>
                      <w:kern w:val="0"/>
                      <w:position w:val="0"/>
                      <w:sz w:val="21"/>
                      <w:szCs w:val="21"/>
                      <w:highlight w:val="none"/>
                      <w:u w:val="none" w:color="auto"/>
                      <w:lang w:val="en-US" w:eastAsia="zh-CN" w:bidi="ar-SA"/>
                    </w:rPr>
                  </w:pPr>
                  <w:r>
                    <w:rPr>
                      <w:rStyle w:val="96"/>
                      <w:rFonts w:hint="eastAsia" w:ascii="Times New Roman" w:hAnsi="Times New Roman" w:eastAsia="宋体" w:cs="Times New Roman"/>
                      <w:color w:val="auto"/>
                      <w:sz w:val="21"/>
                      <w:szCs w:val="21"/>
                      <w:lang w:val="en-US" w:eastAsia="zh-CN"/>
                    </w:rPr>
                    <w:t>NH</w:t>
                  </w:r>
                  <w:r>
                    <w:rPr>
                      <w:rStyle w:val="96"/>
                      <w:rFonts w:hint="eastAsia" w:ascii="Times New Roman" w:hAnsi="Times New Roman" w:eastAsia="宋体" w:cs="Times New Roman"/>
                      <w:color w:val="auto"/>
                      <w:sz w:val="21"/>
                      <w:szCs w:val="21"/>
                      <w:vertAlign w:val="subscript"/>
                      <w:lang w:val="en-US" w:eastAsia="zh-CN"/>
                    </w:rPr>
                    <w:t>3</w:t>
                  </w:r>
                  <w:r>
                    <w:rPr>
                      <w:rStyle w:val="96"/>
                      <w:rFonts w:hint="eastAsia" w:ascii="Times New Roman" w:hAnsi="Times New Roman" w:eastAsia="宋体" w:cs="Times New Roman"/>
                      <w:color w:val="auto"/>
                      <w:sz w:val="21"/>
                      <w:szCs w:val="21"/>
                      <w:lang w:val="en-US" w:eastAsia="zh-CN"/>
                    </w:rPr>
                    <w:t>-N</w:t>
                  </w:r>
                </w:p>
              </w:tc>
              <w:tc>
                <w:tcPr>
                  <w:tcW w:w="3694" w:type="dxa"/>
                  <w:tcBorders>
                    <w:tl2br w:val="nil"/>
                    <w:tr2bl w:val="nil"/>
                  </w:tcBorders>
                  <w:noWrap w:val="0"/>
                  <w:vAlign w:val="center"/>
                </w:tcPr>
                <w:p w14:paraId="5AF9313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0.0015</w:t>
                  </w:r>
                </w:p>
              </w:tc>
            </w:tr>
            <w:tr w14:paraId="06F0A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12F473F9">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2275" w:type="pct"/>
                  <w:gridSpan w:val="2"/>
                  <w:tcBorders>
                    <w:tl2br w:val="nil"/>
                    <w:tr2bl w:val="nil"/>
                  </w:tcBorders>
                  <w:noWrap w:val="0"/>
                  <w:vAlign w:val="center"/>
                </w:tcPr>
                <w:p w14:paraId="1E0DC6D7">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spacing w:val="0"/>
                      <w:position w:val="0"/>
                      <w:sz w:val="21"/>
                      <w:szCs w:val="21"/>
                      <w:highlight w:val="none"/>
                      <w:u w:val="none" w:color="auto"/>
                      <w:lang w:eastAsia="zh-CN"/>
                    </w:rPr>
                  </w:pPr>
                  <w:r>
                    <w:rPr>
                      <w:rStyle w:val="96"/>
                      <w:rFonts w:hint="eastAsia" w:ascii="Times New Roman" w:hAnsi="Times New Roman" w:eastAsia="宋体" w:cs="Times New Roman"/>
                      <w:color w:val="auto"/>
                      <w:sz w:val="21"/>
                      <w:szCs w:val="21"/>
                      <w:lang w:val="en-US" w:eastAsia="zh-CN"/>
                    </w:rPr>
                    <w:t>TP</w:t>
                  </w:r>
                </w:p>
              </w:tc>
              <w:tc>
                <w:tcPr>
                  <w:tcW w:w="3694" w:type="dxa"/>
                  <w:tcBorders>
                    <w:tl2br w:val="nil"/>
                    <w:tr2bl w:val="nil"/>
                  </w:tcBorders>
                  <w:noWrap w:val="0"/>
                  <w:vAlign w:val="center"/>
                </w:tcPr>
                <w:p w14:paraId="5790E0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0.0003</w:t>
                  </w:r>
                </w:p>
              </w:tc>
            </w:tr>
            <w:tr w14:paraId="7E8BD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4E170933">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2275" w:type="pct"/>
                  <w:gridSpan w:val="2"/>
                  <w:tcBorders>
                    <w:tl2br w:val="nil"/>
                    <w:tr2bl w:val="nil"/>
                  </w:tcBorders>
                  <w:noWrap w:val="0"/>
                  <w:vAlign w:val="center"/>
                </w:tcPr>
                <w:p w14:paraId="6340A427">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snapToGrid w:val="0"/>
                      <w:color w:val="auto"/>
                      <w:spacing w:val="0"/>
                      <w:kern w:val="0"/>
                      <w:position w:val="0"/>
                      <w:sz w:val="21"/>
                      <w:szCs w:val="21"/>
                      <w:highlight w:val="none"/>
                      <w:u w:val="none" w:color="auto"/>
                      <w:lang w:val="en-US" w:eastAsia="zh-CN" w:bidi="ar-SA"/>
                    </w:rPr>
                  </w:pPr>
                  <w:r>
                    <w:rPr>
                      <w:rStyle w:val="96"/>
                      <w:rFonts w:hint="eastAsia" w:ascii="Times New Roman" w:hAnsi="Times New Roman" w:eastAsia="宋体" w:cs="Times New Roman"/>
                      <w:color w:val="auto"/>
                      <w:sz w:val="21"/>
                      <w:szCs w:val="21"/>
                      <w:lang w:val="en-US" w:eastAsia="zh-CN"/>
                    </w:rPr>
                    <w:t>TN</w:t>
                  </w:r>
                </w:p>
              </w:tc>
              <w:tc>
                <w:tcPr>
                  <w:tcW w:w="3694" w:type="dxa"/>
                  <w:tcBorders>
                    <w:tl2br w:val="nil"/>
                    <w:tr2bl w:val="nil"/>
                  </w:tcBorders>
                  <w:noWrap w:val="0"/>
                  <w:vAlign w:val="center"/>
                </w:tcPr>
                <w:p w14:paraId="44E2C4A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0.0033</w:t>
                  </w:r>
                </w:p>
              </w:tc>
            </w:tr>
            <w:tr w14:paraId="35C4B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3E90657F">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2275" w:type="pct"/>
                  <w:gridSpan w:val="2"/>
                  <w:tcBorders>
                    <w:tl2br w:val="nil"/>
                    <w:tr2bl w:val="nil"/>
                  </w:tcBorders>
                  <w:noWrap w:val="0"/>
                  <w:vAlign w:val="center"/>
                </w:tcPr>
                <w:p w14:paraId="221E4E2E">
                  <w:pPr>
                    <w:pStyle w:val="59"/>
                    <w:keepNext w:val="0"/>
                    <w:keepLines w:val="0"/>
                    <w:widowControl/>
                    <w:suppressLineNumbers w:val="0"/>
                    <w:spacing w:before="0" w:beforeAutospacing="0" w:after="0" w:afterAutospacing="0"/>
                    <w:ind w:left="0" w:leftChars="0" w:right="0" w:rightChars="0"/>
                    <w:jc w:val="center"/>
                    <w:rPr>
                      <w:rStyle w:val="96"/>
                      <w:rFonts w:hint="eastAsia" w:ascii="Times New Roman" w:hAnsi="Times New Roman" w:eastAsia="宋体" w:cs="Times New Roman"/>
                      <w:color w:val="auto"/>
                      <w:sz w:val="21"/>
                      <w:szCs w:val="21"/>
                      <w:lang w:val="en-US" w:eastAsia="zh-CN"/>
                    </w:rPr>
                  </w:pPr>
                  <w:r>
                    <w:rPr>
                      <w:rStyle w:val="96"/>
                      <w:rFonts w:hint="eastAsia" w:ascii="Times New Roman" w:hAnsi="Times New Roman" w:eastAsia="宋体" w:cs="Times New Roman"/>
                      <w:color w:val="auto"/>
                      <w:sz w:val="21"/>
                      <w:szCs w:val="21"/>
                      <w:lang w:val="en-US" w:eastAsia="zh-CN"/>
                    </w:rPr>
                    <w:t>SS</w:t>
                  </w:r>
                </w:p>
              </w:tc>
              <w:tc>
                <w:tcPr>
                  <w:tcW w:w="3694" w:type="dxa"/>
                  <w:tcBorders>
                    <w:tl2br w:val="nil"/>
                    <w:tr2bl w:val="nil"/>
                  </w:tcBorders>
                  <w:noWrap w:val="0"/>
                  <w:vAlign w:val="center"/>
                </w:tcPr>
                <w:p w14:paraId="6D9403E6">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0.0338</w:t>
                  </w:r>
                </w:p>
              </w:tc>
            </w:tr>
            <w:tr w14:paraId="34D2B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restart"/>
                  <w:tcBorders>
                    <w:tl2br w:val="nil"/>
                    <w:tr2bl w:val="nil"/>
                  </w:tcBorders>
                  <w:noWrap w:val="0"/>
                  <w:vAlign w:val="center"/>
                </w:tcPr>
                <w:p w14:paraId="02D1CC98">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r>
                    <w:rPr>
                      <w:rFonts w:hint="default" w:ascii="Times New Roman" w:hAnsi="Times New Roman" w:cs="Times New Roman"/>
                      <w:color w:val="auto"/>
                      <w:spacing w:val="0"/>
                      <w:position w:val="0"/>
                      <w:sz w:val="21"/>
                      <w:szCs w:val="21"/>
                      <w:highlight w:val="none"/>
                      <w:u w:val="none" w:color="auto"/>
                      <w:lang w:eastAsia="zh-CN"/>
                    </w:rPr>
                    <w:t>固废</w:t>
                  </w:r>
                </w:p>
              </w:tc>
              <w:tc>
                <w:tcPr>
                  <w:tcW w:w="2275" w:type="pct"/>
                  <w:gridSpan w:val="2"/>
                  <w:tcBorders>
                    <w:tl2br w:val="nil"/>
                    <w:tr2bl w:val="nil"/>
                  </w:tcBorders>
                  <w:noWrap w:val="0"/>
                  <w:vAlign w:val="center"/>
                </w:tcPr>
                <w:p w14:paraId="0A865BBD">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r>
                    <w:rPr>
                      <w:rFonts w:hint="default" w:ascii="Times New Roman" w:hAnsi="Times New Roman" w:cs="Times New Roman"/>
                      <w:color w:val="auto"/>
                      <w:spacing w:val="0"/>
                      <w:position w:val="0"/>
                      <w:sz w:val="21"/>
                      <w:szCs w:val="21"/>
                      <w:highlight w:val="none"/>
                      <w:u w:val="none" w:color="auto"/>
                      <w:lang w:eastAsia="zh-CN"/>
                    </w:rPr>
                    <w:t>生活垃圾</w:t>
                  </w:r>
                </w:p>
              </w:tc>
              <w:tc>
                <w:tcPr>
                  <w:tcW w:w="2154" w:type="pct"/>
                  <w:tcBorders>
                    <w:tl2br w:val="nil"/>
                    <w:tr2bl w:val="nil"/>
                  </w:tcBorders>
                  <w:noWrap w:val="0"/>
                  <w:vAlign w:val="center"/>
                </w:tcPr>
                <w:p w14:paraId="58F45A1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outlineLvl w:val="9"/>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default" w:ascii="Times New Roman" w:hAnsi="Times New Roman" w:cs="Times New Roman"/>
                      <w:color w:val="auto"/>
                      <w:spacing w:val="0"/>
                      <w:position w:val="0"/>
                      <w:sz w:val="21"/>
                      <w:szCs w:val="21"/>
                      <w:highlight w:val="none"/>
                      <w:u w:val="none" w:color="auto"/>
                      <w:lang w:val="en-US" w:eastAsia="zh-CN"/>
                    </w:rPr>
                    <w:t>3.</w:t>
                  </w:r>
                  <w:r>
                    <w:rPr>
                      <w:rFonts w:hint="eastAsia" w:ascii="Times New Roman" w:hAnsi="Times New Roman" w:cs="Times New Roman"/>
                      <w:color w:val="auto"/>
                      <w:spacing w:val="0"/>
                      <w:position w:val="0"/>
                      <w:sz w:val="21"/>
                      <w:szCs w:val="21"/>
                      <w:highlight w:val="none"/>
                      <w:u w:val="none" w:color="auto"/>
                      <w:lang w:val="en-US" w:eastAsia="zh-CN"/>
                    </w:rPr>
                    <w:t>75</w:t>
                  </w:r>
                </w:p>
              </w:tc>
            </w:tr>
            <w:tr w14:paraId="6118D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5E1B75FF">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restart"/>
                  <w:tcBorders>
                    <w:tl2br w:val="nil"/>
                    <w:tr2bl w:val="nil"/>
                  </w:tcBorders>
                  <w:noWrap w:val="0"/>
                  <w:vAlign w:val="center"/>
                </w:tcPr>
                <w:p w14:paraId="7004B753">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val="en-US" w:eastAsia="zh-CN"/>
                    </w:rPr>
                  </w:pPr>
                  <w:r>
                    <w:rPr>
                      <w:rFonts w:hint="default" w:ascii="Times New Roman" w:hAnsi="Times New Roman" w:cs="Times New Roman"/>
                      <w:color w:val="auto"/>
                      <w:spacing w:val="0"/>
                      <w:position w:val="0"/>
                      <w:sz w:val="21"/>
                      <w:szCs w:val="21"/>
                      <w:highlight w:val="none"/>
                      <w:u w:val="none" w:color="auto"/>
                      <w:lang w:val="en-US" w:eastAsia="zh-CN"/>
                    </w:rPr>
                    <w:t>一般固废</w:t>
                  </w:r>
                </w:p>
              </w:tc>
              <w:tc>
                <w:tcPr>
                  <w:tcW w:w="1787" w:type="pct"/>
                  <w:tcBorders>
                    <w:tl2br w:val="nil"/>
                    <w:tr2bl w:val="nil"/>
                  </w:tcBorders>
                  <w:noWrap w:val="0"/>
                  <w:vAlign w:val="center"/>
                </w:tcPr>
                <w:p w14:paraId="2D1634D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0"/>
                      <w:position w:val="0"/>
                      <w:sz w:val="21"/>
                      <w:szCs w:val="21"/>
                      <w:highlight w:val="none"/>
                      <w:u w:val="none" w:color="auto"/>
                      <w:lang w:eastAsia="zh-CN"/>
                    </w:rPr>
                  </w:pPr>
                  <w:r>
                    <w:rPr>
                      <w:rFonts w:hint="eastAsia" w:ascii="宋体" w:hAnsi="宋体" w:eastAsia="宋体" w:cs="宋体"/>
                      <w:i w:val="0"/>
                      <w:iCs w:val="0"/>
                      <w:color w:val="000000"/>
                      <w:kern w:val="0"/>
                      <w:sz w:val="21"/>
                      <w:szCs w:val="21"/>
                      <w:u w:val="none"/>
                      <w:lang w:val="en-US" w:eastAsia="zh-CN" w:bidi="ar"/>
                    </w:rPr>
                    <w:t>废包装物</w:t>
                  </w:r>
                </w:p>
              </w:tc>
              <w:tc>
                <w:tcPr>
                  <w:tcW w:w="2154" w:type="pct"/>
                  <w:tcBorders>
                    <w:tl2br w:val="nil"/>
                    <w:tr2bl w:val="nil"/>
                  </w:tcBorders>
                  <w:noWrap w:val="0"/>
                  <w:vAlign w:val="center"/>
                </w:tcPr>
                <w:p w14:paraId="0AFE12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r>
            <w:tr w14:paraId="49090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58FE71E5">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147376D6">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val="en-US" w:eastAsia="zh-CN"/>
                    </w:rPr>
                  </w:pPr>
                </w:p>
              </w:tc>
              <w:tc>
                <w:tcPr>
                  <w:tcW w:w="1787" w:type="pct"/>
                  <w:tcBorders>
                    <w:tl2br w:val="nil"/>
                    <w:tr2bl w:val="nil"/>
                  </w:tcBorders>
                  <w:noWrap w:val="0"/>
                  <w:vAlign w:val="center"/>
                </w:tcPr>
                <w:p w14:paraId="0477C7A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0"/>
                      <w:position w:val="0"/>
                      <w:sz w:val="21"/>
                      <w:szCs w:val="21"/>
                      <w:highlight w:val="none"/>
                      <w:u w:val="none" w:color="auto"/>
                      <w:lang w:val="en-US" w:eastAsia="zh-CN"/>
                    </w:rPr>
                  </w:pPr>
                  <w:r>
                    <w:rPr>
                      <w:rFonts w:hint="eastAsia" w:ascii="宋体" w:hAnsi="宋体" w:eastAsia="宋体" w:cs="宋体"/>
                      <w:i w:val="0"/>
                      <w:iCs w:val="0"/>
                      <w:color w:val="000000"/>
                      <w:kern w:val="0"/>
                      <w:sz w:val="21"/>
                      <w:szCs w:val="21"/>
                      <w:u w:val="none"/>
                      <w:lang w:val="en-US" w:eastAsia="zh-CN" w:bidi="ar"/>
                    </w:rPr>
                    <w:t>金属边角料</w:t>
                  </w:r>
                </w:p>
              </w:tc>
              <w:tc>
                <w:tcPr>
                  <w:tcW w:w="2154" w:type="pct"/>
                  <w:tcBorders>
                    <w:tl2br w:val="nil"/>
                    <w:tr2bl w:val="nil"/>
                  </w:tcBorders>
                  <w:noWrap w:val="0"/>
                  <w:vAlign w:val="center"/>
                </w:tcPr>
                <w:p w14:paraId="077AC0D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0"/>
                      <w:position w:val="0"/>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 xml:space="preserve">1.73 </w:t>
                  </w:r>
                </w:p>
              </w:tc>
            </w:tr>
            <w:tr w14:paraId="04D04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793E7860">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34F97145">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p>
              </w:tc>
              <w:tc>
                <w:tcPr>
                  <w:tcW w:w="1787" w:type="pct"/>
                  <w:tcBorders>
                    <w:tl2br w:val="nil"/>
                    <w:tr2bl w:val="nil"/>
                  </w:tcBorders>
                  <w:noWrap w:val="0"/>
                  <w:vAlign w:val="center"/>
                </w:tcPr>
                <w:p w14:paraId="2892C9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kern w:val="2"/>
                      <w:position w:val="0"/>
                      <w:sz w:val="21"/>
                      <w:szCs w:val="21"/>
                      <w:u w:val="none" w:color="auto"/>
                      <w:lang w:val="en-US" w:eastAsia="zh-CN" w:bidi="ar-SA"/>
                    </w:rPr>
                  </w:pPr>
                  <w:r>
                    <w:rPr>
                      <w:rFonts w:hint="eastAsia" w:ascii="宋体" w:hAnsi="宋体" w:eastAsia="宋体" w:cs="宋体"/>
                      <w:i w:val="0"/>
                      <w:iCs w:val="0"/>
                      <w:color w:val="000000"/>
                      <w:kern w:val="0"/>
                      <w:sz w:val="21"/>
                      <w:szCs w:val="21"/>
                      <w:u w:val="none"/>
                      <w:lang w:val="en-US" w:eastAsia="zh-CN" w:bidi="ar"/>
                    </w:rPr>
                    <w:t>焊渣</w:t>
                  </w:r>
                </w:p>
              </w:tc>
              <w:tc>
                <w:tcPr>
                  <w:tcW w:w="2154" w:type="pct"/>
                  <w:tcBorders>
                    <w:tl2br w:val="nil"/>
                    <w:tr2bl w:val="nil"/>
                  </w:tcBorders>
                  <w:noWrap w:val="0"/>
                  <w:vAlign w:val="center"/>
                </w:tcPr>
                <w:p w14:paraId="05BE92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0.19 </w:t>
                  </w:r>
                </w:p>
              </w:tc>
            </w:tr>
            <w:tr w14:paraId="26485C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2F9ED4DC">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3FDD0707">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val="en-US" w:eastAsia="zh-CN"/>
                    </w:rPr>
                  </w:pPr>
                </w:p>
              </w:tc>
              <w:tc>
                <w:tcPr>
                  <w:tcW w:w="1787" w:type="pct"/>
                  <w:tcBorders>
                    <w:tl2br w:val="nil"/>
                    <w:tr2bl w:val="nil"/>
                  </w:tcBorders>
                  <w:noWrap w:val="0"/>
                  <w:vAlign w:val="center"/>
                </w:tcPr>
                <w:p w14:paraId="3A7994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highlight w:val="none"/>
                      <w:u w:val="none" w:color="auto"/>
                      <w:lang w:val="en-US" w:eastAsia="zh-CN"/>
                    </w:rPr>
                  </w:pPr>
                  <w:r>
                    <w:rPr>
                      <w:rFonts w:hint="eastAsia" w:ascii="宋体" w:hAnsi="宋体" w:eastAsia="宋体" w:cs="宋体"/>
                      <w:i w:val="0"/>
                      <w:iCs w:val="0"/>
                      <w:color w:val="auto"/>
                      <w:kern w:val="0"/>
                      <w:sz w:val="21"/>
                      <w:szCs w:val="21"/>
                      <w:u w:val="none"/>
                      <w:lang w:val="en-US" w:eastAsia="zh-CN" w:bidi="ar"/>
                    </w:rPr>
                    <w:t>废钢丸</w:t>
                  </w:r>
                </w:p>
              </w:tc>
              <w:tc>
                <w:tcPr>
                  <w:tcW w:w="2154" w:type="pct"/>
                  <w:tcBorders>
                    <w:tl2br w:val="nil"/>
                    <w:tr2bl w:val="nil"/>
                  </w:tcBorders>
                  <w:noWrap w:val="0"/>
                  <w:vAlign w:val="center"/>
                </w:tcPr>
                <w:p w14:paraId="1519CD6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0"/>
                      <w:position w:val="0"/>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4C7A2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5C6213A7">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6B9DB351">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p>
              </w:tc>
              <w:tc>
                <w:tcPr>
                  <w:tcW w:w="1787" w:type="pct"/>
                  <w:tcBorders>
                    <w:tl2br w:val="nil"/>
                    <w:tr2bl w:val="nil"/>
                  </w:tcBorders>
                  <w:noWrap w:val="0"/>
                  <w:vAlign w:val="center"/>
                </w:tcPr>
                <w:p w14:paraId="367C99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highlight w:val="none"/>
                      <w:u w:val="none" w:color="auto"/>
                      <w:lang w:eastAsia="zh-CN"/>
                    </w:rPr>
                  </w:pPr>
                  <w:r>
                    <w:rPr>
                      <w:rFonts w:hint="eastAsia" w:ascii="宋体" w:hAnsi="宋体" w:eastAsia="宋体" w:cs="宋体"/>
                      <w:i w:val="0"/>
                      <w:iCs w:val="0"/>
                      <w:color w:val="auto"/>
                      <w:kern w:val="0"/>
                      <w:sz w:val="21"/>
                      <w:szCs w:val="21"/>
                      <w:u w:val="none"/>
                      <w:lang w:val="en-US" w:eastAsia="zh-CN" w:bidi="ar"/>
                    </w:rPr>
                    <w:t>抛丸收集粉尘</w:t>
                  </w:r>
                </w:p>
              </w:tc>
              <w:tc>
                <w:tcPr>
                  <w:tcW w:w="2154" w:type="pct"/>
                  <w:tcBorders>
                    <w:tl2br w:val="nil"/>
                    <w:tr2bl w:val="nil"/>
                  </w:tcBorders>
                  <w:noWrap w:val="0"/>
                  <w:vAlign w:val="center"/>
                </w:tcPr>
                <w:p w14:paraId="6A12308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0"/>
                      <w:position w:val="0"/>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5.301</w:t>
                  </w:r>
                </w:p>
              </w:tc>
            </w:tr>
            <w:tr w14:paraId="1C90C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27E2FF4A">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restart"/>
                  <w:tcBorders>
                    <w:tl2br w:val="nil"/>
                    <w:tr2bl w:val="nil"/>
                  </w:tcBorders>
                  <w:noWrap w:val="0"/>
                  <w:vAlign w:val="center"/>
                </w:tcPr>
                <w:p w14:paraId="114BCF5E">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r>
                    <w:rPr>
                      <w:rFonts w:hint="default" w:ascii="Times New Roman" w:hAnsi="Times New Roman" w:eastAsia="宋体" w:cs="Times New Roman"/>
                      <w:color w:val="auto"/>
                      <w:spacing w:val="0"/>
                      <w:position w:val="0"/>
                      <w:sz w:val="21"/>
                      <w:szCs w:val="21"/>
                      <w:highlight w:val="none"/>
                      <w:u w:val="none" w:color="auto"/>
                      <w:lang w:val="en-US" w:eastAsia="zh-CN"/>
                    </w:rPr>
                    <w:t>危险废物</w:t>
                  </w:r>
                </w:p>
              </w:tc>
              <w:tc>
                <w:tcPr>
                  <w:tcW w:w="1787" w:type="pct"/>
                  <w:tcBorders>
                    <w:tl2br w:val="nil"/>
                    <w:tr2bl w:val="nil"/>
                  </w:tcBorders>
                  <w:noWrap w:val="0"/>
                  <w:vAlign w:val="center"/>
                </w:tcPr>
                <w:p w14:paraId="6E0C8B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highlight w:val="none"/>
                      <w:u w:val="none" w:color="auto"/>
                      <w:lang w:eastAsia="zh-CN"/>
                    </w:rPr>
                  </w:pPr>
                  <w:r>
                    <w:rPr>
                      <w:rFonts w:hint="eastAsia" w:ascii="宋体" w:hAnsi="宋体" w:eastAsia="宋体" w:cs="宋体"/>
                      <w:i w:val="0"/>
                      <w:iCs w:val="0"/>
                      <w:color w:val="auto"/>
                      <w:kern w:val="0"/>
                      <w:sz w:val="21"/>
                      <w:szCs w:val="21"/>
                      <w:u w:val="none"/>
                      <w:lang w:val="en-US" w:eastAsia="zh-CN" w:bidi="ar"/>
                    </w:rPr>
                    <w:t>废包装桶</w:t>
                  </w:r>
                </w:p>
              </w:tc>
              <w:tc>
                <w:tcPr>
                  <w:tcW w:w="2154" w:type="pct"/>
                  <w:tcBorders>
                    <w:tl2br w:val="nil"/>
                    <w:tr2bl w:val="nil"/>
                  </w:tcBorders>
                  <w:noWrap w:val="0"/>
                  <w:vAlign w:val="center"/>
                </w:tcPr>
                <w:p w14:paraId="0B668F8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0.18</w:t>
                  </w:r>
                </w:p>
              </w:tc>
            </w:tr>
            <w:tr w14:paraId="3F977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1731FE16">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7657396D">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p>
              </w:tc>
              <w:tc>
                <w:tcPr>
                  <w:tcW w:w="1787" w:type="pct"/>
                  <w:tcBorders>
                    <w:tl2br w:val="nil"/>
                    <w:tr2bl w:val="nil"/>
                  </w:tcBorders>
                  <w:noWrap w:val="0"/>
                  <w:vAlign w:val="center"/>
                </w:tcPr>
                <w:p w14:paraId="560594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highlight w:val="none"/>
                      <w:u w:val="none" w:color="auto"/>
                      <w:lang w:eastAsia="zh-CN"/>
                    </w:rPr>
                  </w:pPr>
                  <w:r>
                    <w:rPr>
                      <w:rFonts w:hint="eastAsia" w:ascii="宋体" w:hAnsi="宋体" w:eastAsia="宋体" w:cs="宋体"/>
                      <w:i w:val="0"/>
                      <w:iCs w:val="0"/>
                      <w:color w:val="auto"/>
                      <w:kern w:val="0"/>
                      <w:sz w:val="21"/>
                      <w:szCs w:val="21"/>
                      <w:u w:val="none"/>
                      <w:lang w:val="en-US" w:eastAsia="zh-CN" w:bidi="ar"/>
                    </w:rPr>
                    <w:t>废过滤棉</w:t>
                  </w:r>
                </w:p>
              </w:tc>
              <w:tc>
                <w:tcPr>
                  <w:tcW w:w="2154" w:type="pct"/>
                  <w:tcBorders>
                    <w:tl2br w:val="nil"/>
                    <w:tr2bl w:val="nil"/>
                  </w:tcBorders>
                  <w:noWrap w:val="0"/>
                  <w:vAlign w:val="center"/>
                </w:tcPr>
                <w:p w14:paraId="5426774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0029D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40F82E77">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292E7C2E">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p>
              </w:tc>
              <w:tc>
                <w:tcPr>
                  <w:tcW w:w="1787" w:type="pct"/>
                  <w:tcBorders>
                    <w:tl2br w:val="nil"/>
                    <w:tr2bl w:val="nil"/>
                  </w:tcBorders>
                  <w:noWrap w:val="0"/>
                  <w:vAlign w:val="center"/>
                </w:tcPr>
                <w:p w14:paraId="4554AB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highlight w:val="none"/>
                      <w:u w:val="none" w:color="auto"/>
                      <w:lang w:eastAsia="zh-CN"/>
                    </w:rPr>
                  </w:pPr>
                  <w:r>
                    <w:rPr>
                      <w:rFonts w:hint="eastAsia" w:ascii="宋体" w:hAnsi="宋体" w:eastAsia="宋体" w:cs="宋体"/>
                      <w:i w:val="0"/>
                      <w:iCs w:val="0"/>
                      <w:color w:val="auto"/>
                      <w:kern w:val="0"/>
                      <w:sz w:val="21"/>
                      <w:szCs w:val="21"/>
                      <w:u w:val="none"/>
                      <w:lang w:val="en-US" w:eastAsia="zh-CN" w:bidi="ar"/>
                    </w:rPr>
                    <w:t>废活性炭</w:t>
                  </w:r>
                </w:p>
              </w:tc>
              <w:tc>
                <w:tcPr>
                  <w:tcW w:w="2154" w:type="pct"/>
                  <w:tcBorders>
                    <w:tl2br w:val="nil"/>
                    <w:tr2bl w:val="nil"/>
                  </w:tcBorders>
                  <w:noWrap w:val="0"/>
                  <w:vAlign w:val="center"/>
                </w:tcPr>
                <w:p w14:paraId="6C8BEB3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0"/>
                      <w:position w:val="0"/>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6.6</w:t>
                  </w:r>
                </w:p>
              </w:tc>
            </w:tr>
            <w:tr w14:paraId="72ADF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6EED8C34">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22CF19E8">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p>
              </w:tc>
              <w:tc>
                <w:tcPr>
                  <w:tcW w:w="1787" w:type="pct"/>
                  <w:tcBorders>
                    <w:tl2br w:val="nil"/>
                    <w:tr2bl w:val="nil"/>
                  </w:tcBorders>
                  <w:noWrap w:val="0"/>
                  <w:vAlign w:val="center"/>
                </w:tcPr>
                <w:p w14:paraId="6C49B084">
                  <w:pPr>
                    <w:keepNext w:val="0"/>
                    <w:keepLines w:val="0"/>
                    <w:widowControl/>
                    <w:suppressLineNumbers w:val="0"/>
                    <w:spacing w:before="0" w:beforeAutospacing="0" w:after="0" w:afterAutospacing="0"/>
                    <w:ind w:left="0" w:right="0"/>
                    <w:jc w:val="center"/>
                    <w:textAlignment w:val="center"/>
                    <w:rPr>
                      <w:rStyle w:val="79"/>
                      <w:rFonts w:hint="default" w:ascii="Times New Roman" w:hAnsi="Times New Roman" w:cs="Times New Roman"/>
                      <w:color w:val="auto"/>
                      <w:spacing w:val="0"/>
                      <w:position w:val="0"/>
                      <w:u w:val="none" w:color="auto"/>
                      <w:lang w:val="en-US" w:eastAsia="zh-CN" w:bidi="ar"/>
                    </w:rPr>
                  </w:pPr>
                  <w:r>
                    <w:rPr>
                      <w:rFonts w:hint="eastAsia" w:ascii="宋体" w:hAnsi="宋体" w:eastAsia="宋体" w:cs="宋体"/>
                      <w:i w:val="0"/>
                      <w:iCs w:val="0"/>
                      <w:color w:val="000000"/>
                      <w:kern w:val="0"/>
                      <w:sz w:val="21"/>
                      <w:szCs w:val="21"/>
                      <w:u w:val="none"/>
                      <w:lang w:val="en-US" w:eastAsia="zh-CN" w:bidi="ar"/>
                    </w:rPr>
                    <w:t>钝化毛刷、抹布</w:t>
                  </w:r>
                </w:p>
              </w:tc>
              <w:tc>
                <w:tcPr>
                  <w:tcW w:w="2154" w:type="pct"/>
                  <w:tcBorders>
                    <w:tl2br w:val="nil"/>
                    <w:tr2bl w:val="nil"/>
                  </w:tcBorders>
                  <w:noWrap w:val="0"/>
                  <w:vAlign w:val="center"/>
                </w:tcPr>
                <w:p w14:paraId="010764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 </w:t>
                  </w:r>
                </w:p>
              </w:tc>
            </w:tr>
            <w:tr w14:paraId="6BCC9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0955D429">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5F38FBC9">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p>
              </w:tc>
              <w:tc>
                <w:tcPr>
                  <w:tcW w:w="1787" w:type="pct"/>
                  <w:tcBorders>
                    <w:tl2br w:val="nil"/>
                    <w:tr2bl w:val="nil"/>
                  </w:tcBorders>
                  <w:noWrap w:val="0"/>
                  <w:vAlign w:val="center"/>
                </w:tcPr>
                <w:p w14:paraId="46C5E615">
                  <w:pPr>
                    <w:keepNext w:val="0"/>
                    <w:keepLines w:val="0"/>
                    <w:widowControl/>
                    <w:suppressLineNumbers w:val="0"/>
                    <w:spacing w:before="0" w:beforeAutospacing="0" w:after="0" w:afterAutospacing="0"/>
                    <w:ind w:left="0" w:right="0"/>
                    <w:jc w:val="center"/>
                    <w:textAlignment w:val="center"/>
                    <w:rPr>
                      <w:rStyle w:val="79"/>
                      <w:rFonts w:hint="default" w:ascii="Times New Roman" w:hAnsi="Times New Roman" w:cs="Times New Roman"/>
                      <w:color w:val="auto"/>
                      <w:spacing w:val="0"/>
                      <w:position w:val="0"/>
                      <w:u w:val="none" w:color="auto"/>
                      <w:lang w:val="en-US" w:eastAsia="zh-CN" w:bidi="ar"/>
                    </w:rPr>
                  </w:pPr>
                  <w:r>
                    <w:rPr>
                      <w:rFonts w:hint="eastAsia" w:ascii="宋体" w:hAnsi="宋体" w:eastAsia="宋体" w:cs="宋体"/>
                      <w:i w:val="0"/>
                      <w:iCs w:val="0"/>
                      <w:color w:val="000000"/>
                      <w:kern w:val="0"/>
                      <w:sz w:val="21"/>
                      <w:szCs w:val="21"/>
                      <w:u w:val="none"/>
                      <w:lang w:val="en-US" w:eastAsia="zh-CN" w:bidi="ar"/>
                    </w:rPr>
                    <w:t>废液压油</w:t>
                  </w:r>
                </w:p>
              </w:tc>
              <w:tc>
                <w:tcPr>
                  <w:tcW w:w="2154" w:type="pct"/>
                  <w:tcBorders>
                    <w:tl2br w:val="nil"/>
                    <w:tr2bl w:val="nil"/>
                  </w:tcBorders>
                  <w:noWrap w:val="0"/>
                  <w:vAlign w:val="center"/>
                </w:tcPr>
                <w:p w14:paraId="1CF7A2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0.33 </w:t>
                  </w:r>
                </w:p>
              </w:tc>
            </w:tr>
            <w:tr w14:paraId="5F520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33A4365B">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74EB17B0">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p>
              </w:tc>
              <w:tc>
                <w:tcPr>
                  <w:tcW w:w="1787" w:type="pct"/>
                  <w:tcBorders>
                    <w:tl2br w:val="nil"/>
                    <w:tr2bl w:val="nil"/>
                  </w:tcBorders>
                  <w:noWrap w:val="0"/>
                  <w:vAlign w:val="center"/>
                </w:tcPr>
                <w:p w14:paraId="0D303F2C">
                  <w:pPr>
                    <w:keepNext w:val="0"/>
                    <w:keepLines w:val="0"/>
                    <w:widowControl/>
                    <w:suppressLineNumbers w:val="0"/>
                    <w:spacing w:before="0" w:beforeAutospacing="0" w:after="0" w:afterAutospacing="0"/>
                    <w:ind w:left="0" w:right="0"/>
                    <w:jc w:val="center"/>
                    <w:textAlignment w:val="center"/>
                    <w:rPr>
                      <w:rStyle w:val="79"/>
                      <w:rFonts w:hint="default" w:ascii="Times New Roman" w:hAnsi="Times New Roman" w:cs="Times New Roman"/>
                      <w:color w:val="auto"/>
                      <w:spacing w:val="0"/>
                      <w:position w:val="0"/>
                      <w:u w:val="none" w:color="auto"/>
                      <w:lang w:val="en-US" w:eastAsia="zh-CN" w:bidi="ar"/>
                    </w:rPr>
                  </w:pPr>
                  <w:r>
                    <w:rPr>
                      <w:rFonts w:hint="eastAsia" w:ascii="宋体" w:hAnsi="宋体" w:eastAsia="宋体" w:cs="宋体"/>
                      <w:i w:val="0"/>
                      <w:iCs w:val="0"/>
                      <w:color w:val="000000"/>
                      <w:kern w:val="0"/>
                      <w:sz w:val="21"/>
                      <w:szCs w:val="21"/>
                      <w:u w:val="none"/>
                      <w:lang w:val="en-US" w:eastAsia="zh-CN" w:bidi="ar"/>
                    </w:rPr>
                    <w:t>废冷却液</w:t>
                  </w:r>
                </w:p>
              </w:tc>
              <w:tc>
                <w:tcPr>
                  <w:tcW w:w="2154" w:type="pct"/>
                  <w:tcBorders>
                    <w:tl2br w:val="nil"/>
                    <w:tr2bl w:val="nil"/>
                  </w:tcBorders>
                  <w:noWrap w:val="0"/>
                  <w:vAlign w:val="center"/>
                </w:tcPr>
                <w:p w14:paraId="3DCE11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0.13 </w:t>
                  </w:r>
                </w:p>
              </w:tc>
            </w:tr>
            <w:tr w14:paraId="29E38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51A501AE">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21B167F1">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p>
              </w:tc>
              <w:tc>
                <w:tcPr>
                  <w:tcW w:w="1787" w:type="pct"/>
                  <w:tcBorders>
                    <w:tl2br w:val="nil"/>
                    <w:tr2bl w:val="nil"/>
                  </w:tcBorders>
                  <w:noWrap w:val="0"/>
                  <w:vAlign w:val="center"/>
                </w:tcPr>
                <w:p w14:paraId="01690E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废润滑油</w:t>
                  </w:r>
                </w:p>
              </w:tc>
              <w:tc>
                <w:tcPr>
                  <w:tcW w:w="2154" w:type="pct"/>
                  <w:tcBorders>
                    <w:tl2br w:val="nil"/>
                    <w:tr2bl w:val="nil"/>
                  </w:tcBorders>
                  <w:noWrap w:val="0"/>
                  <w:vAlign w:val="center"/>
                </w:tcPr>
                <w:p w14:paraId="5EC346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 </w:t>
                  </w:r>
                </w:p>
              </w:tc>
            </w:tr>
            <w:tr w14:paraId="30E37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5F406173">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0BCFDBB9">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p>
              </w:tc>
              <w:tc>
                <w:tcPr>
                  <w:tcW w:w="1787" w:type="pct"/>
                  <w:tcBorders>
                    <w:tl2br w:val="nil"/>
                    <w:tr2bl w:val="nil"/>
                  </w:tcBorders>
                  <w:noWrap w:val="0"/>
                  <w:vAlign w:val="center"/>
                </w:tcPr>
                <w:p w14:paraId="589826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废油抹布及手套</w:t>
                  </w:r>
                </w:p>
              </w:tc>
              <w:tc>
                <w:tcPr>
                  <w:tcW w:w="2154" w:type="pct"/>
                  <w:tcBorders>
                    <w:tl2br w:val="nil"/>
                    <w:tr2bl w:val="nil"/>
                  </w:tcBorders>
                  <w:noWrap w:val="0"/>
                  <w:vAlign w:val="center"/>
                </w:tcPr>
                <w:p w14:paraId="20227C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0.007 </w:t>
                  </w:r>
                </w:p>
              </w:tc>
            </w:tr>
            <w:tr w14:paraId="39525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9" w:type="pct"/>
                  <w:vMerge w:val="continue"/>
                  <w:tcBorders>
                    <w:tl2br w:val="nil"/>
                    <w:tr2bl w:val="nil"/>
                  </w:tcBorders>
                  <w:noWrap w:val="0"/>
                  <w:vAlign w:val="center"/>
                </w:tcPr>
                <w:p w14:paraId="52E162EA">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cs="Times New Roman"/>
                      <w:color w:val="auto"/>
                      <w:spacing w:val="0"/>
                      <w:position w:val="0"/>
                      <w:sz w:val="21"/>
                      <w:szCs w:val="21"/>
                      <w:highlight w:val="none"/>
                      <w:u w:val="none" w:color="auto"/>
                      <w:lang w:eastAsia="zh-CN"/>
                    </w:rPr>
                  </w:pPr>
                </w:p>
              </w:tc>
              <w:tc>
                <w:tcPr>
                  <w:tcW w:w="488" w:type="pct"/>
                  <w:vMerge w:val="continue"/>
                  <w:tcBorders>
                    <w:tl2br w:val="nil"/>
                    <w:tr2bl w:val="nil"/>
                  </w:tcBorders>
                  <w:noWrap w:val="0"/>
                  <w:vAlign w:val="center"/>
                </w:tcPr>
                <w:p w14:paraId="7901DBBC">
                  <w:pPr>
                    <w:pStyle w:val="77"/>
                    <w:keepNext w:val="0"/>
                    <w:keepLines w:val="0"/>
                    <w:pageBreakBefore w:val="0"/>
                    <w:suppressLineNumbers w:val="0"/>
                    <w:kinsoku/>
                    <w:wordWrap/>
                    <w:overflowPunct/>
                    <w:topLinePunct w:val="0"/>
                    <w:autoSpaceDE/>
                    <w:autoSpaceDN/>
                    <w:bidi w:val="0"/>
                    <w:snapToGrid w:val="0"/>
                    <w:spacing w:before="0" w:beforeLines="0" w:beforeAutospacing="0" w:after="0" w:afterLines="0" w:afterAutospacing="0" w:line="240" w:lineRule="auto"/>
                    <w:ind w:left="0" w:leftChars="0" w:right="0" w:rightChars="0"/>
                    <w:jc w:val="center"/>
                    <w:outlineLvl w:val="9"/>
                    <w:rPr>
                      <w:rFonts w:hint="default" w:ascii="Times New Roman" w:hAnsi="Times New Roman" w:eastAsia="宋体" w:cs="Times New Roman"/>
                      <w:color w:val="auto"/>
                      <w:spacing w:val="0"/>
                      <w:position w:val="0"/>
                      <w:sz w:val="21"/>
                      <w:szCs w:val="21"/>
                      <w:highlight w:val="none"/>
                      <w:u w:val="none" w:color="auto"/>
                      <w:lang w:eastAsia="zh-CN"/>
                    </w:rPr>
                  </w:pPr>
                </w:p>
              </w:tc>
              <w:tc>
                <w:tcPr>
                  <w:tcW w:w="1787" w:type="pct"/>
                  <w:tcBorders>
                    <w:tl2br w:val="nil"/>
                    <w:tr2bl w:val="nil"/>
                  </w:tcBorders>
                  <w:noWrap w:val="0"/>
                  <w:vAlign w:val="center"/>
                </w:tcPr>
                <w:p w14:paraId="51F831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油类包装桶</w:t>
                  </w:r>
                </w:p>
              </w:tc>
              <w:tc>
                <w:tcPr>
                  <w:tcW w:w="2154" w:type="pct"/>
                  <w:tcBorders>
                    <w:tl2br w:val="nil"/>
                    <w:tr2bl w:val="nil"/>
                  </w:tcBorders>
                  <w:noWrap w:val="0"/>
                  <w:vAlign w:val="center"/>
                </w:tcPr>
                <w:p w14:paraId="7A521E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0.007 </w:t>
                  </w:r>
                </w:p>
              </w:tc>
            </w:tr>
          </w:tbl>
          <w:p w14:paraId="681CD081">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000000" w:themeColor="text1"/>
                <w:spacing w:val="0"/>
                <w:position w:val="0"/>
                <w:sz w:val="24"/>
                <w:highlight w:val="none"/>
                <w:u w:val="none" w:color="auto"/>
                <w:lang w:val="en-US" w:eastAsia="zh-CN"/>
                <w14:textFill>
                  <w14:solidFill>
                    <w14:schemeClr w14:val="tx1"/>
                  </w14:solidFill>
                </w14:textFill>
              </w:rPr>
            </w:pPr>
            <w:r>
              <w:rPr>
                <w:rFonts w:hint="eastAsia" w:cs="Times New Roman"/>
                <w:b/>
                <w:bCs/>
                <w:color w:val="000000" w:themeColor="text1"/>
                <w:spacing w:val="0"/>
                <w:position w:val="0"/>
                <w:sz w:val="24"/>
                <w:highlight w:val="none"/>
                <w:u w:val="none" w:color="auto"/>
                <w:lang w:val="en-US" w:eastAsia="zh-CN"/>
                <w14:textFill>
                  <w14:solidFill>
                    <w14:schemeClr w14:val="tx1"/>
                  </w14:solidFill>
                </w14:textFill>
              </w:rPr>
              <w:t>五、</w:t>
            </w:r>
            <w:r>
              <w:rPr>
                <w:rFonts w:hint="default" w:ascii="Times New Roman" w:hAnsi="Times New Roman" w:cs="Times New Roman"/>
                <w:b/>
                <w:bCs/>
                <w:color w:val="000000" w:themeColor="text1"/>
                <w:spacing w:val="0"/>
                <w:position w:val="0"/>
                <w:sz w:val="24"/>
                <w:highlight w:val="none"/>
                <w:u w:val="none" w:color="auto"/>
                <w:lang w:val="en-US" w:eastAsia="zh-CN"/>
                <w14:textFill>
                  <w14:solidFill>
                    <w14:schemeClr w14:val="tx1"/>
                  </w14:solidFill>
                </w14:textFill>
              </w:rPr>
              <w:t>存在的</w:t>
            </w:r>
            <w:r>
              <w:rPr>
                <w:rFonts w:hint="eastAsia" w:cs="Times New Roman"/>
                <w:b/>
                <w:bCs/>
                <w:color w:val="000000" w:themeColor="text1"/>
                <w:spacing w:val="0"/>
                <w:position w:val="0"/>
                <w:sz w:val="24"/>
                <w:highlight w:val="none"/>
                <w:u w:val="none" w:color="auto"/>
                <w:lang w:val="en-US" w:eastAsia="zh-CN"/>
                <w14:textFill>
                  <w14:solidFill>
                    <w14:schemeClr w14:val="tx1"/>
                  </w14:solidFill>
                </w14:textFill>
              </w:rPr>
              <w:t>主要</w:t>
            </w:r>
            <w:r>
              <w:rPr>
                <w:rFonts w:hint="default" w:ascii="Times New Roman" w:hAnsi="Times New Roman" w:cs="Times New Roman"/>
                <w:b/>
                <w:bCs/>
                <w:color w:val="000000" w:themeColor="text1"/>
                <w:spacing w:val="0"/>
                <w:position w:val="0"/>
                <w:sz w:val="24"/>
                <w:highlight w:val="none"/>
                <w:u w:val="none" w:color="auto"/>
                <w:lang w:val="en-US" w:eastAsia="zh-CN"/>
                <w14:textFill>
                  <w14:solidFill>
                    <w14:schemeClr w14:val="tx1"/>
                  </w14:solidFill>
                </w14:textFill>
              </w:rPr>
              <w:t>环境问题及整改措施</w:t>
            </w:r>
          </w:p>
          <w:p w14:paraId="3569714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u w:val="none" w:color="auto"/>
                <w:lang w:eastAsia="zh-CN"/>
              </w:rPr>
            </w:pPr>
            <w:r>
              <w:rPr>
                <w:rFonts w:hint="default" w:ascii="Times New Roman" w:hAnsi="Times New Roman" w:cs="Times New Roman"/>
                <w:color w:val="auto"/>
                <w:sz w:val="24"/>
                <w:szCs w:val="24"/>
                <w:highlight w:val="none"/>
                <w:u w:val="none" w:color="auto"/>
                <w:lang w:val="en-US" w:eastAsia="zh-CN"/>
              </w:rPr>
              <w:t>根据现有工程污染源产排情况分析，现有工程基本能做到废气、废水污染物达标外排，固废处置符合资源化、无害化处理要求，</w:t>
            </w:r>
            <w:r>
              <w:rPr>
                <w:rFonts w:hint="eastAsia" w:ascii="Times New Roman" w:hAnsi="Times New Roman" w:cs="Times New Roman"/>
                <w:color w:val="auto"/>
                <w:sz w:val="24"/>
                <w:szCs w:val="24"/>
                <w:highlight w:val="none"/>
                <w:u w:val="none" w:color="auto"/>
                <w:lang w:val="en-US" w:eastAsia="zh-CN"/>
              </w:rPr>
              <w:t>经</w:t>
            </w:r>
            <w:r>
              <w:rPr>
                <w:rFonts w:hint="default" w:ascii="Times New Roman" w:hAnsi="Times New Roman" w:cs="Times New Roman"/>
                <w:color w:val="auto"/>
                <w:sz w:val="24"/>
                <w:szCs w:val="24"/>
                <w:highlight w:val="none"/>
                <w:u w:val="none" w:color="auto"/>
                <w:lang w:val="en-US" w:eastAsia="zh-CN"/>
              </w:rPr>
              <w:t>现场勘查厂区目前存在以下环境问题</w:t>
            </w:r>
            <w:r>
              <w:rPr>
                <w:rFonts w:hint="eastAsia" w:ascii="Times New Roman" w:hAnsi="Times New Roman" w:cs="Times New Roman"/>
                <w:color w:val="auto"/>
                <w:sz w:val="24"/>
                <w:szCs w:val="24"/>
                <w:highlight w:val="none"/>
                <w:u w:val="none" w:color="auto"/>
                <w:lang w:eastAsia="zh-CN"/>
              </w:rPr>
              <w:t>：</w:t>
            </w:r>
          </w:p>
          <w:p w14:paraId="0BB30CA7">
            <w:pPr>
              <w:pStyle w:val="13"/>
              <w:keepNext w:val="0"/>
              <w:keepLines w:val="0"/>
              <w:suppressLineNumbers w:val="0"/>
              <w:spacing w:before="0" w:beforeAutospacing="0" w:after="0" w:afterAutospacing="0" w:line="360" w:lineRule="auto"/>
              <w:ind w:left="0" w:right="0"/>
              <w:rPr>
                <w:rFonts w:hint="default"/>
                <w:sz w:val="24"/>
                <w:szCs w:val="24"/>
              </w:rPr>
            </w:pPr>
            <w:r>
              <w:rPr>
                <w:rFonts w:hint="default" w:ascii="Times New Roman" w:hAnsi="Times New Roman" w:cs="Times New Roman"/>
                <w:color w:val="auto"/>
                <w:sz w:val="24"/>
                <w:szCs w:val="24"/>
                <w:highlight w:val="none"/>
                <w:u w:val="none" w:color="auto"/>
                <w:lang w:val="en-US" w:eastAsia="zh-CN"/>
              </w:rPr>
              <w:t>①</w:t>
            </w:r>
            <w:r>
              <w:rPr>
                <w:rFonts w:hint="default" w:ascii="Times New Roman" w:hAnsi="Times New Roman" w:cs="Times New Roman"/>
                <w:color w:val="auto"/>
                <w:sz w:val="24"/>
                <w:szCs w:val="24"/>
                <w:highlight w:val="none"/>
                <w:u w:val="none" w:color="auto"/>
                <w:lang w:eastAsia="zh-CN"/>
              </w:rPr>
              <w:t>现有危废暂存间设置在</w:t>
            </w:r>
            <w:r>
              <w:rPr>
                <w:rFonts w:hint="eastAsia" w:ascii="Times New Roman" w:hAnsi="Times New Roman" w:cs="Times New Roman"/>
                <w:color w:val="auto"/>
                <w:sz w:val="24"/>
                <w:szCs w:val="24"/>
                <w:highlight w:val="none"/>
                <w:u w:val="none" w:color="auto"/>
                <w:lang w:val="en-US" w:eastAsia="zh-CN"/>
              </w:rPr>
              <w:t>厂房内</w:t>
            </w:r>
            <w:r>
              <w:rPr>
                <w:rFonts w:hint="default" w:ascii="Times New Roman" w:hAnsi="Times New Roman" w:cs="Times New Roman"/>
                <w:color w:val="auto"/>
                <w:sz w:val="24"/>
                <w:szCs w:val="24"/>
                <w:highlight w:val="none"/>
                <w:u w:val="none" w:color="auto"/>
                <w:lang w:eastAsia="zh-CN"/>
              </w:rPr>
              <w:t>，</w:t>
            </w:r>
            <w:r>
              <w:rPr>
                <w:rFonts w:hint="eastAsia" w:ascii="Times New Roman" w:hAnsi="Times New Roman" w:cs="Times New Roman"/>
                <w:color w:val="auto"/>
                <w:sz w:val="24"/>
                <w:szCs w:val="24"/>
                <w:highlight w:val="none"/>
                <w:u w:val="none" w:color="auto"/>
                <w:lang w:eastAsia="zh-CN"/>
              </w:rPr>
              <w:t>采取地面</w:t>
            </w:r>
            <w:r>
              <w:rPr>
                <w:rFonts w:hint="default"/>
                <w:sz w:val="24"/>
                <w:szCs w:val="24"/>
                <w:lang w:val="en-US" w:eastAsia="zh-CN"/>
              </w:rPr>
              <w:t>硬化</w:t>
            </w:r>
            <w:r>
              <w:rPr>
                <w:rFonts w:hint="default" w:ascii="Times New Roman" w:hAnsi="Times New Roman" w:cs="Times New Roman"/>
                <w:color w:val="auto"/>
                <w:sz w:val="24"/>
                <w:szCs w:val="24"/>
                <w:highlight w:val="none"/>
                <w:u w:val="none" w:color="auto"/>
                <w:lang w:eastAsia="zh-CN"/>
              </w:rPr>
              <w:t>防渗措施，但</w:t>
            </w:r>
            <w:r>
              <w:rPr>
                <w:rFonts w:hint="eastAsia" w:ascii="Times New Roman" w:hAnsi="Times New Roman" w:cs="Times New Roman"/>
                <w:color w:val="auto"/>
                <w:sz w:val="24"/>
                <w:szCs w:val="24"/>
                <w:highlight w:val="none"/>
                <w:u w:val="none" w:color="auto"/>
                <w:lang w:eastAsia="zh-CN"/>
              </w:rPr>
              <w:t>防渗不符合要求且</w:t>
            </w:r>
            <w:r>
              <w:rPr>
                <w:rFonts w:hint="default" w:ascii="Times New Roman" w:hAnsi="Times New Roman" w:cs="Times New Roman"/>
                <w:color w:val="auto"/>
                <w:sz w:val="24"/>
                <w:szCs w:val="24"/>
                <w:highlight w:val="none"/>
                <w:u w:val="none" w:color="auto"/>
                <w:lang w:eastAsia="zh-CN"/>
              </w:rPr>
              <w:t>未设置裙脚</w:t>
            </w:r>
            <w:r>
              <w:rPr>
                <w:rFonts w:hint="eastAsia" w:ascii="Times New Roman" w:hAnsi="Times New Roman" w:cs="Times New Roman"/>
                <w:color w:val="auto"/>
                <w:sz w:val="24"/>
                <w:szCs w:val="24"/>
                <w:highlight w:val="none"/>
                <w:u w:val="none" w:color="auto"/>
                <w:lang w:eastAsia="zh-CN"/>
              </w:rPr>
              <w:t>和收集池</w:t>
            </w:r>
            <w:r>
              <w:rPr>
                <w:rFonts w:hint="eastAsia"/>
                <w:sz w:val="24"/>
                <w:szCs w:val="24"/>
                <w:lang w:val="en-US" w:eastAsia="zh-CN"/>
              </w:rPr>
              <w:t>；</w:t>
            </w:r>
            <w:r>
              <w:rPr>
                <w:rFonts w:hint="default"/>
                <w:sz w:val="24"/>
                <w:szCs w:val="24"/>
                <w:lang w:val="en-US" w:eastAsia="zh-CN"/>
              </w:rPr>
              <w:t xml:space="preserve"> </w:t>
            </w:r>
          </w:p>
          <w:p w14:paraId="2111E3E4">
            <w:pPr>
              <w:keepNext w:val="0"/>
              <w:keepLines w:val="0"/>
              <w:widowControl/>
              <w:suppressLineNumbers w:val="0"/>
              <w:spacing w:before="0" w:beforeAutospacing="0" w:after="0" w:afterAutospacing="0" w:line="360" w:lineRule="auto"/>
              <w:ind w:left="0" w:right="0" w:firstLine="480" w:firstLineChars="200"/>
              <w:jc w:val="left"/>
              <w:rPr>
                <w:rFonts w:hint="eastAsia"/>
                <w:sz w:val="24"/>
                <w:szCs w:val="24"/>
                <w:lang w:val="en-US" w:eastAsia="zh-CN"/>
              </w:rPr>
            </w:pPr>
            <w:r>
              <w:rPr>
                <w:rFonts w:hint="default" w:ascii="Times New Roman" w:hAnsi="Times New Roman" w:cs="Times New Roman"/>
                <w:color w:val="auto"/>
                <w:sz w:val="24"/>
                <w:szCs w:val="24"/>
                <w:highlight w:val="none"/>
                <w:u w:val="none" w:color="auto"/>
                <w:lang w:val="en-US" w:eastAsia="zh-CN"/>
              </w:rPr>
              <w:t>②</w:t>
            </w:r>
            <w:r>
              <w:rPr>
                <w:rFonts w:hint="eastAsia" w:ascii="Times New Roman" w:hAnsi="Times New Roman" w:cs="Times New Roman"/>
                <w:color w:val="auto"/>
                <w:sz w:val="24"/>
                <w:szCs w:val="24"/>
                <w:highlight w:val="none"/>
                <w:u w:val="none" w:color="auto"/>
                <w:lang w:val="en-US" w:eastAsia="zh-CN"/>
              </w:rPr>
              <w:t>现有废气排放口、废水排放口未设置标识牌</w:t>
            </w:r>
            <w:r>
              <w:rPr>
                <w:rFonts w:hint="eastAsia"/>
                <w:sz w:val="24"/>
                <w:szCs w:val="24"/>
                <w:lang w:val="en-US" w:eastAsia="zh-CN"/>
              </w:rPr>
              <w:t>；</w:t>
            </w:r>
          </w:p>
          <w:p w14:paraId="64160059">
            <w:pPr>
              <w:pStyle w:val="43"/>
              <w:spacing w:line="360" w:lineRule="auto"/>
              <w:ind w:firstLine="480" w:firstLineChars="200"/>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③</w:t>
            </w:r>
            <w:r>
              <w:rPr>
                <w:rFonts w:hint="eastAsia" w:cs="Times New Roman"/>
                <w:bCs/>
                <w:color w:val="auto"/>
                <w:w w:val="100"/>
                <w:sz w:val="24"/>
                <w:szCs w:val="24"/>
                <w:highlight w:val="none"/>
                <w:u w:val="none" w:color="auto"/>
                <w:lang w:val="en-US" w:eastAsia="zh-CN"/>
              </w:rPr>
              <w:t>各项环境管理制度制订不完善。</w:t>
            </w:r>
          </w:p>
          <w:p w14:paraId="6EE1D2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u w:val="none" w:color="auto"/>
                <w:lang w:eastAsia="zh-CN"/>
              </w:rPr>
            </w:pPr>
            <w:r>
              <w:rPr>
                <w:rFonts w:hint="default" w:ascii="Times New Roman" w:hAnsi="Times New Roman" w:cs="Times New Roman"/>
                <w:color w:val="auto"/>
                <w:sz w:val="24"/>
                <w:szCs w:val="24"/>
                <w:highlight w:val="none"/>
                <w:u w:val="none" w:color="auto"/>
                <w:lang w:val="en-US" w:eastAsia="zh-CN"/>
              </w:rPr>
              <w:t xml:space="preserve">本次评价按照现行环境管理要求提出以下整改措施： </w:t>
            </w:r>
          </w:p>
          <w:p w14:paraId="12CAF80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①</w:t>
            </w:r>
            <w:r>
              <w:rPr>
                <w:rFonts w:hint="default" w:ascii="Times New Roman" w:hAnsi="Times New Roman" w:cs="Times New Roman"/>
                <w:color w:val="auto"/>
                <w:sz w:val="24"/>
                <w:szCs w:val="24"/>
                <w:highlight w:val="none"/>
                <w:u w:val="none" w:color="auto"/>
                <w:lang w:eastAsia="zh-CN"/>
              </w:rPr>
              <w:t>对危废暂存间进行整改，</w:t>
            </w:r>
            <w:r>
              <w:rPr>
                <w:rFonts w:hint="eastAsia" w:ascii="Times New Roman" w:hAnsi="Times New Roman" w:cs="Times New Roman"/>
                <w:color w:val="auto"/>
                <w:sz w:val="24"/>
                <w:szCs w:val="24"/>
                <w:highlight w:val="none"/>
                <w:u w:val="none" w:color="auto"/>
                <w:lang w:eastAsia="zh-CN"/>
              </w:rPr>
              <w:t>按新的平面布置将现有</w:t>
            </w:r>
            <w:r>
              <w:rPr>
                <w:rFonts w:hint="default" w:ascii="Times New Roman" w:hAnsi="Times New Roman" w:cs="Times New Roman"/>
                <w:color w:val="auto"/>
                <w:sz w:val="24"/>
                <w:szCs w:val="24"/>
                <w:highlight w:val="none"/>
                <w:u w:val="none" w:color="auto"/>
                <w:lang w:eastAsia="zh-CN"/>
              </w:rPr>
              <w:t>危废暂存间</w:t>
            </w:r>
            <w:r>
              <w:rPr>
                <w:rFonts w:hint="eastAsia" w:ascii="Times New Roman" w:hAnsi="Times New Roman" w:cs="Times New Roman"/>
                <w:color w:val="auto"/>
                <w:sz w:val="24"/>
                <w:szCs w:val="24"/>
                <w:highlight w:val="none"/>
                <w:u w:val="none" w:color="auto"/>
                <w:lang w:eastAsia="zh-CN"/>
              </w:rPr>
              <w:t>调整至厂房南侧，并严格</w:t>
            </w:r>
            <w:r>
              <w:rPr>
                <w:rFonts w:hint="default" w:ascii="Times New Roman" w:hAnsi="Times New Roman" w:cs="Times New Roman"/>
                <w:color w:val="auto"/>
                <w:sz w:val="24"/>
                <w:szCs w:val="24"/>
                <w:highlight w:val="none"/>
                <w:u w:val="none" w:color="auto"/>
                <w:lang w:eastAsia="zh-CN"/>
              </w:rPr>
              <w:t>按《危险废物贮存污染控制标准》（GB 18597-20</w:t>
            </w:r>
            <w:r>
              <w:rPr>
                <w:rFonts w:hint="eastAsia" w:ascii="Times New Roman" w:hAnsi="Times New Roman" w:cs="Times New Roman"/>
                <w:color w:val="auto"/>
                <w:sz w:val="24"/>
                <w:szCs w:val="24"/>
                <w:highlight w:val="none"/>
                <w:u w:val="none" w:color="auto"/>
                <w:lang w:val="en-US" w:eastAsia="zh-CN"/>
              </w:rPr>
              <w:t>23</w:t>
            </w:r>
            <w:r>
              <w:rPr>
                <w:rFonts w:hint="default" w:ascii="Times New Roman" w:hAnsi="Times New Roman" w:cs="Times New Roman"/>
                <w:color w:val="auto"/>
                <w:sz w:val="24"/>
                <w:szCs w:val="24"/>
                <w:highlight w:val="none"/>
                <w:u w:val="none" w:color="auto"/>
                <w:lang w:eastAsia="zh-CN"/>
              </w:rPr>
              <w:t>）</w:t>
            </w:r>
            <w:r>
              <w:rPr>
                <w:rFonts w:hint="eastAsia" w:ascii="Times New Roman" w:hAnsi="Times New Roman" w:cs="Times New Roman"/>
                <w:color w:val="auto"/>
                <w:sz w:val="24"/>
                <w:szCs w:val="24"/>
                <w:highlight w:val="none"/>
                <w:u w:val="none" w:color="auto"/>
                <w:lang w:eastAsia="zh-CN"/>
              </w:rPr>
              <w:t>中</w:t>
            </w:r>
            <w:r>
              <w:rPr>
                <w:rFonts w:hint="default" w:ascii="Times New Roman" w:hAnsi="Times New Roman" w:cs="Times New Roman"/>
                <w:color w:val="auto"/>
                <w:sz w:val="24"/>
                <w:szCs w:val="24"/>
                <w:highlight w:val="none"/>
                <w:u w:val="none" w:color="auto"/>
                <w:lang w:eastAsia="zh-CN"/>
              </w:rPr>
              <w:t>要求进行整改，</w:t>
            </w:r>
            <w:r>
              <w:rPr>
                <w:rFonts w:hint="eastAsia" w:ascii="Times New Roman" w:hAnsi="Times New Roman" w:cs="Times New Roman"/>
                <w:color w:val="auto"/>
                <w:sz w:val="24"/>
                <w:szCs w:val="24"/>
                <w:highlight w:val="none"/>
                <w:u w:val="none" w:color="auto"/>
                <w:lang w:eastAsia="zh-CN"/>
              </w:rPr>
              <w:t>如设置标识牌，各类危险废物分类收集分区储存，地面与裙脚采取严格防渗措施，四周设置截流沟等，进一步规范建设危废</w:t>
            </w:r>
            <w:r>
              <w:rPr>
                <w:rFonts w:hint="default" w:ascii="Times New Roman" w:hAnsi="Times New Roman" w:cs="Times New Roman"/>
                <w:color w:val="auto"/>
                <w:sz w:val="24"/>
                <w:szCs w:val="24"/>
                <w:highlight w:val="none"/>
                <w:u w:val="none" w:color="auto"/>
                <w:lang w:eastAsia="zh-CN"/>
              </w:rPr>
              <w:t>暂存间；</w:t>
            </w:r>
          </w:p>
          <w:p w14:paraId="031006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u w:val="none" w:color="auto"/>
                <w:lang w:val="en-US" w:eastAsia="zh-CN"/>
              </w:rPr>
            </w:pPr>
            <w:r>
              <w:rPr>
                <w:rFonts w:hint="default" w:ascii="Times New Roman" w:hAnsi="Times New Roman" w:cs="Times New Roman"/>
                <w:color w:val="auto"/>
                <w:sz w:val="24"/>
                <w:szCs w:val="24"/>
                <w:highlight w:val="none"/>
                <w:u w:val="none" w:color="auto"/>
                <w:lang w:val="en-US" w:eastAsia="zh-CN"/>
              </w:rPr>
              <w:t>②</w:t>
            </w:r>
            <w:r>
              <w:rPr>
                <w:rFonts w:hint="eastAsia" w:ascii="Times New Roman" w:hAnsi="Times New Roman" w:cs="Times New Roman"/>
                <w:color w:val="auto"/>
                <w:sz w:val="24"/>
                <w:szCs w:val="24"/>
                <w:highlight w:val="none"/>
                <w:u w:val="none" w:color="auto"/>
                <w:lang w:val="en-US" w:eastAsia="zh-CN"/>
              </w:rPr>
              <w:t>按排污口规范化设置相关要求，对现有废气排放口、废水排放口等设置标识牌</w:t>
            </w:r>
            <w:r>
              <w:rPr>
                <w:rFonts w:hint="eastAsia"/>
                <w:sz w:val="24"/>
                <w:szCs w:val="24"/>
                <w:lang w:val="en-US" w:eastAsia="zh-CN"/>
              </w:rPr>
              <w:t>；</w:t>
            </w:r>
          </w:p>
          <w:p w14:paraId="7BBCF597">
            <w:pPr>
              <w:pStyle w:val="43"/>
              <w:spacing w:line="360" w:lineRule="auto"/>
              <w:ind w:firstLine="480" w:firstLineChars="200"/>
              <w:rPr>
                <w:rFonts w:hint="eastAsia" w:cs="Times New Roman"/>
                <w:bCs/>
                <w:color w:val="auto"/>
                <w:w w:val="100"/>
                <w:sz w:val="24"/>
                <w:szCs w:val="24"/>
                <w:highlight w:val="none"/>
                <w:u w:val="none" w:color="auto"/>
                <w:lang w:val="en-US" w:eastAsia="zh-CN"/>
              </w:rPr>
            </w:pPr>
            <w:r>
              <w:rPr>
                <w:rFonts w:hint="eastAsia" w:ascii="Times New Roman" w:hAnsi="Times New Roman" w:eastAsia="宋体" w:cs="Times New Roman"/>
                <w:color w:val="auto"/>
                <w:kern w:val="2"/>
                <w:sz w:val="24"/>
                <w:szCs w:val="24"/>
                <w:highlight w:val="none"/>
                <w:u w:val="none" w:color="auto"/>
                <w:lang w:val="en-US" w:eastAsia="zh-CN" w:bidi="ar-SA"/>
              </w:rPr>
              <w:t>③</w:t>
            </w:r>
            <w:r>
              <w:rPr>
                <w:rFonts w:hint="eastAsia" w:cs="Times New Roman"/>
                <w:bCs/>
                <w:color w:val="auto"/>
                <w:w w:val="100"/>
                <w:sz w:val="24"/>
                <w:szCs w:val="24"/>
                <w:highlight w:val="none"/>
                <w:u w:val="none" w:color="auto"/>
                <w:lang w:val="en-US" w:eastAsia="zh-CN"/>
              </w:rPr>
              <w:t>进一步落实各项环境管理制度。</w:t>
            </w:r>
            <w:r>
              <w:rPr>
                <w:rFonts w:hint="default" w:ascii="Times New Roman" w:hAnsi="Times New Roman" w:eastAsia="宋体" w:cs="Times New Roman"/>
                <w:bCs/>
                <w:color w:val="auto"/>
                <w:w w:val="100"/>
                <w:sz w:val="24"/>
                <w:szCs w:val="24"/>
                <w:highlight w:val="none"/>
                <w:u w:val="none" w:color="auto"/>
                <w:lang w:val="en-US" w:eastAsia="zh-CN"/>
              </w:rPr>
              <w:t>编制</w:t>
            </w:r>
            <w:r>
              <w:rPr>
                <w:rFonts w:hint="eastAsia" w:ascii="Times New Roman" w:hAnsi="Times New Roman" w:eastAsia="宋体" w:cs="Times New Roman"/>
                <w:bCs/>
                <w:color w:val="auto"/>
                <w:w w:val="100"/>
                <w:sz w:val="24"/>
                <w:szCs w:val="24"/>
                <w:highlight w:val="none"/>
                <w:u w:val="none" w:color="auto"/>
                <w:lang w:val="en-US" w:eastAsia="zh-CN"/>
              </w:rPr>
              <w:t>完善</w:t>
            </w:r>
            <w:r>
              <w:rPr>
                <w:rFonts w:hint="default" w:ascii="Times New Roman" w:hAnsi="Times New Roman" w:eastAsia="宋体" w:cs="Times New Roman"/>
                <w:bCs/>
                <w:color w:val="auto"/>
                <w:w w:val="100"/>
                <w:sz w:val="24"/>
                <w:szCs w:val="24"/>
                <w:highlight w:val="none"/>
                <w:u w:val="none" w:color="auto"/>
                <w:lang w:val="en-US" w:eastAsia="zh-CN"/>
              </w:rPr>
              <w:t>主要生产设施和污染防治设施的环境管理台账</w:t>
            </w:r>
            <w:r>
              <w:rPr>
                <w:rFonts w:hint="eastAsia" w:ascii="Times New Roman" w:hAnsi="Times New Roman" w:eastAsia="宋体" w:cs="Times New Roman"/>
                <w:bCs/>
                <w:color w:val="auto"/>
                <w:w w:val="100"/>
                <w:sz w:val="24"/>
                <w:szCs w:val="24"/>
                <w:highlight w:val="none"/>
                <w:u w:val="none" w:color="auto"/>
                <w:lang w:val="en-US" w:eastAsia="zh-CN"/>
              </w:rPr>
              <w:t>；完善环保设施巡检及维修保养制度，</w:t>
            </w:r>
            <w:r>
              <w:rPr>
                <w:rFonts w:hint="eastAsia" w:cs="Times New Roman"/>
                <w:bCs/>
                <w:color w:val="auto"/>
                <w:w w:val="100"/>
                <w:sz w:val="24"/>
                <w:szCs w:val="24"/>
                <w:highlight w:val="none"/>
                <w:u w:val="none" w:color="auto"/>
                <w:lang w:val="en-US" w:eastAsia="zh-CN"/>
              </w:rPr>
              <w:t>定期对环保设施进行检修，及时更换滤筒及吸附材料，以确保各环保设施处理效率、废气稳定达标排放；加强各类固废管理，完善固废台账。</w:t>
            </w:r>
          </w:p>
          <w:p w14:paraId="4DBEB4F5">
            <w:pPr>
              <w:pStyle w:val="43"/>
              <w:spacing w:line="360" w:lineRule="auto"/>
              <w:ind w:firstLine="480" w:firstLineChars="200"/>
              <w:rPr>
                <w:rFonts w:hint="default" w:cs="Times New Roman"/>
                <w:bCs/>
                <w:color w:val="auto"/>
                <w:w w:val="100"/>
                <w:sz w:val="24"/>
                <w:szCs w:val="24"/>
                <w:highlight w:val="none"/>
                <w:u w:val="none" w:color="auto"/>
                <w:lang w:val="en-US" w:eastAsia="zh-CN"/>
              </w:rPr>
            </w:pPr>
            <w:r>
              <w:rPr>
                <w:rFonts w:hint="eastAsia" w:cs="Times New Roman"/>
                <w:bCs/>
                <w:color w:val="auto"/>
                <w:w w:val="100"/>
                <w:sz w:val="24"/>
                <w:szCs w:val="24"/>
                <w:highlight w:val="none"/>
                <w:u w:val="none" w:color="auto"/>
                <w:lang w:val="en-US" w:eastAsia="zh-CN"/>
              </w:rPr>
              <w:t xml:space="preserve"> </w:t>
            </w:r>
          </w:p>
          <w:p w14:paraId="662D528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color="auto"/>
                <w:lang w:val="en-US" w:eastAsia="zh-CN"/>
              </w:rPr>
            </w:pPr>
          </w:p>
          <w:p w14:paraId="616BC1A8">
            <w:pPr>
              <w:keepNext w:val="0"/>
              <w:keepLines w:val="0"/>
              <w:suppressLineNumbers w:val="0"/>
              <w:spacing w:before="0" w:beforeAutospacing="0" w:after="0" w:afterAutospacing="0"/>
              <w:ind w:left="0" w:right="0"/>
              <w:rPr>
                <w:rFonts w:hint="default"/>
                <w:lang w:val="en-US" w:eastAsia="zh-CN"/>
              </w:rPr>
            </w:pPr>
          </w:p>
        </w:tc>
      </w:tr>
    </w:tbl>
    <w:p w14:paraId="64C9D173">
      <w:pPr>
        <w:pStyle w:val="7"/>
        <w:bidi w:val="0"/>
        <w:jc w:val="both"/>
        <w:outlineLvl w:val="9"/>
        <w:rPr>
          <w:rFonts w:hint="default" w:ascii="Times New Roman" w:hAnsi="Times New Roman" w:eastAsia="宋体" w:cs="Times New Roman"/>
          <w:color w:val="000000" w:themeColor="text1"/>
          <w:spacing w:val="0"/>
          <w:position w:val="0"/>
          <w:u w:val="none" w:color="auto"/>
          <w14:textFill>
            <w14:solidFill>
              <w14:schemeClr w14:val="tx1"/>
            </w14:solidFill>
          </w14:textFill>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CF5E5E8">
      <w:pPr>
        <w:pStyle w:val="6"/>
        <w:bidi w:val="0"/>
        <w:rPr>
          <w:rFonts w:hint="default"/>
          <w:color w:val="auto"/>
          <w:lang w:val="en-US" w:eastAsia="zh-CN"/>
        </w:rPr>
      </w:pPr>
      <w:bookmarkStart w:id="11" w:name="_Toc1288"/>
      <w:r>
        <w:rPr>
          <w:rFonts w:hint="default"/>
        </w:rPr>
        <w:t>三、区域环境质量现状、环境保护目标及评价标</w:t>
      </w:r>
      <w:r>
        <w:rPr>
          <w:rFonts w:hint="default"/>
          <w:color w:val="auto"/>
        </w:rPr>
        <w:t>准</w:t>
      </w:r>
      <w:bookmarkEnd w:id="11"/>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1"/>
        <w:gridCol w:w="8421"/>
      </w:tblGrid>
      <w:tr w14:paraId="50C21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444" w:type="pct"/>
            <w:noWrap w:val="0"/>
            <w:vAlign w:val="center"/>
          </w:tcPr>
          <w:p w14:paraId="2DBFB5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4"/>
                <w:szCs w:val="24"/>
                <w:u w:val="none" w:color="auto"/>
              </w:rPr>
            </w:pPr>
            <w:r>
              <w:rPr>
                <w:rFonts w:hint="default" w:ascii="Times New Roman" w:hAnsi="Times New Roman" w:eastAsia="宋体" w:cs="Times New Roman"/>
                <w:color w:val="auto"/>
                <w:spacing w:val="0"/>
                <w:kern w:val="0"/>
                <w:position w:val="0"/>
                <w:sz w:val="24"/>
                <w:szCs w:val="24"/>
                <w:u w:val="none" w:color="auto"/>
              </w:rPr>
              <w:t>区域</w:t>
            </w:r>
          </w:p>
          <w:p w14:paraId="729D1E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4"/>
                <w:szCs w:val="24"/>
                <w:u w:val="none" w:color="auto"/>
              </w:rPr>
            </w:pPr>
            <w:r>
              <w:rPr>
                <w:rFonts w:hint="default" w:ascii="Times New Roman" w:hAnsi="Times New Roman" w:eastAsia="宋体" w:cs="Times New Roman"/>
                <w:color w:val="auto"/>
                <w:spacing w:val="0"/>
                <w:kern w:val="0"/>
                <w:position w:val="0"/>
                <w:sz w:val="24"/>
                <w:szCs w:val="24"/>
                <w:u w:val="none" w:color="auto"/>
              </w:rPr>
              <w:t>环境</w:t>
            </w:r>
          </w:p>
          <w:p w14:paraId="30BED3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4"/>
                <w:szCs w:val="24"/>
                <w:u w:val="none" w:color="auto"/>
              </w:rPr>
            </w:pPr>
            <w:r>
              <w:rPr>
                <w:rFonts w:hint="default" w:ascii="Times New Roman" w:hAnsi="Times New Roman" w:eastAsia="宋体" w:cs="Times New Roman"/>
                <w:color w:val="auto"/>
                <w:spacing w:val="0"/>
                <w:kern w:val="0"/>
                <w:position w:val="0"/>
                <w:sz w:val="24"/>
                <w:szCs w:val="24"/>
                <w:u w:val="none" w:color="auto"/>
              </w:rPr>
              <w:t>质量</w:t>
            </w:r>
          </w:p>
          <w:p w14:paraId="1FE954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0"/>
                <w:kern w:val="0"/>
                <w:position w:val="0"/>
                <w:sz w:val="24"/>
                <w:szCs w:val="24"/>
                <w:u w:val="none" w:color="auto"/>
              </w:rPr>
            </w:pPr>
            <w:r>
              <w:rPr>
                <w:rFonts w:hint="default" w:ascii="Times New Roman" w:hAnsi="Times New Roman" w:eastAsia="宋体" w:cs="Times New Roman"/>
                <w:color w:val="auto"/>
                <w:spacing w:val="0"/>
                <w:kern w:val="0"/>
                <w:position w:val="0"/>
                <w:sz w:val="24"/>
                <w:szCs w:val="24"/>
                <w:u w:val="none" w:color="auto"/>
              </w:rPr>
              <w:t>现状</w:t>
            </w:r>
          </w:p>
        </w:tc>
        <w:tc>
          <w:tcPr>
            <w:tcW w:w="4555" w:type="pct"/>
            <w:noWrap w:val="0"/>
            <w:vAlign w:val="center"/>
          </w:tcPr>
          <w:p w14:paraId="34ADB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pacing w:val="0"/>
                <w:position w:val="0"/>
                <w:sz w:val="24"/>
                <w:szCs w:val="24"/>
                <w:u w:val="none" w:color="auto"/>
                <w:lang w:val="en-US" w:eastAsia="zh-CN"/>
              </w:rPr>
            </w:pPr>
            <w:r>
              <w:rPr>
                <w:rFonts w:hint="default" w:ascii="Times New Roman" w:hAnsi="Times New Roman" w:eastAsia="宋体" w:cs="Times New Roman"/>
                <w:b/>
                <w:bCs/>
                <w:color w:val="auto"/>
                <w:spacing w:val="0"/>
                <w:position w:val="0"/>
                <w:sz w:val="24"/>
                <w:szCs w:val="24"/>
                <w:u w:val="none" w:color="auto"/>
                <w:lang w:val="en-US" w:eastAsia="zh-CN"/>
              </w:rPr>
              <w:t>1、环境空气质量现状</w:t>
            </w:r>
          </w:p>
          <w:p w14:paraId="774EFC5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1）</w:t>
            </w:r>
            <w:r>
              <w:rPr>
                <w:rFonts w:hint="eastAsia" w:cs="Times New Roman"/>
                <w:color w:val="auto"/>
                <w:spacing w:val="0"/>
                <w:position w:val="0"/>
                <w:sz w:val="24"/>
                <w:szCs w:val="24"/>
                <w:u w:val="none" w:color="auto"/>
                <w:lang w:eastAsia="zh-CN"/>
              </w:rPr>
              <w:t>达标区</w:t>
            </w:r>
            <w:r>
              <w:rPr>
                <w:rFonts w:hint="default" w:ascii="Times New Roman" w:hAnsi="Times New Roman" w:eastAsia="宋体" w:cs="Times New Roman"/>
                <w:color w:val="auto"/>
                <w:spacing w:val="0"/>
                <w:position w:val="0"/>
                <w:sz w:val="24"/>
                <w:szCs w:val="24"/>
                <w:u w:val="none" w:color="auto"/>
              </w:rPr>
              <w:t>判定</w:t>
            </w:r>
          </w:p>
          <w:p w14:paraId="1B9289BC">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auto"/>
                <w:spacing w:val="0"/>
                <w:kern w:val="2"/>
                <w:position w:val="0"/>
                <w:sz w:val="24"/>
                <w:szCs w:val="24"/>
                <w:u w:val="none" w:color="auto"/>
                <w:lang w:val="en-US" w:eastAsia="zh-CN" w:bidi="ar-SA"/>
              </w:rPr>
            </w:pPr>
            <w:r>
              <w:rPr>
                <w:rFonts w:hint="default" w:ascii="Times New Roman" w:hAnsi="Times New Roman" w:cs="Times New Roman"/>
                <w:color w:val="auto"/>
                <w:sz w:val="24"/>
                <w:szCs w:val="32"/>
                <w:highlight w:val="none"/>
                <w:u w:val="none" w:color="auto"/>
              </w:rPr>
              <w:t>本</w:t>
            </w:r>
            <w:r>
              <w:rPr>
                <w:rFonts w:hint="default" w:ascii="Times New Roman" w:hAnsi="Times New Roman" w:eastAsia="宋体" w:cs="Times New Roman"/>
                <w:bCs/>
                <w:color w:val="auto"/>
                <w:spacing w:val="0"/>
                <w:kern w:val="2"/>
                <w:position w:val="0"/>
                <w:sz w:val="24"/>
                <w:szCs w:val="24"/>
                <w:u w:val="none" w:color="auto"/>
                <w:lang w:val="en-US" w:eastAsia="zh-CN" w:bidi="ar-SA"/>
              </w:rPr>
              <w:t>项目位于湖南省岳阳市城陵矶新港区，</w:t>
            </w:r>
            <w:r>
              <w:rPr>
                <w:rFonts w:hint="eastAsia" w:ascii="Times New Roman" w:hAnsi="Times New Roman" w:eastAsia="宋体" w:cs="Times New Roman"/>
                <w:bCs/>
                <w:color w:val="auto"/>
                <w:spacing w:val="0"/>
                <w:kern w:val="2"/>
                <w:position w:val="0"/>
                <w:sz w:val="24"/>
                <w:szCs w:val="24"/>
                <w:u w:val="none" w:color="auto"/>
                <w:lang w:val="en-US" w:eastAsia="zh-CN" w:bidi="ar-SA"/>
              </w:rPr>
              <w:t>项目所在区域达标区判定引用</w:t>
            </w:r>
            <w:r>
              <w:rPr>
                <w:rFonts w:hint="default" w:ascii="Times New Roman" w:hAnsi="Times New Roman" w:eastAsia="宋体" w:cs="Times New Roman"/>
                <w:bCs/>
                <w:color w:val="auto"/>
                <w:spacing w:val="0"/>
                <w:kern w:val="2"/>
                <w:position w:val="0"/>
                <w:sz w:val="24"/>
                <w:szCs w:val="24"/>
                <w:u w:val="none" w:color="auto"/>
                <w:lang w:val="en-US" w:eastAsia="zh-CN" w:bidi="ar-SA"/>
              </w:rPr>
              <w:t>2023</w:t>
            </w:r>
            <w:r>
              <w:rPr>
                <w:rFonts w:hint="eastAsia" w:ascii="Times New Roman" w:hAnsi="Times New Roman" w:eastAsia="宋体" w:cs="Times New Roman"/>
                <w:bCs/>
                <w:color w:val="auto"/>
                <w:spacing w:val="0"/>
                <w:kern w:val="2"/>
                <w:position w:val="0"/>
                <w:sz w:val="24"/>
                <w:szCs w:val="24"/>
                <w:u w:val="none" w:color="auto"/>
                <w:lang w:val="en-US" w:eastAsia="zh-CN" w:bidi="ar-SA"/>
              </w:rPr>
              <w:t>年岳阳市城陵矶常规自动在线监测点位的数据评价</w:t>
            </w:r>
            <w:r>
              <w:rPr>
                <w:rFonts w:hint="eastAsia" w:cs="Times New Roman"/>
                <w:bCs/>
                <w:color w:val="auto"/>
                <w:spacing w:val="0"/>
                <w:kern w:val="2"/>
                <w:position w:val="0"/>
                <w:sz w:val="24"/>
                <w:szCs w:val="24"/>
                <w:u w:val="none" w:color="auto"/>
                <w:lang w:val="en-US" w:eastAsia="zh-CN" w:bidi="ar-SA"/>
              </w:rPr>
              <w:t>，</w:t>
            </w:r>
            <w:r>
              <w:rPr>
                <w:rFonts w:hint="default" w:ascii="Times New Roman" w:hAnsi="Times New Roman" w:eastAsia="宋体" w:cs="Times New Roman"/>
                <w:bCs/>
                <w:color w:val="auto"/>
                <w:spacing w:val="0"/>
                <w:kern w:val="2"/>
                <w:position w:val="0"/>
                <w:sz w:val="24"/>
                <w:szCs w:val="24"/>
                <w:u w:val="none" w:color="auto"/>
                <w:lang w:val="en-US" w:eastAsia="zh-CN" w:bidi="ar-SA"/>
              </w:rPr>
              <w:t>详见下表：</w:t>
            </w:r>
          </w:p>
          <w:p w14:paraId="4E3E2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eastAsia="宋体"/>
                <w:b/>
                <w:bCs w:val="0"/>
                <w:color w:val="auto"/>
                <w:sz w:val="24"/>
                <w:szCs w:val="24"/>
                <w:u w:val="none"/>
                <w:lang w:val="en-US" w:eastAsia="zh-CN"/>
              </w:rPr>
            </w:pPr>
            <w:r>
              <w:rPr>
                <w:rFonts w:hint="eastAsia" w:eastAsia="宋体"/>
                <w:b/>
                <w:bCs w:val="0"/>
                <w:color w:val="auto"/>
                <w:sz w:val="24"/>
                <w:szCs w:val="24"/>
                <w:u w:val="none"/>
                <w:lang w:val="en-US" w:eastAsia="zh-CN"/>
              </w:rPr>
              <w:t xml:space="preserve">表3-1  </w:t>
            </w:r>
            <w:r>
              <w:rPr>
                <w:rFonts w:hint="default" w:eastAsia="宋体"/>
                <w:b/>
                <w:bCs w:val="0"/>
                <w:color w:val="auto"/>
                <w:sz w:val="24"/>
                <w:szCs w:val="24"/>
                <w:u w:val="none"/>
                <w:lang w:val="en-US" w:eastAsia="zh-CN"/>
              </w:rPr>
              <w:t>岳阳市城陵矶</w:t>
            </w:r>
            <w:r>
              <w:rPr>
                <w:rFonts w:hint="default" w:ascii="Times New Roman" w:hAnsi="Times New Roman" w:eastAsia="宋体" w:cs="Times New Roman"/>
                <w:b/>
                <w:bCs w:val="0"/>
                <w:color w:val="auto"/>
                <w:spacing w:val="0"/>
                <w:kern w:val="2"/>
                <w:position w:val="0"/>
                <w:sz w:val="24"/>
                <w:szCs w:val="24"/>
                <w:u w:val="none" w:color="auto"/>
                <w:lang w:val="en-US" w:eastAsia="zh-CN" w:bidi="ar-SA"/>
              </w:rPr>
              <w:t>新港区</w:t>
            </w:r>
            <w:r>
              <w:rPr>
                <w:rFonts w:hint="eastAsia"/>
                <w:b/>
                <w:bCs w:val="0"/>
                <w:color w:val="auto"/>
                <w:sz w:val="24"/>
                <w:szCs w:val="24"/>
                <w:u w:val="none"/>
                <w:lang w:val="en-US" w:eastAsia="zh-CN"/>
              </w:rPr>
              <w:t>2023年</w:t>
            </w:r>
            <w:r>
              <w:rPr>
                <w:rFonts w:hint="default" w:eastAsia="宋体"/>
                <w:b/>
                <w:bCs w:val="0"/>
                <w:color w:val="auto"/>
                <w:sz w:val="24"/>
                <w:szCs w:val="24"/>
                <w:u w:val="none"/>
                <w:lang w:val="en-US" w:eastAsia="zh-CN"/>
              </w:rPr>
              <w:t>空气质量现状评价表</w:t>
            </w:r>
          </w:p>
          <w:tbl>
            <w:tblPr>
              <w:tblStyle w:val="3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19"/>
              <w:gridCol w:w="949"/>
              <w:gridCol w:w="1734"/>
              <w:gridCol w:w="1151"/>
              <w:gridCol w:w="1123"/>
              <w:gridCol w:w="1248"/>
              <w:gridCol w:w="778"/>
            </w:tblGrid>
            <w:tr w14:paraId="2122FA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tblHeader/>
                <w:jc w:val="center"/>
              </w:trPr>
              <w:tc>
                <w:tcPr>
                  <w:tcW w:w="743" w:type="pct"/>
                  <w:vMerge w:val="restart"/>
                  <w:tcBorders>
                    <w:tl2br w:val="nil"/>
                    <w:tr2bl w:val="nil"/>
                  </w:tcBorders>
                  <w:noWrap w:val="0"/>
                  <w:vAlign w:val="center"/>
                </w:tcPr>
                <w:p w14:paraId="66EB89E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
                      <w:bCs w:val="0"/>
                      <w:color w:val="auto"/>
                      <w:kern w:val="2"/>
                      <w:sz w:val="21"/>
                      <w:szCs w:val="21"/>
                      <w:u w:val="none"/>
                      <w:lang w:val="en-US"/>
                    </w:rPr>
                  </w:pPr>
                  <w:r>
                    <w:rPr>
                      <w:rFonts w:hint="default" w:ascii="Times New Roman" w:hAnsi="Times New Roman" w:eastAsia="宋体" w:cs="Times New Roman"/>
                      <w:b/>
                      <w:bCs w:val="0"/>
                      <w:color w:val="auto"/>
                      <w:kern w:val="2"/>
                      <w:sz w:val="21"/>
                      <w:szCs w:val="21"/>
                      <w:u w:val="none"/>
                      <w:lang w:val="en-US" w:eastAsia="zh-CN" w:bidi="ar"/>
                    </w:rPr>
                    <w:t>点位名称</w:t>
                  </w:r>
                </w:p>
              </w:tc>
              <w:tc>
                <w:tcPr>
                  <w:tcW w:w="578" w:type="pct"/>
                  <w:vMerge w:val="restart"/>
                  <w:tcBorders>
                    <w:tl2br w:val="nil"/>
                    <w:tr2bl w:val="nil"/>
                  </w:tcBorders>
                  <w:noWrap w:val="0"/>
                  <w:vAlign w:val="center"/>
                </w:tcPr>
                <w:p w14:paraId="442D7F1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
                      <w:bCs w:val="0"/>
                      <w:color w:val="auto"/>
                      <w:kern w:val="2"/>
                      <w:sz w:val="21"/>
                      <w:szCs w:val="21"/>
                      <w:u w:val="none"/>
                      <w:lang w:val="en-US"/>
                    </w:rPr>
                  </w:pPr>
                  <w:r>
                    <w:rPr>
                      <w:rFonts w:hint="default" w:ascii="Times New Roman" w:hAnsi="Times New Roman" w:eastAsia="宋体" w:cs="Times New Roman"/>
                      <w:b/>
                      <w:bCs w:val="0"/>
                      <w:color w:val="auto"/>
                      <w:kern w:val="2"/>
                      <w:sz w:val="21"/>
                      <w:szCs w:val="21"/>
                      <w:u w:val="none"/>
                      <w:lang w:val="en-US" w:eastAsia="zh-CN" w:bidi="ar"/>
                    </w:rPr>
                    <w:t>污染物</w:t>
                  </w:r>
                </w:p>
              </w:tc>
              <w:tc>
                <w:tcPr>
                  <w:tcW w:w="1056" w:type="pct"/>
                  <w:vMerge w:val="restart"/>
                  <w:tcBorders>
                    <w:tl2br w:val="nil"/>
                    <w:tr2bl w:val="nil"/>
                  </w:tcBorders>
                  <w:noWrap w:val="0"/>
                  <w:vAlign w:val="center"/>
                </w:tcPr>
                <w:p w14:paraId="5406E8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
                      <w:bCs w:val="0"/>
                      <w:color w:val="auto"/>
                      <w:kern w:val="2"/>
                      <w:sz w:val="21"/>
                      <w:szCs w:val="21"/>
                      <w:u w:val="none"/>
                      <w:lang w:val="en-US"/>
                    </w:rPr>
                  </w:pPr>
                  <w:r>
                    <w:rPr>
                      <w:rFonts w:hint="default" w:ascii="Times New Roman" w:hAnsi="Times New Roman" w:eastAsia="宋体" w:cs="Times New Roman"/>
                      <w:b/>
                      <w:bCs w:val="0"/>
                      <w:color w:val="auto"/>
                      <w:kern w:val="2"/>
                      <w:sz w:val="21"/>
                      <w:szCs w:val="21"/>
                      <w:u w:val="none"/>
                      <w:lang w:val="en-US" w:eastAsia="zh-CN" w:bidi="ar"/>
                    </w:rPr>
                    <w:t>年评价指标</w:t>
                  </w:r>
                </w:p>
              </w:tc>
              <w:tc>
                <w:tcPr>
                  <w:tcW w:w="701" w:type="pct"/>
                  <w:vMerge w:val="restart"/>
                  <w:tcBorders>
                    <w:tl2br w:val="nil"/>
                    <w:tr2bl w:val="nil"/>
                  </w:tcBorders>
                  <w:noWrap w:val="0"/>
                  <w:vAlign w:val="center"/>
                </w:tcPr>
                <w:p w14:paraId="15384F3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
                      <w:bCs w:val="0"/>
                      <w:color w:val="auto"/>
                      <w:kern w:val="2"/>
                      <w:sz w:val="21"/>
                      <w:szCs w:val="21"/>
                      <w:u w:val="none"/>
                      <w:lang w:val="en-US"/>
                    </w:rPr>
                  </w:pPr>
                  <w:r>
                    <w:rPr>
                      <w:rFonts w:hint="default" w:ascii="Times New Roman" w:hAnsi="Times New Roman" w:eastAsia="宋体" w:cs="Times New Roman"/>
                      <w:b/>
                      <w:bCs w:val="0"/>
                      <w:color w:val="auto"/>
                      <w:kern w:val="2"/>
                      <w:sz w:val="21"/>
                      <w:szCs w:val="21"/>
                      <w:u w:val="none"/>
                      <w:lang w:val="en-US" w:eastAsia="zh-CN" w:bidi="ar"/>
                    </w:rPr>
                    <w:t>现状浓度/（μg/m</w:t>
                  </w:r>
                  <w:r>
                    <w:rPr>
                      <w:rFonts w:hint="default" w:ascii="Times New Roman" w:hAnsi="Times New Roman" w:eastAsia="宋体" w:cs="Times New Roman"/>
                      <w:b/>
                      <w:bCs w:val="0"/>
                      <w:color w:val="auto"/>
                      <w:kern w:val="2"/>
                      <w:sz w:val="21"/>
                      <w:szCs w:val="21"/>
                      <w:u w:val="none"/>
                      <w:vertAlign w:val="superscript"/>
                      <w:lang w:val="en-US" w:eastAsia="zh-CN" w:bidi="ar"/>
                    </w:rPr>
                    <w:t>3</w:t>
                  </w:r>
                  <w:r>
                    <w:rPr>
                      <w:rFonts w:hint="default" w:ascii="Times New Roman" w:hAnsi="Times New Roman" w:eastAsia="宋体" w:cs="Times New Roman"/>
                      <w:b/>
                      <w:bCs w:val="0"/>
                      <w:color w:val="auto"/>
                      <w:kern w:val="2"/>
                      <w:sz w:val="21"/>
                      <w:szCs w:val="21"/>
                      <w:u w:val="none"/>
                      <w:lang w:val="en-US" w:eastAsia="zh-CN" w:bidi="ar"/>
                    </w:rPr>
                    <w:t>）</w:t>
                  </w:r>
                </w:p>
              </w:tc>
              <w:tc>
                <w:tcPr>
                  <w:tcW w:w="684" w:type="pct"/>
                  <w:vMerge w:val="restart"/>
                  <w:tcBorders>
                    <w:tl2br w:val="nil"/>
                    <w:tr2bl w:val="nil"/>
                  </w:tcBorders>
                  <w:noWrap w:val="0"/>
                  <w:vAlign w:val="center"/>
                </w:tcPr>
                <w:p w14:paraId="02C9E6A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
                      <w:bCs w:val="0"/>
                      <w:color w:val="auto"/>
                      <w:kern w:val="2"/>
                      <w:sz w:val="21"/>
                      <w:szCs w:val="21"/>
                      <w:u w:val="none"/>
                      <w:lang w:val="en-US"/>
                    </w:rPr>
                  </w:pPr>
                  <w:r>
                    <w:rPr>
                      <w:rFonts w:hint="default" w:ascii="Times New Roman" w:hAnsi="Times New Roman" w:eastAsia="宋体" w:cs="Times New Roman"/>
                      <w:b/>
                      <w:bCs w:val="0"/>
                      <w:color w:val="auto"/>
                      <w:kern w:val="2"/>
                      <w:sz w:val="21"/>
                      <w:szCs w:val="21"/>
                      <w:u w:val="none"/>
                      <w:lang w:val="en-US" w:eastAsia="zh-CN" w:bidi="ar"/>
                    </w:rPr>
                    <w:t>评价标准/（μg/m</w:t>
                  </w:r>
                  <w:r>
                    <w:rPr>
                      <w:rFonts w:hint="default" w:ascii="Times New Roman" w:hAnsi="Times New Roman" w:eastAsia="宋体" w:cs="Times New Roman"/>
                      <w:b/>
                      <w:bCs w:val="0"/>
                      <w:color w:val="auto"/>
                      <w:kern w:val="2"/>
                      <w:sz w:val="21"/>
                      <w:szCs w:val="21"/>
                      <w:u w:val="none"/>
                      <w:vertAlign w:val="superscript"/>
                      <w:lang w:val="en-US" w:eastAsia="zh-CN" w:bidi="ar"/>
                    </w:rPr>
                    <w:t>3</w:t>
                  </w:r>
                  <w:r>
                    <w:rPr>
                      <w:rFonts w:hint="default" w:ascii="Times New Roman" w:hAnsi="Times New Roman" w:eastAsia="宋体" w:cs="Times New Roman"/>
                      <w:b/>
                      <w:bCs w:val="0"/>
                      <w:color w:val="auto"/>
                      <w:kern w:val="2"/>
                      <w:sz w:val="21"/>
                      <w:szCs w:val="21"/>
                      <w:u w:val="none"/>
                      <w:lang w:val="en-US" w:eastAsia="zh-CN" w:bidi="ar"/>
                    </w:rPr>
                    <w:t>）</w:t>
                  </w:r>
                </w:p>
              </w:tc>
              <w:tc>
                <w:tcPr>
                  <w:tcW w:w="760" w:type="pct"/>
                  <w:vMerge w:val="restart"/>
                  <w:tcBorders>
                    <w:tl2br w:val="nil"/>
                    <w:tr2bl w:val="nil"/>
                  </w:tcBorders>
                  <w:noWrap w:val="0"/>
                  <w:vAlign w:val="center"/>
                </w:tcPr>
                <w:p w14:paraId="0423142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
                      <w:bCs w:val="0"/>
                      <w:color w:val="auto"/>
                      <w:kern w:val="2"/>
                      <w:sz w:val="21"/>
                      <w:szCs w:val="21"/>
                      <w:u w:val="none"/>
                      <w:lang w:val="en-US"/>
                    </w:rPr>
                  </w:pPr>
                  <w:r>
                    <w:rPr>
                      <w:rFonts w:hint="default" w:ascii="Times New Roman" w:hAnsi="Times New Roman" w:eastAsia="宋体" w:cs="Times New Roman"/>
                      <w:b/>
                      <w:bCs w:val="0"/>
                      <w:color w:val="auto"/>
                      <w:kern w:val="2"/>
                      <w:sz w:val="21"/>
                      <w:szCs w:val="21"/>
                      <w:u w:val="none"/>
                      <w:lang w:val="en-US" w:eastAsia="zh-CN" w:bidi="ar"/>
                    </w:rPr>
                    <w:t>最大浓度占标率/%</w:t>
                  </w:r>
                </w:p>
              </w:tc>
              <w:tc>
                <w:tcPr>
                  <w:tcW w:w="474" w:type="pct"/>
                  <w:vMerge w:val="restart"/>
                  <w:tcBorders>
                    <w:tl2br w:val="nil"/>
                    <w:tr2bl w:val="nil"/>
                  </w:tcBorders>
                  <w:noWrap w:val="0"/>
                  <w:vAlign w:val="center"/>
                </w:tcPr>
                <w:p w14:paraId="7CF208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
                      <w:bCs w:val="0"/>
                      <w:color w:val="auto"/>
                      <w:kern w:val="2"/>
                      <w:sz w:val="21"/>
                      <w:szCs w:val="21"/>
                      <w:u w:val="none"/>
                      <w:lang w:val="en-US"/>
                    </w:rPr>
                  </w:pPr>
                  <w:r>
                    <w:rPr>
                      <w:rFonts w:hint="default" w:ascii="Times New Roman" w:hAnsi="Times New Roman" w:eastAsia="宋体" w:cs="Times New Roman"/>
                      <w:b/>
                      <w:bCs w:val="0"/>
                      <w:color w:val="auto"/>
                      <w:kern w:val="2"/>
                      <w:sz w:val="21"/>
                      <w:szCs w:val="21"/>
                      <w:u w:val="none"/>
                      <w:lang w:val="en-US" w:eastAsia="zh-CN" w:bidi="ar"/>
                    </w:rPr>
                    <w:t>达标情况</w:t>
                  </w:r>
                </w:p>
              </w:tc>
            </w:tr>
            <w:tr w14:paraId="0A2A59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743" w:type="pct"/>
                  <w:vMerge w:val="continue"/>
                  <w:tcBorders>
                    <w:tl2br w:val="nil"/>
                    <w:tr2bl w:val="nil"/>
                  </w:tcBorders>
                  <w:noWrap w:val="0"/>
                  <w:vAlign w:val="center"/>
                </w:tcPr>
                <w:p w14:paraId="6D1322A7">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single"/>
                    </w:rPr>
                  </w:pPr>
                </w:p>
              </w:tc>
              <w:tc>
                <w:tcPr>
                  <w:tcW w:w="578" w:type="pct"/>
                  <w:vMerge w:val="continue"/>
                  <w:tcBorders>
                    <w:tl2br w:val="nil"/>
                    <w:tr2bl w:val="nil"/>
                  </w:tcBorders>
                  <w:noWrap w:val="0"/>
                  <w:vAlign w:val="center"/>
                </w:tcPr>
                <w:p w14:paraId="785957E9">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single"/>
                    </w:rPr>
                  </w:pPr>
                </w:p>
              </w:tc>
              <w:tc>
                <w:tcPr>
                  <w:tcW w:w="1056" w:type="pct"/>
                  <w:vMerge w:val="continue"/>
                  <w:tcBorders>
                    <w:tl2br w:val="nil"/>
                    <w:tr2bl w:val="nil"/>
                  </w:tcBorders>
                  <w:noWrap w:val="0"/>
                  <w:vAlign w:val="center"/>
                </w:tcPr>
                <w:p w14:paraId="7440685E">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single"/>
                    </w:rPr>
                  </w:pPr>
                </w:p>
              </w:tc>
              <w:tc>
                <w:tcPr>
                  <w:tcW w:w="701" w:type="pct"/>
                  <w:vMerge w:val="continue"/>
                  <w:tcBorders>
                    <w:tl2br w:val="nil"/>
                    <w:tr2bl w:val="nil"/>
                  </w:tcBorders>
                  <w:noWrap w:val="0"/>
                  <w:vAlign w:val="center"/>
                </w:tcPr>
                <w:p w14:paraId="44556D0F">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single"/>
                    </w:rPr>
                  </w:pPr>
                </w:p>
              </w:tc>
              <w:tc>
                <w:tcPr>
                  <w:tcW w:w="684" w:type="pct"/>
                  <w:vMerge w:val="continue"/>
                  <w:tcBorders>
                    <w:tl2br w:val="nil"/>
                    <w:tr2bl w:val="nil"/>
                  </w:tcBorders>
                  <w:noWrap w:val="0"/>
                  <w:vAlign w:val="center"/>
                </w:tcPr>
                <w:p w14:paraId="61C91A3D">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single"/>
                    </w:rPr>
                  </w:pPr>
                </w:p>
              </w:tc>
              <w:tc>
                <w:tcPr>
                  <w:tcW w:w="760" w:type="pct"/>
                  <w:vMerge w:val="continue"/>
                  <w:tcBorders>
                    <w:tl2br w:val="nil"/>
                    <w:tr2bl w:val="nil"/>
                  </w:tcBorders>
                  <w:noWrap w:val="0"/>
                  <w:vAlign w:val="center"/>
                </w:tcPr>
                <w:p w14:paraId="4C1BC530">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single"/>
                    </w:rPr>
                  </w:pPr>
                </w:p>
              </w:tc>
              <w:tc>
                <w:tcPr>
                  <w:tcW w:w="474" w:type="pct"/>
                  <w:vMerge w:val="continue"/>
                  <w:tcBorders>
                    <w:tl2br w:val="nil"/>
                    <w:tr2bl w:val="nil"/>
                  </w:tcBorders>
                  <w:noWrap w:val="0"/>
                  <w:vAlign w:val="center"/>
                </w:tcPr>
                <w:p w14:paraId="1D63A44E">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single"/>
                    </w:rPr>
                  </w:pPr>
                </w:p>
              </w:tc>
            </w:tr>
            <w:tr w14:paraId="51AFCD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743" w:type="pct"/>
                  <w:vMerge w:val="restart"/>
                  <w:tcBorders>
                    <w:tl2br w:val="nil"/>
                    <w:tr2bl w:val="nil"/>
                  </w:tcBorders>
                  <w:noWrap w:val="0"/>
                  <w:vAlign w:val="center"/>
                </w:tcPr>
                <w:p w14:paraId="04BA55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rPr>
                  </w:pPr>
                  <w:r>
                    <w:rPr>
                      <w:rFonts w:hint="default" w:ascii="Times New Roman" w:hAnsi="Times New Roman" w:eastAsia="宋体" w:cs="Times New Roman"/>
                      <w:color w:val="auto"/>
                      <w:kern w:val="2"/>
                      <w:sz w:val="21"/>
                      <w:szCs w:val="21"/>
                      <w:u w:val="none" w:color="auto"/>
                      <w:lang w:val="en-US" w:eastAsia="zh-CN" w:bidi="ar"/>
                    </w:rPr>
                    <w:t>国家环境空气质量监测网城陵矶站</w:t>
                  </w:r>
                </w:p>
              </w:tc>
              <w:tc>
                <w:tcPr>
                  <w:tcW w:w="578" w:type="pct"/>
                  <w:tcBorders>
                    <w:tl2br w:val="nil"/>
                    <w:tr2bl w:val="nil"/>
                  </w:tcBorders>
                  <w:noWrap w:val="0"/>
                  <w:vAlign w:val="center"/>
                </w:tcPr>
                <w:p w14:paraId="7B57104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SO</w:t>
                  </w:r>
                  <w:r>
                    <w:rPr>
                      <w:rFonts w:hint="default" w:ascii="Times New Roman" w:hAnsi="Times New Roman" w:eastAsia="宋体" w:cs="Times New Roman"/>
                      <w:color w:val="auto"/>
                      <w:kern w:val="2"/>
                      <w:sz w:val="21"/>
                      <w:szCs w:val="21"/>
                      <w:u w:val="none" w:color="auto"/>
                      <w:vertAlign w:val="subscript"/>
                      <w:lang w:val="en-US" w:eastAsia="en-US" w:bidi="ar"/>
                    </w:rPr>
                    <w:t>2</w:t>
                  </w:r>
                </w:p>
              </w:tc>
              <w:tc>
                <w:tcPr>
                  <w:tcW w:w="1056" w:type="pct"/>
                  <w:tcBorders>
                    <w:tl2br w:val="nil"/>
                    <w:tr2bl w:val="nil"/>
                  </w:tcBorders>
                  <w:noWrap w:val="0"/>
                  <w:vAlign w:val="center"/>
                </w:tcPr>
                <w:p w14:paraId="07B616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年平均浓度</w:t>
                  </w:r>
                </w:p>
              </w:tc>
              <w:tc>
                <w:tcPr>
                  <w:tcW w:w="701" w:type="pct"/>
                  <w:tcBorders>
                    <w:tl2br w:val="nil"/>
                    <w:tr2bl w:val="nil"/>
                  </w:tcBorders>
                  <w:noWrap w:val="0"/>
                  <w:vAlign w:val="center"/>
                </w:tcPr>
                <w:p w14:paraId="5313362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cs="Times New Roman"/>
                      <w:color w:val="auto"/>
                      <w:kern w:val="2"/>
                      <w:sz w:val="21"/>
                      <w:szCs w:val="21"/>
                      <w:u w:val="none" w:color="auto"/>
                      <w:lang w:val="en-US" w:eastAsia="zh-CN" w:bidi="ar"/>
                    </w:rPr>
                    <w:t>8</w:t>
                  </w:r>
                </w:p>
              </w:tc>
              <w:tc>
                <w:tcPr>
                  <w:tcW w:w="684" w:type="pct"/>
                  <w:tcBorders>
                    <w:tl2br w:val="nil"/>
                    <w:tr2bl w:val="nil"/>
                  </w:tcBorders>
                  <w:noWrap w:val="0"/>
                  <w:vAlign w:val="center"/>
                </w:tcPr>
                <w:p w14:paraId="3A4D33F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60</w:t>
                  </w:r>
                </w:p>
              </w:tc>
              <w:tc>
                <w:tcPr>
                  <w:tcW w:w="760" w:type="pct"/>
                  <w:tcBorders>
                    <w:tl2br w:val="nil"/>
                    <w:tr2bl w:val="nil"/>
                  </w:tcBorders>
                  <w:noWrap w:val="0"/>
                  <w:vAlign w:val="center"/>
                </w:tcPr>
                <w:p w14:paraId="1A823A9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eastAsia" w:eastAsia="等线" w:cs="Times New Roman"/>
                      <w:color w:val="auto"/>
                      <w:kern w:val="2"/>
                      <w:sz w:val="21"/>
                      <w:szCs w:val="21"/>
                      <w:u w:val="none" w:color="auto"/>
                      <w:lang w:val="en-US" w:eastAsia="zh-CN" w:bidi="ar"/>
                    </w:rPr>
                    <w:t>18.33</w:t>
                  </w:r>
                </w:p>
              </w:tc>
              <w:tc>
                <w:tcPr>
                  <w:tcW w:w="474" w:type="pct"/>
                  <w:tcBorders>
                    <w:tl2br w:val="nil"/>
                    <w:tr2bl w:val="nil"/>
                  </w:tcBorders>
                  <w:noWrap w:val="0"/>
                  <w:vAlign w:val="center"/>
                </w:tcPr>
                <w:p w14:paraId="1C0125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达标</w:t>
                  </w:r>
                </w:p>
              </w:tc>
            </w:tr>
            <w:tr w14:paraId="391B8B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743" w:type="pct"/>
                  <w:vMerge w:val="continue"/>
                  <w:tcBorders>
                    <w:tl2br w:val="nil"/>
                    <w:tr2bl w:val="nil"/>
                  </w:tcBorders>
                  <w:noWrap w:val="0"/>
                  <w:vAlign w:val="center"/>
                </w:tcPr>
                <w:p w14:paraId="7DE67EB6">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none" w:color="auto"/>
                    </w:rPr>
                  </w:pPr>
                </w:p>
              </w:tc>
              <w:tc>
                <w:tcPr>
                  <w:tcW w:w="578" w:type="pct"/>
                  <w:tcBorders>
                    <w:tl2br w:val="nil"/>
                    <w:tr2bl w:val="nil"/>
                  </w:tcBorders>
                  <w:noWrap w:val="0"/>
                  <w:vAlign w:val="center"/>
                </w:tcPr>
                <w:p w14:paraId="39B198CA">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NO</w:t>
                  </w:r>
                  <w:r>
                    <w:rPr>
                      <w:rFonts w:hint="default" w:ascii="Times New Roman" w:hAnsi="Times New Roman" w:eastAsia="宋体" w:cs="Times New Roman"/>
                      <w:color w:val="auto"/>
                      <w:kern w:val="2"/>
                      <w:sz w:val="21"/>
                      <w:szCs w:val="21"/>
                      <w:u w:val="none" w:color="auto"/>
                      <w:vertAlign w:val="subscript"/>
                      <w:lang w:val="en-US" w:eastAsia="en-US" w:bidi="ar"/>
                    </w:rPr>
                    <w:t>2</w:t>
                  </w:r>
                </w:p>
              </w:tc>
              <w:tc>
                <w:tcPr>
                  <w:tcW w:w="1056" w:type="pct"/>
                  <w:tcBorders>
                    <w:tl2br w:val="nil"/>
                    <w:tr2bl w:val="nil"/>
                  </w:tcBorders>
                  <w:noWrap w:val="0"/>
                  <w:vAlign w:val="center"/>
                </w:tcPr>
                <w:p w14:paraId="2B9FF0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年平均浓度</w:t>
                  </w:r>
                </w:p>
              </w:tc>
              <w:tc>
                <w:tcPr>
                  <w:tcW w:w="701" w:type="pct"/>
                  <w:tcBorders>
                    <w:tl2br w:val="nil"/>
                    <w:tr2bl w:val="nil"/>
                  </w:tcBorders>
                  <w:noWrap w:val="0"/>
                  <w:vAlign w:val="center"/>
                </w:tcPr>
                <w:p w14:paraId="540666C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eastAsia="宋体" w:cs="Times New Roman"/>
                      <w:color w:val="auto"/>
                      <w:kern w:val="2"/>
                      <w:sz w:val="21"/>
                      <w:szCs w:val="21"/>
                      <w:u w:val="none" w:color="auto"/>
                      <w:lang w:val="en-US" w:eastAsia="zh-CN" w:bidi="ar"/>
                    </w:rPr>
                    <w:t>29</w:t>
                  </w:r>
                </w:p>
              </w:tc>
              <w:tc>
                <w:tcPr>
                  <w:tcW w:w="684" w:type="pct"/>
                  <w:tcBorders>
                    <w:tl2br w:val="nil"/>
                    <w:tr2bl w:val="nil"/>
                  </w:tcBorders>
                  <w:noWrap w:val="0"/>
                  <w:vAlign w:val="center"/>
                </w:tcPr>
                <w:p w14:paraId="3DFE59B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40</w:t>
                  </w:r>
                </w:p>
              </w:tc>
              <w:tc>
                <w:tcPr>
                  <w:tcW w:w="760" w:type="pct"/>
                  <w:tcBorders>
                    <w:tl2br w:val="nil"/>
                    <w:tr2bl w:val="nil"/>
                  </w:tcBorders>
                  <w:noWrap w:val="0"/>
                  <w:vAlign w:val="center"/>
                </w:tcPr>
                <w:p w14:paraId="3571197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等线" w:cs="Times New Roman"/>
                      <w:color w:val="auto"/>
                      <w:kern w:val="2"/>
                      <w:sz w:val="21"/>
                      <w:szCs w:val="21"/>
                      <w:u w:val="none" w:color="auto"/>
                      <w:lang w:val="en-US" w:eastAsia="zh-CN" w:bidi="ar"/>
                    </w:rPr>
                    <w:t>7</w:t>
                  </w:r>
                  <w:r>
                    <w:rPr>
                      <w:rFonts w:hint="eastAsia" w:eastAsia="等线" w:cs="Times New Roman"/>
                      <w:color w:val="auto"/>
                      <w:kern w:val="2"/>
                      <w:sz w:val="21"/>
                      <w:szCs w:val="21"/>
                      <w:u w:val="none" w:color="auto"/>
                      <w:lang w:val="en-US" w:eastAsia="zh-CN" w:bidi="ar"/>
                    </w:rPr>
                    <w:t>5.00</w:t>
                  </w:r>
                </w:p>
              </w:tc>
              <w:tc>
                <w:tcPr>
                  <w:tcW w:w="474" w:type="pct"/>
                  <w:tcBorders>
                    <w:tl2br w:val="nil"/>
                    <w:tr2bl w:val="nil"/>
                  </w:tcBorders>
                  <w:noWrap w:val="0"/>
                  <w:vAlign w:val="center"/>
                </w:tcPr>
                <w:p w14:paraId="0BF619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达标</w:t>
                  </w:r>
                </w:p>
              </w:tc>
            </w:tr>
            <w:tr w14:paraId="73A9F8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743" w:type="pct"/>
                  <w:vMerge w:val="continue"/>
                  <w:tcBorders>
                    <w:tl2br w:val="nil"/>
                    <w:tr2bl w:val="nil"/>
                  </w:tcBorders>
                  <w:noWrap w:val="0"/>
                  <w:vAlign w:val="center"/>
                </w:tcPr>
                <w:p w14:paraId="3B95E1DA">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none" w:color="auto"/>
                    </w:rPr>
                  </w:pPr>
                </w:p>
              </w:tc>
              <w:tc>
                <w:tcPr>
                  <w:tcW w:w="578" w:type="pct"/>
                  <w:tcBorders>
                    <w:tl2br w:val="nil"/>
                    <w:tr2bl w:val="nil"/>
                  </w:tcBorders>
                  <w:noWrap w:val="0"/>
                  <w:vAlign w:val="center"/>
                </w:tcPr>
                <w:p w14:paraId="33380741">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PM</w:t>
                  </w:r>
                  <w:r>
                    <w:rPr>
                      <w:rFonts w:hint="default" w:ascii="Times New Roman" w:hAnsi="Times New Roman" w:eastAsia="宋体" w:cs="Times New Roman"/>
                      <w:color w:val="auto"/>
                      <w:kern w:val="2"/>
                      <w:sz w:val="21"/>
                      <w:szCs w:val="21"/>
                      <w:u w:val="none" w:color="auto"/>
                      <w:vertAlign w:val="subscript"/>
                      <w:lang w:val="en-US" w:eastAsia="en-US" w:bidi="ar"/>
                    </w:rPr>
                    <w:t>10</w:t>
                  </w:r>
                </w:p>
              </w:tc>
              <w:tc>
                <w:tcPr>
                  <w:tcW w:w="1056" w:type="pct"/>
                  <w:tcBorders>
                    <w:tl2br w:val="nil"/>
                    <w:tr2bl w:val="nil"/>
                  </w:tcBorders>
                  <w:noWrap w:val="0"/>
                  <w:vAlign w:val="center"/>
                </w:tcPr>
                <w:p w14:paraId="235F0E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年平均浓度</w:t>
                  </w:r>
                </w:p>
              </w:tc>
              <w:tc>
                <w:tcPr>
                  <w:tcW w:w="701" w:type="pct"/>
                  <w:tcBorders>
                    <w:tl2br w:val="nil"/>
                    <w:tr2bl w:val="nil"/>
                  </w:tcBorders>
                  <w:noWrap w:val="0"/>
                  <w:vAlign w:val="center"/>
                </w:tcPr>
                <w:p w14:paraId="74267E2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default" w:ascii="Times New Roman" w:hAnsi="Times New Roman" w:eastAsia="宋体" w:cs="Times New Roman"/>
                      <w:color w:val="auto"/>
                      <w:kern w:val="2"/>
                      <w:sz w:val="21"/>
                      <w:szCs w:val="21"/>
                      <w:u w:val="none" w:color="auto"/>
                      <w:lang w:val="en-US" w:eastAsia="en-US" w:bidi="ar"/>
                    </w:rPr>
                    <w:t>6</w:t>
                  </w:r>
                  <w:r>
                    <w:rPr>
                      <w:rFonts w:hint="eastAsia" w:cs="Times New Roman"/>
                      <w:color w:val="auto"/>
                      <w:kern w:val="2"/>
                      <w:sz w:val="21"/>
                      <w:szCs w:val="21"/>
                      <w:u w:val="none" w:color="auto"/>
                      <w:lang w:val="en-US" w:eastAsia="zh-CN" w:bidi="ar"/>
                    </w:rPr>
                    <w:t>0</w:t>
                  </w:r>
                </w:p>
              </w:tc>
              <w:tc>
                <w:tcPr>
                  <w:tcW w:w="684" w:type="pct"/>
                  <w:tcBorders>
                    <w:tl2br w:val="nil"/>
                    <w:tr2bl w:val="nil"/>
                  </w:tcBorders>
                  <w:noWrap w:val="0"/>
                  <w:vAlign w:val="center"/>
                </w:tcPr>
                <w:p w14:paraId="5FA7FD4D">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70</w:t>
                  </w:r>
                </w:p>
              </w:tc>
              <w:tc>
                <w:tcPr>
                  <w:tcW w:w="760" w:type="pct"/>
                  <w:tcBorders>
                    <w:tl2br w:val="nil"/>
                    <w:tr2bl w:val="nil"/>
                  </w:tcBorders>
                  <w:noWrap w:val="0"/>
                  <w:vAlign w:val="center"/>
                </w:tcPr>
                <w:p w14:paraId="79E555D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eastAsia" w:eastAsia="等线" w:cs="Times New Roman"/>
                      <w:color w:val="auto"/>
                      <w:kern w:val="2"/>
                      <w:sz w:val="21"/>
                      <w:szCs w:val="21"/>
                      <w:u w:val="none" w:color="auto"/>
                      <w:lang w:val="en-US" w:eastAsia="zh-CN" w:bidi="ar"/>
                    </w:rPr>
                    <w:t>80.00</w:t>
                  </w:r>
                </w:p>
              </w:tc>
              <w:tc>
                <w:tcPr>
                  <w:tcW w:w="474" w:type="pct"/>
                  <w:tcBorders>
                    <w:tl2br w:val="nil"/>
                    <w:tr2bl w:val="nil"/>
                  </w:tcBorders>
                  <w:noWrap w:val="0"/>
                  <w:vAlign w:val="center"/>
                </w:tcPr>
                <w:p w14:paraId="71B448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
                      <w:bCs/>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达标</w:t>
                  </w:r>
                </w:p>
              </w:tc>
            </w:tr>
            <w:tr w14:paraId="527412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743" w:type="pct"/>
                  <w:vMerge w:val="continue"/>
                  <w:tcBorders>
                    <w:tl2br w:val="nil"/>
                    <w:tr2bl w:val="nil"/>
                  </w:tcBorders>
                  <w:noWrap w:val="0"/>
                  <w:vAlign w:val="center"/>
                </w:tcPr>
                <w:p w14:paraId="3F34D763">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none" w:color="auto"/>
                    </w:rPr>
                  </w:pPr>
                </w:p>
              </w:tc>
              <w:tc>
                <w:tcPr>
                  <w:tcW w:w="578" w:type="pct"/>
                  <w:tcBorders>
                    <w:tl2br w:val="nil"/>
                    <w:tr2bl w:val="nil"/>
                  </w:tcBorders>
                  <w:noWrap w:val="0"/>
                  <w:vAlign w:val="center"/>
                </w:tcPr>
                <w:p w14:paraId="0B0D6C9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PM</w:t>
                  </w:r>
                  <w:r>
                    <w:rPr>
                      <w:rFonts w:hint="default" w:ascii="Times New Roman" w:hAnsi="Times New Roman" w:eastAsia="宋体" w:cs="Times New Roman"/>
                      <w:color w:val="auto"/>
                      <w:kern w:val="2"/>
                      <w:sz w:val="21"/>
                      <w:szCs w:val="21"/>
                      <w:u w:val="none" w:color="auto"/>
                      <w:vertAlign w:val="subscript"/>
                      <w:lang w:val="en-US" w:eastAsia="en-US" w:bidi="ar"/>
                    </w:rPr>
                    <w:t>2.5</w:t>
                  </w:r>
                </w:p>
              </w:tc>
              <w:tc>
                <w:tcPr>
                  <w:tcW w:w="1056" w:type="pct"/>
                  <w:tcBorders>
                    <w:tl2br w:val="nil"/>
                    <w:tr2bl w:val="nil"/>
                  </w:tcBorders>
                  <w:noWrap w:val="0"/>
                  <w:vAlign w:val="center"/>
                </w:tcPr>
                <w:p w14:paraId="574D2E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b w:val="0"/>
                      <w:bCs w:val="0"/>
                      <w:color w:val="auto"/>
                      <w:kern w:val="2"/>
                      <w:sz w:val="21"/>
                      <w:szCs w:val="21"/>
                      <w:u w:val="none" w:color="auto"/>
                      <w:lang w:val="en-US" w:eastAsia="en-US"/>
                    </w:rPr>
                  </w:pPr>
                  <w:r>
                    <w:rPr>
                      <w:rFonts w:hint="default" w:ascii="Times New Roman" w:hAnsi="Times New Roman" w:eastAsia="宋体" w:cs="Times New Roman"/>
                      <w:b w:val="0"/>
                      <w:bCs w:val="0"/>
                      <w:color w:val="auto"/>
                      <w:kern w:val="2"/>
                      <w:sz w:val="21"/>
                      <w:szCs w:val="21"/>
                      <w:u w:val="none" w:color="auto"/>
                      <w:lang w:val="en-US" w:eastAsia="en-US" w:bidi="ar"/>
                    </w:rPr>
                    <w:t>年平均浓度</w:t>
                  </w:r>
                </w:p>
              </w:tc>
              <w:tc>
                <w:tcPr>
                  <w:tcW w:w="701" w:type="pct"/>
                  <w:tcBorders>
                    <w:tl2br w:val="nil"/>
                    <w:tr2bl w:val="nil"/>
                  </w:tcBorders>
                  <w:noWrap w:val="0"/>
                  <w:vAlign w:val="center"/>
                </w:tcPr>
                <w:p w14:paraId="52159FD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u w:val="none" w:color="auto"/>
                      <w:lang w:val="en-US" w:eastAsia="zh-CN"/>
                    </w:rPr>
                  </w:pPr>
                  <w:r>
                    <w:rPr>
                      <w:rFonts w:hint="eastAsia" w:eastAsia="宋体" w:cs="Times New Roman"/>
                      <w:b w:val="0"/>
                      <w:bCs w:val="0"/>
                      <w:color w:val="auto"/>
                      <w:kern w:val="2"/>
                      <w:sz w:val="21"/>
                      <w:szCs w:val="21"/>
                      <w:u w:val="none" w:color="auto"/>
                      <w:lang w:val="en-US" w:eastAsia="zh-CN" w:bidi="ar"/>
                    </w:rPr>
                    <w:t>3</w:t>
                  </w:r>
                  <w:r>
                    <w:rPr>
                      <w:rFonts w:hint="eastAsia" w:cs="Times New Roman"/>
                      <w:b w:val="0"/>
                      <w:bCs w:val="0"/>
                      <w:color w:val="auto"/>
                      <w:kern w:val="2"/>
                      <w:sz w:val="21"/>
                      <w:szCs w:val="21"/>
                      <w:u w:val="none" w:color="auto"/>
                      <w:lang w:val="en-US" w:eastAsia="zh-CN" w:bidi="ar"/>
                    </w:rPr>
                    <w:t>4</w:t>
                  </w:r>
                </w:p>
              </w:tc>
              <w:tc>
                <w:tcPr>
                  <w:tcW w:w="684" w:type="pct"/>
                  <w:tcBorders>
                    <w:tl2br w:val="nil"/>
                    <w:tr2bl w:val="nil"/>
                  </w:tcBorders>
                  <w:noWrap w:val="0"/>
                  <w:vAlign w:val="center"/>
                </w:tcPr>
                <w:p w14:paraId="6475A04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b w:val="0"/>
                      <w:bCs w:val="0"/>
                      <w:color w:val="auto"/>
                      <w:kern w:val="2"/>
                      <w:sz w:val="21"/>
                      <w:szCs w:val="21"/>
                      <w:u w:val="none" w:color="auto"/>
                      <w:lang w:val="en-US" w:eastAsia="en-US"/>
                    </w:rPr>
                  </w:pPr>
                  <w:r>
                    <w:rPr>
                      <w:rFonts w:hint="default" w:ascii="Times New Roman" w:hAnsi="Times New Roman" w:eastAsia="宋体" w:cs="Times New Roman"/>
                      <w:b w:val="0"/>
                      <w:bCs w:val="0"/>
                      <w:color w:val="auto"/>
                      <w:kern w:val="2"/>
                      <w:sz w:val="21"/>
                      <w:szCs w:val="21"/>
                      <w:u w:val="none" w:color="auto"/>
                      <w:lang w:val="en-US" w:eastAsia="en-US" w:bidi="ar"/>
                    </w:rPr>
                    <w:t>35</w:t>
                  </w:r>
                </w:p>
              </w:tc>
              <w:tc>
                <w:tcPr>
                  <w:tcW w:w="760" w:type="pct"/>
                  <w:tcBorders>
                    <w:tl2br w:val="nil"/>
                    <w:tr2bl w:val="nil"/>
                  </w:tcBorders>
                  <w:noWrap w:val="0"/>
                  <w:vAlign w:val="center"/>
                </w:tcPr>
                <w:p w14:paraId="69ADB68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b w:val="0"/>
                      <w:bCs w:val="0"/>
                      <w:color w:val="auto"/>
                      <w:kern w:val="2"/>
                      <w:sz w:val="21"/>
                      <w:szCs w:val="21"/>
                      <w:u w:val="none" w:color="auto"/>
                      <w:lang w:val="en-US" w:eastAsia="en-US"/>
                    </w:rPr>
                  </w:pPr>
                  <w:r>
                    <w:rPr>
                      <w:rFonts w:hint="eastAsia" w:eastAsia="等线" w:cs="Times New Roman"/>
                      <w:b w:val="0"/>
                      <w:bCs w:val="0"/>
                      <w:color w:val="auto"/>
                      <w:kern w:val="2"/>
                      <w:sz w:val="21"/>
                      <w:szCs w:val="21"/>
                      <w:u w:val="none" w:color="auto"/>
                      <w:lang w:val="en-US" w:eastAsia="zh-CN" w:bidi="ar"/>
                    </w:rPr>
                    <w:t>97.14</w:t>
                  </w:r>
                </w:p>
              </w:tc>
              <w:tc>
                <w:tcPr>
                  <w:tcW w:w="474" w:type="pct"/>
                  <w:tcBorders>
                    <w:tl2br w:val="nil"/>
                    <w:tr2bl w:val="nil"/>
                  </w:tcBorders>
                  <w:noWrap w:val="0"/>
                  <w:vAlign w:val="center"/>
                </w:tcPr>
                <w:p w14:paraId="5D76F5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val="0"/>
                      <w:color w:val="auto"/>
                      <w:kern w:val="2"/>
                      <w:sz w:val="21"/>
                      <w:szCs w:val="21"/>
                      <w:u w:val="none" w:color="auto"/>
                      <w:lang w:val="en-US" w:eastAsia="zh-CN"/>
                    </w:rPr>
                  </w:pPr>
                  <w:r>
                    <w:rPr>
                      <w:rFonts w:hint="eastAsia" w:eastAsia="宋体" w:cs="Times New Roman"/>
                      <w:b w:val="0"/>
                      <w:bCs w:val="0"/>
                      <w:color w:val="auto"/>
                      <w:kern w:val="2"/>
                      <w:sz w:val="21"/>
                      <w:szCs w:val="21"/>
                      <w:u w:val="none" w:color="auto"/>
                      <w:lang w:val="en-US" w:eastAsia="zh-CN" w:bidi="ar"/>
                    </w:rPr>
                    <w:t>达标</w:t>
                  </w:r>
                </w:p>
              </w:tc>
            </w:tr>
            <w:tr w14:paraId="56846E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743" w:type="pct"/>
                  <w:vMerge w:val="continue"/>
                  <w:tcBorders>
                    <w:tl2br w:val="nil"/>
                    <w:tr2bl w:val="nil"/>
                  </w:tcBorders>
                  <w:noWrap w:val="0"/>
                  <w:vAlign w:val="center"/>
                </w:tcPr>
                <w:p w14:paraId="2C3B605A">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none" w:color="auto"/>
                    </w:rPr>
                  </w:pPr>
                </w:p>
              </w:tc>
              <w:tc>
                <w:tcPr>
                  <w:tcW w:w="578" w:type="pct"/>
                  <w:tcBorders>
                    <w:tl2br w:val="nil"/>
                    <w:tr2bl w:val="nil"/>
                  </w:tcBorders>
                  <w:noWrap w:val="0"/>
                  <w:vAlign w:val="center"/>
                </w:tcPr>
                <w:p w14:paraId="2814ECD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CO</w:t>
                  </w:r>
                </w:p>
              </w:tc>
              <w:tc>
                <w:tcPr>
                  <w:tcW w:w="1056" w:type="pct"/>
                  <w:tcBorders>
                    <w:tl2br w:val="nil"/>
                    <w:tr2bl w:val="nil"/>
                  </w:tcBorders>
                  <w:noWrap w:val="0"/>
                  <w:vAlign w:val="center"/>
                </w:tcPr>
                <w:p w14:paraId="11AAD5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rPr>
                  </w:pPr>
                  <w:r>
                    <w:rPr>
                      <w:rFonts w:hint="default" w:ascii="Times New Roman" w:hAnsi="Times New Roman" w:eastAsia="宋体" w:cs="Times New Roman"/>
                      <w:color w:val="auto"/>
                      <w:kern w:val="2"/>
                      <w:sz w:val="21"/>
                      <w:szCs w:val="21"/>
                      <w:u w:val="none" w:color="auto"/>
                      <w:lang w:val="en-US" w:eastAsia="zh-CN" w:bidi="ar"/>
                    </w:rPr>
                    <w:t>第95百分位数日平均浓度</w:t>
                  </w:r>
                </w:p>
              </w:tc>
              <w:tc>
                <w:tcPr>
                  <w:tcW w:w="701" w:type="pct"/>
                  <w:tcBorders>
                    <w:tl2br w:val="nil"/>
                    <w:tr2bl w:val="nil"/>
                  </w:tcBorders>
                  <w:noWrap w:val="0"/>
                  <w:vAlign w:val="center"/>
                </w:tcPr>
                <w:p w14:paraId="2D701ACC">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eastAsia" w:cs="Times New Roman"/>
                      <w:color w:val="auto"/>
                      <w:kern w:val="2"/>
                      <w:sz w:val="21"/>
                      <w:szCs w:val="21"/>
                      <w:u w:val="none" w:color="auto"/>
                      <w:lang w:val="en-US" w:eastAsia="zh-CN" w:bidi="ar"/>
                    </w:rPr>
                    <w:t>77</w:t>
                  </w:r>
                  <w:r>
                    <w:rPr>
                      <w:rFonts w:hint="default" w:ascii="Times New Roman" w:hAnsi="Times New Roman" w:eastAsia="宋体" w:cs="Times New Roman"/>
                      <w:color w:val="auto"/>
                      <w:kern w:val="2"/>
                      <w:sz w:val="21"/>
                      <w:szCs w:val="21"/>
                      <w:u w:val="none" w:color="auto"/>
                      <w:lang w:val="en-US" w:eastAsia="en-US" w:bidi="ar"/>
                    </w:rPr>
                    <w:t>0</w:t>
                  </w:r>
                </w:p>
              </w:tc>
              <w:tc>
                <w:tcPr>
                  <w:tcW w:w="684" w:type="pct"/>
                  <w:tcBorders>
                    <w:tl2br w:val="nil"/>
                    <w:tr2bl w:val="nil"/>
                  </w:tcBorders>
                  <w:noWrap w:val="0"/>
                  <w:vAlign w:val="center"/>
                </w:tcPr>
                <w:p w14:paraId="3972328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4000</w:t>
                  </w:r>
                </w:p>
              </w:tc>
              <w:tc>
                <w:tcPr>
                  <w:tcW w:w="760" w:type="pct"/>
                  <w:tcBorders>
                    <w:tl2br w:val="nil"/>
                    <w:tr2bl w:val="nil"/>
                  </w:tcBorders>
                  <w:noWrap w:val="0"/>
                  <w:vAlign w:val="center"/>
                </w:tcPr>
                <w:p w14:paraId="761D5CE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eastAsia" w:eastAsia="等线" w:cs="Times New Roman"/>
                      <w:color w:val="auto"/>
                      <w:kern w:val="2"/>
                      <w:sz w:val="21"/>
                      <w:szCs w:val="21"/>
                      <w:u w:val="none" w:color="auto"/>
                      <w:lang w:val="en-US" w:eastAsia="zh-CN" w:bidi="ar"/>
                    </w:rPr>
                    <w:t>25</w:t>
                  </w:r>
                  <w:r>
                    <w:rPr>
                      <w:rFonts w:hint="default" w:ascii="Times New Roman" w:hAnsi="Times New Roman" w:eastAsia="等线" w:cs="Times New Roman"/>
                      <w:color w:val="auto"/>
                      <w:kern w:val="2"/>
                      <w:sz w:val="21"/>
                      <w:szCs w:val="21"/>
                      <w:u w:val="none" w:color="auto"/>
                      <w:lang w:val="en-US" w:eastAsia="zh-CN" w:bidi="ar"/>
                    </w:rPr>
                    <w:t>.0</w:t>
                  </w:r>
                  <w:r>
                    <w:rPr>
                      <w:rFonts w:hint="eastAsia" w:eastAsia="等线" w:cs="Times New Roman"/>
                      <w:color w:val="auto"/>
                      <w:kern w:val="2"/>
                      <w:sz w:val="21"/>
                      <w:szCs w:val="21"/>
                      <w:u w:val="none" w:color="auto"/>
                      <w:lang w:val="en-US" w:eastAsia="zh-CN" w:bidi="ar"/>
                    </w:rPr>
                    <w:t>0</w:t>
                  </w:r>
                </w:p>
              </w:tc>
              <w:tc>
                <w:tcPr>
                  <w:tcW w:w="474" w:type="pct"/>
                  <w:tcBorders>
                    <w:tl2br w:val="nil"/>
                    <w:tr2bl w:val="nil"/>
                  </w:tcBorders>
                  <w:noWrap w:val="0"/>
                  <w:vAlign w:val="center"/>
                </w:tcPr>
                <w:p w14:paraId="5A6ABC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达标</w:t>
                  </w:r>
                </w:p>
              </w:tc>
            </w:tr>
            <w:tr w14:paraId="23B54D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743" w:type="pct"/>
                  <w:vMerge w:val="continue"/>
                  <w:tcBorders>
                    <w:tl2br w:val="nil"/>
                    <w:tr2bl w:val="nil"/>
                  </w:tcBorders>
                  <w:noWrap w:val="0"/>
                  <w:vAlign w:val="center"/>
                </w:tcPr>
                <w:p w14:paraId="2E20F85E">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textAlignment w:val="auto"/>
                    <w:rPr>
                      <w:rFonts w:hint="default" w:ascii="Times New Roman" w:hAnsi="Times New Roman" w:cs="Times New Roman"/>
                      <w:color w:val="auto"/>
                      <w:kern w:val="2"/>
                      <w:sz w:val="21"/>
                      <w:szCs w:val="21"/>
                      <w:u w:val="none" w:color="auto"/>
                    </w:rPr>
                  </w:pPr>
                </w:p>
              </w:tc>
              <w:tc>
                <w:tcPr>
                  <w:tcW w:w="578" w:type="pct"/>
                  <w:tcBorders>
                    <w:tl2br w:val="nil"/>
                    <w:tr2bl w:val="nil"/>
                  </w:tcBorders>
                  <w:noWrap w:val="0"/>
                  <w:vAlign w:val="center"/>
                </w:tcPr>
                <w:p w14:paraId="31288A6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O</w:t>
                  </w:r>
                  <w:r>
                    <w:rPr>
                      <w:rFonts w:hint="default" w:ascii="Times New Roman" w:hAnsi="Times New Roman" w:eastAsia="宋体" w:cs="Times New Roman"/>
                      <w:color w:val="auto"/>
                      <w:kern w:val="2"/>
                      <w:sz w:val="21"/>
                      <w:szCs w:val="21"/>
                      <w:u w:val="none" w:color="auto"/>
                      <w:vertAlign w:val="subscript"/>
                      <w:lang w:val="en-US" w:eastAsia="en-US" w:bidi="ar"/>
                    </w:rPr>
                    <w:t>3</w:t>
                  </w:r>
                </w:p>
              </w:tc>
              <w:tc>
                <w:tcPr>
                  <w:tcW w:w="1056" w:type="pct"/>
                  <w:tcBorders>
                    <w:tl2br w:val="nil"/>
                    <w:tr2bl w:val="nil"/>
                  </w:tcBorders>
                  <w:noWrap w:val="0"/>
                  <w:vAlign w:val="center"/>
                </w:tcPr>
                <w:p w14:paraId="6BC2D2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rPr>
                  </w:pPr>
                  <w:r>
                    <w:rPr>
                      <w:rFonts w:hint="default" w:ascii="Times New Roman" w:hAnsi="Times New Roman" w:eastAsia="宋体" w:cs="Times New Roman"/>
                      <w:color w:val="auto"/>
                      <w:kern w:val="2"/>
                      <w:sz w:val="21"/>
                      <w:szCs w:val="21"/>
                      <w:u w:val="none" w:color="auto"/>
                      <w:lang w:val="en-US" w:eastAsia="zh-CN" w:bidi="ar"/>
                    </w:rPr>
                    <w:t>第90百分位数最大8h平均浓度</w:t>
                  </w:r>
                </w:p>
              </w:tc>
              <w:tc>
                <w:tcPr>
                  <w:tcW w:w="701" w:type="pct"/>
                  <w:tcBorders>
                    <w:tl2br w:val="nil"/>
                    <w:tr2bl w:val="nil"/>
                  </w:tcBorders>
                  <w:noWrap w:val="0"/>
                  <w:vAlign w:val="center"/>
                </w:tcPr>
                <w:p w14:paraId="0684FA0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rPr>
                  </w:pPr>
                  <w:r>
                    <w:rPr>
                      <w:rFonts w:hint="eastAsia" w:cs="Times New Roman"/>
                      <w:color w:val="auto"/>
                      <w:kern w:val="2"/>
                      <w:sz w:val="21"/>
                      <w:szCs w:val="21"/>
                      <w:u w:val="none" w:color="auto"/>
                      <w:lang w:val="en-US" w:eastAsia="zh-CN" w:bidi="ar"/>
                    </w:rPr>
                    <w:t>91</w:t>
                  </w:r>
                </w:p>
              </w:tc>
              <w:tc>
                <w:tcPr>
                  <w:tcW w:w="684" w:type="pct"/>
                  <w:tcBorders>
                    <w:tl2br w:val="nil"/>
                    <w:tr2bl w:val="nil"/>
                  </w:tcBorders>
                  <w:noWrap w:val="0"/>
                  <w:vAlign w:val="center"/>
                </w:tcPr>
                <w:p w14:paraId="49596CA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160</w:t>
                  </w:r>
                </w:p>
              </w:tc>
              <w:tc>
                <w:tcPr>
                  <w:tcW w:w="760" w:type="pct"/>
                  <w:tcBorders>
                    <w:tl2br w:val="nil"/>
                    <w:tr2bl w:val="nil"/>
                  </w:tcBorders>
                  <w:noWrap w:val="0"/>
                  <w:vAlign w:val="center"/>
                </w:tcPr>
                <w:p w14:paraId="751B2F0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eastAsia" w:eastAsia="等线" w:cs="Times New Roman"/>
                      <w:color w:val="auto"/>
                      <w:kern w:val="2"/>
                      <w:sz w:val="21"/>
                      <w:szCs w:val="21"/>
                      <w:u w:val="none" w:color="auto"/>
                      <w:lang w:val="en-US" w:eastAsia="zh-CN" w:bidi="ar"/>
                    </w:rPr>
                    <w:t>88.75</w:t>
                  </w:r>
                </w:p>
              </w:tc>
              <w:tc>
                <w:tcPr>
                  <w:tcW w:w="474" w:type="pct"/>
                  <w:tcBorders>
                    <w:tl2br w:val="nil"/>
                    <w:tr2bl w:val="nil"/>
                  </w:tcBorders>
                  <w:noWrap w:val="0"/>
                  <w:vAlign w:val="center"/>
                </w:tcPr>
                <w:p w14:paraId="49D36C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auto"/>
                      <w:kern w:val="2"/>
                      <w:sz w:val="21"/>
                      <w:szCs w:val="21"/>
                      <w:u w:val="none" w:color="auto"/>
                      <w:lang w:val="en-US" w:eastAsia="en-US"/>
                    </w:rPr>
                  </w:pPr>
                  <w:r>
                    <w:rPr>
                      <w:rFonts w:hint="default" w:ascii="Times New Roman" w:hAnsi="Times New Roman" w:eastAsia="宋体" w:cs="Times New Roman"/>
                      <w:color w:val="auto"/>
                      <w:kern w:val="2"/>
                      <w:sz w:val="21"/>
                      <w:szCs w:val="21"/>
                      <w:u w:val="none" w:color="auto"/>
                      <w:lang w:val="en-US" w:eastAsia="en-US" w:bidi="ar"/>
                    </w:rPr>
                    <w:t>达标</w:t>
                  </w:r>
                </w:p>
              </w:tc>
            </w:tr>
          </w:tbl>
          <w:p w14:paraId="750B0151">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default" w:ascii="Times New Roman" w:hAnsi="Times New Roman" w:eastAsia="宋体" w:cs="Times New Roman"/>
                <w:color w:val="auto"/>
                <w:spacing w:val="0"/>
                <w:position w:val="0"/>
                <w:sz w:val="24"/>
                <w:szCs w:val="32"/>
                <w:highlight w:val="none"/>
                <w:u w:val="none" w:color="auto"/>
                <w:lang w:val="en-US"/>
              </w:rPr>
            </w:pPr>
            <w:r>
              <w:rPr>
                <w:rFonts w:hint="default" w:ascii="Times New Roman" w:hAnsi="Times New Roman" w:eastAsia="宋体" w:cs="Times New Roman"/>
                <w:bCs/>
                <w:color w:val="auto"/>
                <w:spacing w:val="0"/>
                <w:position w:val="0"/>
                <w:sz w:val="24"/>
                <w:szCs w:val="24"/>
                <w:u w:val="none" w:color="auto"/>
                <w:lang w:val="en-US" w:eastAsia="zh-CN"/>
              </w:rPr>
              <w:t>根据表3-1可知：岳阳市</w:t>
            </w:r>
            <w:r>
              <w:rPr>
                <w:rFonts w:hint="default" w:ascii="Times New Roman" w:hAnsi="Times New Roman" w:eastAsia="宋体" w:cs="Times New Roman"/>
                <w:bCs/>
                <w:color w:val="auto"/>
                <w:spacing w:val="0"/>
                <w:kern w:val="2"/>
                <w:position w:val="0"/>
                <w:sz w:val="24"/>
                <w:szCs w:val="24"/>
                <w:u w:val="none" w:color="auto"/>
                <w:lang w:val="en-US" w:eastAsia="zh-CN" w:bidi="ar-SA"/>
              </w:rPr>
              <w:t>城陵矶新港区</w:t>
            </w:r>
            <w:r>
              <w:rPr>
                <w:rFonts w:hint="default" w:ascii="Times New Roman" w:hAnsi="Times New Roman" w:eastAsia="宋体" w:cs="Times New Roman"/>
                <w:bCs/>
                <w:color w:val="auto"/>
                <w:spacing w:val="0"/>
                <w:position w:val="0"/>
                <w:sz w:val="24"/>
                <w:szCs w:val="24"/>
                <w:u w:val="none" w:color="auto"/>
                <w:lang w:val="en-US" w:eastAsia="zh-CN"/>
              </w:rPr>
              <w:t>202</w:t>
            </w:r>
            <w:r>
              <w:rPr>
                <w:rFonts w:hint="eastAsia" w:ascii="Times New Roman" w:hAnsi="Times New Roman" w:cs="Times New Roman"/>
                <w:bCs/>
                <w:color w:val="auto"/>
                <w:spacing w:val="0"/>
                <w:position w:val="0"/>
                <w:sz w:val="24"/>
                <w:szCs w:val="24"/>
                <w:u w:val="none" w:color="auto"/>
                <w:lang w:val="en-US" w:eastAsia="zh-CN"/>
              </w:rPr>
              <w:t>3</w:t>
            </w:r>
            <w:r>
              <w:rPr>
                <w:rFonts w:hint="default" w:ascii="Times New Roman" w:hAnsi="Times New Roman" w:eastAsia="宋体" w:cs="Times New Roman"/>
                <w:bCs/>
                <w:color w:val="auto"/>
                <w:spacing w:val="0"/>
                <w:position w:val="0"/>
                <w:sz w:val="24"/>
                <w:szCs w:val="24"/>
                <w:u w:val="none" w:color="auto"/>
                <w:lang w:val="en-US" w:eastAsia="zh-CN"/>
              </w:rPr>
              <w:t>年度常规大气污染物</w:t>
            </w:r>
            <w:r>
              <w:rPr>
                <w:rFonts w:hint="eastAsia" w:ascii="Times New Roman" w:hAnsi="Times New Roman" w:cs="Times New Roman"/>
                <w:bCs/>
                <w:color w:val="auto"/>
                <w:spacing w:val="0"/>
                <w:position w:val="0"/>
                <w:sz w:val="24"/>
                <w:szCs w:val="24"/>
                <w:u w:val="none" w:color="auto"/>
                <w:lang w:val="en-US" w:eastAsia="zh-CN"/>
              </w:rPr>
              <w:t>六项因子</w:t>
            </w:r>
            <w:r>
              <w:rPr>
                <w:rFonts w:hint="default" w:ascii="Times New Roman" w:hAnsi="Times New Roman" w:eastAsia="宋体" w:cs="Times New Roman"/>
                <w:bCs/>
                <w:color w:val="auto"/>
                <w:spacing w:val="0"/>
                <w:position w:val="0"/>
                <w:sz w:val="24"/>
                <w:szCs w:val="24"/>
                <w:u w:val="none" w:color="auto"/>
                <w:lang w:val="en-US" w:eastAsia="zh-CN"/>
              </w:rPr>
              <w:t>均满足《环境空气质量标准》（GB3095-2012）及其2018年修改单中二级标准限值要求</w:t>
            </w:r>
            <w:r>
              <w:rPr>
                <w:rFonts w:hint="eastAsia" w:ascii="Times New Roman" w:hAnsi="Times New Roman" w:eastAsia="宋体" w:cs="Times New Roman"/>
                <w:bCs/>
                <w:color w:val="auto"/>
                <w:spacing w:val="0"/>
                <w:position w:val="0"/>
                <w:sz w:val="24"/>
                <w:szCs w:val="24"/>
                <w:u w:val="none" w:color="auto"/>
                <w:lang w:val="en-US" w:eastAsia="zh-CN"/>
              </w:rPr>
              <w:t>，</w:t>
            </w:r>
            <w:r>
              <w:rPr>
                <w:rFonts w:hint="default" w:ascii="Times New Roman" w:hAnsi="Times New Roman" w:eastAsia="宋体" w:cs="Times New Roman"/>
                <w:bCs/>
                <w:color w:val="auto"/>
                <w:spacing w:val="0"/>
                <w:position w:val="0"/>
                <w:sz w:val="24"/>
                <w:szCs w:val="24"/>
                <w:u w:val="none" w:color="auto"/>
                <w:lang w:val="en-US" w:eastAsia="zh-CN"/>
              </w:rPr>
              <w:t>则202</w:t>
            </w:r>
            <w:r>
              <w:rPr>
                <w:rFonts w:hint="eastAsia" w:ascii="Times New Roman" w:hAnsi="Times New Roman" w:cs="Times New Roman"/>
                <w:bCs/>
                <w:color w:val="auto"/>
                <w:spacing w:val="0"/>
                <w:position w:val="0"/>
                <w:sz w:val="24"/>
                <w:szCs w:val="24"/>
                <w:u w:val="none" w:color="auto"/>
                <w:lang w:val="en-US" w:eastAsia="zh-CN"/>
              </w:rPr>
              <w:t>3</w:t>
            </w:r>
            <w:r>
              <w:rPr>
                <w:rFonts w:hint="default" w:ascii="Times New Roman" w:hAnsi="Times New Roman" w:eastAsia="宋体" w:cs="Times New Roman"/>
                <w:bCs/>
                <w:color w:val="auto"/>
                <w:spacing w:val="0"/>
                <w:position w:val="0"/>
                <w:sz w:val="24"/>
                <w:szCs w:val="24"/>
                <w:u w:val="none" w:color="auto"/>
                <w:lang w:val="en-US" w:eastAsia="zh-CN"/>
              </w:rPr>
              <w:t>年度岳阳市</w:t>
            </w:r>
            <w:r>
              <w:rPr>
                <w:rFonts w:hint="default" w:ascii="Times New Roman" w:hAnsi="Times New Roman" w:eastAsia="宋体" w:cs="Times New Roman"/>
                <w:bCs/>
                <w:color w:val="auto"/>
                <w:spacing w:val="0"/>
                <w:kern w:val="2"/>
                <w:position w:val="0"/>
                <w:sz w:val="24"/>
                <w:szCs w:val="24"/>
                <w:u w:val="none" w:color="auto"/>
                <w:lang w:val="en-US" w:eastAsia="zh-CN" w:bidi="ar-SA"/>
              </w:rPr>
              <w:t>城陵矶新港区</w:t>
            </w:r>
            <w:r>
              <w:rPr>
                <w:rFonts w:hint="default" w:ascii="Times New Roman" w:hAnsi="Times New Roman" w:eastAsia="宋体" w:cs="Times New Roman"/>
                <w:bCs/>
                <w:color w:val="auto"/>
                <w:spacing w:val="0"/>
                <w:position w:val="0"/>
                <w:sz w:val="24"/>
                <w:szCs w:val="24"/>
                <w:u w:val="none" w:color="auto"/>
                <w:lang w:val="en-US" w:eastAsia="zh-CN"/>
              </w:rPr>
              <w:t>属于</w:t>
            </w:r>
            <w:r>
              <w:rPr>
                <w:rFonts w:hint="eastAsia" w:ascii="Times New Roman" w:hAnsi="Times New Roman" w:cs="Times New Roman"/>
                <w:bCs/>
                <w:color w:val="auto"/>
                <w:spacing w:val="0"/>
                <w:position w:val="0"/>
                <w:sz w:val="24"/>
                <w:szCs w:val="24"/>
                <w:u w:val="none" w:color="auto"/>
                <w:lang w:val="en-US" w:eastAsia="zh-CN"/>
              </w:rPr>
              <w:t>环境空气质量</w:t>
            </w:r>
            <w:r>
              <w:rPr>
                <w:rFonts w:hint="default" w:ascii="Times New Roman" w:hAnsi="Times New Roman" w:eastAsia="宋体" w:cs="Times New Roman"/>
                <w:bCs/>
                <w:color w:val="auto"/>
                <w:spacing w:val="0"/>
                <w:position w:val="0"/>
                <w:sz w:val="24"/>
                <w:szCs w:val="24"/>
                <w:u w:val="none" w:color="auto"/>
                <w:lang w:val="en-US" w:eastAsia="zh-CN"/>
              </w:rPr>
              <w:t>达标区。</w:t>
            </w:r>
            <w:r>
              <w:rPr>
                <w:rFonts w:hint="eastAsia" w:ascii="Times New Roman" w:hAnsi="Times New Roman" w:cs="Times New Roman"/>
                <w:bCs/>
                <w:color w:val="auto"/>
                <w:spacing w:val="0"/>
                <w:position w:val="0"/>
                <w:sz w:val="24"/>
                <w:szCs w:val="24"/>
                <w:u w:val="none" w:color="auto"/>
                <w:lang w:val="en-US" w:eastAsia="zh-CN"/>
              </w:rPr>
              <w:t xml:space="preserve"> </w:t>
            </w:r>
          </w:p>
          <w:p w14:paraId="1F863629">
            <w:pPr>
              <w:pStyle w:val="61"/>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default" w:ascii="Times New Roman" w:hAnsi="Times New Roman" w:eastAsia="宋体" w:cs="Times New Roman"/>
                <w:color w:val="auto"/>
                <w:spacing w:val="0"/>
                <w:position w:val="0"/>
                <w:sz w:val="24"/>
                <w:szCs w:val="32"/>
                <w:highlight w:val="none"/>
                <w:u w:val="none" w:color="auto"/>
                <w:lang w:val="en-US" w:eastAsia="zh-CN"/>
              </w:rPr>
            </w:pPr>
            <w:r>
              <w:rPr>
                <w:rFonts w:hint="default" w:ascii="Times New Roman" w:hAnsi="Times New Roman" w:eastAsia="宋体" w:cs="Times New Roman"/>
                <w:color w:val="auto"/>
                <w:spacing w:val="0"/>
                <w:position w:val="0"/>
                <w:sz w:val="24"/>
                <w:szCs w:val="32"/>
                <w:highlight w:val="none"/>
                <w:u w:val="none" w:color="auto"/>
                <w:lang w:val="en-US" w:eastAsia="zh-CN"/>
              </w:rPr>
              <w:t>其他污染物监测</w:t>
            </w:r>
          </w:p>
          <w:p w14:paraId="54871E1B">
            <w:pPr>
              <w:keepNext w:val="0"/>
              <w:keepLines w:val="0"/>
              <w:suppressLineNumbers w:val="0"/>
              <w:autoSpaceDN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u w:val="none" w:color="auto"/>
                <w:lang w:eastAsia="zh-CN"/>
              </w:rPr>
            </w:pPr>
            <w:r>
              <w:rPr>
                <w:rFonts w:hint="default"/>
                <w:color w:val="auto"/>
                <w:sz w:val="24"/>
                <w:szCs w:val="32"/>
                <w:highlight w:val="none"/>
                <w:u w:val="none" w:color="auto"/>
              </w:rPr>
              <w:t>项目特征污染物为</w:t>
            </w:r>
            <w:r>
              <w:rPr>
                <w:rFonts w:hint="eastAsia"/>
                <w:color w:val="auto"/>
                <w:sz w:val="24"/>
                <w:szCs w:val="32"/>
                <w:highlight w:val="none"/>
                <w:u w:val="none" w:color="auto"/>
                <w:lang w:val="en-US" w:eastAsia="zh-CN"/>
              </w:rPr>
              <w:t>TSP</w:t>
            </w:r>
            <w:r>
              <w:rPr>
                <w:rFonts w:hint="default"/>
                <w:color w:val="auto"/>
                <w:sz w:val="24"/>
                <w:szCs w:val="32"/>
                <w:highlight w:val="none"/>
                <w:u w:val="none" w:color="auto"/>
              </w:rPr>
              <w:t>，</w:t>
            </w:r>
            <w:r>
              <w:rPr>
                <w:rFonts w:hint="eastAsia" w:ascii="Times New Roman" w:hAnsi="Times New Roman" w:cs="Times New Roman"/>
                <w:color w:val="auto"/>
                <w:sz w:val="24"/>
                <w:highlight w:val="none"/>
                <w:u w:val="none" w:color="auto"/>
                <w:lang w:eastAsia="zh-CN"/>
              </w:rPr>
              <w:t>本</w:t>
            </w:r>
            <w:r>
              <w:rPr>
                <w:rFonts w:hint="eastAsia" w:cs="Times New Roman"/>
                <w:color w:val="auto"/>
                <w:sz w:val="24"/>
                <w:highlight w:val="none"/>
                <w:u w:val="none" w:color="auto"/>
                <w:lang w:eastAsia="zh-CN"/>
              </w:rPr>
              <w:t>次评价</w:t>
            </w:r>
            <w:r>
              <w:rPr>
                <w:rFonts w:hint="eastAsia" w:ascii="Times New Roman" w:hAnsi="Times New Roman" w:cs="Times New Roman"/>
                <w:color w:val="auto"/>
                <w:sz w:val="24"/>
                <w:highlight w:val="none"/>
                <w:u w:val="none" w:color="auto"/>
                <w:lang w:eastAsia="zh-CN"/>
              </w:rPr>
              <w:t>引用</w:t>
            </w:r>
            <w:r>
              <w:rPr>
                <w:rFonts w:hint="default" w:ascii="Times New Roman" w:hAnsi="Times New Roman" w:eastAsia="宋体" w:cs="Times New Roman"/>
                <w:color w:val="000000"/>
                <w:kern w:val="0"/>
                <w:sz w:val="24"/>
                <w:szCs w:val="24"/>
                <w:lang w:val="en-US" w:eastAsia="zh-CN" w:bidi="ar"/>
              </w:rPr>
              <w:t>湖南昌源环境科技有限公司于2023年1月4日-1月6日</w:t>
            </w:r>
            <w:r>
              <w:rPr>
                <w:rFonts w:hint="eastAsia" w:ascii="Times New Roman" w:hAnsi="Times New Roman" w:cs="Times New Roman"/>
                <w:color w:val="000000"/>
                <w:kern w:val="0"/>
                <w:sz w:val="24"/>
                <w:szCs w:val="24"/>
                <w:lang w:val="en-US" w:eastAsia="zh-CN" w:bidi="ar"/>
              </w:rPr>
              <w:t>进行的</w:t>
            </w:r>
            <w:r>
              <w:rPr>
                <w:rFonts w:hint="eastAsia" w:ascii="Times New Roman" w:hAnsi="Times New Roman" w:cs="Times New Roman"/>
                <w:color w:val="auto"/>
                <w:sz w:val="24"/>
                <w:highlight w:val="none"/>
                <w:u w:val="none" w:color="auto"/>
                <w:lang w:val="en-US" w:eastAsia="zh-CN"/>
              </w:rPr>
              <w:t>TSP</w:t>
            </w:r>
            <w:r>
              <w:rPr>
                <w:rFonts w:hint="eastAsia" w:ascii="Times New Roman" w:hAnsi="Times New Roman" w:cs="Times New Roman"/>
                <w:color w:val="auto"/>
                <w:sz w:val="24"/>
                <w:highlight w:val="none"/>
                <w:u w:val="none" w:color="auto"/>
                <w:lang w:eastAsia="zh-CN"/>
              </w:rPr>
              <w:t>现状</w:t>
            </w:r>
            <w:r>
              <w:rPr>
                <w:rFonts w:hint="default" w:ascii="Times New Roman" w:hAnsi="Times New Roman" w:cs="Times New Roman"/>
                <w:color w:val="auto"/>
                <w:sz w:val="24"/>
                <w:highlight w:val="none"/>
                <w:u w:val="none" w:color="auto"/>
              </w:rPr>
              <w:t>监测</w:t>
            </w:r>
            <w:r>
              <w:rPr>
                <w:rFonts w:hint="eastAsia" w:cs="Times New Roman"/>
                <w:color w:val="auto"/>
                <w:sz w:val="24"/>
                <w:highlight w:val="none"/>
                <w:u w:val="none" w:color="auto"/>
                <w:lang w:eastAsia="zh-CN"/>
              </w:rPr>
              <w:t>数据，监测点位位于本项目东北</w:t>
            </w:r>
            <w:r>
              <w:rPr>
                <w:rFonts w:hint="eastAsia" w:cs="Times New Roman"/>
                <w:color w:val="auto"/>
                <w:sz w:val="24"/>
                <w:highlight w:val="none"/>
                <w:u w:val="none" w:color="auto"/>
                <w:lang w:val="en-US" w:eastAsia="zh-CN"/>
              </w:rPr>
              <w:t>4500m，</w:t>
            </w:r>
            <w:r>
              <w:rPr>
                <w:rFonts w:hint="eastAsia" w:cs="Times New Roman"/>
                <w:color w:val="auto"/>
                <w:sz w:val="24"/>
                <w:szCs w:val="24"/>
                <w:lang w:val="en-US" w:eastAsia="zh-CN"/>
              </w:rPr>
              <w:t>引用监测数据有效性满足指南中“引用建设项目周边5千米范围内近3年的现有监测数据”相关要求。</w:t>
            </w:r>
            <w:r>
              <w:rPr>
                <w:rFonts w:hint="default" w:ascii="Times New Roman" w:hAnsi="Times New Roman" w:cs="Times New Roman"/>
                <w:color w:val="auto"/>
                <w:sz w:val="24"/>
                <w:highlight w:val="none"/>
                <w:u w:val="none" w:color="auto"/>
              </w:rPr>
              <w:t>具体</w:t>
            </w:r>
            <w:r>
              <w:rPr>
                <w:rFonts w:hint="eastAsia" w:cs="Times New Roman"/>
                <w:color w:val="auto"/>
                <w:sz w:val="24"/>
                <w:highlight w:val="none"/>
                <w:u w:val="none" w:color="auto"/>
                <w:lang w:eastAsia="zh-CN"/>
              </w:rPr>
              <w:t>监测数据</w:t>
            </w:r>
            <w:r>
              <w:rPr>
                <w:rFonts w:hint="default" w:ascii="Times New Roman" w:hAnsi="Times New Roman" w:cs="Times New Roman"/>
                <w:color w:val="auto"/>
                <w:sz w:val="24"/>
                <w:highlight w:val="none"/>
                <w:u w:val="none" w:color="auto"/>
              </w:rPr>
              <w:t>如下</w:t>
            </w:r>
            <w:r>
              <w:rPr>
                <w:rFonts w:hint="eastAsia" w:cs="Times New Roman"/>
                <w:color w:val="auto"/>
                <w:sz w:val="24"/>
                <w:highlight w:val="none"/>
                <w:u w:val="none" w:color="auto"/>
                <w:lang w:eastAsia="zh-CN"/>
              </w:rPr>
              <w:t>：</w:t>
            </w:r>
          </w:p>
          <w:p w14:paraId="700D7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宋体"/>
                <w:b/>
                <w:bCs w:val="0"/>
                <w:color w:val="auto"/>
                <w:sz w:val="24"/>
                <w:szCs w:val="24"/>
                <w:u w:val="none"/>
                <w:lang w:val="en-US" w:eastAsia="zh-CN"/>
              </w:rPr>
            </w:pPr>
            <w:r>
              <w:rPr>
                <w:rFonts w:hint="eastAsia" w:eastAsia="宋体"/>
                <w:b/>
                <w:bCs w:val="0"/>
                <w:color w:val="auto"/>
                <w:sz w:val="24"/>
                <w:szCs w:val="24"/>
                <w:u w:val="none"/>
                <w:lang w:val="en-US" w:eastAsia="zh-CN"/>
              </w:rPr>
              <w:t>表3-2  其他污染物引用点位基本信息</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1394"/>
              <w:gridCol w:w="1447"/>
              <w:gridCol w:w="1167"/>
              <w:gridCol w:w="1342"/>
              <w:gridCol w:w="1335"/>
            </w:tblGrid>
            <w:tr w14:paraId="7FDC7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775" w:type="pct"/>
                  <w:gridSpan w:val="2"/>
                  <w:tcBorders>
                    <w:tl2br w:val="nil"/>
                    <w:tr2bl w:val="nil"/>
                  </w:tcBorders>
                  <w:shd w:val="clear" w:color="auto" w:fill="FFFFFF"/>
                  <w:noWrap w:val="0"/>
                  <w:vAlign w:val="center"/>
                </w:tcPr>
                <w:p w14:paraId="288DB1E8">
                  <w:pPr>
                    <w:pStyle w:val="44"/>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60" w:lineRule="auto"/>
                    <w:ind w:left="0" w:right="0" w:firstLine="0" w:firstLineChars="0"/>
                    <w:textAlignment w:val="auto"/>
                    <w:rPr>
                      <w:rFonts w:hint="eastAsia" w:ascii="Times New Roman" w:hAnsi="Times New Roman" w:eastAsia="宋体" w:cs="Times New Roman"/>
                      <w:b/>
                      <w:bCs/>
                      <w:color w:val="auto"/>
                      <w:sz w:val="21"/>
                      <w:szCs w:val="21"/>
                      <w:highlight w:val="none"/>
                      <w:u w:val="none" w:color="auto"/>
                      <w:lang w:eastAsia="zh-CN"/>
                    </w:rPr>
                  </w:pPr>
                  <w:r>
                    <w:rPr>
                      <w:rFonts w:hint="default" w:ascii="Times New Roman" w:hAnsi="Times New Roman" w:cs="Times New Roman"/>
                      <w:b/>
                      <w:bCs/>
                      <w:color w:val="auto"/>
                      <w:sz w:val="21"/>
                      <w:szCs w:val="21"/>
                      <w:highlight w:val="none"/>
                      <w:u w:val="none" w:color="auto"/>
                    </w:rPr>
                    <w:t>监测点</w:t>
                  </w:r>
                  <w:r>
                    <w:rPr>
                      <w:rFonts w:hint="eastAsia" w:ascii="Times New Roman" w:hAnsi="Times New Roman" w:cs="Times New Roman"/>
                      <w:b/>
                      <w:bCs/>
                      <w:color w:val="auto"/>
                      <w:sz w:val="21"/>
                      <w:szCs w:val="21"/>
                      <w:highlight w:val="none"/>
                      <w:u w:val="none" w:color="auto"/>
                      <w:lang w:eastAsia="zh-CN"/>
                    </w:rPr>
                    <w:t>经纬度</w:t>
                  </w:r>
                </w:p>
              </w:tc>
              <w:tc>
                <w:tcPr>
                  <w:tcW w:w="881" w:type="pct"/>
                  <w:vMerge w:val="restart"/>
                  <w:tcBorders>
                    <w:tl2br w:val="nil"/>
                    <w:tr2bl w:val="nil"/>
                  </w:tcBorders>
                  <w:shd w:val="clear" w:color="auto" w:fill="FFFFFF"/>
                  <w:noWrap w:val="0"/>
                  <w:vAlign w:val="center"/>
                </w:tcPr>
                <w:p w14:paraId="5C422D18">
                  <w:pPr>
                    <w:pStyle w:val="44"/>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60" w:lineRule="auto"/>
                    <w:ind w:left="0" w:right="0" w:firstLine="0" w:firstLineChars="0"/>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监测因子</w:t>
                  </w:r>
                </w:p>
              </w:tc>
              <w:tc>
                <w:tcPr>
                  <w:tcW w:w="711" w:type="pct"/>
                  <w:vMerge w:val="restart"/>
                  <w:tcBorders>
                    <w:tl2br w:val="nil"/>
                    <w:tr2bl w:val="nil"/>
                  </w:tcBorders>
                  <w:shd w:val="clear" w:color="auto" w:fill="FFFFFF"/>
                  <w:noWrap w:val="0"/>
                  <w:vAlign w:val="center"/>
                </w:tcPr>
                <w:p w14:paraId="22466749">
                  <w:pPr>
                    <w:pStyle w:val="44"/>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60" w:lineRule="auto"/>
                    <w:ind w:left="0" w:right="0" w:firstLine="0" w:firstLineChars="0"/>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监测时段</w:t>
                  </w:r>
                </w:p>
              </w:tc>
              <w:tc>
                <w:tcPr>
                  <w:tcW w:w="817" w:type="pct"/>
                  <w:vMerge w:val="restart"/>
                  <w:tcBorders>
                    <w:tl2br w:val="nil"/>
                    <w:tr2bl w:val="nil"/>
                  </w:tcBorders>
                  <w:shd w:val="clear" w:color="auto" w:fill="FFFFFF"/>
                  <w:noWrap w:val="0"/>
                  <w:vAlign w:val="center"/>
                </w:tcPr>
                <w:p w14:paraId="50D02F97">
                  <w:pPr>
                    <w:pStyle w:val="44"/>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60" w:lineRule="auto"/>
                    <w:ind w:left="0" w:right="0" w:firstLine="0" w:firstLineChars="0"/>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相对厂址方位</w:t>
                  </w:r>
                </w:p>
              </w:tc>
              <w:tc>
                <w:tcPr>
                  <w:tcW w:w="813" w:type="pct"/>
                  <w:vMerge w:val="restart"/>
                  <w:tcBorders>
                    <w:tl2br w:val="nil"/>
                    <w:tr2bl w:val="nil"/>
                  </w:tcBorders>
                  <w:shd w:val="clear" w:color="auto" w:fill="FFFFFF"/>
                  <w:noWrap w:val="0"/>
                  <w:vAlign w:val="center"/>
                </w:tcPr>
                <w:p w14:paraId="5ED95928">
                  <w:pPr>
                    <w:pStyle w:val="44"/>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line="260" w:lineRule="auto"/>
                    <w:ind w:left="0" w:right="0" w:firstLine="0" w:firstLineChars="0"/>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相对厂界距离/m</w:t>
                  </w:r>
                </w:p>
              </w:tc>
            </w:tr>
            <w:tr w14:paraId="621C0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26" w:type="pct"/>
                  <w:tcBorders>
                    <w:tl2br w:val="nil"/>
                    <w:tr2bl w:val="nil"/>
                  </w:tcBorders>
                  <w:shd w:val="clear" w:color="auto" w:fill="FFFFFF"/>
                  <w:noWrap w:val="0"/>
                  <w:vAlign w:val="center"/>
                </w:tcPr>
                <w:p w14:paraId="1B62B1F0">
                  <w:pPr>
                    <w:pStyle w:val="44"/>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ind w:left="0" w:right="0"/>
                    <w:textAlignment w:val="auto"/>
                    <w:rPr>
                      <w:rFonts w:hint="default" w:ascii="Times New Roman" w:hAnsi="Times New Roman" w:eastAsia="宋体" w:cs="Times New Roman"/>
                      <w:b/>
                      <w:bCs/>
                      <w:i w:val="0"/>
                      <w:iCs w:val="0"/>
                      <w:color w:val="auto"/>
                      <w:sz w:val="21"/>
                      <w:szCs w:val="21"/>
                      <w:highlight w:val="none"/>
                      <w:u w:val="none" w:color="auto"/>
                      <w:lang w:val="en-US" w:eastAsia="zh-CN"/>
                    </w:rPr>
                  </w:pPr>
                  <w:r>
                    <w:rPr>
                      <w:rFonts w:hint="eastAsia" w:ascii="Times New Roman" w:hAnsi="Times New Roman" w:cs="Times New Roman"/>
                      <w:b/>
                      <w:bCs/>
                      <w:i w:val="0"/>
                      <w:iCs w:val="0"/>
                      <w:color w:val="auto"/>
                      <w:sz w:val="21"/>
                      <w:szCs w:val="21"/>
                      <w:highlight w:val="none"/>
                      <w:u w:val="none" w:color="auto"/>
                      <w:lang w:val="en-US" w:eastAsia="zh-CN"/>
                    </w:rPr>
                    <w:t>东经</w:t>
                  </w:r>
                </w:p>
              </w:tc>
              <w:tc>
                <w:tcPr>
                  <w:tcW w:w="849" w:type="pct"/>
                  <w:tcBorders>
                    <w:tl2br w:val="nil"/>
                    <w:tr2bl w:val="nil"/>
                  </w:tcBorders>
                  <w:shd w:val="clear" w:color="auto" w:fill="FFFFFF"/>
                  <w:noWrap w:val="0"/>
                  <w:vAlign w:val="center"/>
                </w:tcPr>
                <w:p w14:paraId="5C24C592">
                  <w:pPr>
                    <w:pStyle w:val="44"/>
                    <w:keepNext w:val="0"/>
                    <w:keepLines w:val="0"/>
                    <w:pageBreakBefore w:val="0"/>
                    <w:widowControl/>
                    <w:suppressLineNumbers w:val="0"/>
                    <w:kinsoku/>
                    <w:wordWrap/>
                    <w:overflowPunct/>
                    <w:topLinePunct w:val="0"/>
                    <w:autoSpaceDE/>
                    <w:autoSpaceDN/>
                    <w:bidi w:val="0"/>
                    <w:adjustRightInd w:val="0"/>
                    <w:snapToGrid w:val="0"/>
                    <w:spacing w:beforeAutospacing="0" w:after="0" w:afterLines="0" w:afterAutospacing="0"/>
                    <w:ind w:left="0" w:right="0"/>
                    <w:textAlignment w:val="auto"/>
                    <w:rPr>
                      <w:rFonts w:hint="eastAsia" w:ascii="Times New Roman" w:hAnsi="Times New Roman" w:eastAsia="宋体" w:cs="Times New Roman"/>
                      <w:b/>
                      <w:bCs/>
                      <w:i w:val="0"/>
                      <w:iCs w:val="0"/>
                      <w:color w:val="auto"/>
                      <w:sz w:val="21"/>
                      <w:szCs w:val="21"/>
                      <w:highlight w:val="none"/>
                      <w:u w:val="none" w:color="auto"/>
                      <w:lang w:eastAsia="zh-CN"/>
                    </w:rPr>
                  </w:pPr>
                  <w:r>
                    <w:rPr>
                      <w:rFonts w:hint="eastAsia" w:ascii="Times New Roman" w:hAnsi="Times New Roman" w:cs="Times New Roman"/>
                      <w:b/>
                      <w:bCs/>
                      <w:i w:val="0"/>
                      <w:iCs w:val="0"/>
                      <w:color w:val="auto"/>
                      <w:sz w:val="21"/>
                      <w:szCs w:val="21"/>
                      <w:highlight w:val="none"/>
                      <w:u w:val="none" w:color="auto"/>
                      <w:lang w:eastAsia="zh-CN"/>
                    </w:rPr>
                    <w:t>北纬</w:t>
                  </w:r>
                </w:p>
              </w:tc>
              <w:tc>
                <w:tcPr>
                  <w:tcW w:w="881" w:type="pct"/>
                  <w:vMerge w:val="continue"/>
                  <w:tcBorders>
                    <w:tl2br w:val="nil"/>
                    <w:tr2bl w:val="nil"/>
                  </w:tcBorders>
                  <w:noWrap w:val="0"/>
                  <w:vAlign w:val="center"/>
                </w:tcPr>
                <w:p w14:paraId="553625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u w:val="none" w:color="auto"/>
                    </w:rPr>
                  </w:pPr>
                </w:p>
              </w:tc>
              <w:tc>
                <w:tcPr>
                  <w:tcW w:w="711" w:type="pct"/>
                  <w:vMerge w:val="continue"/>
                  <w:tcBorders>
                    <w:tl2br w:val="nil"/>
                    <w:tr2bl w:val="nil"/>
                  </w:tcBorders>
                  <w:noWrap w:val="0"/>
                  <w:vAlign w:val="center"/>
                </w:tcPr>
                <w:p w14:paraId="13A14C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u w:val="none" w:color="auto"/>
                    </w:rPr>
                  </w:pPr>
                </w:p>
              </w:tc>
              <w:tc>
                <w:tcPr>
                  <w:tcW w:w="817" w:type="pct"/>
                  <w:vMerge w:val="continue"/>
                  <w:tcBorders>
                    <w:tl2br w:val="nil"/>
                    <w:tr2bl w:val="nil"/>
                  </w:tcBorders>
                  <w:noWrap w:val="0"/>
                  <w:vAlign w:val="center"/>
                </w:tcPr>
                <w:p w14:paraId="4F1512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u w:val="none" w:color="auto"/>
                    </w:rPr>
                  </w:pPr>
                </w:p>
              </w:tc>
              <w:tc>
                <w:tcPr>
                  <w:tcW w:w="813" w:type="pct"/>
                  <w:vMerge w:val="continue"/>
                  <w:tcBorders>
                    <w:tl2br w:val="nil"/>
                    <w:tr2bl w:val="nil"/>
                  </w:tcBorders>
                  <w:noWrap w:val="0"/>
                  <w:vAlign w:val="center"/>
                </w:tcPr>
                <w:p w14:paraId="0AF097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u w:val="none" w:color="auto"/>
                    </w:rPr>
                  </w:pPr>
                </w:p>
              </w:tc>
            </w:tr>
            <w:tr w14:paraId="733EC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26" w:type="pct"/>
                  <w:tcBorders>
                    <w:tl2br w:val="nil"/>
                    <w:tr2bl w:val="nil"/>
                  </w:tcBorders>
                  <w:shd w:val="clear" w:color="auto" w:fill="FFFFFF"/>
                  <w:noWrap w:val="0"/>
                  <w:vAlign w:val="center"/>
                </w:tcPr>
                <w:p w14:paraId="1A2CD4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113.2</w:t>
                  </w:r>
                  <w:r>
                    <w:rPr>
                      <w:rFonts w:hint="eastAsia" w:cs="Times New Roman"/>
                      <w:color w:val="auto"/>
                      <w:sz w:val="21"/>
                      <w:szCs w:val="21"/>
                      <w:highlight w:val="none"/>
                      <w:u w:val="none" w:color="auto"/>
                      <w:lang w:val="en-US" w:eastAsia="zh-CN"/>
                    </w:rPr>
                    <w:t>50820</w:t>
                  </w:r>
                </w:p>
              </w:tc>
              <w:tc>
                <w:tcPr>
                  <w:tcW w:w="849" w:type="pct"/>
                  <w:tcBorders>
                    <w:tl2br w:val="nil"/>
                    <w:tr2bl w:val="nil"/>
                  </w:tcBorders>
                  <w:shd w:val="clear" w:color="auto" w:fill="FFFFFF"/>
                  <w:noWrap w:val="0"/>
                  <w:vAlign w:val="center"/>
                </w:tcPr>
                <w:p w14:paraId="4BA59B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29.</w:t>
                  </w:r>
                  <w:r>
                    <w:rPr>
                      <w:rFonts w:hint="eastAsia" w:cs="Times New Roman"/>
                      <w:color w:val="auto"/>
                      <w:sz w:val="21"/>
                      <w:szCs w:val="21"/>
                      <w:highlight w:val="none"/>
                      <w:u w:val="none" w:color="auto"/>
                      <w:lang w:val="en-US" w:eastAsia="zh-CN"/>
                    </w:rPr>
                    <w:t>508450</w:t>
                  </w:r>
                </w:p>
              </w:tc>
              <w:tc>
                <w:tcPr>
                  <w:tcW w:w="881" w:type="pct"/>
                  <w:tcBorders>
                    <w:tl2br w:val="nil"/>
                    <w:tr2bl w:val="nil"/>
                  </w:tcBorders>
                  <w:shd w:val="clear" w:color="auto" w:fill="FFFFFF"/>
                  <w:noWrap w:val="0"/>
                  <w:vAlign w:val="center"/>
                </w:tcPr>
                <w:p w14:paraId="3E081B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TSP</w:t>
                  </w:r>
                </w:p>
              </w:tc>
              <w:tc>
                <w:tcPr>
                  <w:tcW w:w="711" w:type="pct"/>
                  <w:tcBorders>
                    <w:tl2br w:val="nil"/>
                    <w:tr2bl w:val="nil"/>
                  </w:tcBorders>
                  <w:shd w:val="clear" w:color="auto" w:fill="FFFFFF"/>
                  <w:noWrap w:val="0"/>
                  <w:vAlign w:val="center"/>
                </w:tcPr>
                <w:p w14:paraId="6FCC5A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cs="Times New Roman"/>
                      <w:color w:val="auto"/>
                      <w:sz w:val="21"/>
                      <w:szCs w:val="21"/>
                      <w:highlight w:val="none"/>
                      <w:u w:val="none" w:color="auto"/>
                      <w:lang w:eastAsia="zh-CN"/>
                    </w:rPr>
                    <w:t>日均值</w:t>
                  </w:r>
                </w:p>
              </w:tc>
              <w:tc>
                <w:tcPr>
                  <w:tcW w:w="817" w:type="pct"/>
                  <w:tcBorders>
                    <w:tl2br w:val="nil"/>
                    <w:tr2bl w:val="nil"/>
                  </w:tcBorders>
                  <w:shd w:val="clear" w:color="auto" w:fill="FFFFFF"/>
                  <w:noWrap w:val="0"/>
                  <w:vAlign w:val="center"/>
                </w:tcPr>
                <w:p w14:paraId="6614E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东北</w:t>
                  </w:r>
                  <w:r>
                    <w:rPr>
                      <w:rFonts w:hint="eastAsia" w:ascii="Times New Roman" w:hAnsi="Times New Roman" w:cs="Times New Roman"/>
                      <w:color w:val="auto"/>
                      <w:sz w:val="21"/>
                      <w:szCs w:val="21"/>
                      <w:highlight w:val="none"/>
                      <w:u w:val="none" w:color="auto"/>
                      <w:lang w:eastAsia="zh-CN"/>
                    </w:rPr>
                    <w:t>侧</w:t>
                  </w:r>
                </w:p>
              </w:tc>
              <w:tc>
                <w:tcPr>
                  <w:tcW w:w="813" w:type="pct"/>
                  <w:tcBorders>
                    <w:tl2br w:val="nil"/>
                    <w:tr2bl w:val="nil"/>
                  </w:tcBorders>
                  <w:shd w:val="clear" w:color="auto" w:fill="FFFFFF"/>
                  <w:noWrap w:val="0"/>
                  <w:vAlign w:val="center"/>
                </w:tcPr>
                <w:p w14:paraId="5CD4E1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u w:val="none" w:color="auto"/>
                      <w:lang w:val="en-US"/>
                    </w:rPr>
                  </w:pPr>
                  <w:r>
                    <w:rPr>
                      <w:rFonts w:hint="eastAsia" w:cs="Times New Roman"/>
                      <w:color w:val="auto"/>
                      <w:sz w:val="21"/>
                      <w:szCs w:val="21"/>
                      <w:highlight w:val="none"/>
                      <w:u w:val="none" w:color="auto"/>
                      <w:lang w:val="en-US" w:eastAsia="zh-CN"/>
                    </w:rPr>
                    <w:t>4500</w:t>
                  </w:r>
                </w:p>
              </w:tc>
            </w:tr>
          </w:tbl>
          <w:p w14:paraId="7FFD7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eastAsia="宋体"/>
                <w:b/>
                <w:bCs w:val="0"/>
                <w:color w:val="auto"/>
                <w:sz w:val="24"/>
                <w:szCs w:val="24"/>
                <w:u w:val="none"/>
                <w:lang w:val="en-US" w:eastAsia="zh-CN"/>
              </w:rPr>
            </w:pPr>
            <w:r>
              <w:rPr>
                <w:rFonts w:hint="eastAsia" w:eastAsia="宋体"/>
                <w:b/>
                <w:bCs w:val="0"/>
                <w:color w:val="auto"/>
                <w:sz w:val="24"/>
                <w:szCs w:val="24"/>
                <w:u w:val="none"/>
                <w:lang w:val="en-US" w:eastAsia="zh-CN"/>
              </w:rPr>
              <w:t>表3-3  其他污染物环境质量现状监测结果表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140"/>
              <w:gridCol w:w="1146"/>
              <w:gridCol w:w="1264"/>
              <w:gridCol w:w="1576"/>
              <w:gridCol w:w="1377"/>
              <w:gridCol w:w="1702"/>
            </w:tblGrid>
            <w:tr w14:paraId="1FDCF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1181" w:type="dxa"/>
                  <w:tcBorders>
                    <w:tl2br w:val="nil"/>
                    <w:tr2bl w:val="nil"/>
                  </w:tcBorders>
                  <w:noWrap w:val="0"/>
                  <w:vAlign w:val="center"/>
                </w:tcPr>
                <w:p w14:paraId="4139E9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b/>
                      <w:bCs/>
                      <w:kern w:val="0"/>
                      <w:sz w:val="21"/>
                      <w:szCs w:val="21"/>
                    </w:rPr>
                  </w:pPr>
                  <w:r>
                    <w:rPr>
                      <w:rFonts w:hint="default"/>
                      <w:b/>
                      <w:bCs/>
                      <w:sz w:val="21"/>
                      <w:szCs w:val="21"/>
                    </w:rPr>
                    <w:t>采样点位</w:t>
                  </w:r>
                </w:p>
              </w:tc>
              <w:tc>
                <w:tcPr>
                  <w:tcW w:w="1187" w:type="dxa"/>
                  <w:tcBorders>
                    <w:tl2br w:val="nil"/>
                    <w:tr2bl w:val="nil"/>
                  </w:tcBorders>
                  <w:noWrap w:val="0"/>
                  <w:vAlign w:val="center"/>
                </w:tcPr>
                <w:p w14:paraId="78319F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b/>
                      <w:bCs/>
                      <w:sz w:val="21"/>
                      <w:szCs w:val="21"/>
                    </w:rPr>
                  </w:pPr>
                  <w:r>
                    <w:rPr>
                      <w:rFonts w:hint="default"/>
                      <w:b/>
                      <w:bCs/>
                      <w:sz w:val="21"/>
                      <w:szCs w:val="21"/>
                    </w:rPr>
                    <w:t>检测项目</w:t>
                  </w:r>
                </w:p>
              </w:tc>
              <w:tc>
                <w:tcPr>
                  <w:tcW w:w="1309" w:type="dxa"/>
                  <w:tcBorders>
                    <w:tl2br w:val="nil"/>
                    <w:tr2bl w:val="nil"/>
                  </w:tcBorders>
                  <w:noWrap w:val="0"/>
                  <w:vAlign w:val="center"/>
                </w:tcPr>
                <w:p w14:paraId="61F7F4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b/>
                      <w:bCs/>
                      <w:sz w:val="21"/>
                      <w:szCs w:val="21"/>
                    </w:rPr>
                  </w:pPr>
                  <w:r>
                    <w:rPr>
                      <w:rFonts w:hint="default"/>
                      <w:b/>
                      <w:bCs/>
                      <w:kern w:val="0"/>
                      <w:sz w:val="21"/>
                      <w:szCs w:val="21"/>
                    </w:rPr>
                    <w:t>采样时间</w:t>
                  </w:r>
                </w:p>
              </w:tc>
              <w:tc>
                <w:tcPr>
                  <w:tcW w:w="1632" w:type="dxa"/>
                  <w:tcBorders>
                    <w:tl2br w:val="nil"/>
                    <w:tr2bl w:val="nil"/>
                  </w:tcBorders>
                  <w:noWrap w:val="0"/>
                  <w:vAlign w:val="center"/>
                </w:tcPr>
                <w:p w14:paraId="156291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b/>
                      <w:bCs/>
                      <w:sz w:val="21"/>
                      <w:szCs w:val="21"/>
                    </w:rPr>
                  </w:pPr>
                  <w:r>
                    <w:rPr>
                      <w:rFonts w:hint="default"/>
                      <w:b/>
                      <w:bCs/>
                      <w:sz w:val="21"/>
                      <w:szCs w:val="21"/>
                    </w:rPr>
                    <w:t>检测结果</w:t>
                  </w:r>
                </w:p>
              </w:tc>
              <w:tc>
                <w:tcPr>
                  <w:tcW w:w="1426" w:type="dxa"/>
                  <w:tcBorders>
                    <w:tl2br w:val="nil"/>
                    <w:tr2bl w:val="nil"/>
                  </w:tcBorders>
                  <w:noWrap w:val="0"/>
                  <w:vAlign w:val="center"/>
                </w:tcPr>
                <w:p w14:paraId="5FFB2D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eastAsia="宋体"/>
                      <w:b/>
                      <w:bCs/>
                      <w:sz w:val="21"/>
                      <w:szCs w:val="21"/>
                      <w:lang w:eastAsia="zh-CN"/>
                    </w:rPr>
                  </w:pPr>
                  <w:r>
                    <w:rPr>
                      <w:rFonts w:hint="eastAsia"/>
                      <w:b/>
                      <w:bCs/>
                      <w:sz w:val="21"/>
                      <w:szCs w:val="21"/>
                      <w:lang w:eastAsia="zh-CN"/>
                    </w:rPr>
                    <w:t>评价标准</w:t>
                  </w:r>
                </w:p>
              </w:tc>
              <w:tc>
                <w:tcPr>
                  <w:tcW w:w="1763" w:type="dxa"/>
                  <w:tcBorders>
                    <w:tl2br w:val="nil"/>
                    <w:tr2bl w:val="nil"/>
                  </w:tcBorders>
                  <w:noWrap w:val="0"/>
                  <w:vAlign w:val="center"/>
                </w:tcPr>
                <w:p w14:paraId="386BAF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b/>
                      <w:bCs/>
                      <w:sz w:val="21"/>
                      <w:szCs w:val="21"/>
                      <w:lang w:eastAsia="zh-CN"/>
                    </w:rPr>
                  </w:pPr>
                  <w:r>
                    <w:rPr>
                      <w:rFonts w:hint="default"/>
                      <w:b/>
                      <w:bCs/>
                      <w:color w:val="auto"/>
                      <w:sz w:val="21"/>
                      <w:szCs w:val="21"/>
                    </w:rPr>
                    <w:t>达标情况</w:t>
                  </w:r>
                </w:p>
              </w:tc>
            </w:tr>
            <w:tr w14:paraId="46EAE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181" w:type="dxa"/>
                  <w:vMerge w:val="restart"/>
                  <w:tcBorders>
                    <w:tl2br w:val="nil"/>
                    <w:tr2bl w:val="nil"/>
                  </w:tcBorders>
                  <w:noWrap w:val="0"/>
                  <w:vAlign w:val="center"/>
                </w:tcPr>
                <w:p w14:paraId="04D8D9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olor w:val="FF0000"/>
                      <w:kern w:val="0"/>
                      <w:sz w:val="21"/>
                      <w:szCs w:val="21"/>
                      <w:lang w:val="en-US"/>
                    </w:rPr>
                  </w:pPr>
                  <w:r>
                    <w:rPr>
                      <w:rFonts w:hint="eastAsia" w:ascii="Times New Roman" w:hAnsi="Times New Roman" w:cs="Times New Roman"/>
                      <w:sz w:val="21"/>
                      <w:szCs w:val="21"/>
                      <w:lang w:val="en-US" w:eastAsia="zh-CN"/>
                    </w:rPr>
                    <w:t>东北</w:t>
                  </w:r>
                  <w:r>
                    <w:rPr>
                      <w:rFonts w:hint="eastAsia" w:ascii="Times New Roman" w:hAnsi="Times New Roman" w:eastAsia="宋体" w:cs="Times New Roman"/>
                      <w:sz w:val="21"/>
                      <w:szCs w:val="21"/>
                      <w:lang w:val="en-US" w:eastAsia="zh-CN"/>
                    </w:rPr>
                    <w:t>约4</w:t>
                  </w:r>
                  <w:r>
                    <w:rPr>
                      <w:rFonts w:hint="eastAsia" w:ascii="Times New Roman" w:hAnsi="Times New Roman" w:cs="Times New Roman"/>
                      <w:sz w:val="21"/>
                      <w:szCs w:val="21"/>
                      <w:lang w:val="en-US" w:eastAsia="zh-CN"/>
                    </w:rPr>
                    <w:t>5</w:t>
                  </w:r>
                  <w:r>
                    <w:rPr>
                      <w:rFonts w:hint="eastAsia" w:ascii="Times New Roman" w:hAnsi="Times New Roman" w:eastAsia="宋体" w:cs="Times New Roman"/>
                      <w:sz w:val="21"/>
                      <w:szCs w:val="21"/>
                      <w:lang w:val="en-US" w:eastAsia="zh-CN"/>
                    </w:rPr>
                    <w:t>00</w:t>
                  </w:r>
                  <w:r>
                    <w:rPr>
                      <w:rFonts w:hint="default" w:ascii="Times New Roman" w:hAnsi="Times New Roman" w:cs="Times New Roman"/>
                      <w:color w:val="000000"/>
                      <w:kern w:val="0"/>
                      <w:sz w:val="24"/>
                      <w:szCs w:val="24"/>
                      <w:lang w:val="en-US" w:eastAsia="zh-CN" w:bidi="ar"/>
                    </w:rPr>
                    <w:t>m</w:t>
                  </w:r>
                </w:p>
              </w:tc>
              <w:tc>
                <w:tcPr>
                  <w:tcW w:w="1187" w:type="dxa"/>
                  <w:vMerge w:val="restart"/>
                  <w:tcBorders>
                    <w:tl2br w:val="nil"/>
                    <w:tr2bl w:val="nil"/>
                  </w:tcBorders>
                  <w:noWrap w:val="0"/>
                  <w:vAlign w:val="center"/>
                </w:tcPr>
                <w:p w14:paraId="4AA3ED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sz w:val="21"/>
                      <w:szCs w:val="21"/>
                      <w:lang w:val="en-US" w:eastAsia="zh-CN"/>
                    </w:rPr>
                  </w:pPr>
                  <w:r>
                    <w:rPr>
                      <w:rFonts w:hint="eastAsia"/>
                      <w:sz w:val="21"/>
                      <w:szCs w:val="21"/>
                      <w:lang w:val="en-US" w:eastAsia="zh-CN"/>
                    </w:rPr>
                    <w:t>总悬浮颗粒物</w:t>
                  </w:r>
                </w:p>
              </w:tc>
              <w:tc>
                <w:tcPr>
                  <w:tcW w:w="1309" w:type="dxa"/>
                  <w:tcBorders>
                    <w:tl2br w:val="nil"/>
                    <w:tr2bl w:val="nil"/>
                  </w:tcBorders>
                  <w:noWrap w:val="0"/>
                  <w:vAlign w:val="center"/>
                </w:tcPr>
                <w:p w14:paraId="027372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sz w:val="21"/>
                      <w:szCs w:val="21"/>
                      <w:lang w:val="en-US" w:eastAsia="zh-CN"/>
                    </w:rPr>
                  </w:pPr>
                  <w:r>
                    <w:rPr>
                      <w:rFonts w:hint="eastAsia" w:cs="Times New Roman"/>
                      <w:color w:val="000000"/>
                      <w:kern w:val="0"/>
                      <w:sz w:val="21"/>
                      <w:szCs w:val="21"/>
                      <w:lang w:val="en-US" w:eastAsia="zh-CN"/>
                    </w:rPr>
                    <w:t>2023.1.4</w:t>
                  </w:r>
                </w:p>
              </w:tc>
              <w:tc>
                <w:tcPr>
                  <w:tcW w:w="1632" w:type="dxa"/>
                  <w:tcBorders>
                    <w:tl2br w:val="nil"/>
                    <w:tr2bl w:val="nil"/>
                  </w:tcBorders>
                  <w:noWrap w:val="0"/>
                  <w:vAlign w:val="center"/>
                </w:tcPr>
                <w:p w14:paraId="37D5CA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sz w:val="21"/>
                      <w:szCs w:val="21"/>
                      <w:lang w:val="en-US" w:eastAsia="zh-CN"/>
                    </w:rPr>
                  </w:pPr>
                  <w:r>
                    <w:rPr>
                      <w:rFonts w:hint="eastAsia"/>
                      <w:sz w:val="21"/>
                      <w:szCs w:val="21"/>
                      <w:lang w:val="en-US" w:eastAsia="zh-CN"/>
                    </w:rPr>
                    <w:t>0.070</w:t>
                  </w:r>
                </w:p>
              </w:tc>
              <w:tc>
                <w:tcPr>
                  <w:tcW w:w="1426" w:type="dxa"/>
                  <w:tcBorders>
                    <w:tl2br w:val="nil"/>
                    <w:tr2bl w:val="nil"/>
                  </w:tcBorders>
                  <w:noWrap w:val="0"/>
                  <w:vAlign w:val="center"/>
                </w:tcPr>
                <w:p w14:paraId="0B7385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sz w:val="21"/>
                      <w:szCs w:val="21"/>
                      <w:lang w:val="en-US" w:eastAsia="zh-CN"/>
                    </w:rPr>
                  </w:pPr>
                  <w:r>
                    <w:rPr>
                      <w:rFonts w:hint="eastAsia"/>
                      <w:sz w:val="21"/>
                      <w:szCs w:val="21"/>
                      <w:lang w:val="en-US" w:eastAsia="zh-CN"/>
                    </w:rPr>
                    <w:t>0.3</w:t>
                  </w:r>
                </w:p>
              </w:tc>
              <w:tc>
                <w:tcPr>
                  <w:tcW w:w="1763" w:type="dxa"/>
                  <w:tcBorders>
                    <w:tl2br w:val="nil"/>
                    <w:tr2bl w:val="nil"/>
                  </w:tcBorders>
                  <w:noWrap w:val="0"/>
                  <w:vAlign w:val="center"/>
                </w:tcPr>
                <w:p w14:paraId="18A341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sz w:val="21"/>
                      <w:szCs w:val="21"/>
                      <w:lang w:val="en-US" w:eastAsia="zh-CN"/>
                    </w:rPr>
                  </w:pPr>
                  <w:r>
                    <w:rPr>
                      <w:rFonts w:hint="default"/>
                      <w:color w:val="auto"/>
                      <w:sz w:val="21"/>
                      <w:szCs w:val="21"/>
                    </w:rPr>
                    <w:t>达标</w:t>
                  </w:r>
                </w:p>
              </w:tc>
            </w:tr>
            <w:tr w14:paraId="038AA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181" w:type="dxa"/>
                  <w:vMerge w:val="continue"/>
                  <w:tcBorders>
                    <w:tl2br w:val="nil"/>
                    <w:tr2bl w:val="nil"/>
                  </w:tcBorders>
                  <w:noWrap w:val="0"/>
                  <w:vAlign w:val="center"/>
                </w:tcPr>
                <w:p w14:paraId="2E63C5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FF0000"/>
                      <w:kern w:val="0"/>
                      <w:sz w:val="21"/>
                      <w:szCs w:val="21"/>
                    </w:rPr>
                  </w:pPr>
                </w:p>
              </w:tc>
              <w:tc>
                <w:tcPr>
                  <w:tcW w:w="1187" w:type="dxa"/>
                  <w:vMerge w:val="continue"/>
                  <w:tcBorders>
                    <w:tl2br w:val="nil"/>
                    <w:tr2bl w:val="nil"/>
                  </w:tcBorders>
                  <w:noWrap w:val="0"/>
                  <w:vAlign w:val="center"/>
                </w:tcPr>
                <w:p w14:paraId="56F6D7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kern w:val="0"/>
                      <w:sz w:val="21"/>
                      <w:szCs w:val="21"/>
                      <w:lang w:val="en-US" w:eastAsia="zh-CN"/>
                    </w:rPr>
                  </w:pPr>
                </w:p>
              </w:tc>
              <w:tc>
                <w:tcPr>
                  <w:tcW w:w="1309" w:type="dxa"/>
                  <w:tcBorders>
                    <w:tl2br w:val="nil"/>
                    <w:tr2bl w:val="nil"/>
                  </w:tcBorders>
                  <w:noWrap w:val="0"/>
                  <w:vAlign w:val="center"/>
                </w:tcPr>
                <w:p w14:paraId="71258E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宋体"/>
                      <w:sz w:val="21"/>
                      <w:szCs w:val="21"/>
                      <w:lang w:val="en-US" w:eastAsia="zh-CN"/>
                    </w:rPr>
                  </w:pPr>
                  <w:r>
                    <w:rPr>
                      <w:rFonts w:hint="eastAsia" w:cs="Times New Roman"/>
                      <w:color w:val="000000"/>
                      <w:kern w:val="0"/>
                      <w:sz w:val="21"/>
                      <w:szCs w:val="21"/>
                      <w:lang w:val="en-US" w:eastAsia="zh-CN"/>
                    </w:rPr>
                    <w:t>2023.1.5</w:t>
                  </w:r>
                </w:p>
              </w:tc>
              <w:tc>
                <w:tcPr>
                  <w:tcW w:w="1632" w:type="dxa"/>
                  <w:tcBorders>
                    <w:tl2br w:val="nil"/>
                    <w:tr2bl w:val="nil"/>
                  </w:tcBorders>
                  <w:noWrap w:val="0"/>
                  <w:vAlign w:val="center"/>
                </w:tcPr>
                <w:p w14:paraId="28E313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sz w:val="21"/>
                      <w:szCs w:val="21"/>
                      <w:lang w:val="en-US" w:eastAsia="zh-CN"/>
                    </w:rPr>
                  </w:pPr>
                  <w:r>
                    <w:rPr>
                      <w:rFonts w:hint="eastAsia"/>
                      <w:sz w:val="21"/>
                      <w:szCs w:val="21"/>
                      <w:lang w:val="en-US" w:eastAsia="zh-CN"/>
                    </w:rPr>
                    <w:t>0.062</w:t>
                  </w:r>
                </w:p>
              </w:tc>
              <w:tc>
                <w:tcPr>
                  <w:tcW w:w="1426" w:type="dxa"/>
                  <w:tcBorders>
                    <w:tl2br w:val="nil"/>
                    <w:tr2bl w:val="nil"/>
                  </w:tcBorders>
                  <w:noWrap w:val="0"/>
                  <w:vAlign w:val="center"/>
                </w:tcPr>
                <w:p w14:paraId="222522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sz w:val="21"/>
                      <w:szCs w:val="21"/>
                      <w:lang w:val="en-US" w:eastAsia="zh-CN"/>
                    </w:rPr>
                  </w:pPr>
                  <w:r>
                    <w:rPr>
                      <w:rFonts w:hint="eastAsia"/>
                      <w:sz w:val="21"/>
                      <w:szCs w:val="21"/>
                      <w:lang w:val="en-US" w:eastAsia="zh-CN"/>
                    </w:rPr>
                    <w:t>0.3</w:t>
                  </w:r>
                </w:p>
              </w:tc>
              <w:tc>
                <w:tcPr>
                  <w:tcW w:w="1763" w:type="dxa"/>
                  <w:tcBorders>
                    <w:tl2br w:val="nil"/>
                    <w:tr2bl w:val="nil"/>
                  </w:tcBorders>
                  <w:noWrap w:val="0"/>
                  <w:vAlign w:val="center"/>
                </w:tcPr>
                <w:p w14:paraId="36B943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sz w:val="21"/>
                      <w:szCs w:val="21"/>
                      <w:lang w:val="en-US" w:eastAsia="zh-CN"/>
                    </w:rPr>
                  </w:pPr>
                  <w:r>
                    <w:rPr>
                      <w:rFonts w:hint="default"/>
                      <w:color w:val="auto"/>
                      <w:sz w:val="21"/>
                      <w:szCs w:val="21"/>
                    </w:rPr>
                    <w:t>达标</w:t>
                  </w:r>
                </w:p>
              </w:tc>
            </w:tr>
            <w:tr w14:paraId="67AAC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181" w:type="dxa"/>
                  <w:vMerge w:val="continue"/>
                  <w:tcBorders>
                    <w:tl2br w:val="nil"/>
                    <w:tr2bl w:val="nil"/>
                  </w:tcBorders>
                  <w:noWrap w:val="0"/>
                  <w:vAlign w:val="center"/>
                </w:tcPr>
                <w:p w14:paraId="7605C3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olor w:val="FF0000"/>
                      <w:kern w:val="0"/>
                      <w:sz w:val="21"/>
                      <w:szCs w:val="21"/>
                    </w:rPr>
                  </w:pPr>
                </w:p>
              </w:tc>
              <w:tc>
                <w:tcPr>
                  <w:tcW w:w="1187" w:type="dxa"/>
                  <w:vMerge w:val="continue"/>
                  <w:tcBorders>
                    <w:tl2br w:val="nil"/>
                    <w:tr2bl w:val="nil"/>
                  </w:tcBorders>
                  <w:noWrap w:val="0"/>
                  <w:vAlign w:val="center"/>
                </w:tcPr>
                <w:p w14:paraId="4292F8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kern w:val="0"/>
                      <w:sz w:val="21"/>
                      <w:szCs w:val="21"/>
                      <w:lang w:val="en-US" w:eastAsia="zh-CN"/>
                    </w:rPr>
                  </w:pPr>
                </w:p>
              </w:tc>
              <w:tc>
                <w:tcPr>
                  <w:tcW w:w="1309" w:type="dxa"/>
                  <w:tcBorders>
                    <w:tl2br w:val="nil"/>
                    <w:tr2bl w:val="nil"/>
                  </w:tcBorders>
                  <w:noWrap w:val="0"/>
                  <w:vAlign w:val="center"/>
                </w:tcPr>
                <w:p w14:paraId="33E09D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sz w:val="21"/>
                      <w:szCs w:val="21"/>
                      <w:lang w:val="en-US" w:eastAsia="zh-CN"/>
                    </w:rPr>
                  </w:pPr>
                  <w:r>
                    <w:rPr>
                      <w:rFonts w:hint="eastAsia" w:cs="Times New Roman"/>
                      <w:color w:val="000000"/>
                      <w:kern w:val="0"/>
                      <w:sz w:val="21"/>
                      <w:szCs w:val="21"/>
                      <w:lang w:val="en-US" w:eastAsia="zh-CN"/>
                    </w:rPr>
                    <w:t>2023.1.6</w:t>
                  </w:r>
                </w:p>
              </w:tc>
              <w:tc>
                <w:tcPr>
                  <w:tcW w:w="1632" w:type="dxa"/>
                  <w:tcBorders>
                    <w:tl2br w:val="nil"/>
                    <w:tr2bl w:val="nil"/>
                  </w:tcBorders>
                  <w:noWrap w:val="0"/>
                  <w:vAlign w:val="center"/>
                </w:tcPr>
                <w:p w14:paraId="49C4A5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sz w:val="21"/>
                      <w:szCs w:val="21"/>
                      <w:lang w:val="en-US" w:eastAsia="zh-CN"/>
                    </w:rPr>
                  </w:pPr>
                  <w:r>
                    <w:rPr>
                      <w:rFonts w:hint="eastAsia"/>
                      <w:sz w:val="21"/>
                      <w:szCs w:val="21"/>
                      <w:lang w:val="en-US" w:eastAsia="zh-CN"/>
                    </w:rPr>
                    <w:t>0.066</w:t>
                  </w:r>
                </w:p>
              </w:tc>
              <w:tc>
                <w:tcPr>
                  <w:tcW w:w="1426" w:type="dxa"/>
                  <w:tcBorders>
                    <w:tl2br w:val="nil"/>
                    <w:tr2bl w:val="nil"/>
                  </w:tcBorders>
                  <w:noWrap w:val="0"/>
                  <w:vAlign w:val="center"/>
                </w:tcPr>
                <w:p w14:paraId="65A568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sz w:val="21"/>
                      <w:szCs w:val="21"/>
                      <w:lang w:val="en-US" w:eastAsia="zh-CN"/>
                    </w:rPr>
                  </w:pPr>
                  <w:r>
                    <w:rPr>
                      <w:rFonts w:hint="eastAsia"/>
                      <w:sz w:val="21"/>
                      <w:szCs w:val="21"/>
                      <w:lang w:val="en-US" w:eastAsia="zh-CN"/>
                    </w:rPr>
                    <w:t>0.3</w:t>
                  </w:r>
                </w:p>
              </w:tc>
              <w:tc>
                <w:tcPr>
                  <w:tcW w:w="1763" w:type="dxa"/>
                  <w:tcBorders>
                    <w:tl2br w:val="nil"/>
                    <w:tr2bl w:val="nil"/>
                  </w:tcBorders>
                  <w:noWrap w:val="0"/>
                  <w:vAlign w:val="center"/>
                </w:tcPr>
                <w:p w14:paraId="71E00F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center"/>
                    <w:rPr>
                      <w:rFonts w:hint="eastAsia"/>
                      <w:sz w:val="21"/>
                      <w:szCs w:val="21"/>
                      <w:lang w:val="en-US" w:eastAsia="zh-CN"/>
                    </w:rPr>
                  </w:pPr>
                  <w:r>
                    <w:rPr>
                      <w:rFonts w:hint="default"/>
                      <w:color w:val="auto"/>
                      <w:sz w:val="21"/>
                      <w:szCs w:val="21"/>
                    </w:rPr>
                    <w:t>达标</w:t>
                  </w:r>
                </w:p>
              </w:tc>
            </w:tr>
          </w:tbl>
          <w:p w14:paraId="6498E247">
            <w:pPr>
              <w:pStyle w:val="6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default" w:ascii="Times New Roman" w:hAnsi="Times New Roman" w:eastAsia="宋体" w:cs="Times New Roman"/>
                <w:color w:val="auto"/>
                <w:spacing w:val="0"/>
                <w:position w:val="0"/>
                <w:sz w:val="24"/>
                <w:szCs w:val="24"/>
                <w:highlight w:val="none"/>
                <w:u w:val="none" w:color="auto"/>
                <w:lang w:val="en-US" w:eastAsia="zh-CN"/>
              </w:rPr>
            </w:pPr>
            <w:r>
              <w:rPr>
                <w:rFonts w:hint="eastAsia" w:ascii="Times New Roman" w:hAnsi="Times New Roman" w:eastAsia="宋体" w:cs="宋体"/>
                <w:bCs/>
                <w:color w:val="auto"/>
                <w:kern w:val="2"/>
                <w:sz w:val="24"/>
                <w:szCs w:val="22"/>
                <w:highlight w:val="none"/>
                <w:u w:val="none" w:color="auto"/>
                <w:lang w:val="en-US" w:eastAsia="zh-CN" w:bidi="ar"/>
              </w:rPr>
              <w:t>由监测结果可知，</w:t>
            </w:r>
            <w:r>
              <w:rPr>
                <w:rFonts w:hint="default" w:ascii="Times New Roman" w:hAnsi="Times New Roman" w:eastAsia="宋体" w:cs="Times New Roman"/>
                <w:snapToGrid w:val="0"/>
                <w:color w:val="auto"/>
                <w:kern w:val="0"/>
                <w:sz w:val="24"/>
                <w:szCs w:val="22"/>
                <w:highlight w:val="none"/>
                <w:u w:val="none" w:color="auto"/>
                <w:lang w:val="en-US" w:eastAsia="zh-CN" w:bidi="ar"/>
              </w:rPr>
              <w:t>TSP</w:t>
            </w:r>
            <w:r>
              <w:rPr>
                <w:rFonts w:hint="eastAsia" w:ascii="Times New Roman" w:hAnsi="Times New Roman" w:eastAsia="宋体" w:cs="宋体"/>
                <w:snapToGrid w:val="0"/>
                <w:color w:val="auto"/>
                <w:kern w:val="0"/>
                <w:sz w:val="24"/>
                <w:szCs w:val="22"/>
                <w:highlight w:val="none"/>
                <w:u w:val="none" w:color="auto"/>
                <w:lang w:val="en-US" w:eastAsia="zh-CN" w:bidi="ar"/>
              </w:rPr>
              <w:t>浓度满足</w:t>
            </w:r>
            <w:r>
              <w:rPr>
                <w:rFonts w:hint="eastAsia" w:ascii="Times New Roman" w:hAnsi="Times New Roman" w:eastAsia="宋体" w:cs="宋体"/>
                <w:color w:val="auto"/>
                <w:kern w:val="2"/>
                <w:sz w:val="24"/>
                <w:szCs w:val="22"/>
                <w:highlight w:val="none"/>
                <w:u w:val="none" w:color="auto"/>
                <w:lang w:val="en-US" w:eastAsia="zh-CN" w:bidi="ar"/>
              </w:rPr>
              <w:t>《环境空气质量标准》（</w:t>
            </w:r>
            <w:r>
              <w:rPr>
                <w:rFonts w:hint="default" w:ascii="Times New Roman" w:hAnsi="Times New Roman" w:eastAsia="宋体" w:cs="Times New Roman"/>
                <w:color w:val="auto"/>
                <w:kern w:val="2"/>
                <w:sz w:val="24"/>
                <w:szCs w:val="22"/>
                <w:highlight w:val="none"/>
                <w:u w:val="none" w:color="auto"/>
                <w:lang w:val="en-US" w:eastAsia="zh-CN" w:bidi="ar"/>
              </w:rPr>
              <w:t>GB3095-2012</w:t>
            </w:r>
            <w:r>
              <w:rPr>
                <w:rFonts w:hint="eastAsia" w:ascii="Times New Roman" w:hAnsi="Times New Roman" w:eastAsia="宋体" w:cs="宋体"/>
                <w:color w:val="auto"/>
                <w:kern w:val="2"/>
                <w:sz w:val="24"/>
                <w:szCs w:val="22"/>
                <w:highlight w:val="none"/>
                <w:u w:val="none" w:color="auto"/>
                <w:lang w:val="en-US" w:eastAsia="zh-CN" w:bidi="ar"/>
              </w:rPr>
              <w:t>）</w:t>
            </w:r>
            <w:r>
              <w:rPr>
                <w:rFonts w:hint="default" w:ascii="Times New Roman" w:hAnsi="Times New Roman" w:eastAsia="宋体" w:cs="Times New Roman"/>
                <w:color w:val="auto"/>
                <w:spacing w:val="0"/>
                <w:position w:val="0"/>
                <w:sz w:val="24"/>
                <w:szCs w:val="24"/>
                <w:highlight w:val="none"/>
                <w:u w:val="none" w:color="auto"/>
                <w:lang w:val="en-US" w:eastAsia="zh-CN"/>
              </w:rPr>
              <w:t>及其2018年修改单中二级标准要求。</w:t>
            </w:r>
          </w:p>
          <w:p w14:paraId="3686EE7A">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color w:val="auto"/>
                <w:spacing w:val="0"/>
                <w:position w:val="0"/>
                <w:sz w:val="24"/>
                <w:szCs w:val="24"/>
                <w:u w:val="none" w:color="auto"/>
              </w:rPr>
            </w:pPr>
            <w:r>
              <w:rPr>
                <w:rFonts w:hint="default" w:ascii="Times New Roman" w:hAnsi="Times New Roman" w:eastAsia="宋体" w:cs="Times New Roman"/>
                <w:b/>
                <w:bCs/>
                <w:color w:val="auto"/>
                <w:spacing w:val="0"/>
                <w:position w:val="0"/>
                <w:sz w:val="24"/>
                <w:szCs w:val="24"/>
                <w:u w:val="none" w:color="auto"/>
                <w:lang w:val="en-US" w:eastAsia="zh-CN"/>
              </w:rPr>
              <w:t>2、水环境质量现状</w:t>
            </w:r>
          </w:p>
          <w:p w14:paraId="123F7E2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firstLine="480" w:firstLineChars="200"/>
              <w:jc w:val="both"/>
              <w:textAlignment w:val="auto"/>
              <w:rPr>
                <w:rFonts w:hint="default"/>
              </w:rPr>
            </w:pPr>
            <w:r>
              <w:rPr>
                <w:rStyle w:val="95"/>
                <w:rFonts w:hint="eastAsia"/>
                <w:color w:val="auto"/>
                <w:sz w:val="24"/>
                <w:szCs w:val="24"/>
                <w:highlight w:val="none"/>
                <w:lang w:val="en-US" w:eastAsia="zh-CN"/>
              </w:rPr>
              <w:t>本项目废水依托</w:t>
            </w:r>
            <w:r>
              <w:rPr>
                <w:rFonts w:hint="eastAsia"/>
                <w:color w:val="auto"/>
                <w:sz w:val="24"/>
                <w:szCs w:val="24"/>
                <w:highlight w:val="none"/>
                <w:lang w:val="en-US" w:eastAsia="zh-CN"/>
              </w:rPr>
              <w:t>城陵矶临港产业新区污水处理厂进行处理，</w:t>
            </w:r>
            <w:r>
              <w:rPr>
                <w:rFonts w:hint="default" w:ascii="Times New Roman" w:hAnsi="Times New Roman" w:cs="Times New Roman"/>
                <w:color w:val="auto"/>
                <w:sz w:val="24"/>
                <w:szCs w:val="24"/>
                <w:highlight w:val="none"/>
                <w:lang w:val="en-US" w:eastAsia="zh-CN"/>
              </w:rPr>
              <w:t>达到《城镇污水处理厂污染物排放标准》（GB18918-2002）一级A类标准后，</w:t>
            </w:r>
            <w:r>
              <w:rPr>
                <w:rFonts w:hint="eastAsia" w:cs="Times New Roman"/>
                <w:color w:val="auto"/>
                <w:sz w:val="24"/>
                <w:szCs w:val="24"/>
                <w:highlight w:val="none"/>
                <w:lang w:val="en-US" w:eastAsia="zh-CN"/>
              </w:rPr>
              <w:t>经象骨港</w:t>
            </w:r>
            <w:r>
              <w:rPr>
                <w:rFonts w:hint="default" w:ascii="Times New Roman" w:hAnsi="Times New Roman" w:cs="Times New Roman"/>
                <w:color w:val="auto"/>
                <w:sz w:val="24"/>
                <w:szCs w:val="24"/>
                <w:highlight w:val="none"/>
                <w:lang w:val="en-US" w:eastAsia="zh-CN"/>
              </w:rPr>
              <w:t>排入</w:t>
            </w:r>
            <w:r>
              <w:rPr>
                <w:rFonts w:hint="eastAsia" w:cs="Times New Roman"/>
                <w:color w:val="auto"/>
                <w:sz w:val="24"/>
                <w:szCs w:val="24"/>
                <w:highlight w:val="none"/>
                <w:lang w:val="en-US" w:eastAsia="zh-CN"/>
              </w:rPr>
              <w:t>长江</w:t>
            </w:r>
            <w:r>
              <w:rPr>
                <w:rStyle w:val="95"/>
                <w:rFonts w:hint="eastAsia"/>
                <w:color w:val="auto"/>
                <w:sz w:val="24"/>
                <w:szCs w:val="24"/>
                <w:highlight w:val="none"/>
                <w:lang w:val="en-US" w:eastAsia="zh-CN"/>
              </w:rPr>
              <w:t>。</w:t>
            </w:r>
            <w:r>
              <w:rPr>
                <w:rFonts w:hint="eastAsia" w:ascii="宋体" w:hAnsi="宋体" w:eastAsia="宋体" w:cs="宋体"/>
                <w:color w:val="000000"/>
                <w:kern w:val="0"/>
                <w:sz w:val="24"/>
                <w:szCs w:val="24"/>
                <w:lang w:val="en-US" w:eastAsia="zh-CN" w:bidi="ar"/>
              </w:rPr>
              <w:t>根据岳阳市生态环境局公布的《岳阳市</w:t>
            </w:r>
            <w:r>
              <w:rPr>
                <w:rFonts w:hint="default" w:ascii="Times New Roman" w:hAnsi="Times New Roman" w:eastAsia="宋体" w:cs="Times New Roman"/>
                <w:color w:val="000000"/>
                <w:kern w:val="0"/>
                <w:sz w:val="24"/>
                <w:szCs w:val="24"/>
                <w:lang w:val="en-US" w:eastAsia="zh-CN" w:bidi="ar"/>
              </w:rPr>
              <w:t>2023</w:t>
            </w:r>
            <w:r>
              <w:rPr>
                <w:rFonts w:hint="eastAsia" w:ascii="宋体" w:hAnsi="宋体" w:eastAsia="宋体" w:cs="宋体"/>
                <w:color w:val="000000"/>
                <w:kern w:val="0"/>
                <w:sz w:val="24"/>
                <w:szCs w:val="24"/>
                <w:lang w:val="en-US" w:eastAsia="zh-CN" w:bidi="ar"/>
              </w:rPr>
              <w:t>年度生态环境质量公报》，</w:t>
            </w:r>
            <w:r>
              <w:rPr>
                <w:rFonts w:hint="default" w:ascii="Times New Roman" w:hAnsi="Times New Roman" w:eastAsia="宋体" w:cs="Times New Roman"/>
                <w:color w:val="000000"/>
                <w:kern w:val="0"/>
                <w:sz w:val="24"/>
                <w:szCs w:val="24"/>
                <w:lang w:val="en-US" w:eastAsia="zh-CN" w:bidi="ar"/>
              </w:rPr>
              <w:t xml:space="preserve">2023 </w:t>
            </w:r>
            <w:r>
              <w:rPr>
                <w:rFonts w:hint="eastAsia" w:ascii="宋体" w:hAnsi="宋体" w:eastAsia="宋体" w:cs="宋体"/>
                <w:color w:val="000000"/>
                <w:kern w:val="0"/>
                <w:sz w:val="24"/>
                <w:szCs w:val="24"/>
                <w:lang w:val="en-US" w:eastAsia="zh-CN" w:bidi="ar"/>
              </w:rPr>
              <w:t>年长江干流岳阳段水体水质总体为优。长江城陵矶、陆城等</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个监测断面水质均达到Ⅱ类。</w:t>
            </w:r>
          </w:p>
          <w:p w14:paraId="4198D7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bCs/>
                <w:color w:val="auto"/>
                <w:spacing w:val="0"/>
                <w:position w:val="0"/>
                <w:sz w:val="24"/>
                <w:szCs w:val="24"/>
                <w:u w:val="none" w:color="auto"/>
                <w:lang w:val="en-US" w:eastAsia="zh-CN"/>
              </w:rPr>
            </w:pPr>
            <w:r>
              <w:rPr>
                <w:rFonts w:hint="default" w:ascii="Times New Roman" w:hAnsi="Times New Roman" w:eastAsia="宋体" w:cs="Times New Roman"/>
                <w:b/>
                <w:bCs/>
                <w:color w:val="auto"/>
                <w:spacing w:val="0"/>
                <w:position w:val="0"/>
                <w:sz w:val="24"/>
                <w:szCs w:val="24"/>
                <w:u w:val="none" w:color="auto"/>
                <w:lang w:val="en-US" w:eastAsia="zh-CN"/>
              </w:rPr>
              <w:t>3、声环境质量现状</w:t>
            </w:r>
          </w:p>
          <w:p w14:paraId="22AD92E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bookmarkStart w:id="12" w:name="_Toc14011"/>
            <w:r>
              <w:rPr>
                <w:rFonts w:hint="default" w:ascii="Times New Roman" w:hAnsi="Times New Roman" w:eastAsia="宋体" w:cs="Times New Roman"/>
                <w:color w:val="auto"/>
                <w:spacing w:val="0"/>
                <w:position w:val="0"/>
                <w:sz w:val="24"/>
                <w:szCs w:val="24"/>
                <w:u w:val="none" w:color="auto"/>
                <w:lang w:val="en-US" w:eastAsia="zh-CN"/>
              </w:rPr>
              <w:t>《建设项目环境影响报告表编制技术指南（污染影响类）》（试行）明确区域声环境质量现状：厂界外周边50米范围内存在声环境保护目标的建设项目，应监测保护目标声环境质量现状并评价达标情况。</w:t>
            </w:r>
            <w:bookmarkEnd w:id="12"/>
            <w:r>
              <w:rPr>
                <w:rFonts w:hint="eastAsia" w:ascii="Times New Roman" w:hAnsi="Times New Roman" w:eastAsia="宋体" w:cs="Times New Roman"/>
                <w:color w:val="auto"/>
                <w:sz w:val="24"/>
                <w:szCs w:val="24"/>
                <w:u w:val="none"/>
                <w:lang w:eastAsia="zh-CN"/>
              </w:rPr>
              <w:t>本</w:t>
            </w:r>
            <w:r>
              <w:rPr>
                <w:rFonts w:hint="eastAsia" w:ascii="Times New Roman" w:hAnsi="Times New Roman" w:eastAsia="宋体" w:cs="Times New Roman"/>
                <w:color w:val="auto"/>
                <w:sz w:val="24"/>
                <w:szCs w:val="24"/>
                <w:u w:val="none"/>
              </w:rPr>
              <w:t>项目</w:t>
            </w:r>
            <w:r>
              <w:rPr>
                <w:rFonts w:hint="eastAsia" w:ascii="Times New Roman" w:hAnsi="Times New Roman" w:eastAsia="宋体" w:cs="Times New Roman"/>
                <w:color w:val="auto"/>
                <w:sz w:val="24"/>
                <w:szCs w:val="24"/>
                <w:u w:val="none"/>
                <w:lang w:eastAsia="zh-CN"/>
              </w:rPr>
              <w:t>周边</w:t>
            </w:r>
            <w:r>
              <w:rPr>
                <w:rFonts w:hint="eastAsia" w:ascii="Times New Roman" w:hAnsi="Times New Roman" w:eastAsia="宋体" w:cs="Times New Roman"/>
                <w:color w:val="auto"/>
                <w:sz w:val="24"/>
                <w:szCs w:val="24"/>
                <w:u w:val="none"/>
                <w:lang w:val="en-US" w:eastAsia="zh-CN"/>
              </w:rPr>
              <w:t>50m范围内无声环境敏感目标，按指南要求无需进行声环境质量现状监测。</w:t>
            </w:r>
          </w:p>
          <w:p w14:paraId="053B1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bCs/>
                <w:color w:val="auto"/>
                <w:spacing w:val="0"/>
                <w:position w:val="0"/>
                <w:sz w:val="24"/>
                <w:szCs w:val="24"/>
                <w:u w:val="none" w:color="auto"/>
                <w:lang w:val="en-US" w:eastAsia="zh-CN"/>
              </w:rPr>
            </w:pPr>
            <w:r>
              <w:rPr>
                <w:rFonts w:hint="default" w:ascii="Times New Roman" w:hAnsi="Times New Roman" w:eastAsia="宋体" w:cs="Times New Roman"/>
                <w:b/>
                <w:bCs/>
                <w:color w:val="auto"/>
                <w:spacing w:val="0"/>
                <w:position w:val="0"/>
                <w:sz w:val="24"/>
                <w:szCs w:val="24"/>
                <w:u w:val="none" w:color="auto"/>
                <w:lang w:val="en-US" w:eastAsia="zh-CN"/>
              </w:rPr>
              <w:t>4、生态环境质量现状</w:t>
            </w:r>
          </w:p>
          <w:p w14:paraId="547598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u w:val="none" w:color="auto"/>
                <w:lang w:val="en-US" w:eastAsia="zh-CN"/>
              </w:rPr>
            </w:pPr>
            <w:r>
              <w:rPr>
                <w:rFonts w:hint="default" w:ascii="Times New Roman" w:hAnsi="Times New Roman" w:eastAsia="宋体" w:cs="Times New Roman"/>
                <w:color w:val="auto"/>
                <w:spacing w:val="0"/>
                <w:position w:val="0"/>
                <w:sz w:val="24"/>
                <w:szCs w:val="24"/>
                <w:u w:val="none" w:color="auto"/>
                <w:lang w:val="en-US" w:eastAsia="zh-CN"/>
              </w:rPr>
              <w:t>根据《建设项目环境影响报告表编制技术指南（污染影响类）（试行）》中具体编制要求</w:t>
            </w:r>
            <w:r>
              <w:rPr>
                <w:rFonts w:hint="eastAsia" w:cs="Times New Roman"/>
                <w:color w:val="auto"/>
                <w:spacing w:val="0"/>
                <w:position w:val="0"/>
                <w:sz w:val="24"/>
                <w:szCs w:val="24"/>
                <w:u w:val="none" w:color="auto"/>
                <w:lang w:val="en-US" w:eastAsia="zh-CN"/>
              </w:rPr>
              <w:t>“</w:t>
            </w:r>
            <w:r>
              <w:rPr>
                <w:rFonts w:hint="default" w:ascii="Times New Roman" w:hAnsi="Times New Roman" w:eastAsia="宋体" w:cs="Times New Roman"/>
                <w:color w:val="auto"/>
                <w:spacing w:val="0"/>
                <w:position w:val="0"/>
                <w:sz w:val="24"/>
                <w:szCs w:val="24"/>
                <w:u w:val="none" w:color="auto"/>
                <w:lang w:val="en-US" w:eastAsia="zh-CN"/>
              </w:rPr>
              <w:t>产业园区外建设项目新增用地且用地范围内含有生态环境敏感目标时，应进行生态调查。</w:t>
            </w:r>
            <w:r>
              <w:rPr>
                <w:rFonts w:hint="eastAsia" w:cs="Times New Roman"/>
                <w:color w:val="auto"/>
                <w:spacing w:val="0"/>
                <w:position w:val="0"/>
                <w:sz w:val="24"/>
                <w:szCs w:val="24"/>
                <w:u w:val="none" w:color="auto"/>
                <w:lang w:val="en-US" w:eastAsia="zh-CN"/>
              </w:rPr>
              <w:t>”</w:t>
            </w:r>
          </w:p>
          <w:p w14:paraId="21B955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lang w:val="en-US" w:eastAsia="zh-CN"/>
              </w:rPr>
              <w:t>本项目位于</w:t>
            </w:r>
            <w:r>
              <w:rPr>
                <w:rFonts w:hint="default" w:ascii="Times New Roman" w:hAnsi="Times New Roman" w:eastAsia="宋体" w:cs="Times New Roman"/>
                <w:color w:val="auto"/>
                <w:spacing w:val="0"/>
                <w:position w:val="0"/>
                <w:sz w:val="24"/>
                <w:szCs w:val="24"/>
                <w:u w:val="none" w:color="auto"/>
                <w:lang w:eastAsia="zh-CN"/>
              </w:rPr>
              <w:t>湖南省岳阳市</w:t>
            </w:r>
            <w:r>
              <w:rPr>
                <w:rFonts w:hint="eastAsia" w:cs="Times New Roman"/>
                <w:color w:val="auto"/>
                <w:spacing w:val="0"/>
                <w:position w:val="0"/>
                <w:sz w:val="24"/>
                <w:szCs w:val="24"/>
                <w:u w:val="none" w:color="auto"/>
                <w:lang w:eastAsia="zh-CN"/>
              </w:rPr>
              <w:t>城陵矶高新技术产业开发区</w:t>
            </w:r>
            <w:r>
              <w:rPr>
                <w:rFonts w:hint="default" w:ascii="Times New Roman" w:hAnsi="Times New Roman" w:eastAsia="宋体" w:cs="Times New Roman"/>
                <w:color w:val="auto"/>
                <w:spacing w:val="0"/>
                <w:position w:val="0"/>
                <w:sz w:val="24"/>
                <w:szCs w:val="24"/>
                <w:u w:val="none" w:color="auto"/>
                <w:lang w:val="en-US" w:eastAsia="zh-CN"/>
              </w:rPr>
              <w:t>现有厂</w:t>
            </w:r>
            <w:r>
              <w:rPr>
                <w:rFonts w:hint="eastAsia" w:cs="Times New Roman"/>
                <w:color w:val="auto"/>
                <w:spacing w:val="0"/>
                <w:position w:val="0"/>
                <w:sz w:val="24"/>
                <w:szCs w:val="24"/>
                <w:u w:val="none" w:color="auto"/>
                <w:lang w:val="en-US" w:eastAsia="zh-CN"/>
              </w:rPr>
              <w:t>区</w:t>
            </w:r>
            <w:r>
              <w:rPr>
                <w:rFonts w:hint="default" w:ascii="Times New Roman" w:hAnsi="Times New Roman" w:eastAsia="宋体" w:cs="Times New Roman"/>
                <w:color w:val="auto"/>
                <w:spacing w:val="0"/>
                <w:position w:val="0"/>
                <w:sz w:val="24"/>
                <w:szCs w:val="24"/>
                <w:u w:val="none" w:color="auto"/>
                <w:lang w:val="en-US" w:eastAsia="zh-CN"/>
              </w:rPr>
              <w:t>内，不新增用地，无需进行生态环境现状调查。</w:t>
            </w:r>
          </w:p>
          <w:p w14:paraId="5A994EB3">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pacing w:val="0"/>
                <w:position w:val="0"/>
                <w:sz w:val="24"/>
                <w:szCs w:val="24"/>
                <w:u w:val="none" w:color="auto"/>
                <w:lang w:val="en-US" w:eastAsia="zh-CN"/>
              </w:rPr>
            </w:pPr>
            <w:r>
              <w:rPr>
                <w:rFonts w:hint="default" w:ascii="Times New Roman" w:hAnsi="Times New Roman" w:eastAsia="宋体" w:cs="Times New Roman"/>
                <w:b/>
                <w:bCs/>
                <w:color w:val="auto"/>
                <w:spacing w:val="0"/>
                <w:position w:val="0"/>
                <w:sz w:val="24"/>
                <w:szCs w:val="24"/>
                <w:u w:val="none" w:color="auto"/>
                <w:lang w:val="en-US" w:eastAsia="zh-CN"/>
              </w:rPr>
              <w:t>5、地下水、土壤环境</w:t>
            </w:r>
          </w:p>
          <w:p w14:paraId="0F6E9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kern w:val="0"/>
                <w:position w:val="0"/>
                <w:szCs w:val="21"/>
                <w:u w:val="none" w:color="auto"/>
                <w:lang w:val="en-US" w:eastAsia="zh-CN"/>
              </w:rPr>
            </w:pPr>
            <w:r>
              <w:rPr>
                <w:rFonts w:hint="default" w:ascii="Times New Roman" w:hAnsi="Times New Roman" w:eastAsia="宋体" w:cs="Times New Roman"/>
                <w:b w:val="0"/>
                <w:bCs/>
                <w:color w:val="auto"/>
                <w:spacing w:val="0"/>
                <w:position w:val="0"/>
                <w:sz w:val="24"/>
                <w:szCs w:val="24"/>
                <w:u w:val="none" w:color="auto"/>
              </w:rPr>
              <w:t>根据《建设项目环境影响报告表编制技术指南</w:t>
            </w:r>
            <w:r>
              <w:rPr>
                <w:rFonts w:hint="default" w:ascii="Times New Roman" w:hAnsi="Times New Roman" w:eastAsia="宋体" w:cs="Times New Roman"/>
                <w:b w:val="0"/>
                <w:bCs/>
                <w:color w:val="auto"/>
                <w:spacing w:val="0"/>
                <w:position w:val="0"/>
                <w:sz w:val="24"/>
                <w:szCs w:val="24"/>
                <w:u w:val="none" w:color="auto"/>
                <w:lang w:eastAsia="zh-CN"/>
              </w:rPr>
              <w:t>（</w:t>
            </w:r>
            <w:r>
              <w:rPr>
                <w:rFonts w:hint="default" w:ascii="Times New Roman" w:hAnsi="Times New Roman" w:eastAsia="宋体" w:cs="Times New Roman"/>
                <w:b w:val="0"/>
                <w:bCs/>
                <w:color w:val="auto"/>
                <w:spacing w:val="0"/>
                <w:position w:val="0"/>
                <w:sz w:val="24"/>
                <w:szCs w:val="24"/>
                <w:u w:val="none" w:color="auto"/>
              </w:rPr>
              <w:t>污染影响类）</w:t>
            </w:r>
            <w:r>
              <w:rPr>
                <w:rFonts w:hint="default" w:ascii="Times New Roman" w:hAnsi="Times New Roman" w:eastAsia="宋体" w:cs="Times New Roman"/>
                <w:b w:val="0"/>
                <w:bCs/>
                <w:color w:val="auto"/>
                <w:spacing w:val="0"/>
                <w:position w:val="0"/>
                <w:sz w:val="24"/>
                <w:szCs w:val="24"/>
                <w:u w:val="none" w:color="auto"/>
                <w:lang w:eastAsia="zh-CN"/>
              </w:rPr>
              <w:t>（</w:t>
            </w:r>
            <w:r>
              <w:rPr>
                <w:rFonts w:hint="default" w:ascii="Times New Roman" w:hAnsi="Times New Roman" w:eastAsia="宋体" w:cs="Times New Roman"/>
                <w:b w:val="0"/>
                <w:bCs/>
                <w:color w:val="auto"/>
                <w:spacing w:val="0"/>
                <w:position w:val="0"/>
                <w:sz w:val="24"/>
                <w:szCs w:val="24"/>
                <w:u w:val="none" w:color="auto"/>
              </w:rPr>
              <w:t>试行）》中具体编制要求</w:t>
            </w:r>
            <w:r>
              <w:rPr>
                <w:rFonts w:hint="default" w:ascii="Times New Roman" w:hAnsi="Times New Roman" w:cs="Times New Roman"/>
                <w:b w:val="0"/>
                <w:bCs/>
                <w:color w:val="auto"/>
                <w:spacing w:val="0"/>
                <w:position w:val="0"/>
                <w:sz w:val="24"/>
                <w:szCs w:val="24"/>
                <w:u w:val="none" w:color="auto"/>
                <w:lang w:eastAsia="zh-CN"/>
              </w:rPr>
              <w:t>“</w:t>
            </w:r>
            <w:r>
              <w:rPr>
                <w:rFonts w:hint="default" w:ascii="Times New Roman" w:hAnsi="Times New Roman" w:eastAsia="宋体" w:cs="Times New Roman"/>
                <w:b w:val="0"/>
                <w:bCs/>
                <w:color w:val="auto"/>
                <w:spacing w:val="0"/>
                <w:position w:val="0"/>
                <w:sz w:val="24"/>
                <w:szCs w:val="24"/>
                <w:u w:val="none" w:color="auto"/>
              </w:rPr>
              <w:t>原则上不开展环境质量现状调查。建设项目存在地下水、土壤环境污染途径的，应结合污染源、保护目标分布情况开展现状调查以留作背景值。</w:t>
            </w:r>
            <w:r>
              <w:rPr>
                <w:rFonts w:hint="default" w:ascii="Times New Roman" w:hAnsi="Times New Roman" w:cs="Times New Roman"/>
                <w:b w:val="0"/>
                <w:bCs/>
                <w:color w:val="auto"/>
                <w:spacing w:val="0"/>
                <w:position w:val="0"/>
                <w:sz w:val="24"/>
                <w:szCs w:val="24"/>
                <w:u w:val="none" w:color="auto"/>
                <w:lang w:eastAsia="zh-CN"/>
              </w:rPr>
              <w:t>”</w:t>
            </w:r>
            <w:r>
              <w:rPr>
                <w:rFonts w:hint="default" w:ascii="Times New Roman" w:hAnsi="Times New Roman" w:eastAsia="宋体" w:cs="Times New Roman"/>
                <w:b w:val="0"/>
                <w:bCs/>
                <w:color w:val="auto"/>
                <w:spacing w:val="0"/>
                <w:position w:val="0"/>
                <w:sz w:val="24"/>
                <w:szCs w:val="24"/>
                <w:u w:val="none" w:color="auto"/>
              </w:rPr>
              <w:t>本项目</w:t>
            </w:r>
            <w:r>
              <w:rPr>
                <w:rFonts w:hint="default" w:ascii="Times New Roman" w:hAnsi="Times New Roman" w:cs="Times New Roman"/>
                <w:b w:val="0"/>
                <w:bCs/>
                <w:color w:val="auto"/>
                <w:spacing w:val="0"/>
                <w:position w:val="0"/>
                <w:sz w:val="24"/>
                <w:szCs w:val="24"/>
                <w:u w:val="none" w:color="auto"/>
                <w:lang w:eastAsia="zh-CN"/>
              </w:rPr>
              <w:t>位于</w:t>
            </w:r>
            <w:r>
              <w:rPr>
                <w:rFonts w:hint="eastAsia" w:cs="Times New Roman"/>
                <w:b w:val="0"/>
                <w:bCs/>
                <w:color w:val="auto"/>
                <w:spacing w:val="0"/>
                <w:position w:val="0"/>
                <w:sz w:val="24"/>
                <w:szCs w:val="24"/>
                <w:u w:val="none" w:color="auto"/>
                <w:lang w:eastAsia="zh-CN"/>
              </w:rPr>
              <w:t>产业开发</w:t>
            </w:r>
            <w:r>
              <w:rPr>
                <w:rFonts w:hint="default" w:ascii="Times New Roman" w:hAnsi="Times New Roman" w:cs="Times New Roman"/>
                <w:b w:val="0"/>
                <w:bCs/>
                <w:color w:val="auto"/>
                <w:spacing w:val="0"/>
                <w:position w:val="0"/>
                <w:sz w:val="24"/>
                <w:szCs w:val="24"/>
                <w:u w:val="none" w:color="auto"/>
                <w:lang w:eastAsia="zh-CN"/>
              </w:rPr>
              <w:t>区，</w:t>
            </w:r>
            <w:r>
              <w:rPr>
                <w:rFonts w:hint="eastAsia" w:cs="Times New Roman"/>
                <w:b w:val="0"/>
                <w:bCs/>
                <w:color w:val="auto"/>
                <w:spacing w:val="0"/>
                <w:position w:val="0"/>
                <w:sz w:val="24"/>
                <w:szCs w:val="24"/>
                <w:u w:val="none" w:color="auto"/>
                <w:lang w:eastAsia="zh-CN"/>
              </w:rPr>
              <w:t>在现有厂房内进行扩建，</w:t>
            </w:r>
            <w:r>
              <w:rPr>
                <w:rFonts w:hint="default" w:ascii="Times New Roman" w:hAnsi="Times New Roman" w:eastAsia="宋体" w:cs="Times New Roman"/>
                <w:color w:val="auto"/>
                <w:spacing w:val="0"/>
                <w:position w:val="0"/>
                <w:sz w:val="24"/>
                <w:szCs w:val="24"/>
                <w:u w:val="none" w:color="auto"/>
                <w:lang w:val="en-US" w:eastAsia="zh-CN"/>
              </w:rPr>
              <w:t>场地全部硬化，同时采取</w:t>
            </w:r>
            <w:r>
              <w:rPr>
                <w:rFonts w:hint="eastAsia" w:cs="Times New Roman"/>
                <w:color w:val="auto"/>
                <w:spacing w:val="0"/>
                <w:position w:val="0"/>
                <w:sz w:val="24"/>
                <w:szCs w:val="24"/>
                <w:u w:val="none" w:color="auto"/>
                <w:lang w:val="en-US" w:eastAsia="zh-CN"/>
              </w:rPr>
              <w:t>了</w:t>
            </w:r>
            <w:r>
              <w:rPr>
                <w:rFonts w:hint="default" w:ascii="Times New Roman" w:hAnsi="Times New Roman" w:eastAsia="宋体" w:cs="Times New Roman"/>
                <w:color w:val="auto"/>
                <w:spacing w:val="0"/>
                <w:position w:val="0"/>
                <w:sz w:val="24"/>
                <w:szCs w:val="24"/>
                <w:u w:val="none" w:color="auto"/>
                <w:lang w:val="en-US" w:eastAsia="zh-CN"/>
              </w:rPr>
              <w:t>分区防渗措施，</w:t>
            </w:r>
            <w:r>
              <w:rPr>
                <w:rFonts w:hint="default" w:ascii="Times New Roman" w:hAnsi="Times New Roman" w:eastAsia="宋体" w:cs="Times New Roman"/>
                <w:b w:val="0"/>
                <w:bCs/>
                <w:color w:val="auto"/>
                <w:spacing w:val="0"/>
                <w:position w:val="0"/>
                <w:sz w:val="24"/>
                <w:szCs w:val="24"/>
                <w:u w:val="none" w:color="auto"/>
              </w:rPr>
              <w:t>不</w:t>
            </w:r>
            <w:r>
              <w:rPr>
                <w:rFonts w:hint="default" w:ascii="Times New Roman" w:hAnsi="Times New Roman" w:cs="Times New Roman"/>
                <w:b w:val="0"/>
                <w:bCs/>
                <w:color w:val="auto"/>
                <w:spacing w:val="0"/>
                <w:position w:val="0"/>
                <w:sz w:val="24"/>
                <w:szCs w:val="24"/>
                <w:u w:val="none" w:color="auto"/>
                <w:lang w:eastAsia="zh-CN"/>
              </w:rPr>
              <w:t>会</w:t>
            </w:r>
            <w:r>
              <w:rPr>
                <w:rFonts w:hint="default" w:ascii="Times New Roman" w:hAnsi="Times New Roman" w:eastAsia="宋体" w:cs="Times New Roman"/>
                <w:b w:val="0"/>
                <w:bCs/>
                <w:color w:val="auto"/>
                <w:spacing w:val="0"/>
                <w:position w:val="0"/>
                <w:sz w:val="24"/>
                <w:szCs w:val="24"/>
                <w:u w:val="none" w:color="auto"/>
              </w:rPr>
              <w:t>存在地下水、土壤环境污染途径，</w:t>
            </w:r>
            <w:r>
              <w:rPr>
                <w:rFonts w:hint="default" w:ascii="Times New Roman" w:hAnsi="Times New Roman" w:eastAsia="宋体" w:cs="Times New Roman"/>
                <w:b w:val="0"/>
                <w:bCs/>
                <w:color w:val="auto"/>
                <w:spacing w:val="0"/>
                <w:position w:val="0"/>
                <w:sz w:val="24"/>
                <w:szCs w:val="24"/>
                <w:u w:val="none" w:color="auto"/>
                <w:lang w:eastAsia="zh-CN"/>
              </w:rPr>
              <w:t>因此</w:t>
            </w:r>
            <w:r>
              <w:rPr>
                <w:rFonts w:hint="default" w:ascii="Times New Roman" w:hAnsi="Times New Roman" w:eastAsia="宋体" w:cs="Times New Roman"/>
                <w:b w:val="0"/>
                <w:bCs/>
                <w:color w:val="auto"/>
                <w:spacing w:val="0"/>
                <w:position w:val="0"/>
                <w:sz w:val="24"/>
                <w:szCs w:val="24"/>
                <w:u w:val="none" w:color="auto"/>
              </w:rPr>
              <w:t>不开展</w:t>
            </w:r>
            <w:r>
              <w:rPr>
                <w:rFonts w:hint="default" w:ascii="Times New Roman" w:hAnsi="Times New Roman" w:eastAsia="宋体" w:cs="Times New Roman"/>
                <w:b w:val="0"/>
                <w:bCs/>
                <w:color w:val="auto"/>
                <w:spacing w:val="0"/>
                <w:position w:val="0"/>
                <w:sz w:val="24"/>
                <w:szCs w:val="24"/>
                <w:u w:val="none" w:color="auto"/>
                <w:lang w:val="en-US" w:eastAsia="zh-CN"/>
              </w:rPr>
              <w:t>地下水、土壤</w:t>
            </w:r>
            <w:r>
              <w:rPr>
                <w:rFonts w:hint="default" w:ascii="Times New Roman" w:hAnsi="Times New Roman" w:eastAsia="宋体" w:cs="Times New Roman"/>
                <w:b w:val="0"/>
                <w:bCs/>
                <w:color w:val="auto"/>
                <w:spacing w:val="0"/>
                <w:position w:val="0"/>
                <w:sz w:val="24"/>
                <w:szCs w:val="24"/>
                <w:u w:val="none" w:color="auto"/>
              </w:rPr>
              <w:t>环境质量现状调查。</w:t>
            </w:r>
          </w:p>
        </w:tc>
      </w:tr>
      <w:tr w14:paraId="5081D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noWrap w:val="0"/>
            <w:vAlign w:val="center"/>
          </w:tcPr>
          <w:p w14:paraId="195A5DB8">
            <w:pPr>
              <w:pStyle w:val="12"/>
              <w:keepNext w:val="0"/>
              <w:keepLines w:val="0"/>
              <w:suppressLineNumbers w:val="0"/>
              <w:spacing w:before="0" w:beforeAutospacing="0" w:after="0" w:afterAutospacing="0"/>
              <w:ind w:left="0" w:right="0" w:firstLine="43" w:firstLineChars="18"/>
              <w:jc w:val="center"/>
              <w:rPr>
                <w:rFonts w:hint="default" w:ascii="Times New Roman" w:hAnsi="Times New Roman" w:eastAsia="宋体" w:cs="Times New Roman"/>
                <w:b w:val="0"/>
                <w:bCs w:val="0"/>
                <w:color w:val="auto"/>
                <w:spacing w:val="0"/>
                <w:position w:val="0"/>
                <w:sz w:val="24"/>
                <w:szCs w:val="24"/>
                <w:u w:val="none" w:color="auto"/>
                <w:vertAlign w:val="baseline"/>
                <w:lang w:eastAsia="zh-CN"/>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主</w:t>
            </w:r>
          </w:p>
          <w:p w14:paraId="3661DD0B">
            <w:pPr>
              <w:pStyle w:val="12"/>
              <w:keepNext w:val="0"/>
              <w:keepLines w:val="0"/>
              <w:suppressLineNumbers w:val="0"/>
              <w:spacing w:before="0" w:beforeAutospacing="0" w:after="0" w:afterAutospacing="0"/>
              <w:ind w:left="0" w:right="0" w:firstLine="43" w:firstLineChars="18"/>
              <w:jc w:val="center"/>
              <w:rPr>
                <w:rFonts w:hint="default" w:ascii="Times New Roman" w:hAnsi="Times New Roman" w:eastAsia="宋体" w:cs="Times New Roman"/>
                <w:b w:val="0"/>
                <w:bCs w:val="0"/>
                <w:color w:val="auto"/>
                <w:spacing w:val="0"/>
                <w:position w:val="0"/>
                <w:sz w:val="24"/>
                <w:szCs w:val="24"/>
                <w:u w:val="none" w:color="auto"/>
                <w:vertAlign w:val="baseline"/>
                <w:lang w:eastAsia="zh-CN"/>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要</w:t>
            </w:r>
          </w:p>
          <w:p w14:paraId="38BE7E9E">
            <w:pPr>
              <w:pStyle w:val="12"/>
              <w:keepNext w:val="0"/>
              <w:keepLines w:val="0"/>
              <w:suppressLineNumbers w:val="0"/>
              <w:spacing w:before="0" w:beforeAutospacing="0" w:after="0" w:afterAutospacing="0"/>
              <w:ind w:left="0" w:right="0" w:firstLine="43" w:firstLineChars="18"/>
              <w:jc w:val="center"/>
              <w:rPr>
                <w:rFonts w:hint="default" w:ascii="Times New Roman" w:hAnsi="Times New Roman" w:eastAsia="宋体" w:cs="Times New Roman"/>
                <w:b w:val="0"/>
                <w:bCs w:val="0"/>
                <w:color w:val="auto"/>
                <w:spacing w:val="0"/>
                <w:position w:val="0"/>
                <w:sz w:val="24"/>
                <w:szCs w:val="24"/>
                <w:u w:val="none" w:color="auto"/>
                <w:vertAlign w:val="baseline"/>
                <w:lang w:eastAsia="zh-CN"/>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环</w:t>
            </w:r>
          </w:p>
          <w:p w14:paraId="387D7310">
            <w:pPr>
              <w:pStyle w:val="12"/>
              <w:keepNext w:val="0"/>
              <w:keepLines w:val="0"/>
              <w:suppressLineNumbers w:val="0"/>
              <w:spacing w:before="0" w:beforeAutospacing="0" w:after="0" w:afterAutospacing="0"/>
              <w:ind w:left="0" w:right="0" w:firstLine="43" w:firstLineChars="18"/>
              <w:jc w:val="center"/>
              <w:rPr>
                <w:rFonts w:hint="default" w:ascii="Times New Roman" w:hAnsi="Times New Roman" w:eastAsia="宋体" w:cs="Times New Roman"/>
                <w:b w:val="0"/>
                <w:bCs w:val="0"/>
                <w:color w:val="auto"/>
                <w:spacing w:val="0"/>
                <w:position w:val="0"/>
                <w:sz w:val="24"/>
                <w:szCs w:val="24"/>
                <w:u w:val="none" w:color="auto"/>
                <w:vertAlign w:val="baseline"/>
                <w:lang w:eastAsia="zh-CN"/>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境</w:t>
            </w:r>
          </w:p>
          <w:p w14:paraId="333188C5">
            <w:pPr>
              <w:pStyle w:val="12"/>
              <w:keepNext w:val="0"/>
              <w:keepLines w:val="0"/>
              <w:suppressLineNumbers w:val="0"/>
              <w:spacing w:before="0" w:beforeAutospacing="0" w:after="0" w:afterAutospacing="0"/>
              <w:ind w:left="0" w:right="0" w:firstLine="43" w:firstLineChars="18"/>
              <w:jc w:val="center"/>
              <w:rPr>
                <w:rFonts w:hint="default" w:ascii="Times New Roman" w:hAnsi="Times New Roman" w:eastAsia="宋体" w:cs="Times New Roman"/>
                <w:b w:val="0"/>
                <w:bCs w:val="0"/>
                <w:color w:val="auto"/>
                <w:spacing w:val="0"/>
                <w:position w:val="0"/>
                <w:sz w:val="24"/>
                <w:szCs w:val="24"/>
                <w:u w:val="none" w:color="auto"/>
                <w:vertAlign w:val="baseline"/>
                <w:lang w:eastAsia="zh-CN"/>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保</w:t>
            </w:r>
          </w:p>
          <w:p w14:paraId="68FF2AD7">
            <w:pPr>
              <w:pStyle w:val="12"/>
              <w:keepNext w:val="0"/>
              <w:keepLines w:val="0"/>
              <w:suppressLineNumbers w:val="0"/>
              <w:spacing w:before="0" w:beforeAutospacing="0" w:after="0" w:afterAutospacing="0"/>
              <w:ind w:left="0" w:right="0" w:firstLine="43" w:firstLineChars="18"/>
              <w:jc w:val="center"/>
              <w:rPr>
                <w:rFonts w:hint="default" w:ascii="Times New Roman" w:hAnsi="Times New Roman" w:eastAsia="宋体" w:cs="Times New Roman"/>
                <w:b w:val="0"/>
                <w:bCs w:val="0"/>
                <w:color w:val="auto"/>
                <w:spacing w:val="0"/>
                <w:position w:val="0"/>
                <w:sz w:val="24"/>
                <w:szCs w:val="24"/>
                <w:u w:val="none" w:color="auto"/>
                <w:vertAlign w:val="baseline"/>
                <w:lang w:eastAsia="zh-CN"/>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护</w:t>
            </w:r>
          </w:p>
          <w:p w14:paraId="4B96C5D4">
            <w:pPr>
              <w:pStyle w:val="12"/>
              <w:keepNext w:val="0"/>
              <w:keepLines w:val="0"/>
              <w:suppressLineNumbers w:val="0"/>
              <w:spacing w:before="0" w:beforeAutospacing="0" w:after="0" w:afterAutospacing="0"/>
              <w:ind w:left="0" w:right="0" w:firstLine="43" w:firstLineChars="18"/>
              <w:jc w:val="center"/>
              <w:rPr>
                <w:rFonts w:hint="default" w:ascii="Times New Roman" w:hAnsi="Times New Roman" w:eastAsia="宋体" w:cs="Times New Roman"/>
                <w:b w:val="0"/>
                <w:bCs w:val="0"/>
                <w:color w:val="auto"/>
                <w:spacing w:val="0"/>
                <w:position w:val="0"/>
                <w:sz w:val="24"/>
                <w:szCs w:val="24"/>
                <w:u w:val="none" w:color="auto"/>
                <w:vertAlign w:val="baseline"/>
                <w:lang w:eastAsia="zh-CN"/>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目</w:t>
            </w:r>
          </w:p>
          <w:p w14:paraId="2245B6B8">
            <w:pPr>
              <w:pStyle w:val="12"/>
              <w:keepNext w:val="0"/>
              <w:keepLines w:val="0"/>
              <w:suppressLineNumbers w:val="0"/>
              <w:spacing w:before="0" w:beforeAutospacing="0" w:after="0" w:afterAutospacing="0"/>
              <w:ind w:left="0" w:right="0" w:firstLine="43" w:firstLineChars="18"/>
              <w:jc w:val="center"/>
              <w:rPr>
                <w:rFonts w:hint="default" w:ascii="Times New Roman" w:hAnsi="Times New Roman" w:eastAsia="宋体" w:cs="Times New Roman"/>
                <w:color w:val="auto"/>
                <w:spacing w:val="0"/>
                <w:kern w:val="2"/>
                <w:position w:val="0"/>
                <w:sz w:val="21"/>
                <w:szCs w:val="21"/>
                <w:u w:val="none" w:color="auto"/>
                <w:vertAlign w:val="baseline"/>
                <w:lang w:val="en-US" w:eastAsia="zh-CN" w:bidi="ar-SA"/>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标</w:t>
            </w:r>
          </w:p>
        </w:tc>
        <w:tc>
          <w:tcPr>
            <w:tcW w:w="4555" w:type="pct"/>
            <w:noWrap w:val="0"/>
            <w:vAlign w:val="center"/>
          </w:tcPr>
          <w:p w14:paraId="0327563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position w:val="0"/>
                <w:sz w:val="24"/>
                <w:szCs w:val="24"/>
                <w:u w:val="none" w:color="auto"/>
              </w:rPr>
            </w:pPr>
            <w:r>
              <w:rPr>
                <w:rFonts w:hint="default" w:ascii="Times New Roman" w:hAnsi="Times New Roman" w:eastAsia="宋体" w:cs="Times New Roman"/>
                <w:color w:val="auto"/>
                <w:spacing w:val="0"/>
                <w:position w:val="0"/>
                <w:sz w:val="24"/>
                <w:szCs w:val="24"/>
                <w:u w:val="none" w:color="auto"/>
              </w:rPr>
              <w:t>本项目位于</w:t>
            </w:r>
            <w:r>
              <w:rPr>
                <w:rFonts w:hint="default" w:ascii="Times New Roman" w:hAnsi="Times New Roman" w:eastAsia="宋体" w:cs="Times New Roman"/>
                <w:b w:val="0"/>
                <w:bCs w:val="0"/>
                <w:color w:val="auto"/>
                <w:spacing w:val="0"/>
                <w:w w:val="100"/>
                <w:sz w:val="24"/>
                <w:szCs w:val="24"/>
                <w:u w:val="none" w:color="auto"/>
                <w:lang w:val="en-US" w:eastAsia="zh-CN"/>
              </w:rPr>
              <w:t>岳阳临港高新技术产业开发区</w:t>
            </w:r>
            <w:r>
              <w:rPr>
                <w:rFonts w:hint="eastAsia" w:cs="Times New Roman"/>
                <w:color w:val="auto"/>
                <w:spacing w:val="0"/>
                <w:position w:val="0"/>
                <w:sz w:val="24"/>
                <w:szCs w:val="24"/>
                <w:u w:val="none" w:color="auto"/>
                <w:lang w:eastAsia="zh-CN"/>
              </w:rPr>
              <w:t>，在现有厂房内进行扩建</w:t>
            </w:r>
            <w:r>
              <w:rPr>
                <w:rFonts w:hint="default" w:ascii="Times New Roman" w:hAnsi="Times New Roman" w:cs="Times New Roman"/>
                <w:color w:val="auto"/>
                <w:spacing w:val="0"/>
                <w:position w:val="0"/>
                <w:sz w:val="24"/>
                <w:szCs w:val="24"/>
                <w:u w:val="none" w:color="auto"/>
                <w:lang w:eastAsia="zh-CN"/>
              </w:rPr>
              <w:t>，不涉及新增用地</w:t>
            </w:r>
            <w:r>
              <w:rPr>
                <w:rFonts w:hint="default" w:ascii="Times New Roman" w:hAnsi="Times New Roman" w:eastAsia="宋体" w:cs="Times New Roman"/>
                <w:color w:val="auto"/>
                <w:spacing w:val="0"/>
                <w:position w:val="0"/>
                <w:sz w:val="24"/>
                <w:szCs w:val="24"/>
                <w:u w:val="none" w:color="auto"/>
              </w:rPr>
              <w:t>。根据对建设项目周边环境的调查，项目周围</w:t>
            </w:r>
            <w:r>
              <w:rPr>
                <w:rFonts w:hint="default" w:ascii="Times New Roman" w:hAnsi="Times New Roman" w:cs="Times New Roman"/>
                <w:color w:val="auto"/>
                <w:spacing w:val="0"/>
                <w:position w:val="0"/>
                <w:sz w:val="24"/>
                <w:szCs w:val="24"/>
                <w:u w:val="none" w:color="auto"/>
                <w:lang w:eastAsia="zh-CN"/>
              </w:rPr>
              <w:t>无</w:t>
            </w:r>
            <w:r>
              <w:rPr>
                <w:rFonts w:hint="default" w:ascii="Times New Roman" w:hAnsi="Times New Roman" w:eastAsia="宋体" w:cs="Times New Roman"/>
                <w:color w:val="auto"/>
                <w:spacing w:val="0"/>
                <w:position w:val="0"/>
                <w:sz w:val="24"/>
                <w:szCs w:val="24"/>
                <w:u w:val="none" w:color="auto"/>
              </w:rPr>
              <w:t>自然保护区、风景名胜区、集中式饮用水水源地等</w:t>
            </w:r>
            <w:r>
              <w:rPr>
                <w:rFonts w:hint="eastAsia" w:cs="Times New Roman"/>
                <w:color w:val="auto"/>
                <w:spacing w:val="0"/>
                <w:position w:val="0"/>
                <w:sz w:val="24"/>
                <w:szCs w:val="24"/>
                <w:u w:val="none" w:color="auto"/>
                <w:lang w:eastAsia="zh-CN"/>
              </w:rPr>
              <w:t>敏感目标。</w:t>
            </w:r>
            <w:r>
              <w:rPr>
                <w:rFonts w:hint="default" w:ascii="Times New Roman" w:hAnsi="Times New Roman" w:eastAsia="宋体" w:cs="Times New Roman"/>
                <w:color w:val="auto"/>
                <w:spacing w:val="0"/>
                <w:position w:val="0"/>
                <w:sz w:val="24"/>
                <w:szCs w:val="24"/>
                <w:u w:val="none" w:color="auto"/>
              </w:rPr>
              <w:t>本项目</w:t>
            </w:r>
            <w:r>
              <w:rPr>
                <w:rFonts w:hint="eastAsia" w:cs="Times New Roman"/>
                <w:color w:val="auto"/>
                <w:spacing w:val="0"/>
                <w:position w:val="0"/>
                <w:sz w:val="24"/>
                <w:szCs w:val="24"/>
                <w:u w:val="none" w:color="auto"/>
                <w:lang w:eastAsia="zh-CN"/>
              </w:rPr>
              <w:t>主要</w:t>
            </w:r>
            <w:r>
              <w:rPr>
                <w:rFonts w:hint="default" w:ascii="Times New Roman" w:hAnsi="Times New Roman" w:eastAsia="宋体" w:cs="Times New Roman"/>
                <w:color w:val="auto"/>
                <w:spacing w:val="0"/>
                <w:position w:val="0"/>
                <w:sz w:val="24"/>
                <w:szCs w:val="24"/>
                <w:u w:val="none" w:color="auto"/>
              </w:rPr>
              <w:t>环境保护目标详见下表及附图</w:t>
            </w:r>
            <w:r>
              <w:rPr>
                <w:rFonts w:hint="default" w:ascii="Times New Roman" w:hAnsi="Times New Roman" w:cs="Times New Roman"/>
                <w:color w:val="auto"/>
                <w:spacing w:val="0"/>
                <w:position w:val="0"/>
                <w:sz w:val="24"/>
                <w:szCs w:val="24"/>
                <w:u w:val="none" w:color="auto"/>
                <w:lang w:val="en-US" w:eastAsia="zh-CN"/>
              </w:rPr>
              <w:t>3</w:t>
            </w:r>
            <w:r>
              <w:rPr>
                <w:rFonts w:hint="default" w:ascii="Times New Roman" w:hAnsi="Times New Roman" w:eastAsia="宋体" w:cs="Times New Roman"/>
                <w:color w:val="auto"/>
                <w:spacing w:val="0"/>
                <w:position w:val="0"/>
                <w:sz w:val="24"/>
                <w:szCs w:val="24"/>
                <w:u w:val="none" w:color="auto"/>
              </w:rPr>
              <w:t>。</w:t>
            </w:r>
          </w:p>
          <w:p w14:paraId="187D44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b/>
                <w:color w:val="auto"/>
                <w:sz w:val="24"/>
                <w:szCs w:val="24"/>
                <w:u w:val="none"/>
              </w:rPr>
            </w:pPr>
            <w:r>
              <w:rPr>
                <w:rFonts w:hint="eastAsia"/>
                <w:b/>
                <w:color w:val="auto"/>
                <w:sz w:val="24"/>
                <w:szCs w:val="24"/>
                <w:u w:val="none"/>
                <w:lang w:eastAsia="zh-CN"/>
              </w:rPr>
              <w:t>表</w:t>
            </w:r>
            <w:r>
              <w:rPr>
                <w:rFonts w:hint="eastAsia"/>
                <w:b/>
                <w:color w:val="auto"/>
                <w:sz w:val="24"/>
                <w:szCs w:val="24"/>
                <w:u w:val="none"/>
                <w:lang w:val="en-US" w:eastAsia="zh-CN"/>
              </w:rPr>
              <w:t xml:space="preserve">3-6  </w:t>
            </w:r>
            <w:r>
              <w:rPr>
                <w:rFonts w:hint="default"/>
                <w:b/>
                <w:color w:val="auto"/>
                <w:sz w:val="24"/>
                <w:szCs w:val="24"/>
                <w:u w:val="none"/>
              </w:rPr>
              <w:t>大气环境保护目标一览表</w:t>
            </w:r>
          </w:p>
          <w:tbl>
            <w:tblPr>
              <w:tblStyle w:val="37"/>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294"/>
              <w:gridCol w:w="1227"/>
              <w:gridCol w:w="1215"/>
              <w:gridCol w:w="1465"/>
              <w:gridCol w:w="1462"/>
              <w:gridCol w:w="742"/>
              <w:gridCol w:w="815"/>
            </w:tblGrid>
            <w:tr w14:paraId="3E240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84" w:type="dxa"/>
                  <w:vMerge w:val="restart"/>
                  <w:tcBorders>
                    <w:tl2br w:val="nil"/>
                    <w:tr2bl w:val="nil"/>
                  </w:tcBorders>
                  <w:noWrap w:val="0"/>
                  <w:vAlign w:val="center"/>
                </w:tcPr>
                <w:p w14:paraId="18FCCFE1">
                  <w:pPr>
                    <w:keepNext w:val="0"/>
                    <w:keepLines w:val="0"/>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kern w:val="0"/>
                      <w:sz w:val="21"/>
                      <w:szCs w:val="21"/>
                      <w:highlight w:val="none"/>
                      <w:u w:val="none"/>
                      <w:lang w:bidi="ar"/>
                    </w:rPr>
                    <w:t>名称</w:t>
                  </w:r>
                </w:p>
              </w:tc>
              <w:tc>
                <w:tcPr>
                  <w:tcW w:w="2611" w:type="dxa"/>
                  <w:gridSpan w:val="2"/>
                  <w:tcBorders>
                    <w:tl2br w:val="nil"/>
                    <w:tr2bl w:val="nil"/>
                  </w:tcBorders>
                  <w:noWrap w:val="0"/>
                  <w:vAlign w:val="center"/>
                </w:tcPr>
                <w:p w14:paraId="437ED8A1">
                  <w:pPr>
                    <w:keepNext w:val="0"/>
                    <w:keepLines w:val="0"/>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kern w:val="0"/>
                      <w:sz w:val="21"/>
                      <w:szCs w:val="21"/>
                      <w:highlight w:val="none"/>
                      <w:u w:val="none"/>
                      <w:lang w:bidi="ar"/>
                    </w:rPr>
                    <w:t>坐标</w:t>
                  </w:r>
                  <w:r>
                    <w:rPr>
                      <w:rStyle w:val="63"/>
                      <w:rFonts w:hint="default" w:ascii="Times New Roman" w:hAnsi="Times New Roman" w:cs="Times New Roman"/>
                      <w:b/>
                      <w:bCs/>
                      <w:color w:val="auto"/>
                      <w:sz w:val="21"/>
                      <w:szCs w:val="21"/>
                      <w:highlight w:val="none"/>
                      <w:u w:val="none"/>
                      <w:lang w:bidi="ar"/>
                    </w:rPr>
                    <w:t>/m</w:t>
                  </w:r>
                </w:p>
              </w:tc>
              <w:tc>
                <w:tcPr>
                  <w:tcW w:w="1567" w:type="dxa"/>
                  <w:vMerge w:val="restart"/>
                  <w:tcBorders>
                    <w:tl2br w:val="nil"/>
                    <w:tr2bl w:val="nil"/>
                  </w:tcBorders>
                  <w:noWrap w:val="0"/>
                  <w:vAlign w:val="center"/>
                </w:tcPr>
                <w:p w14:paraId="2E9840FF">
                  <w:pPr>
                    <w:keepNext w:val="0"/>
                    <w:keepLines w:val="0"/>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kern w:val="0"/>
                      <w:sz w:val="21"/>
                      <w:szCs w:val="21"/>
                      <w:highlight w:val="none"/>
                      <w:u w:val="none"/>
                      <w:lang w:bidi="ar"/>
                    </w:rPr>
                    <w:t>保护内容</w:t>
                  </w:r>
                </w:p>
              </w:tc>
              <w:tc>
                <w:tcPr>
                  <w:tcW w:w="1563" w:type="dxa"/>
                  <w:vMerge w:val="restart"/>
                  <w:tcBorders>
                    <w:tl2br w:val="nil"/>
                    <w:tr2bl w:val="nil"/>
                  </w:tcBorders>
                  <w:noWrap w:val="0"/>
                  <w:vAlign w:val="center"/>
                </w:tcPr>
                <w:p w14:paraId="4D9D6EC1">
                  <w:pPr>
                    <w:keepNext w:val="0"/>
                    <w:keepLines w:val="0"/>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kern w:val="0"/>
                      <w:sz w:val="21"/>
                      <w:szCs w:val="21"/>
                      <w:highlight w:val="none"/>
                      <w:u w:val="none"/>
                      <w:lang w:bidi="ar"/>
                    </w:rPr>
                    <w:t>环境功能区</w:t>
                  </w:r>
                </w:p>
              </w:tc>
              <w:tc>
                <w:tcPr>
                  <w:tcW w:w="792" w:type="dxa"/>
                  <w:vMerge w:val="restart"/>
                  <w:tcBorders>
                    <w:tl2br w:val="nil"/>
                    <w:tr2bl w:val="nil"/>
                  </w:tcBorders>
                  <w:noWrap w:val="0"/>
                  <w:vAlign w:val="center"/>
                </w:tcPr>
                <w:p w14:paraId="33CA749E">
                  <w:pPr>
                    <w:keepNext w:val="0"/>
                    <w:keepLines w:val="0"/>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kern w:val="0"/>
                      <w:sz w:val="21"/>
                      <w:szCs w:val="21"/>
                      <w:highlight w:val="none"/>
                      <w:u w:val="none"/>
                      <w:lang w:bidi="ar"/>
                    </w:rPr>
                    <w:t>相对厂址方位</w:t>
                  </w:r>
                </w:p>
              </w:tc>
              <w:tc>
                <w:tcPr>
                  <w:tcW w:w="870" w:type="dxa"/>
                  <w:vMerge w:val="restart"/>
                  <w:tcBorders>
                    <w:tl2br w:val="nil"/>
                    <w:tr2bl w:val="nil"/>
                  </w:tcBorders>
                  <w:noWrap w:val="0"/>
                  <w:vAlign w:val="center"/>
                </w:tcPr>
                <w:p w14:paraId="0AF6C066">
                  <w:pPr>
                    <w:keepNext w:val="0"/>
                    <w:keepLines w:val="0"/>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kern w:val="0"/>
                      <w:sz w:val="21"/>
                      <w:szCs w:val="21"/>
                      <w:highlight w:val="none"/>
                      <w:u w:val="none"/>
                      <w:lang w:bidi="ar"/>
                    </w:rPr>
                    <w:t>相对距离</w:t>
                  </w:r>
                  <w:r>
                    <w:rPr>
                      <w:rStyle w:val="63"/>
                      <w:rFonts w:hint="default" w:ascii="Times New Roman" w:hAnsi="Times New Roman" w:cs="Times New Roman"/>
                      <w:b/>
                      <w:bCs/>
                      <w:color w:val="auto"/>
                      <w:sz w:val="21"/>
                      <w:szCs w:val="21"/>
                      <w:highlight w:val="none"/>
                      <w:u w:val="none"/>
                      <w:lang w:bidi="ar"/>
                    </w:rPr>
                    <w:t>/m</w:t>
                  </w:r>
                </w:p>
              </w:tc>
            </w:tr>
            <w:tr w14:paraId="55CC4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84" w:type="dxa"/>
                  <w:vMerge w:val="continue"/>
                  <w:tcBorders>
                    <w:tl2br w:val="nil"/>
                    <w:tr2bl w:val="nil"/>
                  </w:tcBorders>
                  <w:noWrap w:val="0"/>
                  <w:vAlign w:val="center"/>
                </w:tcPr>
                <w:p w14:paraId="2B02A92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c>
                <w:tcPr>
                  <w:tcW w:w="1312" w:type="dxa"/>
                  <w:tcBorders>
                    <w:tl2br w:val="nil"/>
                    <w:tr2bl w:val="nil"/>
                  </w:tcBorders>
                  <w:noWrap w:val="0"/>
                  <w:vAlign w:val="center"/>
                </w:tcPr>
                <w:p w14:paraId="04EB0ACA">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highlight w:val="none"/>
                      <w:u w:val="none"/>
                      <w:lang w:eastAsia="zh-CN" w:bidi="ar"/>
                    </w:rPr>
                  </w:pPr>
                  <w:r>
                    <w:rPr>
                      <w:rFonts w:hint="default" w:ascii="Times New Roman" w:hAnsi="Times New Roman" w:eastAsia="宋体" w:cs="Times New Roman"/>
                      <w:b/>
                      <w:bCs/>
                      <w:color w:val="auto"/>
                      <w:kern w:val="0"/>
                      <w:sz w:val="21"/>
                      <w:szCs w:val="21"/>
                      <w:highlight w:val="none"/>
                      <w:u w:val="none"/>
                      <w:lang w:eastAsia="zh-CN" w:bidi="ar"/>
                    </w:rPr>
                    <w:t>经度</w:t>
                  </w:r>
                </w:p>
              </w:tc>
              <w:tc>
                <w:tcPr>
                  <w:tcW w:w="1299" w:type="dxa"/>
                  <w:tcBorders>
                    <w:tl2br w:val="nil"/>
                    <w:tr2bl w:val="nil"/>
                  </w:tcBorders>
                  <w:noWrap w:val="0"/>
                  <w:vAlign w:val="center"/>
                </w:tcPr>
                <w:p w14:paraId="6DF33C37">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highlight w:val="none"/>
                      <w:u w:val="none"/>
                      <w:lang w:eastAsia="zh-CN" w:bidi="ar"/>
                    </w:rPr>
                  </w:pPr>
                  <w:r>
                    <w:rPr>
                      <w:rFonts w:hint="default" w:ascii="Times New Roman" w:hAnsi="Times New Roman" w:eastAsia="宋体" w:cs="Times New Roman"/>
                      <w:b/>
                      <w:bCs/>
                      <w:color w:val="auto"/>
                      <w:kern w:val="0"/>
                      <w:sz w:val="21"/>
                      <w:szCs w:val="21"/>
                      <w:highlight w:val="none"/>
                      <w:u w:val="none"/>
                      <w:lang w:eastAsia="zh-CN" w:bidi="ar"/>
                    </w:rPr>
                    <w:t>纬度</w:t>
                  </w:r>
                </w:p>
              </w:tc>
              <w:tc>
                <w:tcPr>
                  <w:tcW w:w="1567" w:type="dxa"/>
                  <w:vMerge w:val="continue"/>
                  <w:tcBorders>
                    <w:tl2br w:val="nil"/>
                    <w:tr2bl w:val="nil"/>
                  </w:tcBorders>
                  <w:noWrap w:val="0"/>
                  <w:vAlign w:val="center"/>
                </w:tcPr>
                <w:p w14:paraId="4C9F101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c>
                <w:tcPr>
                  <w:tcW w:w="1563" w:type="dxa"/>
                  <w:vMerge w:val="continue"/>
                  <w:tcBorders>
                    <w:tl2br w:val="nil"/>
                    <w:tr2bl w:val="nil"/>
                  </w:tcBorders>
                  <w:noWrap w:val="0"/>
                  <w:vAlign w:val="center"/>
                </w:tcPr>
                <w:p w14:paraId="13D5259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c>
                <w:tcPr>
                  <w:tcW w:w="792" w:type="dxa"/>
                  <w:vMerge w:val="continue"/>
                  <w:tcBorders>
                    <w:tl2br w:val="nil"/>
                    <w:tr2bl w:val="nil"/>
                  </w:tcBorders>
                  <w:noWrap w:val="0"/>
                  <w:vAlign w:val="center"/>
                </w:tcPr>
                <w:p w14:paraId="0600F32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c>
                <w:tcPr>
                  <w:tcW w:w="870" w:type="dxa"/>
                  <w:vMerge w:val="continue"/>
                  <w:tcBorders>
                    <w:tl2br w:val="nil"/>
                    <w:tr2bl w:val="nil"/>
                  </w:tcBorders>
                  <w:noWrap w:val="0"/>
                  <w:vAlign w:val="center"/>
                </w:tcPr>
                <w:p w14:paraId="7A6F315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rPr>
                  </w:pPr>
                </w:p>
              </w:tc>
            </w:tr>
            <w:tr w14:paraId="17D59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84" w:type="dxa"/>
                  <w:tcBorders>
                    <w:tl2br w:val="nil"/>
                    <w:tr2bl w:val="nil"/>
                  </w:tcBorders>
                  <w:noWrap w:val="0"/>
                  <w:vAlign w:val="center"/>
                </w:tcPr>
                <w:p w14:paraId="7121A8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新王家散户</w:t>
                  </w:r>
                </w:p>
              </w:tc>
              <w:tc>
                <w:tcPr>
                  <w:tcW w:w="1312" w:type="dxa"/>
                  <w:tcBorders>
                    <w:tl2br w:val="nil"/>
                    <w:tr2bl w:val="nil"/>
                  </w:tcBorders>
                  <w:noWrap w:val="0"/>
                  <w:vAlign w:val="center"/>
                </w:tcPr>
                <w:p w14:paraId="17F364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none"/>
                      <w:lang w:eastAsia="zh-CN" w:bidi="ar"/>
                    </w:rPr>
                  </w:pPr>
                  <w:r>
                    <w:rPr>
                      <w:rFonts w:hint="default" w:ascii="Times New Roman" w:hAnsi="Times New Roman" w:eastAsia="宋体" w:cs="Times New Roman"/>
                      <w:color w:val="auto"/>
                      <w:sz w:val="21"/>
                      <w:szCs w:val="21"/>
                      <w:highlight w:val="none"/>
                      <w:u w:val="none"/>
                      <w:lang w:val="en-US" w:eastAsia="zh-CN"/>
                    </w:rPr>
                    <w:t>113.141713</w:t>
                  </w:r>
                </w:p>
              </w:tc>
              <w:tc>
                <w:tcPr>
                  <w:tcW w:w="1299" w:type="dxa"/>
                  <w:tcBorders>
                    <w:tl2br w:val="nil"/>
                    <w:tr2bl w:val="nil"/>
                  </w:tcBorders>
                  <w:noWrap w:val="0"/>
                  <w:vAlign w:val="center"/>
                </w:tcPr>
                <w:p w14:paraId="039C17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none"/>
                      <w:lang w:eastAsia="zh-CN" w:bidi="ar"/>
                    </w:rPr>
                  </w:pPr>
                  <w:r>
                    <w:rPr>
                      <w:rFonts w:hint="default" w:ascii="Times New Roman" w:hAnsi="Times New Roman" w:eastAsia="宋体" w:cs="Times New Roman"/>
                      <w:color w:val="auto"/>
                      <w:sz w:val="21"/>
                      <w:szCs w:val="21"/>
                      <w:highlight w:val="none"/>
                      <w:u w:val="none"/>
                      <w:lang w:val="en-US" w:eastAsia="zh-CN"/>
                    </w:rPr>
                    <w:t>29.282549</w:t>
                  </w:r>
                </w:p>
              </w:tc>
              <w:tc>
                <w:tcPr>
                  <w:tcW w:w="1567" w:type="dxa"/>
                  <w:tcBorders>
                    <w:tl2br w:val="nil"/>
                    <w:tr2bl w:val="nil"/>
                  </w:tcBorders>
                  <w:noWrap w:val="0"/>
                  <w:vAlign w:val="center"/>
                </w:tcPr>
                <w:p w14:paraId="717FC2E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eastAsia="zh-CN"/>
                    </w:rPr>
                    <w:t>居住，</w:t>
                  </w:r>
                  <w:r>
                    <w:rPr>
                      <w:rFonts w:hint="eastAsia" w:ascii="Times New Roman" w:hAnsi="Times New Roman" w:eastAsia="宋体" w:cs="Times New Roman"/>
                      <w:color w:val="auto"/>
                      <w:sz w:val="21"/>
                      <w:szCs w:val="21"/>
                      <w:highlight w:val="none"/>
                      <w:u w:val="none"/>
                      <w:lang w:val="en-US" w:eastAsia="zh-CN"/>
                    </w:rPr>
                    <w:t>2户，</w:t>
                  </w:r>
                  <w:r>
                    <w:rPr>
                      <w:rFonts w:hint="default" w:ascii="Times New Roman" w:hAnsi="Times New Roman" w:eastAsia="宋体" w:cs="Times New Roman"/>
                      <w:color w:val="auto"/>
                      <w:sz w:val="21"/>
                      <w:szCs w:val="21"/>
                      <w:highlight w:val="none"/>
                      <w:u w:val="none"/>
                      <w:lang w:eastAsia="zh-CN"/>
                    </w:rPr>
                    <w:t>约</w:t>
                  </w:r>
                  <w:r>
                    <w:rPr>
                      <w:rFonts w:hint="eastAsia" w:cs="Times New Roman"/>
                      <w:color w:val="auto"/>
                      <w:sz w:val="21"/>
                      <w:szCs w:val="21"/>
                      <w:highlight w:val="none"/>
                      <w:u w:val="none"/>
                      <w:lang w:val="en-US" w:eastAsia="zh-CN"/>
                    </w:rPr>
                    <w:t>9</w:t>
                  </w:r>
                  <w:r>
                    <w:rPr>
                      <w:rFonts w:hint="default" w:ascii="Times New Roman" w:hAnsi="Times New Roman" w:eastAsia="宋体" w:cs="Times New Roman"/>
                      <w:color w:val="auto"/>
                      <w:sz w:val="21"/>
                      <w:szCs w:val="21"/>
                      <w:highlight w:val="none"/>
                      <w:u w:val="none"/>
                      <w:lang w:eastAsia="zh-CN"/>
                    </w:rPr>
                    <w:t>人</w:t>
                  </w:r>
                </w:p>
              </w:tc>
              <w:tc>
                <w:tcPr>
                  <w:tcW w:w="1563" w:type="dxa"/>
                  <w:vMerge w:val="restart"/>
                  <w:tcBorders>
                    <w:tl2br w:val="nil"/>
                    <w:tr2bl w:val="nil"/>
                  </w:tcBorders>
                  <w:noWrap w:val="0"/>
                  <w:vAlign w:val="center"/>
                </w:tcPr>
                <w:p w14:paraId="640D1129">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kern w:val="0"/>
                      <w:sz w:val="21"/>
                      <w:szCs w:val="21"/>
                      <w:highlight w:val="none"/>
                      <w:u w:val="none"/>
                      <w:lang w:bidi="ar"/>
                    </w:rPr>
                    <w:t>《环境空气质量标准》(GB3095-2012)中二类区</w:t>
                  </w:r>
                </w:p>
              </w:tc>
              <w:tc>
                <w:tcPr>
                  <w:tcW w:w="792" w:type="dxa"/>
                  <w:tcBorders>
                    <w:tl2br w:val="nil"/>
                    <w:tr2bl w:val="nil"/>
                  </w:tcBorders>
                  <w:noWrap w:val="0"/>
                  <w:vAlign w:val="center"/>
                </w:tcPr>
                <w:p w14:paraId="201BFFF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eastAsia" w:cs="Times New Roman"/>
                      <w:color w:val="auto"/>
                      <w:sz w:val="21"/>
                      <w:szCs w:val="21"/>
                      <w:highlight w:val="none"/>
                      <w:u w:val="none"/>
                      <w:lang w:val="en-US" w:eastAsia="zh-CN"/>
                    </w:rPr>
                    <w:t>NE</w:t>
                  </w:r>
                </w:p>
              </w:tc>
              <w:tc>
                <w:tcPr>
                  <w:tcW w:w="870" w:type="dxa"/>
                  <w:tcBorders>
                    <w:tl2br w:val="nil"/>
                    <w:tr2bl w:val="nil"/>
                  </w:tcBorders>
                  <w:noWrap w:val="0"/>
                  <w:vAlign w:val="center"/>
                </w:tcPr>
                <w:p w14:paraId="131DB49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u w:val="none"/>
                    </w:rPr>
                  </w:pPr>
                  <w:r>
                    <w:rPr>
                      <w:rFonts w:hint="eastAsia" w:cs="Times New Roman"/>
                      <w:color w:val="auto"/>
                      <w:kern w:val="0"/>
                      <w:sz w:val="21"/>
                      <w:szCs w:val="21"/>
                      <w:highlight w:val="none"/>
                      <w:u w:val="none"/>
                      <w:lang w:val="en-US" w:eastAsia="zh-CN" w:bidi="ar"/>
                    </w:rPr>
                    <w:t>135-175</w:t>
                  </w:r>
                </w:p>
              </w:tc>
            </w:tr>
            <w:tr w14:paraId="1025A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84" w:type="dxa"/>
                  <w:tcBorders>
                    <w:tl2br w:val="nil"/>
                    <w:tr2bl w:val="nil"/>
                  </w:tcBorders>
                  <w:noWrap w:val="0"/>
                  <w:vAlign w:val="center"/>
                </w:tcPr>
                <w:p w14:paraId="22A506DC">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eastAsia="zh-CN"/>
                    </w:rPr>
                    <w:t>大宋家散户</w:t>
                  </w:r>
                </w:p>
              </w:tc>
              <w:tc>
                <w:tcPr>
                  <w:tcW w:w="1312" w:type="dxa"/>
                  <w:tcBorders>
                    <w:tl2br w:val="nil"/>
                    <w:tr2bl w:val="nil"/>
                  </w:tcBorders>
                  <w:noWrap w:val="0"/>
                  <w:vAlign w:val="center"/>
                </w:tcPr>
                <w:p w14:paraId="5C0A68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olor w:val="auto"/>
                      <w:sz w:val="24"/>
                      <w:highlight w:val="none"/>
                      <w:u w:val="none"/>
                    </w:rPr>
                    <w:t>113.141998</w:t>
                  </w:r>
                </w:p>
              </w:tc>
              <w:tc>
                <w:tcPr>
                  <w:tcW w:w="1299" w:type="dxa"/>
                  <w:tcBorders>
                    <w:tl2br w:val="nil"/>
                    <w:tr2bl w:val="nil"/>
                  </w:tcBorders>
                  <w:noWrap w:val="0"/>
                  <w:vAlign w:val="center"/>
                </w:tcPr>
                <w:p w14:paraId="2076E3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olor w:val="auto"/>
                      <w:sz w:val="24"/>
                      <w:highlight w:val="none"/>
                      <w:u w:val="none"/>
                    </w:rPr>
                    <w:t>29.282951</w:t>
                  </w:r>
                </w:p>
              </w:tc>
              <w:tc>
                <w:tcPr>
                  <w:tcW w:w="1567" w:type="dxa"/>
                  <w:tcBorders>
                    <w:tl2br w:val="nil"/>
                    <w:tr2bl w:val="nil"/>
                  </w:tcBorders>
                  <w:noWrap w:val="0"/>
                  <w:vAlign w:val="center"/>
                </w:tcPr>
                <w:p w14:paraId="7E223295">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居住，</w:t>
                  </w:r>
                  <w:r>
                    <w:rPr>
                      <w:rFonts w:hint="eastAsia" w:ascii="Times New Roman" w:hAnsi="Times New Roman" w:eastAsia="宋体" w:cs="Times New Roman"/>
                      <w:color w:val="auto"/>
                      <w:sz w:val="21"/>
                      <w:szCs w:val="21"/>
                      <w:highlight w:val="none"/>
                      <w:u w:val="none"/>
                      <w:lang w:val="en-US" w:eastAsia="zh-CN"/>
                    </w:rPr>
                    <w:t>10户，</w:t>
                  </w:r>
                  <w:r>
                    <w:rPr>
                      <w:rFonts w:hint="default" w:ascii="Times New Roman" w:hAnsi="Times New Roman" w:eastAsia="宋体" w:cs="Times New Roman"/>
                      <w:color w:val="auto"/>
                      <w:sz w:val="21"/>
                      <w:szCs w:val="21"/>
                      <w:highlight w:val="none"/>
                      <w:u w:val="none"/>
                      <w:lang w:eastAsia="zh-CN"/>
                    </w:rPr>
                    <w:t>约</w:t>
                  </w:r>
                  <w:r>
                    <w:rPr>
                      <w:rFonts w:hint="eastAsia" w:cs="Times New Roman"/>
                      <w:color w:val="auto"/>
                      <w:sz w:val="21"/>
                      <w:szCs w:val="21"/>
                      <w:highlight w:val="none"/>
                      <w:u w:val="none"/>
                      <w:lang w:val="en-US" w:eastAsia="zh-CN"/>
                    </w:rPr>
                    <w:t>45</w:t>
                  </w:r>
                  <w:r>
                    <w:rPr>
                      <w:rFonts w:hint="default" w:ascii="Times New Roman" w:hAnsi="Times New Roman" w:eastAsia="宋体" w:cs="Times New Roman"/>
                      <w:color w:val="auto"/>
                      <w:sz w:val="21"/>
                      <w:szCs w:val="21"/>
                      <w:highlight w:val="none"/>
                      <w:u w:val="none"/>
                      <w:lang w:eastAsia="zh-CN"/>
                    </w:rPr>
                    <w:t>人</w:t>
                  </w:r>
                </w:p>
              </w:tc>
              <w:tc>
                <w:tcPr>
                  <w:tcW w:w="1563" w:type="dxa"/>
                  <w:vMerge w:val="continue"/>
                  <w:tcBorders>
                    <w:tl2br w:val="nil"/>
                    <w:tr2bl w:val="nil"/>
                  </w:tcBorders>
                  <w:noWrap w:val="0"/>
                  <w:vAlign w:val="center"/>
                </w:tcPr>
                <w:p w14:paraId="72C391CA">
                  <w:pPr>
                    <w:keepNext w:val="0"/>
                    <w:keepLines w:val="0"/>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u w:val="none"/>
                    </w:rPr>
                  </w:pPr>
                </w:p>
              </w:tc>
              <w:tc>
                <w:tcPr>
                  <w:tcW w:w="792" w:type="dxa"/>
                  <w:tcBorders>
                    <w:tl2br w:val="nil"/>
                    <w:tr2bl w:val="nil"/>
                  </w:tcBorders>
                  <w:noWrap w:val="0"/>
                  <w:vAlign w:val="center"/>
                </w:tcPr>
                <w:p w14:paraId="02D1C9FC">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NE</w:t>
                  </w:r>
                </w:p>
              </w:tc>
              <w:tc>
                <w:tcPr>
                  <w:tcW w:w="870" w:type="dxa"/>
                  <w:tcBorders>
                    <w:tl2br w:val="nil"/>
                    <w:tr2bl w:val="nil"/>
                  </w:tcBorders>
                  <w:noWrap w:val="0"/>
                  <w:vAlign w:val="center"/>
                </w:tcPr>
                <w:p w14:paraId="191AC2C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eastAsia" w:cs="Times New Roman"/>
                      <w:color w:val="auto"/>
                      <w:kern w:val="0"/>
                      <w:sz w:val="21"/>
                      <w:szCs w:val="21"/>
                      <w:highlight w:val="none"/>
                      <w:u w:val="none"/>
                      <w:lang w:val="en-US" w:eastAsia="zh-CN" w:bidi="ar"/>
                    </w:rPr>
                    <w:t>280-460</w:t>
                  </w:r>
                </w:p>
              </w:tc>
            </w:tr>
            <w:tr w14:paraId="0F0FA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384" w:type="dxa"/>
                  <w:tcBorders>
                    <w:tl2br w:val="nil"/>
                    <w:tr2bl w:val="nil"/>
                  </w:tcBorders>
                  <w:noWrap w:val="0"/>
                  <w:vAlign w:val="center"/>
                </w:tcPr>
                <w:p w14:paraId="033F7A26">
                  <w:pPr>
                    <w:keepNext w:val="0"/>
                    <w:keepLines w:val="0"/>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u w:val="none"/>
                      <w:lang w:val="en-US" w:eastAsia="zh-CN"/>
                    </w:rPr>
                    <w:t>艾家垄散户</w:t>
                  </w:r>
                </w:p>
              </w:tc>
              <w:tc>
                <w:tcPr>
                  <w:tcW w:w="1312" w:type="dxa"/>
                  <w:tcBorders>
                    <w:tl2br w:val="nil"/>
                    <w:tr2bl w:val="nil"/>
                  </w:tcBorders>
                  <w:noWrap w:val="0"/>
                  <w:vAlign w:val="center"/>
                </w:tcPr>
                <w:p w14:paraId="7252B8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113.142987</w:t>
                  </w:r>
                </w:p>
              </w:tc>
              <w:tc>
                <w:tcPr>
                  <w:tcW w:w="1299" w:type="dxa"/>
                  <w:tcBorders>
                    <w:tl2br w:val="nil"/>
                    <w:tr2bl w:val="nil"/>
                  </w:tcBorders>
                  <w:noWrap w:val="0"/>
                  <w:vAlign w:val="center"/>
                </w:tcPr>
                <w:p w14:paraId="470E64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29.282335</w:t>
                  </w:r>
                </w:p>
              </w:tc>
              <w:tc>
                <w:tcPr>
                  <w:tcW w:w="1567" w:type="dxa"/>
                  <w:tcBorders>
                    <w:tl2br w:val="nil"/>
                    <w:tr2bl w:val="nil"/>
                  </w:tcBorders>
                  <w:noWrap w:val="0"/>
                  <w:vAlign w:val="center"/>
                </w:tcPr>
                <w:p w14:paraId="06A1B3C1">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eastAsia="zh-CN"/>
                    </w:rPr>
                    <w:t>居住，</w:t>
                  </w:r>
                  <w:r>
                    <w:rPr>
                      <w:rFonts w:hint="eastAsia" w:ascii="Times New Roman" w:hAnsi="Times New Roman" w:eastAsia="宋体" w:cs="Times New Roman"/>
                      <w:color w:val="auto"/>
                      <w:sz w:val="21"/>
                      <w:szCs w:val="21"/>
                      <w:highlight w:val="none"/>
                      <w:u w:val="none"/>
                      <w:lang w:val="en-US" w:eastAsia="zh-CN"/>
                    </w:rPr>
                    <w:t>2户，</w:t>
                  </w:r>
                  <w:r>
                    <w:rPr>
                      <w:rFonts w:hint="default" w:ascii="Times New Roman" w:hAnsi="Times New Roman" w:eastAsia="宋体" w:cs="Times New Roman"/>
                      <w:color w:val="auto"/>
                      <w:sz w:val="21"/>
                      <w:szCs w:val="21"/>
                      <w:highlight w:val="none"/>
                      <w:u w:val="none"/>
                      <w:lang w:eastAsia="zh-CN"/>
                    </w:rPr>
                    <w:t>约</w:t>
                  </w:r>
                  <w:r>
                    <w:rPr>
                      <w:rFonts w:hint="eastAsia" w:cs="Times New Roman"/>
                      <w:color w:val="auto"/>
                      <w:sz w:val="21"/>
                      <w:szCs w:val="21"/>
                      <w:highlight w:val="none"/>
                      <w:u w:val="none"/>
                      <w:lang w:val="en-US" w:eastAsia="zh-CN"/>
                    </w:rPr>
                    <w:t>9</w:t>
                  </w:r>
                  <w:r>
                    <w:rPr>
                      <w:rFonts w:hint="default" w:ascii="Times New Roman" w:hAnsi="Times New Roman" w:eastAsia="宋体" w:cs="Times New Roman"/>
                      <w:color w:val="auto"/>
                      <w:sz w:val="21"/>
                      <w:szCs w:val="21"/>
                      <w:highlight w:val="none"/>
                      <w:u w:val="none"/>
                      <w:lang w:eastAsia="zh-CN"/>
                    </w:rPr>
                    <w:t>人</w:t>
                  </w:r>
                </w:p>
              </w:tc>
              <w:tc>
                <w:tcPr>
                  <w:tcW w:w="1563" w:type="dxa"/>
                  <w:vMerge w:val="continue"/>
                  <w:tcBorders>
                    <w:tl2br w:val="nil"/>
                    <w:tr2bl w:val="nil"/>
                  </w:tcBorders>
                  <w:noWrap w:val="0"/>
                  <w:vAlign w:val="center"/>
                </w:tcPr>
                <w:p w14:paraId="211F30E0">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p>
              </w:tc>
              <w:tc>
                <w:tcPr>
                  <w:tcW w:w="792" w:type="dxa"/>
                  <w:tcBorders>
                    <w:tl2br w:val="nil"/>
                    <w:tr2bl w:val="nil"/>
                  </w:tcBorders>
                  <w:noWrap w:val="0"/>
                  <w:vAlign w:val="center"/>
                </w:tcPr>
                <w:p w14:paraId="473D37EF">
                  <w:pPr>
                    <w:keepNext w:val="0"/>
                    <w:keepLines w:val="0"/>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u w:val="none"/>
                      <w:lang w:val="en-US" w:eastAsia="zh-CN" w:bidi="ar-SA"/>
                    </w:rPr>
                  </w:pPr>
                  <w:r>
                    <w:rPr>
                      <w:rFonts w:hint="eastAsia" w:cs="Times New Roman"/>
                      <w:color w:val="auto"/>
                      <w:sz w:val="21"/>
                      <w:szCs w:val="21"/>
                      <w:highlight w:val="none"/>
                      <w:u w:val="none"/>
                      <w:lang w:val="en-US" w:eastAsia="zh-CN"/>
                    </w:rPr>
                    <w:t>NE</w:t>
                  </w:r>
                </w:p>
              </w:tc>
              <w:tc>
                <w:tcPr>
                  <w:tcW w:w="870" w:type="dxa"/>
                  <w:tcBorders>
                    <w:tl2br w:val="nil"/>
                    <w:tr2bl w:val="nil"/>
                  </w:tcBorders>
                  <w:noWrap w:val="0"/>
                  <w:vAlign w:val="center"/>
                </w:tcPr>
                <w:p w14:paraId="6CE32F2B">
                  <w:pPr>
                    <w:keepNext w:val="0"/>
                    <w:keepLines w:val="0"/>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u w:val="none"/>
                      <w:lang w:val="en-US" w:eastAsia="zh-CN" w:bidi="ar"/>
                    </w:rPr>
                  </w:pPr>
                  <w:r>
                    <w:rPr>
                      <w:rFonts w:hint="eastAsia" w:cs="Times New Roman"/>
                      <w:color w:val="auto"/>
                      <w:kern w:val="0"/>
                      <w:sz w:val="21"/>
                      <w:szCs w:val="21"/>
                      <w:highlight w:val="none"/>
                      <w:u w:val="none"/>
                      <w:lang w:val="en-US" w:eastAsia="zh-CN" w:bidi="ar"/>
                    </w:rPr>
                    <w:t>370</w:t>
                  </w:r>
                  <w:r>
                    <w:rPr>
                      <w:rFonts w:hint="eastAsia" w:ascii="Times New Roman" w:hAnsi="Times New Roman" w:eastAsia="宋体" w:cs="Times New Roman"/>
                      <w:color w:val="auto"/>
                      <w:kern w:val="0"/>
                      <w:sz w:val="21"/>
                      <w:szCs w:val="21"/>
                      <w:highlight w:val="none"/>
                      <w:u w:val="none"/>
                      <w:lang w:val="en-US" w:eastAsia="zh-CN" w:bidi="ar"/>
                    </w:rPr>
                    <w:t>-</w:t>
                  </w:r>
                  <w:r>
                    <w:rPr>
                      <w:rFonts w:hint="eastAsia" w:cs="Times New Roman"/>
                      <w:color w:val="auto"/>
                      <w:kern w:val="0"/>
                      <w:sz w:val="21"/>
                      <w:szCs w:val="21"/>
                      <w:highlight w:val="none"/>
                      <w:u w:val="none"/>
                      <w:lang w:val="en-US" w:eastAsia="zh-CN" w:bidi="ar"/>
                    </w:rPr>
                    <w:t>500</w:t>
                  </w:r>
                </w:p>
              </w:tc>
            </w:tr>
          </w:tbl>
          <w:p w14:paraId="57410C6D">
            <w:pPr>
              <w:keepNext w:val="0"/>
              <w:keepLines w:val="0"/>
              <w:numPr>
                <w:ilvl w:val="0"/>
                <w:numId w:val="0"/>
              </w:numPr>
              <w:suppressLineNumbers w:val="0"/>
              <w:spacing w:before="0" w:beforeAutospacing="0" w:after="0" w:afterAutospacing="0" w:line="360" w:lineRule="auto"/>
              <w:ind w:left="0" w:leftChars="0" w:right="0"/>
              <w:jc w:val="center"/>
              <w:rPr>
                <w:rFonts w:hint="default"/>
                <w:color w:val="auto"/>
                <w:sz w:val="24"/>
                <w:szCs w:val="24"/>
                <w:highlight w:val="none"/>
                <w:u w:val="none"/>
              </w:rPr>
            </w:pPr>
            <w:r>
              <w:rPr>
                <w:rFonts w:hint="eastAsia"/>
                <w:b/>
                <w:color w:val="auto"/>
                <w:sz w:val="24"/>
                <w:szCs w:val="24"/>
                <w:lang w:eastAsia="zh-CN"/>
              </w:rPr>
              <w:t>表</w:t>
            </w:r>
            <w:r>
              <w:rPr>
                <w:rFonts w:hint="eastAsia"/>
                <w:b/>
                <w:color w:val="auto"/>
                <w:sz w:val="24"/>
                <w:szCs w:val="24"/>
                <w:lang w:val="en-US" w:eastAsia="zh-CN"/>
              </w:rPr>
              <w:t xml:space="preserve">3-7    </w:t>
            </w:r>
            <w:r>
              <w:rPr>
                <w:rFonts w:hint="eastAsia"/>
                <w:b/>
                <w:color w:val="auto"/>
                <w:sz w:val="24"/>
                <w:szCs w:val="24"/>
                <w:lang w:eastAsia="zh-CN"/>
              </w:rPr>
              <w:t>其他环境保护目标一览表</w:t>
            </w:r>
          </w:p>
          <w:tbl>
            <w:tblPr>
              <w:tblStyle w:val="37"/>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25"/>
              <w:gridCol w:w="1585"/>
              <w:gridCol w:w="927"/>
              <w:gridCol w:w="978"/>
              <w:gridCol w:w="2142"/>
              <w:gridCol w:w="1663"/>
            </w:tblGrid>
            <w:tr w14:paraId="2D377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8" w:hRule="atLeast"/>
                <w:jc w:val="center"/>
              </w:trPr>
              <w:tc>
                <w:tcPr>
                  <w:tcW w:w="925" w:type="dxa"/>
                  <w:tcBorders>
                    <w:tl2br w:val="nil"/>
                    <w:tr2bl w:val="nil"/>
                  </w:tcBorders>
                  <w:noWrap w:val="0"/>
                  <w:vAlign w:val="center"/>
                </w:tcPr>
                <w:p w14:paraId="5721DEE4">
                  <w:pPr>
                    <w:keepNext w:val="0"/>
                    <w:keepLines w:val="0"/>
                    <w:suppressLineNumbers w:val="0"/>
                    <w:spacing w:before="0" w:beforeAutospacing="0" w:after="0" w:afterAutospacing="0" w:line="360" w:lineRule="exact"/>
                    <w:ind w:left="0" w:right="0"/>
                    <w:jc w:val="center"/>
                    <w:rPr>
                      <w:rFonts w:hint="default"/>
                      <w:b/>
                      <w:bCs/>
                      <w:color w:val="auto"/>
                      <w:sz w:val="21"/>
                      <w:szCs w:val="21"/>
                      <w:highlight w:val="none"/>
                      <w:u w:val="none"/>
                    </w:rPr>
                  </w:pPr>
                  <w:r>
                    <w:rPr>
                      <w:rFonts w:hint="default"/>
                      <w:b/>
                      <w:bCs/>
                      <w:color w:val="auto"/>
                      <w:sz w:val="21"/>
                      <w:szCs w:val="21"/>
                      <w:highlight w:val="none"/>
                      <w:u w:val="none"/>
                    </w:rPr>
                    <w:t>环境要素</w:t>
                  </w:r>
                </w:p>
              </w:tc>
              <w:tc>
                <w:tcPr>
                  <w:tcW w:w="1585" w:type="dxa"/>
                  <w:tcBorders>
                    <w:tl2br w:val="nil"/>
                    <w:tr2bl w:val="nil"/>
                  </w:tcBorders>
                  <w:noWrap w:val="0"/>
                  <w:vAlign w:val="center"/>
                </w:tcPr>
                <w:p w14:paraId="1F41D778">
                  <w:pPr>
                    <w:keepNext w:val="0"/>
                    <w:keepLines w:val="0"/>
                    <w:suppressLineNumbers w:val="0"/>
                    <w:spacing w:before="0" w:beforeAutospacing="0" w:after="0" w:afterAutospacing="0" w:line="360" w:lineRule="exact"/>
                    <w:ind w:left="0" w:right="0"/>
                    <w:jc w:val="center"/>
                    <w:rPr>
                      <w:rFonts w:hint="eastAsia"/>
                      <w:b/>
                      <w:bCs/>
                      <w:color w:val="auto"/>
                      <w:sz w:val="21"/>
                      <w:szCs w:val="21"/>
                      <w:highlight w:val="none"/>
                      <w:u w:val="none"/>
                      <w:lang w:eastAsia="zh-CN"/>
                    </w:rPr>
                  </w:pPr>
                  <w:r>
                    <w:rPr>
                      <w:rFonts w:hint="default"/>
                      <w:b/>
                      <w:bCs/>
                      <w:color w:val="auto"/>
                      <w:sz w:val="21"/>
                      <w:szCs w:val="21"/>
                      <w:highlight w:val="none"/>
                      <w:u w:val="none"/>
                    </w:rPr>
                    <w:t>保护目标名称</w:t>
                  </w:r>
                </w:p>
              </w:tc>
              <w:tc>
                <w:tcPr>
                  <w:tcW w:w="927" w:type="dxa"/>
                  <w:tcBorders>
                    <w:tl2br w:val="nil"/>
                    <w:tr2bl w:val="nil"/>
                  </w:tcBorders>
                  <w:noWrap w:val="0"/>
                  <w:vAlign w:val="center"/>
                </w:tcPr>
                <w:p w14:paraId="50CCB36C">
                  <w:pPr>
                    <w:keepNext w:val="0"/>
                    <w:keepLines w:val="0"/>
                    <w:suppressLineNumbers w:val="0"/>
                    <w:spacing w:before="0" w:beforeAutospacing="0" w:after="0" w:afterAutospacing="0" w:line="360" w:lineRule="exact"/>
                    <w:ind w:left="0" w:right="0"/>
                    <w:jc w:val="center"/>
                    <w:rPr>
                      <w:rFonts w:hint="default"/>
                      <w:b/>
                      <w:bCs/>
                      <w:color w:val="auto"/>
                      <w:sz w:val="21"/>
                      <w:szCs w:val="21"/>
                      <w:highlight w:val="none"/>
                      <w:u w:val="none"/>
                    </w:rPr>
                  </w:pPr>
                  <w:r>
                    <w:rPr>
                      <w:rFonts w:hint="default"/>
                      <w:b/>
                      <w:bCs/>
                      <w:color w:val="auto"/>
                      <w:sz w:val="21"/>
                      <w:szCs w:val="21"/>
                      <w:highlight w:val="none"/>
                      <w:u w:val="none"/>
                    </w:rPr>
                    <w:t>方位</w:t>
                  </w:r>
                </w:p>
              </w:tc>
              <w:tc>
                <w:tcPr>
                  <w:tcW w:w="978" w:type="dxa"/>
                  <w:tcBorders>
                    <w:tl2br w:val="nil"/>
                    <w:tr2bl w:val="nil"/>
                  </w:tcBorders>
                  <w:noWrap w:val="0"/>
                  <w:vAlign w:val="center"/>
                </w:tcPr>
                <w:p w14:paraId="12646BFC">
                  <w:pPr>
                    <w:keepNext w:val="0"/>
                    <w:keepLines w:val="0"/>
                    <w:suppressLineNumbers w:val="0"/>
                    <w:spacing w:before="0" w:beforeAutospacing="0" w:after="0" w:afterAutospacing="0" w:line="360" w:lineRule="exact"/>
                    <w:ind w:left="0" w:right="0"/>
                    <w:jc w:val="center"/>
                    <w:rPr>
                      <w:rFonts w:hint="default"/>
                      <w:b/>
                      <w:bCs/>
                      <w:color w:val="auto"/>
                      <w:sz w:val="21"/>
                      <w:szCs w:val="21"/>
                      <w:highlight w:val="none"/>
                      <w:u w:val="none"/>
                    </w:rPr>
                  </w:pPr>
                  <w:r>
                    <w:rPr>
                      <w:rFonts w:hint="default"/>
                      <w:b/>
                      <w:bCs/>
                      <w:color w:val="auto"/>
                      <w:sz w:val="21"/>
                      <w:szCs w:val="21"/>
                      <w:highlight w:val="none"/>
                      <w:u w:val="none"/>
                    </w:rPr>
                    <w:t>距离</w:t>
                  </w:r>
                </w:p>
              </w:tc>
              <w:tc>
                <w:tcPr>
                  <w:tcW w:w="2142" w:type="dxa"/>
                  <w:tcBorders>
                    <w:tl2br w:val="nil"/>
                    <w:tr2bl w:val="nil"/>
                  </w:tcBorders>
                  <w:noWrap w:val="0"/>
                  <w:vAlign w:val="center"/>
                </w:tcPr>
                <w:p w14:paraId="373D2205">
                  <w:pPr>
                    <w:keepNext w:val="0"/>
                    <w:keepLines w:val="0"/>
                    <w:suppressLineNumbers w:val="0"/>
                    <w:spacing w:before="0" w:beforeAutospacing="0" w:after="0" w:afterAutospacing="0" w:line="360" w:lineRule="exact"/>
                    <w:ind w:left="0" w:right="0"/>
                    <w:jc w:val="center"/>
                    <w:rPr>
                      <w:rFonts w:hint="default"/>
                      <w:b/>
                      <w:bCs/>
                      <w:color w:val="auto"/>
                      <w:sz w:val="21"/>
                      <w:szCs w:val="21"/>
                      <w:highlight w:val="none"/>
                      <w:u w:val="none"/>
                    </w:rPr>
                  </w:pPr>
                  <w:r>
                    <w:rPr>
                      <w:rFonts w:hint="default"/>
                      <w:b/>
                      <w:bCs/>
                      <w:color w:val="auto"/>
                      <w:sz w:val="21"/>
                      <w:szCs w:val="21"/>
                      <w:highlight w:val="none"/>
                      <w:u w:val="none"/>
                    </w:rPr>
                    <w:t>功能及规模</w:t>
                  </w:r>
                </w:p>
              </w:tc>
              <w:tc>
                <w:tcPr>
                  <w:tcW w:w="1663" w:type="dxa"/>
                  <w:tcBorders>
                    <w:tl2br w:val="nil"/>
                    <w:tr2bl w:val="nil"/>
                  </w:tcBorders>
                  <w:noWrap w:val="0"/>
                  <w:vAlign w:val="center"/>
                </w:tcPr>
                <w:p w14:paraId="5B82538D">
                  <w:pPr>
                    <w:keepNext w:val="0"/>
                    <w:keepLines w:val="0"/>
                    <w:suppressLineNumbers w:val="0"/>
                    <w:spacing w:before="0" w:beforeAutospacing="0" w:after="0" w:afterAutospacing="0" w:line="360" w:lineRule="exact"/>
                    <w:ind w:left="0" w:right="0"/>
                    <w:jc w:val="center"/>
                    <w:rPr>
                      <w:rFonts w:hint="default"/>
                      <w:b/>
                      <w:bCs/>
                      <w:color w:val="auto"/>
                      <w:sz w:val="21"/>
                      <w:szCs w:val="21"/>
                      <w:highlight w:val="none"/>
                      <w:u w:val="none"/>
                    </w:rPr>
                  </w:pPr>
                  <w:r>
                    <w:rPr>
                      <w:rFonts w:hint="default"/>
                      <w:b/>
                      <w:bCs/>
                      <w:color w:val="auto"/>
                      <w:sz w:val="21"/>
                      <w:szCs w:val="21"/>
                      <w:highlight w:val="none"/>
                      <w:u w:val="none"/>
                    </w:rPr>
                    <w:t>保护级别</w:t>
                  </w:r>
                </w:p>
              </w:tc>
            </w:tr>
            <w:tr w14:paraId="615AA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5" w:type="dxa"/>
                  <w:vMerge w:val="restart"/>
                  <w:tcBorders>
                    <w:tl2br w:val="nil"/>
                    <w:tr2bl w:val="nil"/>
                  </w:tcBorders>
                  <w:noWrap w:val="0"/>
                  <w:vAlign w:val="center"/>
                </w:tcPr>
                <w:p w14:paraId="79A23038">
                  <w:pPr>
                    <w:keepNext w:val="0"/>
                    <w:keepLines w:val="0"/>
                    <w:suppressLineNumbers w:val="0"/>
                    <w:spacing w:before="0" w:beforeAutospacing="0" w:after="0" w:afterAutospacing="0" w:line="360" w:lineRule="exact"/>
                    <w:ind w:left="0" w:right="0"/>
                    <w:jc w:val="center"/>
                    <w:rPr>
                      <w:rFonts w:hint="default"/>
                      <w:color w:val="auto"/>
                      <w:sz w:val="21"/>
                      <w:szCs w:val="21"/>
                      <w:highlight w:val="none"/>
                      <w:u w:val="none"/>
                    </w:rPr>
                  </w:pPr>
                  <w:r>
                    <w:rPr>
                      <w:rFonts w:hint="default"/>
                      <w:color w:val="auto"/>
                      <w:sz w:val="21"/>
                      <w:szCs w:val="21"/>
                      <w:highlight w:val="none"/>
                      <w:u w:val="none"/>
                    </w:rPr>
                    <w:t>地表水</w:t>
                  </w:r>
                </w:p>
              </w:tc>
              <w:tc>
                <w:tcPr>
                  <w:tcW w:w="1585" w:type="dxa"/>
                  <w:tcBorders>
                    <w:tl2br w:val="nil"/>
                    <w:tr2bl w:val="nil"/>
                  </w:tcBorders>
                  <w:noWrap w:val="0"/>
                  <w:vAlign w:val="center"/>
                </w:tcPr>
                <w:p w14:paraId="023F8DE6">
                  <w:pPr>
                    <w:keepNext w:val="0"/>
                    <w:keepLines w:val="0"/>
                    <w:suppressLineNumbers w:val="0"/>
                    <w:spacing w:before="0" w:beforeAutospacing="0" w:after="0" w:afterAutospacing="0" w:line="360" w:lineRule="exact"/>
                    <w:ind w:left="0" w:right="0"/>
                    <w:jc w:val="center"/>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象骨港</w:t>
                  </w:r>
                </w:p>
              </w:tc>
              <w:tc>
                <w:tcPr>
                  <w:tcW w:w="927" w:type="dxa"/>
                  <w:tcBorders>
                    <w:tl2br w:val="nil"/>
                    <w:tr2bl w:val="nil"/>
                  </w:tcBorders>
                  <w:noWrap w:val="0"/>
                  <w:vAlign w:val="center"/>
                </w:tcPr>
                <w:p w14:paraId="6C9917ED">
                  <w:pPr>
                    <w:keepNext w:val="0"/>
                    <w:keepLines w:val="0"/>
                    <w:suppressLineNumbers w:val="0"/>
                    <w:spacing w:before="0" w:beforeAutospacing="0" w:after="0" w:afterAutospacing="0" w:line="360" w:lineRule="exact"/>
                    <w:ind w:left="0" w:right="0"/>
                    <w:jc w:val="center"/>
                    <w:rPr>
                      <w:rFonts w:hint="default" w:eastAsia="宋体"/>
                      <w:color w:val="auto"/>
                      <w:sz w:val="21"/>
                      <w:szCs w:val="21"/>
                      <w:highlight w:val="none"/>
                      <w:u w:val="none"/>
                      <w:lang w:val="en-US" w:eastAsia="zh-CN"/>
                    </w:rPr>
                  </w:pPr>
                  <w:r>
                    <w:rPr>
                      <w:rFonts w:hint="eastAsia"/>
                      <w:color w:val="auto"/>
                      <w:sz w:val="21"/>
                      <w:szCs w:val="21"/>
                      <w:highlight w:val="none"/>
                      <w:u w:val="none"/>
                      <w:lang w:val="en-US" w:eastAsia="zh-CN"/>
                    </w:rPr>
                    <w:t>NW</w:t>
                  </w:r>
                </w:p>
              </w:tc>
              <w:tc>
                <w:tcPr>
                  <w:tcW w:w="978" w:type="dxa"/>
                  <w:tcBorders>
                    <w:tl2br w:val="nil"/>
                    <w:tr2bl w:val="nil"/>
                  </w:tcBorders>
                  <w:noWrap w:val="0"/>
                  <w:vAlign w:val="center"/>
                </w:tcPr>
                <w:p w14:paraId="310CB893">
                  <w:pPr>
                    <w:keepNext w:val="0"/>
                    <w:keepLines w:val="0"/>
                    <w:suppressLineNumbers w:val="0"/>
                    <w:spacing w:before="0" w:beforeAutospacing="0" w:after="0" w:afterAutospacing="0" w:line="360" w:lineRule="exact"/>
                    <w:ind w:left="0" w:right="0"/>
                    <w:jc w:val="center"/>
                    <w:rPr>
                      <w:rFonts w:hint="default"/>
                      <w:color w:val="auto"/>
                      <w:sz w:val="21"/>
                      <w:szCs w:val="21"/>
                      <w:highlight w:val="none"/>
                      <w:u w:val="none"/>
                    </w:rPr>
                  </w:pPr>
                  <w:r>
                    <w:rPr>
                      <w:rFonts w:hint="eastAsia"/>
                      <w:color w:val="auto"/>
                      <w:sz w:val="21"/>
                      <w:szCs w:val="21"/>
                      <w:highlight w:val="none"/>
                      <w:u w:val="none"/>
                      <w:lang w:val="en-US" w:eastAsia="zh-CN"/>
                    </w:rPr>
                    <w:t>2</w:t>
                  </w:r>
                  <w:r>
                    <w:rPr>
                      <w:rFonts w:hint="default"/>
                      <w:color w:val="auto"/>
                      <w:sz w:val="21"/>
                      <w:szCs w:val="21"/>
                      <w:highlight w:val="none"/>
                      <w:u w:val="none"/>
                    </w:rPr>
                    <w:t>km</w:t>
                  </w:r>
                </w:p>
              </w:tc>
              <w:tc>
                <w:tcPr>
                  <w:tcW w:w="2142" w:type="dxa"/>
                  <w:tcBorders>
                    <w:tl2br w:val="nil"/>
                    <w:tr2bl w:val="nil"/>
                  </w:tcBorders>
                  <w:noWrap w:val="0"/>
                  <w:vAlign w:val="center"/>
                </w:tcPr>
                <w:p w14:paraId="465EA942">
                  <w:pPr>
                    <w:keepNext w:val="0"/>
                    <w:keepLines w:val="0"/>
                    <w:suppressLineNumbers w:val="0"/>
                    <w:spacing w:before="0" w:beforeAutospacing="0" w:after="0" w:afterAutospacing="0" w:line="360" w:lineRule="exact"/>
                    <w:ind w:left="0" w:right="0"/>
                    <w:jc w:val="center"/>
                    <w:rPr>
                      <w:rFonts w:hint="default"/>
                      <w:color w:val="auto"/>
                      <w:sz w:val="21"/>
                      <w:szCs w:val="21"/>
                      <w:highlight w:val="none"/>
                      <w:u w:val="none"/>
                    </w:rPr>
                  </w:pPr>
                  <w:r>
                    <w:rPr>
                      <w:rFonts w:hint="eastAsia"/>
                      <w:color w:val="auto"/>
                      <w:sz w:val="21"/>
                      <w:szCs w:val="21"/>
                      <w:highlight w:val="none"/>
                      <w:u w:val="none"/>
                      <w:lang w:eastAsia="zh-CN"/>
                    </w:rPr>
                    <w:t>防洪、灌溉</w:t>
                  </w:r>
                </w:p>
              </w:tc>
              <w:tc>
                <w:tcPr>
                  <w:tcW w:w="1663" w:type="dxa"/>
                  <w:vMerge w:val="restart"/>
                  <w:tcBorders>
                    <w:tl2br w:val="nil"/>
                    <w:tr2bl w:val="nil"/>
                  </w:tcBorders>
                  <w:noWrap w:val="0"/>
                  <w:vAlign w:val="center"/>
                </w:tcPr>
                <w:p w14:paraId="72D803AD">
                  <w:pPr>
                    <w:keepNext w:val="0"/>
                    <w:keepLines w:val="0"/>
                    <w:suppressLineNumbers w:val="0"/>
                    <w:spacing w:before="0" w:beforeAutospacing="0" w:after="0" w:afterAutospacing="0" w:line="360" w:lineRule="exact"/>
                    <w:ind w:left="0" w:right="0"/>
                    <w:jc w:val="center"/>
                    <w:rPr>
                      <w:rFonts w:hint="default"/>
                      <w:color w:val="auto"/>
                      <w:sz w:val="21"/>
                      <w:szCs w:val="21"/>
                      <w:highlight w:val="none"/>
                      <w:u w:val="none"/>
                    </w:rPr>
                  </w:pPr>
                  <w:r>
                    <w:rPr>
                      <w:rFonts w:hint="default"/>
                      <w:color w:val="auto"/>
                      <w:sz w:val="21"/>
                      <w:szCs w:val="21"/>
                      <w:highlight w:val="none"/>
                      <w:u w:val="none"/>
                    </w:rPr>
                    <w:t>(GB3838-2002)</w:t>
                  </w:r>
                </w:p>
                <w:p w14:paraId="58C4A990">
                  <w:pPr>
                    <w:keepNext w:val="0"/>
                    <w:keepLines w:val="0"/>
                    <w:suppressLineNumbers w:val="0"/>
                    <w:spacing w:before="0" w:beforeAutospacing="0" w:after="0" w:afterAutospacing="0" w:line="360" w:lineRule="exact"/>
                    <w:ind w:left="0" w:right="0"/>
                    <w:jc w:val="center"/>
                    <w:rPr>
                      <w:rFonts w:hint="default"/>
                      <w:color w:val="auto"/>
                      <w:sz w:val="21"/>
                      <w:szCs w:val="21"/>
                      <w:highlight w:val="none"/>
                      <w:u w:val="none"/>
                    </w:rPr>
                  </w:pPr>
                  <w:r>
                    <w:rPr>
                      <w:rFonts w:hint="default"/>
                      <w:color w:val="auto"/>
                      <w:sz w:val="21"/>
                      <w:szCs w:val="21"/>
                      <w:highlight w:val="none"/>
                      <w:u w:val="none"/>
                    </w:rPr>
                    <w:t>Ⅲ类标准</w:t>
                  </w:r>
                </w:p>
              </w:tc>
            </w:tr>
            <w:tr w14:paraId="7FF2A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5" w:type="dxa"/>
                  <w:vMerge w:val="continue"/>
                  <w:tcBorders>
                    <w:tl2br w:val="nil"/>
                    <w:tr2bl w:val="nil"/>
                  </w:tcBorders>
                  <w:noWrap w:val="0"/>
                  <w:vAlign w:val="center"/>
                </w:tcPr>
                <w:p w14:paraId="3C895565">
                  <w:pPr>
                    <w:keepNext w:val="0"/>
                    <w:keepLines w:val="0"/>
                    <w:suppressLineNumbers w:val="0"/>
                    <w:spacing w:before="0" w:beforeAutospacing="0" w:after="0" w:afterAutospacing="0" w:line="360" w:lineRule="exact"/>
                    <w:ind w:left="0" w:right="0"/>
                    <w:jc w:val="center"/>
                    <w:rPr>
                      <w:rFonts w:hint="default"/>
                      <w:color w:val="auto"/>
                      <w:sz w:val="21"/>
                      <w:szCs w:val="21"/>
                      <w:highlight w:val="none"/>
                      <w:u w:val="none"/>
                    </w:rPr>
                  </w:pPr>
                </w:p>
              </w:tc>
              <w:tc>
                <w:tcPr>
                  <w:tcW w:w="1585" w:type="dxa"/>
                  <w:tcBorders>
                    <w:tl2br w:val="nil"/>
                    <w:tr2bl w:val="nil"/>
                  </w:tcBorders>
                  <w:noWrap w:val="0"/>
                  <w:vAlign w:val="center"/>
                </w:tcPr>
                <w:p w14:paraId="01FA71B8">
                  <w:pPr>
                    <w:keepNext w:val="0"/>
                    <w:keepLines w:val="0"/>
                    <w:suppressLineNumbers w:val="0"/>
                    <w:spacing w:before="0" w:beforeAutospacing="0" w:after="0" w:afterAutospacing="0" w:line="360" w:lineRule="exact"/>
                    <w:ind w:left="0" w:right="0"/>
                    <w:jc w:val="center"/>
                    <w:rPr>
                      <w:rFonts w:hint="eastAsia" w:eastAsia="宋体"/>
                      <w:color w:val="auto"/>
                      <w:sz w:val="21"/>
                      <w:szCs w:val="21"/>
                      <w:highlight w:val="none"/>
                      <w:u w:val="none"/>
                      <w:lang w:val="en-US" w:eastAsia="zh-CN"/>
                    </w:rPr>
                  </w:pPr>
                  <w:r>
                    <w:rPr>
                      <w:rFonts w:hint="default" w:eastAsia="宋体"/>
                      <w:color w:val="auto"/>
                      <w:sz w:val="21"/>
                      <w:szCs w:val="21"/>
                      <w:highlight w:val="none"/>
                      <w:u w:val="none"/>
                      <w:lang w:val="en-US" w:eastAsia="zh-CN"/>
                    </w:rPr>
                    <w:t>长江</w:t>
                  </w:r>
                </w:p>
              </w:tc>
              <w:tc>
                <w:tcPr>
                  <w:tcW w:w="927" w:type="dxa"/>
                  <w:tcBorders>
                    <w:tl2br w:val="nil"/>
                    <w:tr2bl w:val="nil"/>
                  </w:tcBorders>
                  <w:noWrap w:val="0"/>
                  <w:vAlign w:val="center"/>
                </w:tcPr>
                <w:p w14:paraId="3289BBF7">
                  <w:pPr>
                    <w:keepNext w:val="0"/>
                    <w:keepLines w:val="0"/>
                    <w:suppressLineNumbers w:val="0"/>
                    <w:spacing w:before="0" w:beforeAutospacing="0" w:after="0" w:afterAutospacing="0" w:line="360" w:lineRule="exact"/>
                    <w:ind w:left="0" w:right="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W</w:t>
                  </w:r>
                </w:p>
              </w:tc>
              <w:tc>
                <w:tcPr>
                  <w:tcW w:w="978" w:type="dxa"/>
                  <w:tcBorders>
                    <w:tl2br w:val="nil"/>
                    <w:tr2bl w:val="nil"/>
                  </w:tcBorders>
                  <w:noWrap w:val="0"/>
                  <w:vAlign w:val="center"/>
                </w:tcPr>
                <w:p w14:paraId="24921EB6">
                  <w:pPr>
                    <w:keepNext w:val="0"/>
                    <w:keepLines w:val="0"/>
                    <w:suppressLineNumbers w:val="0"/>
                    <w:spacing w:before="0" w:beforeAutospacing="0" w:after="0" w:afterAutospacing="0" w:line="360" w:lineRule="exact"/>
                    <w:ind w:left="0" w:right="0"/>
                    <w:jc w:val="center"/>
                    <w:rPr>
                      <w:rFonts w:hint="default"/>
                      <w:color w:val="auto"/>
                      <w:sz w:val="21"/>
                      <w:szCs w:val="21"/>
                      <w:highlight w:val="none"/>
                      <w:u w:val="none"/>
                      <w:lang w:val="en-US" w:eastAsia="zh-CN"/>
                    </w:rPr>
                  </w:pPr>
                  <w:r>
                    <w:rPr>
                      <w:rFonts w:hint="eastAsia"/>
                      <w:color w:val="auto"/>
                      <w:sz w:val="21"/>
                      <w:szCs w:val="21"/>
                      <w:highlight w:val="none"/>
                      <w:u w:val="none"/>
                      <w:lang w:val="en-US" w:eastAsia="zh-CN"/>
                    </w:rPr>
                    <w:t>4.8km</w:t>
                  </w:r>
                </w:p>
              </w:tc>
              <w:tc>
                <w:tcPr>
                  <w:tcW w:w="2142" w:type="dxa"/>
                  <w:tcBorders>
                    <w:tl2br w:val="nil"/>
                    <w:tr2bl w:val="nil"/>
                  </w:tcBorders>
                  <w:noWrap w:val="0"/>
                  <w:vAlign w:val="center"/>
                </w:tcPr>
                <w:p w14:paraId="4D9D5E72">
                  <w:pPr>
                    <w:keepNext w:val="0"/>
                    <w:keepLines w:val="0"/>
                    <w:suppressLineNumbers w:val="0"/>
                    <w:spacing w:before="0" w:beforeAutospacing="0" w:after="0" w:afterAutospacing="0" w:line="360" w:lineRule="exact"/>
                    <w:ind w:left="0" w:right="0"/>
                    <w:jc w:val="center"/>
                    <w:rPr>
                      <w:rFonts w:hint="eastAsia"/>
                      <w:color w:val="auto"/>
                      <w:sz w:val="21"/>
                      <w:szCs w:val="21"/>
                      <w:highlight w:val="none"/>
                      <w:u w:val="none"/>
                      <w:lang w:eastAsia="zh-CN"/>
                    </w:rPr>
                  </w:pPr>
                  <w:r>
                    <w:rPr>
                      <w:rFonts w:hint="eastAsia" w:ascii="Calibri" w:hAnsi="Calibri"/>
                      <w:color w:val="auto"/>
                      <w:szCs w:val="21"/>
                      <w:u w:val="none"/>
                    </w:rPr>
                    <w:t>大河，渔业用水区</w:t>
                  </w:r>
                </w:p>
              </w:tc>
              <w:tc>
                <w:tcPr>
                  <w:tcW w:w="1663" w:type="dxa"/>
                  <w:vMerge w:val="continue"/>
                  <w:tcBorders>
                    <w:tl2br w:val="nil"/>
                    <w:tr2bl w:val="nil"/>
                  </w:tcBorders>
                  <w:noWrap w:val="0"/>
                  <w:vAlign w:val="center"/>
                </w:tcPr>
                <w:p w14:paraId="53CC0819">
                  <w:pPr>
                    <w:keepNext w:val="0"/>
                    <w:keepLines w:val="0"/>
                    <w:suppressLineNumbers w:val="0"/>
                    <w:spacing w:before="0" w:beforeAutospacing="0" w:after="0" w:afterAutospacing="0" w:line="360" w:lineRule="exact"/>
                    <w:ind w:left="0" w:right="0"/>
                    <w:jc w:val="center"/>
                    <w:rPr>
                      <w:rFonts w:hint="default"/>
                      <w:color w:val="auto"/>
                      <w:sz w:val="21"/>
                      <w:szCs w:val="21"/>
                      <w:highlight w:val="none"/>
                      <w:u w:val="none"/>
                    </w:rPr>
                  </w:pPr>
                </w:p>
              </w:tc>
            </w:tr>
          </w:tbl>
          <w:p w14:paraId="5EA509E2">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auto"/>
                <w:spacing w:val="0"/>
                <w:position w:val="0"/>
                <w:sz w:val="24"/>
                <w:u w:val="none" w:color="auto"/>
              </w:rPr>
            </w:pPr>
          </w:p>
        </w:tc>
      </w:tr>
      <w:tr w14:paraId="386BF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shd w:val="clear" w:color="auto" w:fill="auto"/>
            <w:noWrap w:val="0"/>
            <w:vAlign w:val="center"/>
          </w:tcPr>
          <w:p w14:paraId="5A91FF12">
            <w:pPr>
              <w:pStyle w:val="12"/>
              <w:keepNext w:val="0"/>
              <w:keepLines w:val="0"/>
              <w:pageBreakBefore w:val="0"/>
              <w:suppressLineNumbers w:val="0"/>
              <w:kinsoku/>
              <w:overflowPunct/>
              <w:topLinePunct w:val="0"/>
              <w:autoSpaceDE/>
              <w:autoSpaceDN/>
              <w:bidi w:val="0"/>
              <w:spacing w:before="0" w:beforeAutospacing="0" w:after="0" w:afterAutospacing="0"/>
              <w:ind w:left="0" w:leftChars="0" w:right="0" w:firstLine="0" w:firstLineChars="0"/>
              <w:jc w:val="center"/>
              <w:outlineLvl w:val="9"/>
              <w:rPr>
                <w:rFonts w:hint="default" w:ascii="Times New Roman" w:hAnsi="Times New Roman" w:eastAsia="宋体" w:cs="Times New Roman"/>
                <w:b w:val="0"/>
                <w:bCs w:val="0"/>
                <w:color w:val="auto"/>
                <w:spacing w:val="0"/>
                <w:position w:val="0"/>
                <w:sz w:val="24"/>
                <w:szCs w:val="24"/>
                <w:u w:val="none" w:color="auto"/>
                <w:vertAlign w:val="baseline"/>
                <w:lang w:eastAsia="zh-CN"/>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污染</w:t>
            </w:r>
          </w:p>
          <w:p w14:paraId="4E02F539">
            <w:pPr>
              <w:pStyle w:val="12"/>
              <w:keepNext w:val="0"/>
              <w:keepLines w:val="0"/>
              <w:pageBreakBefore w:val="0"/>
              <w:suppressLineNumbers w:val="0"/>
              <w:kinsoku/>
              <w:overflowPunct/>
              <w:topLinePunct w:val="0"/>
              <w:autoSpaceDE/>
              <w:autoSpaceDN/>
              <w:bidi w:val="0"/>
              <w:spacing w:before="0" w:beforeAutospacing="0" w:after="0" w:afterAutospacing="0"/>
              <w:ind w:left="0" w:leftChars="0" w:right="0" w:firstLine="0" w:firstLineChars="0"/>
              <w:jc w:val="center"/>
              <w:outlineLvl w:val="9"/>
              <w:rPr>
                <w:rFonts w:hint="default" w:ascii="Times New Roman" w:hAnsi="Times New Roman" w:eastAsia="宋体" w:cs="Times New Roman"/>
                <w:b w:val="0"/>
                <w:bCs w:val="0"/>
                <w:color w:val="auto"/>
                <w:spacing w:val="0"/>
                <w:position w:val="0"/>
                <w:sz w:val="24"/>
                <w:szCs w:val="24"/>
                <w:u w:val="none" w:color="auto"/>
                <w:vertAlign w:val="baseline"/>
                <w:lang w:eastAsia="zh-CN"/>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物排</w:t>
            </w:r>
          </w:p>
          <w:p w14:paraId="7B6C335D">
            <w:pPr>
              <w:pStyle w:val="12"/>
              <w:keepNext w:val="0"/>
              <w:keepLines w:val="0"/>
              <w:pageBreakBefore w:val="0"/>
              <w:suppressLineNumbers w:val="0"/>
              <w:kinsoku/>
              <w:overflowPunct/>
              <w:topLinePunct w:val="0"/>
              <w:autoSpaceDE/>
              <w:autoSpaceDN/>
              <w:bidi w:val="0"/>
              <w:spacing w:before="0" w:beforeAutospacing="0" w:after="0" w:afterAutospacing="0"/>
              <w:ind w:left="0" w:right="0"/>
              <w:jc w:val="center"/>
              <w:outlineLvl w:val="9"/>
              <w:rPr>
                <w:rFonts w:hint="default" w:ascii="Times New Roman" w:hAnsi="Times New Roman" w:eastAsia="宋体" w:cs="Times New Roman"/>
                <w:b w:val="0"/>
                <w:bCs w:val="0"/>
                <w:color w:val="auto"/>
                <w:spacing w:val="0"/>
                <w:position w:val="0"/>
                <w:sz w:val="24"/>
                <w:szCs w:val="24"/>
                <w:u w:val="none" w:color="auto"/>
                <w:vertAlign w:val="baseline"/>
                <w:lang w:eastAsia="zh-CN"/>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放控制标</w:t>
            </w:r>
          </w:p>
          <w:p w14:paraId="695EFB5D">
            <w:pPr>
              <w:pStyle w:val="12"/>
              <w:keepNext w:val="0"/>
              <w:keepLines w:val="0"/>
              <w:pageBreakBefore w:val="0"/>
              <w:suppressLineNumbers w:val="0"/>
              <w:kinsoku/>
              <w:overflowPunct/>
              <w:topLinePunct w:val="0"/>
              <w:autoSpaceDE/>
              <w:autoSpaceDN/>
              <w:bidi w:val="0"/>
              <w:spacing w:before="0" w:beforeAutospacing="0" w:after="0" w:afterAutospacing="0"/>
              <w:ind w:left="0" w:leftChars="0" w:right="0" w:rightChars="0" w:firstLine="43" w:firstLineChars="18"/>
              <w:jc w:val="center"/>
              <w:outlineLvl w:val="9"/>
              <w:rPr>
                <w:rFonts w:hint="default" w:ascii="Times New Roman" w:hAnsi="Times New Roman" w:eastAsia="宋体" w:cs="Times New Roman"/>
                <w:color w:val="auto"/>
                <w:spacing w:val="0"/>
                <w:kern w:val="2"/>
                <w:position w:val="0"/>
                <w:sz w:val="21"/>
                <w:szCs w:val="21"/>
                <w:u w:val="none" w:color="auto"/>
                <w:vertAlign w:val="baseline"/>
                <w:lang w:val="en-US" w:eastAsia="zh-CN" w:bidi="ar-SA"/>
              </w:rPr>
            </w:pPr>
            <w:r>
              <w:rPr>
                <w:rFonts w:hint="default" w:ascii="Times New Roman" w:hAnsi="Times New Roman" w:eastAsia="宋体" w:cs="Times New Roman"/>
                <w:b w:val="0"/>
                <w:bCs w:val="0"/>
                <w:color w:val="auto"/>
                <w:spacing w:val="0"/>
                <w:position w:val="0"/>
                <w:sz w:val="24"/>
                <w:szCs w:val="24"/>
                <w:u w:val="none" w:color="auto"/>
                <w:vertAlign w:val="baseline"/>
                <w:lang w:eastAsia="zh-CN"/>
              </w:rPr>
              <w:t>准</w:t>
            </w:r>
          </w:p>
        </w:tc>
        <w:tc>
          <w:tcPr>
            <w:tcW w:w="4555" w:type="pct"/>
            <w:shd w:val="clear" w:color="auto" w:fill="auto"/>
            <w:noWrap w:val="0"/>
            <w:vAlign w:val="top"/>
          </w:tcPr>
          <w:p w14:paraId="5D542F0E">
            <w:pPr>
              <w:keepNext w:val="0"/>
              <w:keepLines w:val="0"/>
              <w:pageBreakBefore w:val="0"/>
              <w:widowControl w:val="0"/>
              <w:numPr>
                <w:ilvl w:val="0"/>
                <w:numId w:val="10"/>
              </w:numPr>
              <w:suppressLineNumbers w:val="0"/>
              <w:kinsoku/>
              <w:wordWrap/>
              <w:overflowPunct/>
              <w:topLinePunct w:val="0"/>
              <w:autoSpaceDE/>
              <w:autoSpaceDN/>
              <w:bidi w:val="0"/>
              <w:snapToGrid w:val="0"/>
              <w:spacing w:before="0" w:beforeAutospacing="0" w:after="0" w:afterAutospacing="0" w:line="360" w:lineRule="auto"/>
              <w:ind w:left="0" w:leftChars="0" w:right="0" w:firstLine="482" w:firstLineChars="200"/>
              <w:jc w:val="both"/>
              <w:textAlignment w:val="auto"/>
              <w:outlineLvl w:val="9"/>
              <w:rPr>
                <w:rStyle w:val="62"/>
                <w:rFonts w:hint="default" w:ascii="Times New Roman" w:hAnsi="Times New Roman" w:eastAsia="宋体" w:cs="Times New Roman"/>
                <w:b/>
                <w:bCs/>
                <w:color w:val="auto"/>
                <w:spacing w:val="0"/>
                <w:position w:val="0"/>
                <w:highlight w:val="none"/>
                <w:u w:val="none" w:color="auto"/>
                <w:lang w:eastAsia="zh-CN"/>
              </w:rPr>
            </w:pPr>
            <w:r>
              <w:rPr>
                <w:rStyle w:val="62"/>
                <w:rFonts w:hint="default" w:ascii="Times New Roman" w:hAnsi="Times New Roman" w:eastAsia="宋体" w:cs="Times New Roman"/>
                <w:b/>
                <w:bCs/>
                <w:color w:val="auto"/>
                <w:spacing w:val="0"/>
                <w:position w:val="0"/>
                <w:highlight w:val="none"/>
                <w:u w:val="none" w:color="auto"/>
              </w:rPr>
              <w:t>废气</w:t>
            </w:r>
          </w:p>
          <w:p w14:paraId="6CE4C9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color w:val="auto"/>
                <w:spacing w:val="0"/>
                <w:kern w:val="0"/>
                <w:position w:val="0"/>
                <w:sz w:val="24"/>
                <w:u w:val="none" w:color="auto"/>
              </w:rPr>
            </w:pPr>
            <w:r>
              <w:rPr>
                <w:rFonts w:hint="eastAsia" w:cs="Times New Roman"/>
                <w:color w:val="auto"/>
                <w:spacing w:val="0"/>
                <w:kern w:val="0"/>
                <w:position w:val="0"/>
                <w:sz w:val="24"/>
                <w:u w:val="none" w:color="auto"/>
                <w:lang w:eastAsia="zh-CN"/>
              </w:rPr>
              <w:t>本项目运营期产生的</w:t>
            </w:r>
            <w:r>
              <w:rPr>
                <w:rFonts w:hint="eastAsia" w:ascii="Times New Roman" w:hAnsi="Times New Roman" w:eastAsia="宋体" w:cs="Times New Roman"/>
                <w:color w:val="auto"/>
                <w:sz w:val="24"/>
                <w:highlight w:val="none"/>
                <w:u w:val="none"/>
                <w:lang w:val="en-US" w:eastAsia="zh-CN"/>
              </w:rPr>
              <w:t>颗粒物执行《大气污染物综合排放标准》</w:t>
            </w:r>
            <w:r>
              <w:rPr>
                <w:rFonts w:hint="default" w:ascii="Times New Roman" w:hAnsi="Times New Roman" w:eastAsia="宋体" w:cs="Times New Roman"/>
                <w:color w:val="auto"/>
                <w:sz w:val="24"/>
                <w:highlight w:val="none"/>
                <w:u w:val="none"/>
                <w:lang w:val="en-US" w:eastAsia="zh-CN"/>
              </w:rPr>
              <w:t>（GB16297-1996）表2中标准限值</w:t>
            </w:r>
            <w:r>
              <w:rPr>
                <w:rFonts w:hint="eastAsia" w:ascii="Times New Roman" w:hAnsi="Times New Roman" w:eastAsia="宋体" w:cs="Times New Roman"/>
                <w:color w:val="auto"/>
                <w:sz w:val="24"/>
                <w:highlight w:val="none"/>
                <w:u w:val="none"/>
                <w:lang w:val="en-US" w:eastAsia="zh-CN"/>
              </w:rPr>
              <w:t>；有机废气参照执行《表面涂装（汽车制造及维修）挥发性有机物、镍排放标准》（DB43/1356-2017）表1</w:t>
            </w:r>
            <w:r>
              <w:rPr>
                <w:rFonts w:hint="eastAsia" w:cs="Times New Roman"/>
                <w:color w:val="auto"/>
                <w:sz w:val="24"/>
                <w:highlight w:val="none"/>
                <w:u w:val="none"/>
                <w:lang w:val="en-US" w:eastAsia="zh-CN"/>
              </w:rPr>
              <w:t>、表3</w:t>
            </w:r>
            <w:r>
              <w:rPr>
                <w:rFonts w:hint="eastAsia" w:ascii="Times New Roman" w:hAnsi="Times New Roman" w:eastAsia="宋体" w:cs="Times New Roman"/>
                <w:color w:val="auto"/>
                <w:sz w:val="24"/>
                <w:highlight w:val="none"/>
                <w:u w:val="none"/>
                <w:lang w:val="en-US" w:eastAsia="zh-CN"/>
              </w:rPr>
              <w:t>限值要求；</w:t>
            </w:r>
            <w:r>
              <w:rPr>
                <w:rFonts w:hint="default" w:ascii="Times New Roman" w:hAnsi="Times New Roman" w:eastAsia="宋体" w:cs="Times New Roman"/>
                <w:color w:val="auto"/>
                <w:spacing w:val="0"/>
                <w:kern w:val="0"/>
                <w:position w:val="0"/>
                <w:sz w:val="24"/>
                <w:u w:val="none" w:color="auto"/>
              </w:rPr>
              <w:t>厂区内无组织挥发性有机物执行《挥发性有机物无组织排放控制标准》（GB37822-2019）</w:t>
            </w:r>
            <w:r>
              <w:rPr>
                <w:rFonts w:hint="eastAsia" w:cs="Times New Roman"/>
                <w:color w:val="auto"/>
                <w:spacing w:val="0"/>
                <w:kern w:val="0"/>
                <w:position w:val="0"/>
                <w:sz w:val="24"/>
                <w:u w:val="none" w:color="auto"/>
                <w:lang w:eastAsia="zh-CN"/>
              </w:rPr>
              <w:t>中标准限值</w:t>
            </w:r>
            <w:r>
              <w:rPr>
                <w:rFonts w:hint="default" w:ascii="Times New Roman" w:hAnsi="Times New Roman" w:eastAsia="宋体" w:cs="Times New Roman"/>
                <w:color w:val="auto"/>
                <w:spacing w:val="0"/>
                <w:kern w:val="0"/>
                <w:position w:val="0"/>
                <w:sz w:val="24"/>
                <w:u w:val="none" w:color="auto"/>
              </w:rPr>
              <w:t>。</w:t>
            </w:r>
          </w:p>
          <w:p w14:paraId="5767918D">
            <w:pPr>
              <w:pStyle w:val="34"/>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b w:val="0"/>
                <w:bCs w:val="0"/>
                <w:color w:val="auto"/>
                <w:spacing w:val="0"/>
                <w:kern w:val="2"/>
                <w:position w:val="0"/>
                <w:sz w:val="24"/>
                <w:szCs w:val="24"/>
                <w:u w:val="none" w:color="auto"/>
                <w:lang w:eastAsia="zh-CN"/>
              </w:rPr>
            </w:pPr>
            <w:r>
              <w:rPr>
                <w:rFonts w:hint="default" w:ascii="Times New Roman" w:hAnsi="Times New Roman" w:cs="Times New Roman"/>
                <w:b w:val="0"/>
                <w:bCs w:val="0"/>
                <w:color w:val="auto"/>
                <w:spacing w:val="0"/>
                <w:kern w:val="2"/>
                <w:position w:val="0"/>
                <w:sz w:val="24"/>
                <w:szCs w:val="24"/>
                <w:u w:val="none" w:color="auto"/>
                <w:lang w:eastAsia="zh-CN"/>
              </w:rPr>
              <w:t>具体</w:t>
            </w:r>
            <w:r>
              <w:rPr>
                <w:rFonts w:hint="eastAsia" w:ascii="Times New Roman" w:hAnsi="Times New Roman" w:cs="Times New Roman"/>
                <w:b w:val="0"/>
                <w:bCs w:val="0"/>
                <w:color w:val="auto"/>
                <w:spacing w:val="0"/>
                <w:kern w:val="2"/>
                <w:position w:val="0"/>
                <w:sz w:val="24"/>
                <w:szCs w:val="24"/>
                <w:u w:val="none" w:color="auto"/>
                <w:lang w:eastAsia="zh-CN"/>
              </w:rPr>
              <w:t>标准值如下</w:t>
            </w:r>
            <w:r>
              <w:rPr>
                <w:rFonts w:hint="default" w:ascii="Times New Roman" w:hAnsi="Times New Roman" w:cs="Times New Roman"/>
                <w:b w:val="0"/>
                <w:bCs w:val="0"/>
                <w:color w:val="auto"/>
                <w:spacing w:val="0"/>
                <w:kern w:val="2"/>
                <w:position w:val="0"/>
                <w:sz w:val="24"/>
                <w:szCs w:val="24"/>
                <w:u w:val="none" w:color="auto"/>
                <w:lang w:eastAsia="zh-CN"/>
              </w:rPr>
              <w:t>：</w:t>
            </w:r>
          </w:p>
          <w:p w14:paraId="27D945D3">
            <w:pPr>
              <w:pStyle w:val="71"/>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ind w:left="0" w:right="0" w:firstLine="0"/>
              <w:jc w:val="center"/>
              <w:textAlignment w:val="auto"/>
              <w:rPr>
                <w:rFonts w:hint="default" w:ascii="Times New Roman" w:hAnsi="Times New Roman" w:eastAsia="宋体" w:cs="Times New Roman"/>
                <w:b/>
                <w:color w:val="auto"/>
                <w:spacing w:val="0"/>
                <w:w w:val="100"/>
                <w:sz w:val="24"/>
                <w:szCs w:val="24"/>
                <w:u w:val="none" w:color="auto"/>
              </w:rPr>
            </w:pPr>
            <w:r>
              <w:rPr>
                <w:rFonts w:hint="default" w:ascii="Times New Roman" w:hAnsi="Times New Roman" w:eastAsia="宋体" w:cs="Times New Roman"/>
                <w:b/>
                <w:color w:val="auto"/>
                <w:spacing w:val="0"/>
                <w:w w:val="100"/>
                <w:sz w:val="24"/>
                <w:szCs w:val="24"/>
                <w:u w:val="none" w:color="auto"/>
              </w:rPr>
              <w:t>表3-</w:t>
            </w:r>
            <w:r>
              <w:rPr>
                <w:rFonts w:hint="eastAsia" w:eastAsia="宋体" w:cs="Times New Roman"/>
                <w:b/>
                <w:color w:val="auto"/>
                <w:spacing w:val="0"/>
                <w:w w:val="100"/>
                <w:sz w:val="24"/>
                <w:szCs w:val="24"/>
                <w:u w:val="none" w:color="auto"/>
                <w:lang w:val="en-US" w:eastAsia="zh-CN"/>
              </w:rPr>
              <w:t>8</w:t>
            </w:r>
            <w:r>
              <w:rPr>
                <w:rFonts w:hint="default" w:ascii="Times New Roman" w:hAnsi="Times New Roman" w:eastAsia="宋体" w:cs="Times New Roman"/>
                <w:b/>
                <w:color w:val="auto"/>
                <w:spacing w:val="0"/>
                <w:w w:val="100"/>
                <w:sz w:val="24"/>
                <w:szCs w:val="24"/>
                <w:u w:val="none" w:color="auto"/>
                <w:lang w:val="en-US" w:eastAsia="zh-CN"/>
              </w:rPr>
              <w:t xml:space="preserve">   《大气污染物综合排放标准》（GB16297-1996）（摘录）</w:t>
            </w:r>
          </w:p>
          <w:tbl>
            <w:tblPr>
              <w:tblStyle w:val="37"/>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68"/>
              <w:gridCol w:w="1626"/>
              <w:gridCol w:w="1142"/>
              <w:gridCol w:w="1277"/>
              <w:gridCol w:w="1502"/>
              <w:gridCol w:w="1585"/>
            </w:tblGrid>
            <w:tr w14:paraId="2BCBFA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651" w:type="pct"/>
                  <w:vMerge w:val="restart"/>
                  <w:tcBorders>
                    <w:tl2br w:val="nil"/>
                    <w:tr2bl w:val="nil"/>
                  </w:tcBorders>
                  <w:noWrap w:val="0"/>
                  <w:vAlign w:val="center"/>
                </w:tcPr>
                <w:p w14:paraId="30F3141B">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w w:val="100"/>
                      <w:sz w:val="21"/>
                      <w:szCs w:val="21"/>
                      <w:u w:val="none" w:color="auto"/>
                      <w:lang w:eastAsia="zh-CN"/>
                    </w:rPr>
                  </w:pPr>
                  <w:r>
                    <w:rPr>
                      <w:rFonts w:hint="default" w:ascii="Times New Roman" w:hAnsi="Times New Roman" w:eastAsia="宋体" w:cs="Times New Roman"/>
                      <w:b/>
                      <w:bCs/>
                      <w:color w:val="auto"/>
                      <w:spacing w:val="0"/>
                      <w:w w:val="100"/>
                      <w:sz w:val="21"/>
                      <w:szCs w:val="21"/>
                      <w:u w:val="none" w:color="auto"/>
                      <w:lang w:eastAsia="zh-CN"/>
                    </w:rPr>
                    <w:t>污染物</w:t>
                  </w:r>
                </w:p>
              </w:tc>
              <w:tc>
                <w:tcPr>
                  <w:tcW w:w="2466" w:type="pct"/>
                  <w:gridSpan w:val="3"/>
                  <w:tcBorders>
                    <w:tl2br w:val="nil"/>
                    <w:tr2bl w:val="nil"/>
                  </w:tcBorders>
                  <w:noWrap w:val="0"/>
                  <w:vAlign w:val="center"/>
                </w:tcPr>
                <w:p w14:paraId="74D89CD2">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w w:val="100"/>
                      <w:sz w:val="21"/>
                      <w:szCs w:val="21"/>
                      <w:u w:val="none" w:color="auto"/>
                      <w:lang w:val="en-US" w:eastAsia="zh-CN"/>
                    </w:rPr>
                  </w:pPr>
                  <w:r>
                    <w:rPr>
                      <w:rFonts w:hint="default" w:ascii="Times New Roman" w:hAnsi="Times New Roman" w:eastAsia="宋体" w:cs="Times New Roman"/>
                      <w:b/>
                      <w:bCs/>
                      <w:color w:val="auto"/>
                      <w:spacing w:val="0"/>
                      <w:w w:val="100"/>
                      <w:sz w:val="21"/>
                      <w:szCs w:val="21"/>
                      <w:u w:val="none" w:color="auto"/>
                      <w:lang w:eastAsia="zh-CN"/>
                    </w:rPr>
                    <w:t>有组织排放监控浓度限值</w:t>
                  </w:r>
                </w:p>
              </w:tc>
              <w:tc>
                <w:tcPr>
                  <w:tcW w:w="1882" w:type="pct"/>
                  <w:gridSpan w:val="2"/>
                  <w:tcBorders>
                    <w:tl2br w:val="nil"/>
                    <w:tr2bl w:val="nil"/>
                  </w:tcBorders>
                  <w:noWrap w:val="0"/>
                  <w:vAlign w:val="center"/>
                </w:tcPr>
                <w:p w14:paraId="2D0DE556">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w w:val="100"/>
                      <w:sz w:val="21"/>
                      <w:szCs w:val="21"/>
                      <w:u w:val="none" w:color="auto"/>
                      <w:lang w:eastAsia="zh-CN"/>
                    </w:rPr>
                  </w:pPr>
                  <w:r>
                    <w:rPr>
                      <w:rFonts w:hint="default" w:ascii="Times New Roman" w:hAnsi="Times New Roman" w:eastAsia="宋体" w:cs="Times New Roman"/>
                      <w:b/>
                      <w:bCs/>
                      <w:color w:val="auto"/>
                      <w:spacing w:val="0"/>
                      <w:w w:val="100"/>
                      <w:sz w:val="21"/>
                      <w:szCs w:val="21"/>
                      <w:u w:val="none" w:color="auto"/>
                      <w:lang w:eastAsia="zh-CN"/>
                    </w:rPr>
                    <w:t>无组织排放监控浓度限值</w:t>
                  </w:r>
                </w:p>
              </w:tc>
            </w:tr>
            <w:tr w14:paraId="57BF61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 w:hRule="atLeast"/>
                <w:jc w:val="center"/>
              </w:trPr>
              <w:tc>
                <w:tcPr>
                  <w:tcW w:w="651" w:type="pct"/>
                  <w:vMerge w:val="continue"/>
                  <w:tcBorders>
                    <w:tl2br w:val="nil"/>
                    <w:tr2bl w:val="nil"/>
                  </w:tcBorders>
                  <w:noWrap w:val="0"/>
                  <w:vAlign w:val="center"/>
                </w:tcPr>
                <w:p w14:paraId="3D6D74C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color w:val="auto"/>
                      <w:spacing w:val="0"/>
                      <w:w w:val="100"/>
                      <w:kern w:val="0"/>
                      <w:sz w:val="21"/>
                      <w:szCs w:val="21"/>
                      <w:u w:val="none" w:color="auto"/>
                    </w:rPr>
                  </w:pPr>
                </w:p>
              </w:tc>
              <w:tc>
                <w:tcPr>
                  <w:tcW w:w="991" w:type="pct"/>
                  <w:tcBorders>
                    <w:tl2br w:val="nil"/>
                    <w:tr2bl w:val="nil"/>
                  </w:tcBorders>
                  <w:noWrap w:val="0"/>
                  <w:vAlign w:val="center"/>
                </w:tcPr>
                <w:p w14:paraId="2FB26EDF">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w w:val="100"/>
                      <w:sz w:val="21"/>
                      <w:szCs w:val="21"/>
                      <w:u w:val="none" w:color="auto"/>
                      <w:lang w:val="en-US" w:eastAsia="zh-CN"/>
                    </w:rPr>
                  </w:pPr>
                  <w:r>
                    <w:rPr>
                      <w:rFonts w:hint="default" w:ascii="Times New Roman" w:hAnsi="Times New Roman" w:eastAsia="宋体" w:cs="Times New Roman"/>
                      <w:b/>
                      <w:bCs/>
                      <w:color w:val="auto"/>
                      <w:spacing w:val="0"/>
                      <w:w w:val="100"/>
                      <w:sz w:val="21"/>
                      <w:szCs w:val="21"/>
                      <w:u w:val="none" w:color="auto"/>
                      <w:lang w:eastAsia="zh-CN"/>
                    </w:rPr>
                    <w:t>最高允许排放浓度（</w:t>
                  </w:r>
                  <w:r>
                    <w:rPr>
                      <w:rFonts w:hint="default" w:ascii="Times New Roman" w:hAnsi="Times New Roman" w:eastAsia="宋体" w:cs="Times New Roman"/>
                      <w:b/>
                      <w:bCs/>
                      <w:color w:val="auto"/>
                      <w:spacing w:val="0"/>
                      <w:w w:val="100"/>
                      <w:sz w:val="21"/>
                      <w:szCs w:val="21"/>
                      <w:u w:val="none" w:color="auto"/>
                      <w:lang w:val="en-US" w:eastAsia="zh-CN"/>
                    </w:rPr>
                    <w:t>mg/m</w:t>
                  </w:r>
                  <w:r>
                    <w:rPr>
                      <w:rFonts w:hint="default" w:ascii="Times New Roman" w:hAnsi="Times New Roman" w:eastAsia="宋体" w:cs="Times New Roman"/>
                      <w:b/>
                      <w:bCs/>
                      <w:color w:val="auto"/>
                      <w:spacing w:val="0"/>
                      <w:w w:val="100"/>
                      <w:sz w:val="21"/>
                      <w:szCs w:val="21"/>
                      <w:u w:val="none" w:color="auto"/>
                      <w:vertAlign w:val="superscript"/>
                      <w:lang w:val="en-US" w:eastAsia="zh-CN"/>
                    </w:rPr>
                    <w:t>3</w:t>
                  </w:r>
                  <w:r>
                    <w:rPr>
                      <w:rFonts w:hint="default" w:ascii="Times New Roman" w:hAnsi="Times New Roman" w:eastAsia="宋体" w:cs="Times New Roman"/>
                      <w:b/>
                      <w:bCs/>
                      <w:color w:val="auto"/>
                      <w:spacing w:val="0"/>
                      <w:w w:val="100"/>
                      <w:sz w:val="21"/>
                      <w:szCs w:val="21"/>
                      <w:u w:val="none" w:color="auto"/>
                      <w:lang w:eastAsia="zh-CN"/>
                    </w:rPr>
                    <w:t>）</w:t>
                  </w:r>
                </w:p>
              </w:tc>
              <w:tc>
                <w:tcPr>
                  <w:tcW w:w="696" w:type="pct"/>
                  <w:tcBorders>
                    <w:tl2br w:val="nil"/>
                    <w:tr2bl w:val="nil"/>
                  </w:tcBorders>
                  <w:noWrap w:val="0"/>
                  <w:vAlign w:val="center"/>
                </w:tcPr>
                <w:p w14:paraId="2398B815">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w w:val="100"/>
                      <w:sz w:val="21"/>
                      <w:szCs w:val="21"/>
                      <w:u w:val="none" w:color="auto"/>
                      <w:lang w:eastAsia="zh-CN"/>
                    </w:rPr>
                  </w:pPr>
                  <w:r>
                    <w:rPr>
                      <w:rFonts w:hint="default" w:ascii="Times New Roman" w:hAnsi="Times New Roman" w:eastAsia="宋体" w:cs="Times New Roman"/>
                      <w:b/>
                      <w:bCs/>
                      <w:color w:val="auto"/>
                      <w:spacing w:val="0"/>
                      <w:w w:val="100"/>
                      <w:sz w:val="21"/>
                      <w:szCs w:val="21"/>
                      <w:u w:val="none" w:color="auto"/>
                      <w:lang w:eastAsia="zh-CN"/>
                    </w:rPr>
                    <w:t>排气筒高度</w:t>
                  </w:r>
                  <w:r>
                    <w:rPr>
                      <w:rFonts w:hint="eastAsia" w:eastAsia="宋体" w:cs="Times New Roman"/>
                      <w:b/>
                      <w:bCs/>
                      <w:color w:val="auto"/>
                      <w:spacing w:val="0"/>
                      <w:w w:val="100"/>
                      <w:sz w:val="21"/>
                      <w:szCs w:val="21"/>
                      <w:u w:val="none" w:color="auto"/>
                      <w:lang w:eastAsia="zh-CN"/>
                    </w:rPr>
                    <w:t>（</w:t>
                  </w:r>
                  <w:r>
                    <w:rPr>
                      <w:rFonts w:hint="eastAsia" w:eastAsia="宋体" w:cs="Times New Roman"/>
                      <w:b/>
                      <w:bCs/>
                      <w:color w:val="auto"/>
                      <w:spacing w:val="0"/>
                      <w:w w:val="100"/>
                      <w:sz w:val="21"/>
                      <w:szCs w:val="21"/>
                      <w:u w:val="none" w:color="auto"/>
                      <w:lang w:val="en-US" w:eastAsia="zh-CN"/>
                    </w:rPr>
                    <w:t>m</w:t>
                  </w:r>
                  <w:r>
                    <w:rPr>
                      <w:rFonts w:hint="eastAsia" w:eastAsia="宋体" w:cs="Times New Roman"/>
                      <w:b/>
                      <w:bCs/>
                      <w:color w:val="auto"/>
                      <w:spacing w:val="0"/>
                      <w:w w:val="100"/>
                      <w:sz w:val="21"/>
                      <w:szCs w:val="21"/>
                      <w:u w:val="none" w:color="auto"/>
                      <w:lang w:eastAsia="zh-CN"/>
                    </w:rPr>
                    <w:t>）</w:t>
                  </w:r>
                </w:p>
              </w:tc>
              <w:tc>
                <w:tcPr>
                  <w:tcW w:w="778" w:type="pct"/>
                  <w:tcBorders>
                    <w:tl2br w:val="nil"/>
                    <w:tr2bl w:val="nil"/>
                  </w:tcBorders>
                  <w:noWrap w:val="0"/>
                  <w:vAlign w:val="center"/>
                </w:tcPr>
                <w:p w14:paraId="302D880C">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pacing w:val="0"/>
                      <w:w w:val="100"/>
                      <w:sz w:val="21"/>
                      <w:szCs w:val="21"/>
                      <w:u w:val="none" w:color="auto"/>
                      <w:lang w:eastAsia="zh-CN"/>
                    </w:rPr>
                  </w:pPr>
                  <w:r>
                    <w:rPr>
                      <w:rFonts w:hint="default" w:ascii="Times New Roman" w:hAnsi="Times New Roman" w:eastAsia="宋体" w:cs="Times New Roman"/>
                      <w:b/>
                      <w:bCs/>
                      <w:color w:val="auto"/>
                      <w:spacing w:val="0"/>
                      <w:w w:val="100"/>
                      <w:sz w:val="21"/>
                      <w:szCs w:val="21"/>
                      <w:u w:val="none" w:color="auto"/>
                      <w:lang w:eastAsia="zh-CN"/>
                    </w:rPr>
                    <w:t>最高允许排放速率kg/h</w:t>
                  </w:r>
                </w:p>
              </w:tc>
              <w:tc>
                <w:tcPr>
                  <w:tcW w:w="915" w:type="pct"/>
                  <w:tcBorders>
                    <w:tl2br w:val="nil"/>
                    <w:tr2bl w:val="nil"/>
                  </w:tcBorders>
                  <w:noWrap w:val="0"/>
                  <w:vAlign w:val="center"/>
                </w:tcPr>
                <w:p w14:paraId="75FA6FF6">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b/>
                      <w:bCs/>
                      <w:color w:val="auto"/>
                      <w:spacing w:val="0"/>
                      <w:w w:val="100"/>
                      <w:sz w:val="21"/>
                      <w:szCs w:val="21"/>
                      <w:u w:val="none" w:color="auto"/>
                      <w:lang w:eastAsia="zh-CN"/>
                    </w:rPr>
                    <w:t>监控点</w:t>
                  </w:r>
                </w:p>
              </w:tc>
              <w:tc>
                <w:tcPr>
                  <w:tcW w:w="966" w:type="pct"/>
                  <w:tcBorders>
                    <w:tl2br w:val="nil"/>
                    <w:tr2bl w:val="nil"/>
                  </w:tcBorders>
                  <w:noWrap w:val="0"/>
                  <w:vAlign w:val="center"/>
                </w:tcPr>
                <w:p w14:paraId="55196725">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pacing w:val="0"/>
                      <w:w w:val="100"/>
                      <w:sz w:val="21"/>
                      <w:szCs w:val="21"/>
                      <w:u w:val="none" w:color="auto"/>
                    </w:rPr>
                  </w:pPr>
                  <w:r>
                    <w:rPr>
                      <w:rFonts w:hint="default" w:ascii="Times New Roman" w:hAnsi="Times New Roman" w:eastAsia="宋体" w:cs="Times New Roman"/>
                      <w:b/>
                      <w:bCs/>
                      <w:color w:val="auto"/>
                      <w:spacing w:val="0"/>
                      <w:w w:val="100"/>
                      <w:sz w:val="21"/>
                      <w:szCs w:val="21"/>
                      <w:u w:val="none" w:color="auto"/>
                    </w:rPr>
                    <w:t>浓度</w:t>
                  </w:r>
                  <w:r>
                    <w:rPr>
                      <w:rFonts w:hint="default" w:ascii="Times New Roman" w:hAnsi="Times New Roman" w:eastAsia="宋体" w:cs="Times New Roman"/>
                      <w:b/>
                      <w:bCs/>
                      <w:color w:val="auto"/>
                      <w:spacing w:val="0"/>
                      <w:w w:val="100"/>
                      <w:sz w:val="21"/>
                      <w:szCs w:val="21"/>
                      <w:u w:val="none" w:color="auto"/>
                      <w:lang w:val="en-US" w:eastAsia="zh-CN"/>
                    </w:rPr>
                    <w:t>m</w:t>
                  </w:r>
                  <w:r>
                    <w:rPr>
                      <w:rFonts w:hint="default" w:ascii="Times New Roman" w:hAnsi="Times New Roman" w:eastAsia="宋体" w:cs="Times New Roman"/>
                      <w:b/>
                      <w:bCs/>
                      <w:color w:val="auto"/>
                      <w:spacing w:val="0"/>
                      <w:w w:val="100"/>
                      <w:sz w:val="21"/>
                      <w:szCs w:val="21"/>
                      <w:u w:val="none" w:color="auto"/>
                    </w:rPr>
                    <w:t>g/m</w:t>
                  </w:r>
                  <w:r>
                    <w:rPr>
                      <w:rFonts w:hint="default" w:ascii="Times New Roman" w:hAnsi="Times New Roman" w:eastAsia="宋体" w:cs="Times New Roman"/>
                      <w:b/>
                      <w:bCs/>
                      <w:color w:val="auto"/>
                      <w:spacing w:val="0"/>
                      <w:w w:val="100"/>
                      <w:sz w:val="21"/>
                      <w:szCs w:val="21"/>
                      <w:u w:val="none" w:color="auto"/>
                      <w:vertAlign w:val="superscript"/>
                    </w:rPr>
                    <w:t>3</w:t>
                  </w:r>
                </w:p>
              </w:tc>
            </w:tr>
            <w:tr w14:paraId="4F30D1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651" w:type="pct"/>
                  <w:tcBorders>
                    <w:tl2br w:val="nil"/>
                    <w:tr2bl w:val="nil"/>
                  </w:tcBorders>
                  <w:noWrap w:val="0"/>
                  <w:vAlign w:val="center"/>
                </w:tcPr>
                <w:p w14:paraId="3CAAC07B">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sz w:val="21"/>
                      <w:szCs w:val="21"/>
                      <w:u w:val="none" w:color="auto"/>
                      <w:lang w:eastAsia="zh-CN"/>
                    </w:rPr>
                  </w:pPr>
                  <w:r>
                    <w:rPr>
                      <w:rFonts w:hint="eastAsia" w:eastAsia="宋体" w:cs="Times New Roman"/>
                      <w:color w:val="auto"/>
                      <w:spacing w:val="0"/>
                      <w:w w:val="100"/>
                      <w:sz w:val="21"/>
                      <w:szCs w:val="21"/>
                      <w:u w:val="none" w:color="auto"/>
                      <w:lang w:eastAsia="zh-CN"/>
                    </w:rPr>
                    <w:t>颗粒物</w:t>
                  </w:r>
                </w:p>
              </w:tc>
              <w:tc>
                <w:tcPr>
                  <w:tcW w:w="991" w:type="pct"/>
                  <w:tcBorders>
                    <w:tl2br w:val="nil"/>
                    <w:tr2bl w:val="nil"/>
                  </w:tcBorders>
                  <w:noWrap w:val="0"/>
                  <w:vAlign w:val="center"/>
                </w:tcPr>
                <w:p w14:paraId="14014F37">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sz w:val="21"/>
                      <w:szCs w:val="21"/>
                      <w:u w:val="none" w:color="auto"/>
                      <w:lang w:val="en-US" w:eastAsia="zh-CN"/>
                    </w:rPr>
                  </w:pPr>
                  <w:r>
                    <w:rPr>
                      <w:rFonts w:hint="eastAsia" w:eastAsia="宋体" w:cs="Times New Roman"/>
                      <w:color w:val="auto"/>
                      <w:spacing w:val="0"/>
                      <w:w w:val="100"/>
                      <w:sz w:val="21"/>
                      <w:szCs w:val="21"/>
                      <w:u w:val="none" w:color="auto"/>
                      <w:lang w:val="en-US" w:eastAsia="zh-CN"/>
                    </w:rPr>
                    <w:t>120</w:t>
                  </w:r>
                </w:p>
              </w:tc>
              <w:tc>
                <w:tcPr>
                  <w:tcW w:w="696" w:type="pct"/>
                  <w:tcBorders>
                    <w:tl2br w:val="nil"/>
                    <w:tr2bl w:val="nil"/>
                  </w:tcBorders>
                  <w:noWrap w:val="0"/>
                  <w:vAlign w:val="center"/>
                </w:tcPr>
                <w:p w14:paraId="656A4C78">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sz w:val="21"/>
                      <w:szCs w:val="21"/>
                      <w:u w:val="none" w:color="auto"/>
                      <w:lang w:val="en-US" w:eastAsia="zh-CN"/>
                    </w:rPr>
                  </w:pPr>
                  <w:r>
                    <w:rPr>
                      <w:rFonts w:hint="eastAsia" w:eastAsia="宋体" w:cs="Times New Roman"/>
                      <w:color w:val="auto"/>
                      <w:spacing w:val="0"/>
                      <w:w w:val="100"/>
                      <w:sz w:val="21"/>
                      <w:szCs w:val="21"/>
                      <w:u w:val="none" w:color="auto"/>
                      <w:lang w:val="en-US" w:eastAsia="zh-CN"/>
                    </w:rPr>
                    <w:t>15</w:t>
                  </w:r>
                </w:p>
              </w:tc>
              <w:tc>
                <w:tcPr>
                  <w:tcW w:w="778" w:type="pct"/>
                  <w:tcBorders>
                    <w:tl2br w:val="nil"/>
                    <w:tr2bl w:val="nil"/>
                  </w:tcBorders>
                  <w:noWrap w:val="0"/>
                  <w:vAlign w:val="center"/>
                </w:tcPr>
                <w:p w14:paraId="0325F997">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sz w:val="21"/>
                      <w:szCs w:val="21"/>
                      <w:u w:val="none" w:color="auto"/>
                      <w:lang w:val="en-US" w:eastAsia="zh-CN"/>
                    </w:rPr>
                  </w:pPr>
                  <w:r>
                    <w:rPr>
                      <w:rFonts w:hint="eastAsia" w:eastAsia="宋体" w:cs="Times New Roman"/>
                      <w:color w:val="auto"/>
                      <w:spacing w:val="0"/>
                      <w:w w:val="100"/>
                      <w:sz w:val="21"/>
                      <w:szCs w:val="21"/>
                      <w:u w:val="none" w:color="auto"/>
                      <w:lang w:val="en-US" w:eastAsia="zh-CN"/>
                    </w:rPr>
                    <w:t>1.75</w:t>
                  </w:r>
                </w:p>
              </w:tc>
              <w:tc>
                <w:tcPr>
                  <w:tcW w:w="915" w:type="pct"/>
                  <w:tcBorders>
                    <w:tl2br w:val="nil"/>
                    <w:tr2bl w:val="nil"/>
                  </w:tcBorders>
                  <w:noWrap w:val="0"/>
                  <w:vAlign w:val="center"/>
                </w:tcPr>
                <w:p w14:paraId="14A9650E">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pacing w:val="0"/>
                      <w:w w:val="100"/>
                      <w:sz w:val="21"/>
                      <w:szCs w:val="21"/>
                      <w:u w:val="none" w:color="auto"/>
                      <w:lang w:eastAsia="zh-CN"/>
                    </w:rPr>
                  </w:pPr>
                  <w:r>
                    <w:rPr>
                      <w:rFonts w:hint="default" w:ascii="Times New Roman" w:hAnsi="Times New Roman" w:eastAsia="宋体" w:cs="Times New Roman"/>
                      <w:color w:val="auto"/>
                      <w:spacing w:val="0"/>
                      <w:w w:val="100"/>
                      <w:sz w:val="21"/>
                      <w:szCs w:val="21"/>
                      <w:u w:val="none" w:color="auto"/>
                      <w:lang w:eastAsia="zh-CN"/>
                    </w:rPr>
                    <w:t>周界外浓度最高点</w:t>
                  </w:r>
                </w:p>
              </w:tc>
              <w:tc>
                <w:tcPr>
                  <w:tcW w:w="966" w:type="pct"/>
                  <w:tcBorders>
                    <w:tl2br w:val="nil"/>
                    <w:tr2bl w:val="nil"/>
                  </w:tcBorders>
                  <w:noWrap w:val="0"/>
                  <w:vAlign w:val="center"/>
                </w:tcPr>
                <w:p w14:paraId="14750E80">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pacing w:val="0"/>
                      <w:w w:val="100"/>
                      <w:sz w:val="21"/>
                      <w:szCs w:val="21"/>
                      <w:u w:val="none" w:color="auto"/>
                      <w:lang w:val="en-US" w:eastAsia="zh-CN"/>
                    </w:rPr>
                  </w:pPr>
                  <w:r>
                    <w:rPr>
                      <w:rFonts w:hint="eastAsia" w:eastAsia="宋体" w:cs="Times New Roman"/>
                      <w:color w:val="auto"/>
                      <w:spacing w:val="0"/>
                      <w:w w:val="100"/>
                      <w:sz w:val="21"/>
                      <w:szCs w:val="21"/>
                      <w:u w:val="none" w:color="auto"/>
                      <w:lang w:val="en-US" w:eastAsia="zh-CN"/>
                    </w:rPr>
                    <w:t>1.0</w:t>
                  </w:r>
                </w:p>
              </w:tc>
            </w:tr>
            <w:tr w14:paraId="5E4268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5000" w:type="pct"/>
                  <w:gridSpan w:val="6"/>
                  <w:tcBorders>
                    <w:tl2br w:val="nil"/>
                    <w:tr2bl w:val="nil"/>
                  </w:tcBorders>
                  <w:noWrap w:val="0"/>
                  <w:vAlign w:val="center"/>
                </w:tcPr>
                <w:p w14:paraId="7363BA47">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both"/>
                    <w:textAlignment w:val="auto"/>
                    <w:rPr>
                      <w:rFonts w:hint="default" w:eastAsia="宋体" w:cs="Times New Roman"/>
                      <w:color w:val="auto"/>
                      <w:spacing w:val="0"/>
                      <w:w w:val="100"/>
                      <w:sz w:val="21"/>
                      <w:szCs w:val="21"/>
                      <w:u w:val="none" w:color="auto"/>
                      <w:lang w:val="en-US" w:eastAsia="zh-CN"/>
                    </w:rPr>
                  </w:pPr>
                  <w:r>
                    <w:rPr>
                      <w:rFonts w:hint="eastAsia" w:eastAsia="宋体" w:cs="Times New Roman"/>
                      <w:b w:val="0"/>
                      <w:bCs w:val="0"/>
                      <w:color w:val="auto"/>
                      <w:spacing w:val="0"/>
                      <w:w w:val="100"/>
                      <w:sz w:val="21"/>
                      <w:szCs w:val="21"/>
                      <w:u w:val="none" w:color="auto"/>
                      <w:lang w:val="en-US" w:eastAsia="zh-CN"/>
                    </w:rPr>
                    <w:t>注：本项目排气筒不能满足“高于周围200m半径范围的建筑5m以上”要求，故排放速率严格50%执行</w:t>
                  </w:r>
                </w:p>
              </w:tc>
            </w:tr>
          </w:tbl>
          <w:p w14:paraId="7DFAD821">
            <w:pPr>
              <w:pStyle w:val="71"/>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Autospacing="0"/>
              <w:ind w:left="0" w:right="0" w:firstLine="0"/>
              <w:jc w:val="center"/>
              <w:textAlignment w:val="auto"/>
              <w:rPr>
                <w:rFonts w:hint="default" w:ascii="Times New Roman" w:hAnsi="Times New Roman" w:eastAsia="宋体" w:cs="Times New Roman"/>
                <w:b/>
                <w:color w:val="auto"/>
                <w:spacing w:val="0"/>
                <w:w w:val="100"/>
                <w:sz w:val="24"/>
                <w:szCs w:val="24"/>
                <w:u w:val="none" w:color="auto"/>
                <w:lang w:val="en-US" w:eastAsia="zh-CN"/>
              </w:rPr>
            </w:pPr>
            <w:r>
              <w:rPr>
                <w:rFonts w:hint="default" w:ascii="Times New Roman" w:hAnsi="Times New Roman" w:eastAsia="宋体" w:cs="Times New Roman"/>
                <w:b/>
                <w:color w:val="auto"/>
                <w:spacing w:val="0"/>
                <w:w w:val="100"/>
                <w:sz w:val="24"/>
                <w:szCs w:val="24"/>
                <w:u w:val="none" w:color="auto"/>
              </w:rPr>
              <w:t>表3-</w:t>
            </w:r>
            <w:r>
              <w:rPr>
                <w:rFonts w:hint="eastAsia" w:eastAsia="宋体" w:cs="Times New Roman"/>
                <w:b/>
                <w:color w:val="auto"/>
                <w:spacing w:val="0"/>
                <w:w w:val="100"/>
                <w:sz w:val="24"/>
                <w:szCs w:val="24"/>
                <w:u w:val="none" w:color="auto"/>
                <w:lang w:val="en-US" w:eastAsia="zh-CN"/>
              </w:rPr>
              <w:t>9</w:t>
            </w:r>
            <w:r>
              <w:rPr>
                <w:rFonts w:hint="default" w:ascii="Times New Roman" w:hAnsi="Times New Roman" w:eastAsia="宋体" w:cs="Times New Roman"/>
                <w:b/>
                <w:color w:val="auto"/>
                <w:spacing w:val="0"/>
                <w:w w:val="100"/>
                <w:sz w:val="24"/>
                <w:szCs w:val="24"/>
                <w:u w:val="none" w:color="auto"/>
                <w:lang w:val="en-US" w:eastAsia="zh-CN"/>
              </w:rPr>
              <w:t xml:space="preserve">  </w:t>
            </w:r>
            <w:r>
              <w:rPr>
                <w:rFonts w:hint="eastAsia" w:ascii="Times New Roman" w:hAnsi="Times New Roman" w:eastAsia="宋体" w:cs="Times New Roman"/>
                <w:b/>
                <w:color w:val="auto"/>
                <w:spacing w:val="0"/>
                <w:w w:val="100"/>
                <w:sz w:val="24"/>
                <w:szCs w:val="24"/>
                <w:u w:val="none" w:color="auto"/>
                <w:lang w:val="en-US" w:eastAsia="zh-CN"/>
              </w:rPr>
              <w:t>《表面涂装（汽车制造及维修）挥发性有机物、镍排放标准》（DB43/1356-2017）</w:t>
            </w:r>
          </w:p>
          <w:tbl>
            <w:tblPr>
              <w:tblStyle w:val="37"/>
              <w:tblW w:w="82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2614"/>
              <w:gridCol w:w="2184"/>
              <w:gridCol w:w="1705"/>
            </w:tblGrid>
            <w:tr w14:paraId="33140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3" w:type="dxa"/>
                  <w:vMerge w:val="restart"/>
                  <w:tcBorders>
                    <w:tl2br w:val="nil"/>
                    <w:tr2bl w:val="nil"/>
                  </w:tcBorders>
                  <w:noWrap w:val="0"/>
                  <w:vAlign w:val="center"/>
                </w:tcPr>
                <w:p w14:paraId="52DD7390">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bCs/>
                      <w:snapToGrid w:val="0"/>
                      <w:color w:val="auto"/>
                      <w:szCs w:val="21"/>
                    </w:rPr>
                  </w:pPr>
                  <w:r>
                    <w:rPr>
                      <w:rFonts w:hint="default" w:ascii="Times New Roman" w:hAnsi="Times New Roman" w:cs="Times New Roman"/>
                      <w:b/>
                      <w:bCs/>
                      <w:snapToGrid w:val="0"/>
                      <w:color w:val="auto"/>
                      <w:szCs w:val="21"/>
                    </w:rPr>
                    <w:t>污染物</w:t>
                  </w:r>
                </w:p>
              </w:tc>
              <w:tc>
                <w:tcPr>
                  <w:tcW w:w="2614" w:type="dxa"/>
                  <w:vMerge w:val="restart"/>
                  <w:tcBorders>
                    <w:tl2br w:val="nil"/>
                    <w:tr2bl w:val="nil"/>
                  </w:tcBorders>
                  <w:noWrap w:val="0"/>
                  <w:vAlign w:val="center"/>
                </w:tcPr>
                <w:p w14:paraId="15C14BCC">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bCs/>
                      <w:snapToGrid w:val="0"/>
                      <w:color w:val="auto"/>
                      <w:szCs w:val="21"/>
                    </w:rPr>
                  </w:pPr>
                  <w:r>
                    <w:rPr>
                      <w:rFonts w:hint="eastAsia" w:cs="Times New Roman"/>
                      <w:b/>
                      <w:bCs/>
                      <w:snapToGrid w:val="0"/>
                      <w:color w:val="auto"/>
                      <w:szCs w:val="21"/>
                      <w:lang w:eastAsia="zh-CN"/>
                    </w:rPr>
                    <w:t>有组织</w:t>
                  </w:r>
                  <w:r>
                    <w:rPr>
                      <w:rFonts w:hint="default" w:ascii="Times New Roman" w:hAnsi="Times New Roman" w:cs="Times New Roman"/>
                      <w:b/>
                      <w:bCs/>
                      <w:snapToGrid w:val="0"/>
                      <w:color w:val="auto"/>
                      <w:szCs w:val="21"/>
                    </w:rPr>
                    <w:t>最高允许排放浓度（mg/m</w:t>
                  </w:r>
                  <w:r>
                    <w:rPr>
                      <w:rFonts w:hint="default" w:ascii="Times New Roman" w:hAnsi="Times New Roman" w:cs="Times New Roman"/>
                      <w:b/>
                      <w:bCs/>
                      <w:snapToGrid w:val="0"/>
                      <w:color w:val="auto"/>
                      <w:szCs w:val="21"/>
                      <w:vertAlign w:val="superscript"/>
                    </w:rPr>
                    <w:t>3</w:t>
                  </w:r>
                  <w:r>
                    <w:rPr>
                      <w:rFonts w:hint="default" w:ascii="Times New Roman" w:hAnsi="Times New Roman" w:cs="Times New Roman"/>
                      <w:b/>
                      <w:bCs/>
                      <w:snapToGrid w:val="0"/>
                      <w:color w:val="auto"/>
                      <w:szCs w:val="21"/>
                    </w:rPr>
                    <w:t>）</w:t>
                  </w:r>
                </w:p>
              </w:tc>
              <w:tc>
                <w:tcPr>
                  <w:tcW w:w="3889" w:type="dxa"/>
                  <w:gridSpan w:val="2"/>
                  <w:tcBorders>
                    <w:tl2br w:val="nil"/>
                    <w:tr2bl w:val="nil"/>
                  </w:tcBorders>
                  <w:noWrap w:val="0"/>
                  <w:vAlign w:val="center"/>
                </w:tcPr>
                <w:p w14:paraId="62F0D003">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bCs/>
                      <w:snapToGrid w:val="0"/>
                      <w:color w:val="auto"/>
                      <w:szCs w:val="21"/>
                    </w:rPr>
                  </w:pPr>
                  <w:r>
                    <w:rPr>
                      <w:rFonts w:hint="eastAsia" w:cs="Times New Roman"/>
                      <w:b/>
                      <w:bCs/>
                      <w:snapToGrid w:val="0"/>
                      <w:color w:val="auto"/>
                      <w:szCs w:val="21"/>
                      <w:lang w:val="en-US" w:eastAsia="zh-CN"/>
                    </w:rPr>
                    <w:t>无组织监控浓度限值</w:t>
                  </w:r>
                </w:p>
              </w:tc>
            </w:tr>
            <w:tr w14:paraId="00AD1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3" w:type="dxa"/>
                  <w:vMerge w:val="continue"/>
                  <w:tcBorders>
                    <w:tl2br w:val="nil"/>
                    <w:tr2bl w:val="nil"/>
                  </w:tcBorders>
                  <w:noWrap w:val="0"/>
                  <w:vAlign w:val="center"/>
                </w:tcPr>
                <w:p w14:paraId="6C679FED">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bCs/>
                      <w:snapToGrid w:val="0"/>
                      <w:color w:val="auto"/>
                      <w:szCs w:val="21"/>
                    </w:rPr>
                  </w:pPr>
                </w:p>
              </w:tc>
              <w:tc>
                <w:tcPr>
                  <w:tcW w:w="2614" w:type="dxa"/>
                  <w:vMerge w:val="continue"/>
                  <w:tcBorders>
                    <w:tl2br w:val="nil"/>
                    <w:tr2bl w:val="nil"/>
                  </w:tcBorders>
                  <w:noWrap w:val="0"/>
                  <w:vAlign w:val="center"/>
                </w:tcPr>
                <w:p w14:paraId="01480687">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b/>
                      <w:bCs/>
                      <w:snapToGrid w:val="0"/>
                      <w:color w:val="auto"/>
                      <w:szCs w:val="21"/>
                    </w:rPr>
                  </w:pPr>
                </w:p>
              </w:tc>
              <w:tc>
                <w:tcPr>
                  <w:tcW w:w="2184" w:type="dxa"/>
                  <w:tcBorders>
                    <w:tl2br w:val="nil"/>
                    <w:tr2bl w:val="nil"/>
                  </w:tcBorders>
                  <w:noWrap w:val="0"/>
                  <w:vAlign w:val="center"/>
                </w:tcPr>
                <w:p w14:paraId="302170B7">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cs="Times New Roman"/>
                      <w:b/>
                      <w:bCs/>
                      <w:snapToGrid w:val="0"/>
                      <w:color w:val="auto"/>
                      <w:szCs w:val="21"/>
                      <w:lang w:val="en-US" w:eastAsia="zh-CN"/>
                    </w:rPr>
                  </w:pPr>
                  <w:r>
                    <w:rPr>
                      <w:rFonts w:hint="default" w:ascii="Times New Roman" w:hAnsi="Times New Roman" w:eastAsia="宋体" w:cs="Times New Roman"/>
                      <w:b/>
                      <w:bCs/>
                      <w:color w:val="auto"/>
                      <w:spacing w:val="0"/>
                      <w:w w:val="100"/>
                      <w:sz w:val="21"/>
                      <w:szCs w:val="21"/>
                      <w:u w:val="none" w:color="auto"/>
                      <w:lang w:eastAsia="zh-CN"/>
                    </w:rPr>
                    <w:t>监控点</w:t>
                  </w:r>
                </w:p>
              </w:tc>
              <w:tc>
                <w:tcPr>
                  <w:tcW w:w="1705" w:type="dxa"/>
                  <w:tcBorders>
                    <w:tl2br w:val="nil"/>
                    <w:tr2bl w:val="nil"/>
                  </w:tcBorders>
                  <w:noWrap w:val="0"/>
                  <w:vAlign w:val="center"/>
                </w:tcPr>
                <w:p w14:paraId="15FB321F">
                  <w:pPr>
                    <w:pStyle w:val="6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b/>
                      <w:bCs/>
                      <w:snapToGrid w:val="0"/>
                      <w:color w:val="auto"/>
                      <w:szCs w:val="21"/>
                    </w:rPr>
                  </w:pPr>
                  <w:r>
                    <w:rPr>
                      <w:rFonts w:hint="default" w:ascii="Times New Roman" w:hAnsi="Times New Roman" w:eastAsia="宋体" w:cs="Times New Roman"/>
                      <w:b/>
                      <w:bCs/>
                      <w:color w:val="auto"/>
                      <w:spacing w:val="0"/>
                      <w:w w:val="100"/>
                      <w:sz w:val="21"/>
                      <w:szCs w:val="21"/>
                      <w:u w:val="none" w:color="auto"/>
                    </w:rPr>
                    <w:t>浓度</w:t>
                  </w:r>
                  <w:r>
                    <w:rPr>
                      <w:rFonts w:hint="default" w:ascii="Times New Roman" w:hAnsi="Times New Roman" w:eastAsia="宋体" w:cs="Times New Roman"/>
                      <w:b/>
                      <w:bCs/>
                      <w:color w:val="auto"/>
                      <w:spacing w:val="0"/>
                      <w:w w:val="100"/>
                      <w:sz w:val="21"/>
                      <w:szCs w:val="21"/>
                      <w:u w:val="none" w:color="auto"/>
                      <w:lang w:val="en-US" w:eastAsia="zh-CN"/>
                    </w:rPr>
                    <w:t>m</w:t>
                  </w:r>
                  <w:r>
                    <w:rPr>
                      <w:rFonts w:hint="default" w:ascii="Times New Roman" w:hAnsi="Times New Roman" w:eastAsia="宋体" w:cs="Times New Roman"/>
                      <w:b/>
                      <w:bCs/>
                      <w:color w:val="auto"/>
                      <w:spacing w:val="0"/>
                      <w:w w:val="100"/>
                      <w:sz w:val="21"/>
                      <w:szCs w:val="21"/>
                      <w:u w:val="none" w:color="auto"/>
                    </w:rPr>
                    <w:t>g/m</w:t>
                  </w:r>
                  <w:r>
                    <w:rPr>
                      <w:rFonts w:hint="default" w:ascii="Times New Roman" w:hAnsi="Times New Roman" w:eastAsia="宋体" w:cs="Times New Roman"/>
                      <w:b/>
                      <w:bCs/>
                      <w:color w:val="auto"/>
                      <w:spacing w:val="0"/>
                      <w:w w:val="100"/>
                      <w:sz w:val="21"/>
                      <w:szCs w:val="21"/>
                      <w:u w:val="none" w:color="auto"/>
                      <w:vertAlign w:val="superscript"/>
                    </w:rPr>
                    <w:t>3</w:t>
                  </w:r>
                </w:p>
              </w:tc>
            </w:tr>
            <w:tr w14:paraId="0B607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3" w:type="dxa"/>
                  <w:tcBorders>
                    <w:tl2br w:val="nil"/>
                    <w:tr2bl w:val="nil"/>
                  </w:tcBorders>
                  <w:shd w:val="clear" w:color="auto" w:fill="auto"/>
                  <w:noWrap w:val="0"/>
                  <w:vAlign w:val="center"/>
                </w:tcPr>
                <w:p w14:paraId="6787CE7D">
                  <w:pPr>
                    <w:keepNext w:val="0"/>
                    <w:keepLines w:val="0"/>
                    <w:suppressLineNumbers w:val="0"/>
                    <w:adjustRightInd w:val="0"/>
                    <w:snapToGrid w:val="0"/>
                    <w:spacing w:before="0" w:beforeAutospacing="0" w:after="0" w:afterAutospacing="0" w:line="320" w:lineRule="exact"/>
                    <w:ind w:left="0" w:leftChars="0" w:right="0" w:rightChars="0"/>
                    <w:jc w:val="center"/>
                    <w:rPr>
                      <w:rFonts w:hint="eastAsia" w:ascii="Times New Roman" w:hAnsi="Times New Roman" w:eastAsia="宋体" w:cs="Times New Roman"/>
                      <w:snapToGrid w:val="0"/>
                      <w:color w:val="auto"/>
                      <w:kern w:val="2"/>
                      <w:sz w:val="21"/>
                      <w:szCs w:val="21"/>
                      <w:u w:val="none"/>
                      <w:lang w:val="en-US" w:eastAsia="zh-CN" w:bidi="ar-SA"/>
                    </w:rPr>
                  </w:pPr>
                  <w:r>
                    <w:rPr>
                      <w:rFonts w:hint="eastAsia" w:cs="Times New Roman"/>
                      <w:snapToGrid w:val="0"/>
                      <w:color w:val="auto"/>
                      <w:szCs w:val="21"/>
                      <w:u w:val="none"/>
                      <w:lang w:eastAsia="zh-CN"/>
                    </w:rPr>
                    <w:t>二甲苯</w:t>
                  </w:r>
                </w:p>
              </w:tc>
              <w:tc>
                <w:tcPr>
                  <w:tcW w:w="2614" w:type="dxa"/>
                  <w:tcBorders>
                    <w:tl2br w:val="nil"/>
                    <w:tr2bl w:val="nil"/>
                  </w:tcBorders>
                  <w:shd w:val="clear" w:color="auto" w:fill="auto"/>
                  <w:noWrap w:val="0"/>
                  <w:vAlign w:val="center"/>
                </w:tcPr>
                <w:p w14:paraId="76110900">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snapToGrid w:val="0"/>
                      <w:color w:val="auto"/>
                      <w:kern w:val="2"/>
                      <w:sz w:val="21"/>
                      <w:szCs w:val="21"/>
                      <w:u w:val="none"/>
                      <w:lang w:val="en-US" w:eastAsia="zh-CN" w:bidi="ar-SA"/>
                    </w:rPr>
                  </w:pPr>
                  <w:r>
                    <w:rPr>
                      <w:rFonts w:hint="eastAsia" w:cs="Times New Roman"/>
                      <w:snapToGrid w:val="0"/>
                      <w:color w:val="auto"/>
                      <w:szCs w:val="21"/>
                      <w:u w:val="none"/>
                      <w:lang w:val="en-US" w:eastAsia="zh-CN"/>
                    </w:rPr>
                    <w:t>17</w:t>
                  </w:r>
                </w:p>
              </w:tc>
              <w:tc>
                <w:tcPr>
                  <w:tcW w:w="2184" w:type="dxa"/>
                  <w:vMerge w:val="restart"/>
                  <w:tcBorders>
                    <w:tl2br w:val="nil"/>
                    <w:tr2bl w:val="nil"/>
                  </w:tcBorders>
                  <w:noWrap w:val="0"/>
                  <w:vAlign w:val="center"/>
                </w:tcPr>
                <w:p w14:paraId="3A42CDB1">
                  <w:pPr>
                    <w:keepNext w:val="0"/>
                    <w:keepLines w:val="0"/>
                    <w:suppressLineNumbers w:val="0"/>
                    <w:adjustRightInd w:val="0"/>
                    <w:snapToGrid w:val="0"/>
                    <w:spacing w:before="0" w:beforeAutospacing="0" w:after="0" w:afterAutospacing="0" w:line="320" w:lineRule="exact"/>
                    <w:ind w:left="0" w:right="0"/>
                    <w:jc w:val="center"/>
                    <w:rPr>
                      <w:rFonts w:hint="eastAsia" w:cs="Times New Roman"/>
                      <w:snapToGrid w:val="0"/>
                      <w:color w:val="auto"/>
                      <w:szCs w:val="21"/>
                      <w:u w:val="none"/>
                      <w:lang w:val="en-US" w:eastAsia="zh-CN"/>
                    </w:rPr>
                  </w:pPr>
                  <w:r>
                    <w:rPr>
                      <w:rFonts w:hint="eastAsia" w:cs="Times New Roman"/>
                      <w:snapToGrid w:val="0"/>
                      <w:color w:val="auto"/>
                      <w:szCs w:val="21"/>
                      <w:u w:val="none"/>
                      <w:lang w:val="en-US" w:eastAsia="zh-CN"/>
                    </w:rPr>
                    <w:t>周界外浓度最高点</w:t>
                  </w:r>
                </w:p>
              </w:tc>
              <w:tc>
                <w:tcPr>
                  <w:tcW w:w="1705" w:type="dxa"/>
                  <w:tcBorders>
                    <w:tl2br w:val="nil"/>
                    <w:tr2bl w:val="nil"/>
                  </w:tcBorders>
                  <w:noWrap w:val="0"/>
                  <w:vAlign w:val="center"/>
                </w:tcPr>
                <w:p w14:paraId="6816FB4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cs="Times New Roman"/>
                      <w:snapToGrid w:val="0"/>
                      <w:color w:val="auto"/>
                      <w:szCs w:val="21"/>
                      <w:u w:val="none"/>
                      <w:lang w:val="en-US" w:eastAsia="zh-CN"/>
                    </w:rPr>
                  </w:pPr>
                  <w:r>
                    <w:rPr>
                      <w:rFonts w:hint="eastAsia" w:cs="Times New Roman"/>
                      <w:snapToGrid w:val="0"/>
                      <w:color w:val="auto"/>
                      <w:szCs w:val="21"/>
                      <w:u w:val="none"/>
                      <w:lang w:val="en-US" w:eastAsia="zh-CN"/>
                    </w:rPr>
                    <w:t>/</w:t>
                  </w:r>
                </w:p>
              </w:tc>
            </w:tr>
            <w:tr w14:paraId="58DEC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3" w:type="dxa"/>
                  <w:tcBorders>
                    <w:tl2br w:val="nil"/>
                    <w:tr2bl w:val="nil"/>
                  </w:tcBorders>
                  <w:noWrap w:val="0"/>
                  <w:vAlign w:val="center"/>
                </w:tcPr>
                <w:p w14:paraId="20410B71">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snapToGrid w:val="0"/>
                      <w:color w:val="auto"/>
                      <w:szCs w:val="21"/>
                      <w:u w:val="none"/>
                      <w:lang w:eastAsia="zh-CN"/>
                    </w:rPr>
                  </w:pPr>
                  <w:r>
                    <w:rPr>
                      <w:rFonts w:hint="eastAsia" w:cs="Times New Roman"/>
                      <w:snapToGrid w:val="0"/>
                      <w:color w:val="auto"/>
                      <w:szCs w:val="21"/>
                      <w:u w:val="none"/>
                      <w:lang w:eastAsia="zh-CN"/>
                    </w:rPr>
                    <w:t>苯系物</w:t>
                  </w:r>
                </w:p>
              </w:tc>
              <w:tc>
                <w:tcPr>
                  <w:tcW w:w="2614" w:type="dxa"/>
                  <w:tcBorders>
                    <w:tl2br w:val="nil"/>
                    <w:tr2bl w:val="nil"/>
                  </w:tcBorders>
                  <w:noWrap w:val="0"/>
                  <w:vAlign w:val="center"/>
                </w:tcPr>
                <w:p w14:paraId="0AB8B88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snapToGrid w:val="0"/>
                      <w:color w:val="auto"/>
                      <w:szCs w:val="21"/>
                      <w:u w:val="none"/>
                      <w:lang w:val="en-US" w:eastAsia="zh-CN"/>
                    </w:rPr>
                  </w:pPr>
                  <w:r>
                    <w:rPr>
                      <w:rFonts w:hint="eastAsia" w:cs="Times New Roman"/>
                      <w:snapToGrid w:val="0"/>
                      <w:color w:val="auto"/>
                      <w:szCs w:val="21"/>
                      <w:u w:val="none"/>
                      <w:lang w:val="en-US" w:eastAsia="zh-CN"/>
                    </w:rPr>
                    <w:t>25</w:t>
                  </w:r>
                </w:p>
              </w:tc>
              <w:tc>
                <w:tcPr>
                  <w:tcW w:w="2184" w:type="dxa"/>
                  <w:vMerge w:val="continue"/>
                  <w:tcBorders>
                    <w:tl2br w:val="nil"/>
                    <w:tr2bl w:val="nil"/>
                  </w:tcBorders>
                  <w:noWrap w:val="0"/>
                  <w:vAlign w:val="center"/>
                </w:tcPr>
                <w:p w14:paraId="526FEFB8">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snapToGrid w:val="0"/>
                      <w:color w:val="auto"/>
                      <w:szCs w:val="21"/>
                      <w:u w:val="none"/>
                      <w:lang w:eastAsia="zh-CN"/>
                    </w:rPr>
                  </w:pPr>
                </w:p>
              </w:tc>
              <w:tc>
                <w:tcPr>
                  <w:tcW w:w="1705" w:type="dxa"/>
                  <w:tcBorders>
                    <w:tl2br w:val="nil"/>
                    <w:tr2bl w:val="nil"/>
                  </w:tcBorders>
                  <w:noWrap w:val="0"/>
                  <w:vAlign w:val="center"/>
                </w:tcPr>
                <w:p w14:paraId="288ED10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snapToGrid w:val="0"/>
                      <w:color w:val="auto"/>
                      <w:szCs w:val="21"/>
                      <w:u w:val="none"/>
                      <w:lang w:val="en-US" w:eastAsia="zh-CN"/>
                    </w:rPr>
                  </w:pPr>
                  <w:r>
                    <w:rPr>
                      <w:rFonts w:hint="eastAsia" w:cs="Times New Roman"/>
                      <w:snapToGrid w:val="0"/>
                      <w:color w:val="auto"/>
                      <w:szCs w:val="21"/>
                      <w:u w:val="none"/>
                      <w:lang w:val="en-US" w:eastAsia="zh-CN"/>
                    </w:rPr>
                    <w:t>1.0</w:t>
                  </w:r>
                </w:p>
              </w:tc>
            </w:tr>
            <w:tr w14:paraId="2AA43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3" w:type="dxa"/>
                  <w:tcBorders>
                    <w:tl2br w:val="nil"/>
                    <w:tr2bl w:val="nil"/>
                  </w:tcBorders>
                  <w:shd w:val="clear" w:color="auto" w:fill="auto"/>
                  <w:noWrap w:val="0"/>
                  <w:vAlign w:val="center"/>
                </w:tcPr>
                <w:p w14:paraId="74B80547">
                  <w:pPr>
                    <w:keepNext w:val="0"/>
                    <w:keepLines w:val="0"/>
                    <w:suppressLineNumbers w:val="0"/>
                    <w:adjustRightInd w:val="0"/>
                    <w:snapToGrid w:val="0"/>
                    <w:spacing w:before="0" w:beforeAutospacing="0" w:after="0" w:afterAutospacing="0" w:line="320" w:lineRule="exact"/>
                    <w:ind w:left="0" w:leftChars="0" w:right="0" w:rightChars="0"/>
                    <w:jc w:val="center"/>
                    <w:rPr>
                      <w:rFonts w:hint="eastAsia" w:ascii="Times New Roman" w:hAnsi="Times New Roman" w:eastAsia="宋体" w:cs="Times New Roman"/>
                      <w:snapToGrid w:val="0"/>
                      <w:color w:val="auto"/>
                      <w:kern w:val="2"/>
                      <w:sz w:val="21"/>
                      <w:szCs w:val="21"/>
                      <w:u w:val="none"/>
                      <w:lang w:val="en-US" w:eastAsia="zh-CN" w:bidi="ar-SA"/>
                    </w:rPr>
                  </w:pPr>
                  <w:r>
                    <w:rPr>
                      <w:rFonts w:hint="eastAsia" w:cs="Times New Roman"/>
                      <w:snapToGrid w:val="0"/>
                      <w:color w:val="auto"/>
                      <w:szCs w:val="21"/>
                      <w:u w:val="none"/>
                      <w:lang w:eastAsia="zh-CN"/>
                    </w:rPr>
                    <w:t>非甲烷总烃</w:t>
                  </w:r>
                </w:p>
              </w:tc>
              <w:tc>
                <w:tcPr>
                  <w:tcW w:w="2614" w:type="dxa"/>
                  <w:tcBorders>
                    <w:tl2br w:val="nil"/>
                    <w:tr2bl w:val="nil"/>
                  </w:tcBorders>
                  <w:shd w:val="clear" w:color="auto" w:fill="auto"/>
                  <w:noWrap w:val="0"/>
                  <w:vAlign w:val="center"/>
                </w:tcPr>
                <w:p w14:paraId="59D44E52">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snapToGrid w:val="0"/>
                      <w:color w:val="auto"/>
                      <w:kern w:val="2"/>
                      <w:sz w:val="21"/>
                      <w:szCs w:val="21"/>
                      <w:u w:val="none"/>
                      <w:lang w:val="en-US" w:eastAsia="zh-CN" w:bidi="ar-SA"/>
                    </w:rPr>
                  </w:pPr>
                  <w:r>
                    <w:rPr>
                      <w:rFonts w:hint="eastAsia" w:cs="Times New Roman"/>
                      <w:snapToGrid w:val="0"/>
                      <w:color w:val="auto"/>
                      <w:szCs w:val="21"/>
                      <w:u w:val="none"/>
                      <w:lang w:val="en-US" w:eastAsia="zh-CN"/>
                    </w:rPr>
                    <w:t>40</w:t>
                  </w:r>
                </w:p>
              </w:tc>
              <w:tc>
                <w:tcPr>
                  <w:tcW w:w="2184" w:type="dxa"/>
                  <w:vMerge w:val="continue"/>
                  <w:tcBorders>
                    <w:tl2br w:val="nil"/>
                    <w:tr2bl w:val="nil"/>
                  </w:tcBorders>
                  <w:noWrap w:val="0"/>
                  <w:vAlign w:val="center"/>
                </w:tcPr>
                <w:p w14:paraId="216ACF1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snapToGrid w:val="0"/>
                      <w:color w:val="auto"/>
                      <w:szCs w:val="21"/>
                      <w:u w:val="none"/>
                      <w:lang w:eastAsia="zh-CN"/>
                    </w:rPr>
                  </w:pPr>
                </w:p>
              </w:tc>
              <w:tc>
                <w:tcPr>
                  <w:tcW w:w="1705" w:type="dxa"/>
                  <w:tcBorders>
                    <w:tl2br w:val="nil"/>
                    <w:tr2bl w:val="nil"/>
                  </w:tcBorders>
                  <w:noWrap w:val="0"/>
                  <w:vAlign w:val="center"/>
                </w:tcPr>
                <w:p w14:paraId="2DE8D99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snapToGrid w:val="0"/>
                      <w:color w:val="auto"/>
                      <w:szCs w:val="21"/>
                      <w:u w:val="none"/>
                      <w:lang w:val="en-US" w:eastAsia="zh-CN"/>
                    </w:rPr>
                  </w:pPr>
                  <w:r>
                    <w:rPr>
                      <w:rFonts w:hint="eastAsia" w:cs="Times New Roman"/>
                      <w:snapToGrid w:val="0"/>
                      <w:color w:val="auto"/>
                      <w:szCs w:val="21"/>
                      <w:u w:val="none"/>
                      <w:lang w:val="en-US" w:eastAsia="zh-CN"/>
                    </w:rPr>
                    <w:t>2.0</w:t>
                  </w:r>
                </w:p>
              </w:tc>
            </w:tr>
            <w:tr w14:paraId="5BEAC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3" w:type="dxa"/>
                  <w:tcBorders>
                    <w:tl2br w:val="nil"/>
                    <w:tr2bl w:val="nil"/>
                  </w:tcBorders>
                  <w:shd w:val="clear" w:color="auto" w:fill="auto"/>
                  <w:noWrap w:val="0"/>
                  <w:vAlign w:val="center"/>
                </w:tcPr>
                <w:p w14:paraId="26B65A75">
                  <w:pPr>
                    <w:keepNext w:val="0"/>
                    <w:keepLines w:val="0"/>
                    <w:suppressLineNumbers w:val="0"/>
                    <w:adjustRightInd w:val="0"/>
                    <w:snapToGrid w:val="0"/>
                    <w:spacing w:before="0" w:beforeAutospacing="0" w:after="0" w:afterAutospacing="0" w:line="320" w:lineRule="exact"/>
                    <w:ind w:left="0" w:leftChars="0" w:right="0" w:rightChars="0"/>
                    <w:jc w:val="center"/>
                    <w:rPr>
                      <w:rFonts w:hint="eastAsia" w:ascii="Times New Roman" w:hAnsi="Times New Roman" w:eastAsia="宋体" w:cs="Times New Roman"/>
                      <w:snapToGrid w:val="0"/>
                      <w:color w:val="auto"/>
                      <w:kern w:val="2"/>
                      <w:sz w:val="21"/>
                      <w:szCs w:val="21"/>
                      <w:u w:val="none"/>
                      <w:lang w:val="en-US" w:eastAsia="zh-CN" w:bidi="ar-SA"/>
                    </w:rPr>
                  </w:pPr>
                  <w:r>
                    <w:rPr>
                      <w:rFonts w:hint="eastAsia" w:cs="Times New Roman"/>
                      <w:snapToGrid w:val="0"/>
                      <w:color w:val="auto"/>
                      <w:szCs w:val="21"/>
                      <w:u w:val="none"/>
                      <w:lang w:eastAsia="zh-CN"/>
                    </w:rPr>
                    <w:t>总挥发性有机物</w:t>
                  </w:r>
                </w:p>
              </w:tc>
              <w:tc>
                <w:tcPr>
                  <w:tcW w:w="2614" w:type="dxa"/>
                  <w:tcBorders>
                    <w:tl2br w:val="nil"/>
                    <w:tr2bl w:val="nil"/>
                  </w:tcBorders>
                  <w:shd w:val="clear" w:color="auto" w:fill="auto"/>
                  <w:noWrap w:val="0"/>
                  <w:vAlign w:val="center"/>
                </w:tcPr>
                <w:p w14:paraId="0B6BFA06">
                  <w:pPr>
                    <w:keepNext w:val="0"/>
                    <w:keepLines w:val="0"/>
                    <w:suppressLineNumbers w:val="0"/>
                    <w:adjustRightInd w:val="0"/>
                    <w:snapToGrid w:val="0"/>
                    <w:spacing w:before="0" w:beforeAutospacing="0" w:after="0" w:afterAutospacing="0" w:line="320" w:lineRule="exact"/>
                    <w:ind w:left="0" w:leftChars="0" w:right="0" w:rightChars="0"/>
                    <w:jc w:val="center"/>
                    <w:rPr>
                      <w:rFonts w:hint="default" w:ascii="Times New Roman" w:hAnsi="Times New Roman" w:eastAsia="宋体" w:cs="Times New Roman"/>
                      <w:snapToGrid w:val="0"/>
                      <w:color w:val="auto"/>
                      <w:kern w:val="2"/>
                      <w:sz w:val="21"/>
                      <w:szCs w:val="21"/>
                      <w:u w:val="none"/>
                      <w:lang w:val="en-US" w:eastAsia="zh-CN" w:bidi="ar-SA"/>
                    </w:rPr>
                  </w:pPr>
                  <w:r>
                    <w:rPr>
                      <w:rFonts w:hint="eastAsia" w:cs="Times New Roman"/>
                      <w:snapToGrid w:val="0"/>
                      <w:color w:val="auto"/>
                      <w:szCs w:val="21"/>
                      <w:u w:val="none"/>
                      <w:lang w:val="en-US" w:eastAsia="zh-CN"/>
                    </w:rPr>
                    <w:t>80</w:t>
                  </w:r>
                </w:p>
              </w:tc>
              <w:tc>
                <w:tcPr>
                  <w:tcW w:w="2184" w:type="dxa"/>
                  <w:vMerge w:val="continue"/>
                  <w:tcBorders>
                    <w:tl2br w:val="nil"/>
                    <w:tr2bl w:val="nil"/>
                  </w:tcBorders>
                  <w:noWrap w:val="0"/>
                  <w:vAlign w:val="center"/>
                </w:tcPr>
                <w:p w14:paraId="72AD0D6F">
                  <w:pPr>
                    <w:keepNext w:val="0"/>
                    <w:keepLines w:val="0"/>
                    <w:suppressLineNumbers w:val="0"/>
                    <w:adjustRightInd w:val="0"/>
                    <w:snapToGrid w:val="0"/>
                    <w:spacing w:before="0" w:beforeAutospacing="0" w:after="0" w:afterAutospacing="0" w:line="320" w:lineRule="exact"/>
                    <w:ind w:left="0" w:right="0"/>
                    <w:jc w:val="center"/>
                    <w:rPr>
                      <w:rFonts w:hint="default" w:ascii="Times New Roman" w:hAnsi="Times New Roman" w:cs="Times New Roman"/>
                      <w:snapToGrid w:val="0"/>
                      <w:color w:val="auto"/>
                      <w:szCs w:val="21"/>
                      <w:u w:val="none"/>
                      <w:lang w:eastAsia="zh-CN"/>
                    </w:rPr>
                  </w:pPr>
                </w:p>
              </w:tc>
              <w:tc>
                <w:tcPr>
                  <w:tcW w:w="1705" w:type="dxa"/>
                  <w:tcBorders>
                    <w:tl2br w:val="nil"/>
                    <w:tr2bl w:val="nil"/>
                  </w:tcBorders>
                  <w:noWrap w:val="0"/>
                  <w:vAlign w:val="center"/>
                </w:tcPr>
                <w:p w14:paraId="404A859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cs="Times New Roman"/>
                      <w:snapToGrid w:val="0"/>
                      <w:color w:val="auto"/>
                      <w:szCs w:val="21"/>
                      <w:u w:val="none"/>
                      <w:lang w:val="en-US" w:eastAsia="zh-CN"/>
                    </w:rPr>
                  </w:pPr>
                  <w:r>
                    <w:rPr>
                      <w:rFonts w:hint="eastAsia" w:cs="Times New Roman"/>
                      <w:snapToGrid w:val="0"/>
                      <w:color w:val="auto"/>
                      <w:szCs w:val="21"/>
                      <w:u w:val="none"/>
                      <w:lang w:val="en-US" w:eastAsia="zh-CN"/>
                    </w:rPr>
                    <w:t>/</w:t>
                  </w:r>
                </w:p>
              </w:tc>
            </w:tr>
          </w:tbl>
          <w:p w14:paraId="26EA114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outlineLvl w:val="9"/>
              <w:rPr>
                <w:rFonts w:hint="default" w:ascii="Times New Roman" w:hAnsi="Times New Roman" w:eastAsia="宋体" w:cs="Times New Roman"/>
                <w:b/>
                <w:color w:val="auto"/>
                <w:spacing w:val="0"/>
                <w:w w:val="100"/>
                <w:position w:val="0"/>
                <w:sz w:val="24"/>
                <w:szCs w:val="24"/>
                <w:u w:val="none" w:color="auto"/>
              </w:rPr>
            </w:pPr>
            <w:r>
              <w:rPr>
                <w:rFonts w:hint="eastAsia" w:eastAsia="宋体" w:cs="Times New Roman"/>
                <w:b/>
                <w:color w:val="auto"/>
                <w:spacing w:val="0"/>
                <w:w w:val="100"/>
                <w:sz w:val="21"/>
                <w:szCs w:val="21"/>
                <w:u w:val="none" w:color="auto"/>
                <w:lang w:val="en-US" w:eastAsia="zh-CN"/>
              </w:rPr>
              <w:t xml:space="preserve"> </w:t>
            </w:r>
            <w:r>
              <w:rPr>
                <w:rFonts w:hint="eastAsia" w:eastAsia="宋体" w:cs="Times New Roman"/>
                <w:b/>
                <w:color w:val="auto"/>
                <w:spacing w:val="0"/>
                <w:w w:val="100"/>
                <w:sz w:val="24"/>
                <w:szCs w:val="24"/>
                <w:u w:val="none" w:color="auto"/>
                <w:lang w:val="en-US" w:eastAsia="zh-CN"/>
              </w:rPr>
              <w:t>表3-1</w:t>
            </w:r>
            <w:r>
              <w:rPr>
                <w:rFonts w:hint="eastAsia" w:cs="Times New Roman"/>
                <w:b/>
                <w:color w:val="auto"/>
                <w:spacing w:val="0"/>
                <w:w w:val="100"/>
                <w:sz w:val="24"/>
                <w:szCs w:val="24"/>
                <w:u w:val="none" w:color="auto"/>
                <w:lang w:val="en-US" w:eastAsia="zh-CN"/>
              </w:rPr>
              <w:t>0</w:t>
            </w:r>
            <w:r>
              <w:rPr>
                <w:rFonts w:hint="default" w:ascii="Times New Roman" w:hAnsi="Times New Roman" w:eastAsia="宋体" w:cs="Times New Roman"/>
                <w:b/>
                <w:color w:val="auto"/>
                <w:spacing w:val="0"/>
                <w:w w:val="100"/>
                <w:sz w:val="24"/>
                <w:szCs w:val="24"/>
                <w:u w:val="none" w:color="auto"/>
                <w:lang w:val="en-US" w:eastAsia="zh-CN"/>
              </w:rPr>
              <w:t xml:space="preserve">  </w:t>
            </w:r>
            <w:r>
              <w:rPr>
                <w:rFonts w:hint="default" w:ascii="Times New Roman" w:hAnsi="Times New Roman" w:eastAsia="宋体" w:cs="Times New Roman"/>
                <w:b/>
                <w:color w:val="auto"/>
                <w:spacing w:val="0"/>
                <w:w w:val="100"/>
                <w:position w:val="0"/>
                <w:sz w:val="24"/>
                <w:szCs w:val="24"/>
                <w:u w:val="none" w:color="auto"/>
                <w:lang w:val="en-US" w:eastAsia="zh-CN"/>
              </w:rPr>
              <w:t xml:space="preserve"> 厂区内无组织挥发性有机物</w:t>
            </w:r>
            <w:r>
              <w:rPr>
                <w:rFonts w:hint="default" w:ascii="Times New Roman" w:hAnsi="Times New Roman" w:cs="Times New Roman"/>
                <w:b/>
                <w:bCs/>
                <w:color w:val="auto"/>
                <w:spacing w:val="0"/>
                <w:kern w:val="2"/>
                <w:position w:val="0"/>
                <w:sz w:val="24"/>
                <w:szCs w:val="24"/>
                <w:u w:val="none" w:color="auto"/>
              </w:rPr>
              <w:t>排放限值</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494"/>
              <w:gridCol w:w="1565"/>
              <w:gridCol w:w="2805"/>
              <w:gridCol w:w="2339"/>
            </w:tblGrid>
            <w:tr w14:paraId="24E9B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910" w:type="pct"/>
                  <w:tcBorders>
                    <w:tl2br w:val="nil"/>
                    <w:tr2bl w:val="nil"/>
                  </w:tcBorders>
                  <w:noWrap w:val="0"/>
                  <w:vAlign w:val="center"/>
                </w:tcPr>
                <w:p w14:paraId="3EE25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w w:val="100"/>
                      <w:position w:val="0"/>
                      <w:sz w:val="21"/>
                      <w:szCs w:val="21"/>
                      <w:u w:val="none" w:color="auto"/>
                      <w:lang w:val="en-US" w:eastAsia="zh-CN"/>
                    </w:rPr>
                  </w:pPr>
                  <w:r>
                    <w:rPr>
                      <w:rFonts w:hint="default" w:ascii="Times New Roman" w:hAnsi="Times New Roman" w:eastAsia="宋体" w:cs="Times New Roman"/>
                      <w:b/>
                      <w:bCs/>
                      <w:color w:val="auto"/>
                      <w:spacing w:val="0"/>
                      <w:w w:val="100"/>
                      <w:position w:val="0"/>
                      <w:sz w:val="21"/>
                      <w:szCs w:val="21"/>
                      <w:u w:val="none" w:color="auto"/>
                    </w:rPr>
                    <w:t>污染物项目</w:t>
                  </w:r>
                </w:p>
              </w:tc>
              <w:tc>
                <w:tcPr>
                  <w:tcW w:w="953" w:type="pct"/>
                  <w:tcBorders>
                    <w:tl2br w:val="nil"/>
                    <w:tr2bl w:val="nil"/>
                  </w:tcBorders>
                  <w:noWrap w:val="0"/>
                  <w:vAlign w:val="center"/>
                </w:tcPr>
                <w:p w14:paraId="44B53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w w:val="100"/>
                      <w:position w:val="0"/>
                      <w:sz w:val="21"/>
                      <w:szCs w:val="21"/>
                      <w:u w:val="none" w:color="auto"/>
                      <w:lang w:val="en-US" w:eastAsia="zh-CN"/>
                    </w:rPr>
                  </w:pPr>
                  <w:r>
                    <w:rPr>
                      <w:rFonts w:hint="default" w:ascii="Times New Roman" w:hAnsi="Times New Roman" w:eastAsia="宋体" w:cs="Times New Roman"/>
                      <w:b/>
                      <w:bCs/>
                      <w:color w:val="auto"/>
                      <w:spacing w:val="0"/>
                      <w:w w:val="100"/>
                      <w:position w:val="0"/>
                      <w:sz w:val="21"/>
                      <w:szCs w:val="21"/>
                      <w:u w:val="none" w:color="auto"/>
                      <w:lang w:val="en-US" w:eastAsia="zh-CN"/>
                    </w:rPr>
                    <w:t>排放限值</w:t>
                  </w:r>
                </w:p>
              </w:tc>
              <w:tc>
                <w:tcPr>
                  <w:tcW w:w="1709" w:type="pct"/>
                  <w:tcBorders>
                    <w:tl2br w:val="nil"/>
                    <w:tr2bl w:val="nil"/>
                  </w:tcBorders>
                  <w:noWrap w:val="0"/>
                  <w:vAlign w:val="center"/>
                </w:tcPr>
                <w:p w14:paraId="14181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w w:val="100"/>
                      <w:position w:val="0"/>
                      <w:sz w:val="21"/>
                      <w:szCs w:val="21"/>
                      <w:u w:val="none" w:color="auto"/>
                      <w:lang w:val="en-US" w:eastAsia="zh-CN"/>
                    </w:rPr>
                  </w:pPr>
                  <w:r>
                    <w:rPr>
                      <w:rFonts w:hint="default" w:ascii="Times New Roman" w:hAnsi="Times New Roman" w:eastAsia="宋体" w:cs="Times New Roman"/>
                      <w:b/>
                      <w:bCs/>
                      <w:color w:val="auto"/>
                      <w:spacing w:val="0"/>
                      <w:w w:val="100"/>
                      <w:position w:val="0"/>
                      <w:sz w:val="21"/>
                      <w:szCs w:val="21"/>
                      <w:u w:val="none" w:color="auto"/>
                      <w:lang w:eastAsia="zh-CN"/>
                    </w:rPr>
                    <w:t>限值含义</w:t>
                  </w:r>
                </w:p>
              </w:tc>
              <w:tc>
                <w:tcPr>
                  <w:tcW w:w="1425" w:type="pct"/>
                  <w:tcBorders>
                    <w:tl2br w:val="nil"/>
                    <w:tr2bl w:val="nil"/>
                  </w:tcBorders>
                  <w:noWrap w:val="0"/>
                  <w:vAlign w:val="center"/>
                </w:tcPr>
                <w:p w14:paraId="18E62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w w:val="100"/>
                      <w:position w:val="0"/>
                      <w:sz w:val="21"/>
                      <w:szCs w:val="21"/>
                      <w:u w:val="none" w:color="auto"/>
                      <w:lang w:eastAsia="zh-CN"/>
                    </w:rPr>
                  </w:pPr>
                  <w:r>
                    <w:rPr>
                      <w:rFonts w:hint="default" w:ascii="Times New Roman" w:hAnsi="Times New Roman" w:eastAsia="宋体" w:cs="Times New Roman"/>
                      <w:b/>
                      <w:bCs/>
                      <w:color w:val="auto"/>
                      <w:spacing w:val="0"/>
                      <w:w w:val="100"/>
                      <w:position w:val="0"/>
                      <w:sz w:val="21"/>
                      <w:szCs w:val="21"/>
                      <w:u w:val="none" w:color="auto"/>
                      <w:lang w:eastAsia="zh-CN"/>
                    </w:rPr>
                    <w:t>无组织排放监控位置</w:t>
                  </w:r>
                </w:p>
              </w:tc>
            </w:tr>
            <w:tr w14:paraId="61022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910" w:type="pct"/>
                  <w:vMerge w:val="restart"/>
                  <w:tcBorders>
                    <w:tl2br w:val="nil"/>
                    <w:tr2bl w:val="nil"/>
                  </w:tcBorders>
                  <w:noWrap w:val="0"/>
                  <w:vAlign w:val="center"/>
                </w:tcPr>
                <w:p w14:paraId="02BB05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NMHC</w:t>
                  </w:r>
                </w:p>
              </w:tc>
              <w:tc>
                <w:tcPr>
                  <w:tcW w:w="953" w:type="pct"/>
                  <w:tcBorders>
                    <w:tl2br w:val="nil"/>
                    <w:tr2bl w:val="nil"/>
                  </w:tcBorders>
                  <w:noWrap w:val="0"/>
                  <w:vAlign w:val="center"/>
                </w:tcPr>
                <w:p w14:paraId="2BF27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10</w:t>
                  </w:r>
                  <w:r>
                    <w:rPr>
                      <w:rFonts w:hint="default" w:ascii="Times New Roman" w:hAnsi="Times New Roman" w:eastAsia="宋体" w:cs="Times New Roman"/>
                      <w:color w:val="auto"/>
                      <w:spacing w:val="0"/>
                      <w:w w:val="100"/>
                      <w:kern w:val="0"/>
                      <w:position w:val="0"/>
                      <w:sz w:val="21"/>
                      <w:szCs w:val="21"/>
                      <w:u w:val="none" w:color="auto"/>
                    </w:rPr>
                    <w:t>mg/m</w:t>
                  </w:r>
                  <w:r>
                    <w:rPr>
                      <w:rFonts w:hint="default" w:ascii="Times New Roman" w:hAnsi="Times New Roman" w:eastAsia="宋体" w:cs="Times New Roman"/>
                      <w:color w:val="auto"/>
                      <w:spacing w:val="0"/>
                      <w:w w:val="100"/>
                      <w:kern w:val="0"/>
                      <w:position w:val="0"/>
                      <w:sz w:val="21"/>
                      <w:szCs w:val="21"/>
                      <w:u w:val="none" w:color="auto"/>
                      <w:vertAlign w:val="superscript"/>
                    </w:rPr>
                    <w:t>3</w:t>
                  </w:r>
                </w:p>
              </w:tc>
              <w:tc>
                <w:tcPr>
                  <w:tcW w:w="1709" w:type="pct"/>
                  <w:tcBorders>
                    <w:tl2br w:val="nil"/>
                    <w:tr2bl w:val="nil"/>
                  </w:tcBorders>
                  <w:noWrap w:val="0"/>
                  <w:vAlign w:val="center"/>
                </w:tcPr>
                <w:p w14:paraId="05FC2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eastAsia="zh-CN"/>
                    </w:rPr>
                    <w:t>监控点处</w:t>
                  </w:r>
                  <w:r>
                    <w:rPr>
                      <w:rFonts w:hint="default" w:ascii="Times New Roman" w:hAnsi="Times New Roman" w:eastAsia="宋体" w:cs="Times New Roman"/>
                      <w:color w:val="auto"/>
                      <w:spacing w:val="0"/>
                      <w:w w:val="100"/>
                      <w:position w:val="0"/>
                      <w:sz w:val="21"/>
                      <w:szCs w:val="21"/>
                      <w:u w:val="none" w:color="auto"/>
                      <w:lang w:val="en-US" w:eastAsia="zh-CN"/>
                    </w:rPr>
                    <w:t>1h平均浓度值</w:t>
                  </w:r>
                </w:p>
              </w:tc>
              <w:tc>
                <w:tcPr>
                  <w:tcW w:w="1425" w:type="pct"/>
                  <w:vMerge w:val="restart"/>
                  <w:tcBorders>
                    <w:tl2br w:val="nil"/>
                    <w:tr2bl w:val="nil"/>
                  </w:tcBorders>
                  <w:noWrap w:val="0"/>
                  <w:vAlign w:val="center"/>
                </w:tcPr>
                <w:p w14:paraId="5C5AA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eastAsia="zh-CN"/>
                    </w:rPr>
                    <w:t>在厂房外设置监控点</w:t>
                  </w:r>
                </w:p>
              </w:tc>
            </w:tr>
            <w:tr w14:paraId="2F062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910" w:type="pct"/>
                  <w:vMerge w:val="continue"/>
                  <w:tcBorders>
                    <w:tl2br w:val="nil"/>
                    <w:tr2bl w:val="nil"/>
                  </w:tcBorders>
                  <w:noWrap w:val="0"/>
                  <w:vAlign w:val="center"/>
                </w:tcPr>
                <w:p w14:paraId="3705A8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w w:val="100"/>
                      <w:position w:val="0"/>
                      <w:sz w:val="21"/>
                      <w:szCs w:val="21"/>
                      <w:u w:val="none" w:color="auto"/>
                    </w:rPr>
                  </w:pPr>
                </w:p>
              </w:tc>
              <w:tc>
                <w:tcPr>
                  <w:tcW w:w="953" w:type="pct"/>
                  <w:tcBorders>
                    <w:tl2br w:val="nil"/>
                    <w:tr2bl w:val="nil"/>
                  </w:tcBorders>
                  <w:noWrap w:val="0"/>
                  <w:vAlign w:val="center"/>
                </w:tcPr>
                <w:p w14:paraId="11911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w w:val="100"/>
                      <w:position w:val="0"/>
                      <w:sz w:val="21"/>
                      <w:szCs w:val="21"/>
                      <w:u w:val="none" w:color="auto"/>
                      <w:lang w:val="en-US" w:eastAsia="zh-CN"/>
                    </w:rPr>
                  </w:pPr>
                  <w:r>
                    <w:rPr>
                      <w:rFonts w:hint="default" w:ascii="Times New Roman" w:hAnsi="Times New Roman" w:eastAsia="宋体" w:cs="Times New Roman"/>
                      <w:color w:val="auto"/>
                      <w:spacing w:val="0"/>
                      <w:w w:val="100"/>
                      <w:position w:val="0"/>
                      <w:sz w:val="21"/>
                      <w:szCs w:val="21"/>
                      <w:u w:val="none" w:color="auto"/>
                      <w:lang w:val="en-US" w:eastAsia="zh-CN"/>
                    </w:rPr>
                    <w:t>30</w:t>
                  </w:r>
                  <w:r>
                    <w:rPr>
                      <w:rFonts w:hint="default" w:ascii="Times New Roman" w:hAnsi="Times New Roman" w:eastAsia="宋体" w:cs="Times New Roman"/>
                      <w:color w:val="auto"/>
                      <w:spacing w:val="0"/>
                      <w:w w:val="100"/>
                      <w:kern w:val="0"/>
                      <w:position w:val="0"/>
                      <w:sz w:val="21"/>
                      <w:szCs w:val="21"/>
                      <w:u w:val="none" w:color="auto"/>
                    </w:rPr>
                    <w:t>mg/m</w:t>
                  </w:r>
                  <w:r>
                    <w:rPr>
                      <w:rFonts w:hint="default" w:ascii="Times New Roman" w:hAnsi="Times New Roman" w:eastAsia="宋体" w:cs="Times New Roman"/>
                      <w:color w:val="auto"/>
                      <w:spacing w:val="0"/>
                      <w:w w:val="100"/>
                      <w:kern w:val="0"/>
                      <w:position w:val="0"/>
                      <w:sz w:val="21"/>
                      <w:szCs w:val="21"/>
                      <w:u w:val="none" w:color="auto"/>
                      <w:vertAlign w:val="superscript"/>
                    </w:rPr>
                    <w:t>3</w:t>
                  </w:r>
                </w:p>
              </w:tc>
              <w:tc>
                <w:tcPr>
                  <w:tcW w:w="1709" w:type="pct"/>
                  <w:tcBorders>
                    <w:tl2br w:val="nil"/>
                    <w:tr2bl w:val="nil"/>
                  </w:tcBorders>
                  <w:noWrap w:val="0"/>
                  <w:vAlign w:val="center"/>
                </w:tcPr>
                <w:p w14:paraId="6364D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w w:val="100"/>
                      <w:position w:val="0"/>
                      <w:sz w:val="21"/>
                      <w:szCs w:val="21"/>
                      <w:u w:val="none" w:color="auto"/>
                      <w:lang w:eastAsia="zh-CN"/>
                    </w:rPr>
                  </w:pPr>
                  <w:r>
                    <w:rPr>
                      <w:rFonts w:hint="default" w:ascii="Times New Roman" w:hAnsi="Times New Roman" w:eastAsia="宋体" w:cs="Times New Roman"/>
                      <w:color w:val="auto"/>
                      <w:spacing w:val="0"/>
                      <w:w w:val="100"/>
                      <w:position w:val="0"/>
                      <w:sz w:val="21"/>
                      <w:szCs w:val="21"/>
                      <w:u w:val="none" w:color="auto"/>
                      <w:lang w:eastAsia="zh-CN"/>
                    </w:rPr>
                    <w:t>监控点处任意一次浓度值</w:t>
                  </w:r>
                </w:p>
              </w:tc>
              <w:tc>
                <w:tcPr>
                  <w:tcW w:w="1425" w:type="pct"/>
                  <w:vMerge w:val="continue"/>
                  <w:tcBorders>
                    <w:tl2br w:val="nil"/>
                    <w:tr2bl w:val="nil"/>
                  </w:tcBorders>
                  <w:noWrap w:val="0"/>
                  <w:vAlign w:val="center"/>
                </w:tcPr>
                <w:p w14:paraId="59006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spacing w:val="0"/>
                      <w:w w:val="100"/>
                      <w:position w:val="0"/>
                      <w:sz w:val="21"/>
                      <w:szCs w:val="21"/>
                      <w:u w:val="none" w:color="auto"/>
                    </w:rPr>
                  </w:pPr>
                </w:p>
              </w:tc>
            </w:tr>
          </w:tbl>
          <w:p w14:paraId="1696BC4C">
            <w:pPr>
              <w:keepNext w:val="0"/>
              <w:keepLines w:val="0"/>
              <w:pageBreakBefore w:val="0"/>
              <w:widowControl w:val="0"/>
              <w:numPr>
                <w:ilvl w:val="0"/>
                <w:numId w:val="10"/>
              </w:numPr>
              <w:suppressLineNumbers w:val="0"/>
              <w:kinsoku/>
              <w:wordWrap/>
              <w:overflowPunct/>
              <w:topLinePunct w:val="0"/>
              <w:autoSpaceDE/>
              <w:autoSpaceDN/>
              <w:bidi w:val="0"/>
              <w:snapToGrid w:val="0"/>
              <w:spacing w:before="0" w:beforeAutospacing="0" w:after="0" w:afterAutospacing="0" w:line="360" w:lineRule="auto"/>
              <w:ind w:left="0" w:leftChars="0" w:right="0" w:firstLine="482" w:firstLineChars="200"/>
              <w:textAlignment w:val="auto"/>
              <w:outlineLvl w:val="9"/>
              <w:rPr>
                <w:rStyle w:val="62"/>
                <w:rFonts w:hint="default" w:ascii="Times New Roman" w:hAnsi="Times New Roman" w:eastAsia="宋体" w:cs="Times New Roman"/>
                <w:b/>
                <w:bCs/>
                <w:color w:val="auto"/>
                <w:spacing w:val="0"/>
                <w:position w:val="0"/>
                <w:highlight w:val="none"/>
                <w:u w:val="none" w:color="auto"/>
                <w:lang w:val="en-US" w:eastAsia="zh-CN"/>
              </w:rPr>
            </w:pPr>
            <w:r>
              <w:rPr>
                <w:rStyle w:val="62"/>
                <w:rFonts w:hint="default" w:ascii="Times New Roman" w:hAnsi="Times New Roman" w:eastAsia="宋体" w:cs="Times New Roman"/>
                <w:b/>
                <w:bCs/>
                <w:color w:val="auto"/>
                <w:spacing w:val="0"/>
                <w:position w:val="0"/>
                <w:highlight w:val="none"/>
                <w:u w:val="none" w:color="auto"/>
                <w:lang w:val="en-US" w:eastAsia="zh-CN"/>
              </w:rPr>
              <w:t>废水</w:t>
            </w:r>
          </w:p>
          <w:p w14:paraId="36780A24">
            <w:pPr>
              <w:keepNext w:val="0"/>
              <w:keepLines w:val="0"/>
              <w:suppressLineNumbers w:val="0"/>
              <w:snapToGrid w:val="0"/>
              <w:spacing w:before="0" w:beforeAutospacing="0" w:after="0" w:afterAutospacing="0" w:line="360" w:lineRule="auto"/>
              <w:ind w:left="0" w:right="0" w:firstLine="480" w:firstLineChars="200"/>
              <w:rPr>
                <w:rStyle w:val="62"/>
                <w:rFonts w:hint="eastAsia" w:ascii="Times New Roman" w:hAnsi="Times New Roman" w:eastAsia="宋体" w:cs="Times New Roman"/>
                <w:color w:val="auto"/>
                <w:highlight w:val="none"/>
                <w:u w:val="none"/>
                <w:lang w:val="en-US" w:eastAsia="zh-CN"/>
              </w:rPr>
            </w:pPr>
            <w:r>
              <w:rPr>
                <w:rFonts w:hint="default" w:ascii="Times New Roman" w:hAnsi="Times New Roman" w:cs="Times New Roman"/>
                <w:color w:val="auto"/>
                <w:spacing w:val="0"/>
                <w:position w:val="0"/>
                <w:sz w:val="24"/>
                <w:szCs w:val="24"/>
                <w:highlight w:val="none"/>
                <w:u w:val="none" w:color="auto"/>
                <w:lang w:eastAsia="zh-CN"/>
              </w:rPr>
              <w:t>本项目</w:t>
            </w:r>
            <w:r>
              <w:rPr>
                <w:rFonts w:hint="eastAsia" w:cs="Times New Roman"/>
                <w:color w:val="auto"/>
                <w:spacing w:val="0"/>
                <w:position w:val="0"/>
                <w:sz w:val="24"/>
                <w:szCs w:val="24"/>
                <w:highlight w:val="none"/>
                <w:u w:val="none" w:color="auto"/>
                <w:lang w:val="en-US" w:eastAsia="zh-CN"/>
              </w:rPr>
              <w:t>生活污水依托现有隔油化粪池处理后</w:t>
            </w:r>
            <w:r>
              <w:rPr>
                <w:rFonts w:hint="eastAsia" w:cs="Times New Roman"/>
                <w:color w:val="auto"/>
                <w:spacing w:val="0"/>
                <w:position w:val="0"/>
                <w:sz w:val="24"/>
                <w:szCs w:val="24"/>
                <w:highlight w:val="none"/>
                <w:u w:val="none" w:color="auto"/>
                <w:lang w:eastAsia="zh-CN"/>
              </w:rPr>
              <w:t>，通过现有废水总排放口（</w:t>
            </w:r>
            <w:r>
              <w:rPr>
                <w:rFonts w:hint="eastAsia" w:cs="Times New Roman"/>
                <w:color w:val="auto"/>
                <w:spacing w:val="0"/>
                <w:position w:val="0"/>
                <w:sz w:val="24"/>
                <w:szCs w:val="24"/>
                <w:highlight w:val="none"/>
                <w:u w:val="none" w:color="auto"/>
                <w:lang w:val="en-US" w:eastAsia="zh-CN"/>
              </w:rPr>
              <w:t>DW001）</w:t>
            </w:r>
            <w:r>
              <w:rPr>
                <w:rFonts w:hint="eastAsia"/>
                <w:color w:val="auto"/>
                <w:sz w:val="24"/>
                <w:szCs w:val="24"/>
                <w:highlight w:val="none"/>
                <w:lang w:val="en-US" w:eastAsia="zh-CN"/>
              </w:rPr>
              <w:t>排入市政污水管网。排放口废水</w:t>
            </w:r>
            <w:r>
              <w:rPr>
                <w:rStyle w:val="62"/>
                <w:rFonts w:hint="eastAsia" w:cs="Times New Roman"/>
                <w:color w:val="auto"/>
                <w:highlight w:val="none"/>
                <w:u w:val="none"/>
                <w:lang w:val="en-US" w:eastAsia="zh-CN"/>
              </w:rPr>
              <w:t>满足</w:t>
            </w:r>
            <w:r>
              <w:rPr>
                <w:rStyle w:val="62"/>
                <w:rFonts w:hint="eastAsia" w:ascii="Times New Roman" w:hAnsi="Times New Roman" w:eastAsia="宋体" w:cs="Times New Roman"/>
                <w:color w:val="auto"/>
                <w:highlight w:val="none"/>
                <w:u w:val="none"/>
                <w:lang w:val="en-US" w:eastAsia="zh-CN"/>
              </w:rPr>
              <w:t>《污水综合排放标准》（</w:t>
            </w:r>
            <w:r>
              <w:rPr>
                <w:rStyle w:val="62"/>
                <w:rFonts w:hint="default" w:ascii="Times New Roman" w:hAnsi="Times New Roman" w:eastAsia="宋体" w:cs="Times New Roman"/>
                <w:color w:val="auto"/>
                <w:highlight w:val="none"/>
                <w:u w:val="none"/>
                <w:lang w:val="en-US" w:eastAsia="zh-CN"/>
              </w:rPr>
              <w:t>GB8978-1996</w:t>
            </w:r>
            <w:r>
              <w:rPr>
                <w:rStyle w:val="62"/>
                <w:rFonts w:hint="eastAsia" w:ascii="Times New Roman" w:hAnsi="Times New Roman" w:eastAsia="宋体" w:cs="Times New Roman"/>
                <w:color w:val="auto"/>
                <w:highlight w:val="none"/>
                <w:u w:val="none"/>
                <w:lang w:val="en-US" w:eastAsia="zh-CN"/>
              </w:rPr>
              <w:t>）中三级标准</w:t>
            </w:r>
            <w:r>
              <w:rPr>
                <w:rFonts w:hint="eastAsia"/>
                <w:sz w:val="24"/>
                <w:lang w:eastAsia="zh-CN"/>
              </w:rPr>
              <w:t>及</w:t>
            </w:r>
            <w:r>
              <w:rPr>
                <w:rFonts w:hint="eastAsia"/>
                <w:sz w:val="24"/>
              </w:rPr>
              <w:t>湖南城陵矶临港产业新区污水处理厂进水水质要求</w:t>
            </w:r>
            <w:r>
              <w:rPr>
                <w:rFonts w:hint="eastAsia"/>
                <w:sz w:val="24"/>
                <w:lang w:eastAsia="zh-CN"/>
              </w:rPr>
              <w:t>后，</w:t>
            </w:r>
            <w:r>
              <w:rPr>
                <w:rStyle w:val="62"/>
                <w:rFonts w:hint="eastAsia" w:ascii="Times New Roman" w:hAnsi="Times New Roman" w:eastAsia="宋体" w:cs="Times New Roman"/>
                <w:color w:val="auto"/>
                <w:highlight w:val="none"/>
                <w:u w:val="none"/>
                <w:lang w:val="en-US" w:eastAsia="zh-CN"/>
              </w:rPr>
              <w:t>由</w:t>
            </w:r>
            <w:r>
              <w:rPr>
                <w:rStyle w:val="62"/>
                <w:rFonts w:hint="eastAsia" w:cs="Times New Roman"/>
                <w:color w:val="auto"/>
                <w:highlight w:val="none"/>
                <w:u w:val="none"/>
                <w:lang w:val="en-US" w:eastAsia="zh-CN"/>
              </w:rPr>
              <w:t>污水</w:t>
            </w:r>
            <w:r>
              <w:rPr>
                <w:rStyle w:val="62"/>
                <w:rFonts w:hint="eastAsia" w:ascii="Times New Roman" w:hAnsi="Times New Roman" w:eastAsia="宋体" w:cs="Times New Roman"/>
                <w:color w:val="auto"/>
                <w:highlight w:val="none"/>
                <w:u w:val="none"/>
                <w:lang w:val="en-US" w:eastAsia="zh-CN"/>
              </w:rPr>
              <w:t>管网排入</w:t>
            </w:r>
            <w:r>
              <w:rPr>
                <w:rFonts w:hint="eastAsia"/>
                <w:sz w:val="24"/>
              </w:rPr>
              <w:t>湖南城陵矶临港产业新区污水处理厂</w:t>
            </w:r>
            <w:r>
              <w:rPr>
                <w:rStyle w:val="62"/>
                <w:rFonts w:hint="eastAsia" w:ascii="Times New Roman" w:hAnsi="Times New Roman" w:eastAsia="宋体" w:cs="Times New Roman"/>
                <w:color w:val="auto"/>
                <w:highlight w:val="none"/>
                <w:u w:val="none"/>
                <w:lang w:val="en-US" w:eastAsia="zh-CN"/>
              </w:rPr>
              <w:t>处理</w:t>
            </w:r>
            <w:r>
              <w:rPr>
                <w:rStyle w:val="62"/>
                <w:rFonts w:hint="eastAsia" w:cs="Times New Roman"/>
                <w:color w:val="auto"/>
                <w:highlight w:val="none"/>
                <w:u w:val="none"/>
                <w:lang w:val="en-US" w:eastAsia="zh-CN"/>
              </w:rPr>
              <w:t>达</w:t>
            </w:r>
            <w:r>
              <w:rPr>
                <w:rFonts w:hint="eastAsia"/>
                <w:sz w:val="24"/>
              </w:rPr>
              <w:t>《城镇污水处理厂污染物排放标准》(GB 18918—2002)的一级 A 标准</w:t>
            </w:r>
            <w:r>
              <w:rPr>
                <w:rFonts w:hint="eastAsia"/>
                <w:sz w:val="24"/>
                <w:lang w:eastAsia="zh-CN"/>
              </w:rPr>
              <w:t>后排放</w:t>
            </w:r>
            <w:r>
              <w:rPr>
                <w:rStyle w:val="62"/>
                <w:rFonts w:hint="eastAsia" w:ascii="Times New Roman" w:hAnsi="Times New Roman" w:eastAsia="宋体" w:cs="Times New Roman"/>
                <w:color w:val="auto"/>
                <w:highlight w:val="none"/>
                <w:u w:val="none"/>
                <w:lang w:val="en-US" w:eastAsia="zh-CN"/>
              </w:rPr>
              <w:t>。</w:t>
            </w:r>
          </w:p>
          <w:p w14:paraId="67DBA962">
            <w:pPr>
              <w:keepNext w:val="0"/>
              <w:keepLines w:val="0"/>
              <w:suppressLineNumbers w:val="0"/>
              <w:spacing w:before="0" w:beforeAutospacing="0" w:after="0" w:afterAutospacing="0" w:line="360" w:lineRule="auto"/>
              <w:ind w:left="0" w:right="0"/>
              <w:jc w:val="center"/>
              <w:rPr>
                <w:rFonts w:hint="eastAsia"/>
                <w:b/>
                <w:color w:val="auto"/>
                <w:szCs w:val="21"/>
                <w:lang w:val="en-US" w:eastAsia="zh-CN"/>
              </w:rPr>
            </w:pPr>
            <w:r>
              <w:rPr>
                <w:rFonts w:hint="eastAsia" w:ascii="Times New Roman" w:hAnsi="Times New Roman" w:eastAsia="宋体" w:cs="Times New Roman"/>
                <w:b/>
                <w:color w:val="auto"/>
                <w:spacing w:val="0"/>
                <w:w w:val="100"/>
                <w:sz w:val="24"/>
                <w:szCs w:val="24"/>
                <w:u w:val="none" w:color="auto"/>
                <w:lang w:val="en-US" w:eastAsia="zh-CN"/>
              </w:rPr>
              <w:t xml:space="preserve">          </w:t>
            </w:r>
            <w:r>
              <w:rPr>
                <w:rFonts w:hint="eastAsia" w:cs="Times New Roman"/>
                <w:b/>
                <w:color w:val="auto"/>
                <w:spacing w:val="0"/>
                <w:w w:val="100"/>
                <w:sz w:val="24"/>
                <w:szCs w:val="24"/>
                <w:u w:val="none" w:color="auto"/>
                <w:lang w:val="en-US" w:eastAsia="zh-CN"/>
              </w:rPr>
              <w:t xml:space="preserve">  </w:t>
            </w:r>
            <w:r>
              <w:rPr>
                <w:rFonts w:hint="eastAsia" w:ascii="Times New Roman" w:hAnsi="Times New Roman" w:eastAsia="宋体" w:cs="Times New Roman"/>
                <w:b/>
                <w:color w:val="auto"/>
                <w:spacing w:val="0"/>
                <w:w w:val="100"/>
                <w:sz w:val="24"/>
                <w:szCs w:val="24"/>
                <w:u w:val="none" w:color="auto"/>
                <w:lang w:val="en-US" w:eastAsia="zh-CN"/>
              </w:rPr>
              <w:t xml:space="preserve">  表3-1</w:t>
            </w:r>
            <w:r>
              <w:rPr>
                <w:rFonts w:hint="eastAsia" w:cs="Times New Roman"/>
                <w:b/>
                <w:color w:val="auto"/>
                <w:spacing w:val="0"/>
                <w:w w:val="100"/>
                <w:sz w:val="24"/>
                <w:szCs w:val="24"/>
                <w:u w:val="none" w:color="auto"/>
                <w:lang w:val="en-US" w:eastAsia="zh-CN"/>
              </w:rPr>
              <w:t>1</w:t>
            </w:r>
            <w:r>
              <w:rPr>
                <w:rFonts w:hint="eastAsia" w:ascii="Times New Roman" w:hAnsi="Times New Roman" w:eastAsia="宋体" w:cs="Times New Roman"/>
                <w:b/>
                <w:color w:val="auto"/>
                <w:spacing w:val="0"/>
                <w:w w:val="100"/>
                <w:sz w:val="24"/>
                <w:szCs w:val="24"/>
                <w:u w:val="none" w:color="auto"/>
                <w:lang w:val="en-US" w:eastAsia="zh-CN"/>
              </w:rPr>
              <w:t xml:space="preserve">  水污染物排放标准        单位：</w:t>
            </w:r>
            <w:r>
              <w:rPr>
                <w:rFonts w:hint="default" w:ascii="Times New Roman" w:hAnsi="Times New Roman" w:eastAsia="宋体" w:cs="Times New Roman"/>
                <w:b/>
                <w:color w:val="auto"/>
                <w:spacing w:val="0"/>
                <w:w w:val="100"/>
                <w:sz w:val="24"/>
                <w:szCs w:val="24"/>
                <w:u w:val="none" w:color="auto"/>
                <w:lang w:val="en-US" w:eastAsia="zh-CN"/>
              </w:rPr>
              <w:t>mg/L</w:t>
            </w:r>
            <w:r>
              <w:rPr>
                <w:rFonts w:hint="eastAsia" w:ascii="Times New Roman" w:hAnsi="Times New Roman" w:eastAsia="宋体" w:cs="Times New Roman"/>
                <w:b/>
                <w:color w:val="auto"/>
                <w:spacing w:val="0"/>
                <w:w w:val="100"/>
                <w:sz w:val="24"/>
                <w:szCs w:val="24"/>
                <w:u w:val="none" w:color="auto"/>
                <w:lang w:val="en-US" w:eastAsia="zh-CN"/>
              </w:rPr>
              <w:t>（</w:t>
            </w:r>
            <w:r>
              <w:rPr>
                <w:rFonts w:hint="default" w:ascii="Times New Roman" w:hAnsi="Times New Roman" w:eastAsia="宋体" w:cs="Times New Roman"/>
                <w:b/>
                <w:color w:val="auto"/>
                <w:spacing w:val="0"/>
                <w:w w:val="100"/>
                <w:sz w:val="24"/>
                <w:szCs w:val="24"/>
                <w:u w:val="none" w:color="auto"/>
                <w:lang w:val="en-US" w:eastAsia="zh-CN"/>
              </w:rPr>
              <w:t>pH</w:t>
            </w:r>
            <w:r>
              <w:rPr>
                <w:rFonts w:hint="eastAsia" w:cs="Times New Roman"/>
                <w:b/>
                <w:color w:val="auto"/>
                <w:spacing w:val="0"/>
                <w:w w:val="100"/>
                <w:sz w:val="24"/>
                <w:szCs w:val="24"/>
                <w:u w:val="none" w:color="auto"/>
                <w:lang w:val="en-US" w:eastAsia="zh-CN"/>
              </w:rPr>
              <w:t>无量纲</w:t>
            </w:r>
            <w:r>
              <w:rPr>
                <w:rFonts w:hint="eastAsia" w:ascii="Times New Roman" w:hAnsi="Times New Roman" w:eastAsia="宋体" w:cs="Times New Roman"/>
                <w:b/>
                <w:color w:val="auto"/>
                <w:spacing w:val="0"/>
                <w:w w:val="100"/>
                <w:sz w:val="24"/>
                <w:szCs w:val="24"/>
                <w:u w:val="none" w:color="auto"/>
                <w:lang w:val="en-US" w:eastAsia="zh-CN"/>
              </w:rPr>
              <w:t>）</w:t>
            </w:r>
          </w:p>
          <w:tbl>
            <w:tblPr>
              <w:tblStyle w:val="38"/>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86"/>
              <w:gridCol w:w="874"/>
              <w:gridCol w:w="806"/>
              <w:gridCol w:w="531"/>
              <w:gridCol w:w="884"/>
              <w:gridCol w:w="823"/>
              <w:gridCol w:w="729"/>
              <w:gridCol w:w="729"/>
            </w:tblGrid>
            <w:tr w14:paraId="4E469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2" w:type="pct"/>
                  <w:tcBorders>
                    <w:tl2br w:val="nil"/>
                    <w:tr2bl w:val="nil"/>
                  </w:tcBorders>
                  <w:noWrap w:val="0"/>
                  <w:vAlign w:val="center"/>
                </w:tcPr>
                <w:p w14:paraId="7F7892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bCs/>
                      <w:color w:val="auto"/>
                      <w:sz w:val="21"/>
                      <w:szCs w:val="21"/>
                      <w:highlight w:val="none"/>
                      <w:u w:val="none"/>
                      <w:vertAlign w:val="baseline"/>
                      <w:lang w:eastAsia="zh-CN"/>
                    </w:rPr>
                  </w:pPr>
                  <w:r>
                    <w:rPr>
                      <w:rFonts w:hint="eastAsia"/>
                      <w:b/>
                      <w:bCs/>
                      <w:color w:val="auto"/>
                      <w:sz w:val="21"/>
                      <w:szCs w:val="21"/>
                      <w:highlight w:val="none"/>
                      <w:u w:val="none"/>
                      <w:vertAlign w:val="baseline"/>
                      <w:lang w:eastAsia="zh-CN"/>
                    </w:rPr>
                    <w:t>项目</w:t>
                  </w:r>
                </w:p>
              </w:tc>
              <w:tc>
                <w:tcPr>
                  <w:tcW w:w="417" w:type="pct"/>
                  <w:tcBorders>
                    <w:tl2br w:val="nil"/>
                    <w:tr2bl w:val="nil"/>
                  </w:tcBorders>
                  <w:noWrap w:val="0"/>
                  <w:vAlign w:val="center"/>
                </w:tcPr>
                <w:p w14:paraId="154FC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highlight w:val="none"/>
                      <w:u w:val="none"/>
                      <w:vertAlign w:val="baseline"/>
                    </w:rPr>
                  </w:pPr>
                  <w:r>
                    <w:rPr>
                      <w:rFonts w:hint="eastAsia"/>
                      <w:b/>
                      <w:bCs/>
                      <w:color w:val="auto"/>
                      <w:sz w:val="21"/>
                      <w:szCs w:val="21"/>
                      <w:highlight w:val="none"/>
                      <w:u w:val="none"/>
                      <w:lang w:val="en-US" w:eastAsia="zh-CN"/>
                    </w:rPr>
                    <w:t>pH</w:t>
                  </w:r>
                </w:p>
              </w:tc>
              <w:tc>
                <w:tcPr>
                  <w:tcW w:w="531" w:type="pct"/>
                  <w:tcBorders>
                    <w:tl2br w:val="nil"/>
                    <w:tr2bl w:val="nil"/>
                  </w:tcBorders>
                  <w:noWrap w:val="0"/>
                  <w:vAlign w:val="center"/>
                </w:tcPr>
                <w:p w14:paraId="0A960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highlight w:val="none"/>
                      <w:u w:val="none"/>
                      <w:vertAlign w:val="baseline"/>
                    </w:rPr>
                  </w:pPr>
                  <w:r>
                    <w:rPr>
                      <w:rFonts w:hint="eastAsia"/>
                      <w:b/>
                      <w:bCs/>
                      <w:color w:val="auto"/>
                      <w:sz w:val="21"/>
                      <w:szCs w:val="21"/>
                      <w:highlight w:val="none"/>
                      <w:u w:val="none"/>
                      <w:lang w:val="en-US" w:eastAsia="zh-CN"/>
                    </w:rPr>
                    <w:t>COD</w:t>
                  </w:r>
                  <w:r>
                    <w:rPr>
                      <w:rFonts w:hint="eastAsia"/>
                      <w:b/>
                      <w:bCs/>
                      <w:color w:val="auto"/>
                      <w:sz w:val="21"/>
                      <w:szCs w:val="21"/>
                      <w:highlight w:val="none"/>
                      <w:u w:val="none"/>
                      <w:vertAlign w:val="subscript"/>
                      <w:lang w:val="en-US" w:eastAsia="zh-CN"/>
                    </w:rPr>
                    <w:t>Cr</w:t>
                  </w:r>
                </w:p>
              </w:tc>
              <w:tc>
                <w:tcPr>
                  <w:tcW w:w="490" w:type="pct"/>
                  <w:tcBorders>
                    <w:tl2br w:val="nil"/>
                    <w:tr2bl w:val="nil"/>
                  </w:tcBorders>
                  <w:noWrap w:val="0"/>
                  <w:vAlign w:val="center"/>
                </w:tcPr>
                <w:p w14:paraId="624DA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highlight w:val="none"/>
                      <w:u w:val="none"/>
                      <w:vertAlign w:val="baseline"/>
                    </w:rPr>
                  </w:pPr>
                  <w:r>
                    <w:rPr>
                      <w:rFonts w:hint="eastAsia"/>
                      <w:b/>
                      <w:bCs/>
                      <w:color w:val="auto"/>
                      <w:sz w:val="21"/>
                      <w:szCs w:val="21"/>
                      <w:highlight w:val="none"/>
                      <w:u w:val="none"/>
                      <w:lang w:val="en-US" w:eastAsia="zh-CN"/>
                    </w:rPr>
                    <w:t>BOD</w:t>
                  </w:r>
                  <w:r>
                    <w:rPr>
                      <w:rFonts w:hint="eastAsia"/>
                      <w:b/>
                      <w:bCs/>
                      <w:color w:val="auto"/>
                      <w:sz w:val="21"/>
                      <w:szCs w:val="21"/>
                      <w:highlight w:val="none"/>
                      <w:u w:val="none"/>
                      <w:vertAlign w:val="subscript"/>
                      <w:lang w:val="en-US" w:eastAsia="zh-CN"/>
                    </w:rPr>
                    <w:t>5</w:t>
                  </w:r>
                </w:p>
              </w:tc>
              <w:tc>
                <w:tcPr>
                  <w:tcW w:w="322" w:type="pct"/>
                  <w:tcBorders>
                    <w:tl2br w:val="nil"/>
                    <w:tr2bl w:val="nil"/>
                  </w:tcBorders>
                  <w:noWrap w:val="0"/>
                  <w:vAlign w:val="center"/>
                </w:tcPr>
                <w:p w14:paraId="4A64B5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highlight w:val="none"/>
                      <w:u w:val="none"/>
                      <w:vertAlign w:val="baseline"/>
                    </w:rPr>
                  </w:pPr>
                  <w:r>
                    <w:rPr>
                      <w:rFonts w:hint="eastAsia"/>
                      <w:b/>
                      <w:bCs/>
                      <w:color w:val="auto"/>
                      <w:sz w:val="21"/>
                      <w:szCs w:val="21"/>
                      <w:highlight w:val="none"/>
                      <w:u w:val="none"/>
                      <w:lang w:val="en-US" w:eastAsia="zh-CN"/>
                    </w:rPr>
                    <w:t>SS</w:t>
                  </w:r>
                </w:p>
              </w:tc>
              <w:tc>
                <w:tcPr>
                  <w:tcW w:w="537" w:type="pct"/>
                  <w:tcBorders>
                    <w:tl2br w:val="nil"/>
                    <w:tr2bl w:val="nil"/>
                  </w:tcBorders>
                  <w:noWrap w:val="0"/>
                  <w:vAlign w:val="center"/>
                </w:tcPr>
                <w:p w14:paraId="63F41E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highlight w:val="none"/>
                      <w:u w:val="none"/>
                      <w:vertAlign w:val="baseline"/>
                    </w:rPr>
                  </w:pPr>
                  <w:r>
                    <w:rPr>
                      <w:rFonts w:hint="default" w:ascii="Times New Roman" w:hAnsi="Times New Roman" w:eastAsia="宋体" w:cs="Times New Roman"/>
                      <w:b/>
                      <w:bCs/>
                      <w:color w:val="auto"/>
                      <w:kern w:val="0"/>
                      <w:sz w:val="21"/>
                      <w:szCs w:val="21"/>
                      <w:lang w:val="en-US" w:eastAsia="zh-CN" w:bidi="ar"/>
                    </w:rPr>
                    <w:t>NH</w:t>
                  </w:r>
                  <w:r>
                    <w:rPr>
                      <w:rFonts w:hint="default" w:ascii="Times New Roman" w:hAnsi="Times New Roman" w:eastAsia="宋体" w:cs="Times New Roman"/>
                      <w:b/>
                      <w:bCs/>
                      <w:color w:val="auto"/>
                      <w:kern w:val="0"/>
                      <w:sz w:val="21"/>
                      <w:szCs w:val="21"/>
                      <w:vertAlign w:val="subscript"/>
                      <w:lang w:val="en-US" w:eastAsia="zh-CN" w:bidi="ar"/>
                    </w:rPr>
                    <w:t>3</w:t>
                  </w:r>
                  <w:r>
                    <w:rPr>
                      <w:rFonts w:hint="default" w:ascii="Times New Roman" w:hAnsi="Times New Roman" w:eastAsia="宋体" w:cs="Times New Roman"/>
                      <w:b/>
                      <w:bCs/>
                      <w:color w:val="auto"/>
                      <w:kern w:val="0"/>
                      <w:sz w:val="21"/>
                      <w:szCs w:val="21"/>
                      <w:lang w:val="en-US" w:eastAsia="zh-CN" w:bidi="ar"/>
                    </w:rPr>
                    <w:t>-N</w:t>
                  </w:r>
                </w:p>
              </w:tc>
              <w:tc>
                <w:tcPr>
                  <w:tcW w:w="500" w:type="pct"/>
                  <w:tcBorders>
                    <w:tl2br w:val="nil"/>
                    <w:tr2bl w:val="nil"/>
                  </w:tcBorders>
                  <w:noWrap w:val="0"/>
                  <w:vAlign w:val="center"/>
                </w:tcPr>
                <w:p w14:paraId="37E73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highlight w:val="none"/>
                      <w:u w:val="none"/>
                      <w:vertAlign w:val="baseline"/>
                      <w:lang w:val="en-US"/>
                    </w:rPr>
                  </w:pPr>
                  <w:r>
                    <w:rPr>
                      <w:rFonts w:hint="eastAsia"/>
                      <w:b/>
                      <w:bCs/>
                      <w:color w:val="auto"/>
                      <w:sz w:val="21"/>
                      <w:szCs w:val="21"/>
                      <w:highlight w:val="none"/>
                      <w:u w:val="none"/>
                      <w:lang w:val="en-US" w:eastAsia="zh-CN"/>
                    </w:rPr>
                    <w:t>TP</w:t>
                  </w:r>
                </w:p>
              </w:tc>
              <w:tc>
                <w:tcPr>
                  <w:tcW w:w="443" w:type="pct"/>
                  <w:tcBorders>
                    <w:tl2br w:val="nil"/>
                    <w:tr2bl w:val="nil"/>
                  </w:tcBorders>
                  <w:noWrap w:val="0"/>
                  <w:vAlign w:val="center"/>
                </w:tcPr>
                <w:p w14:paraId="7C2AAF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sz w:val="21"/>
                      <w:szCs w:val="21"/>
                      <w:highlight w:val="none"/>
                      <w:u w:val="none"/>
                      <w:lang w:val="en-US" w:eastAsia="zh-CN"/>
                    </w:rPr>
                  </w:pPr>
                  <w:r>
                    <w:rPr>
                      <w:rFonts w:hint="eastAsia"/>
                      <w:b/>
                      <w:bCs/>
                      <w:color w:val="auto"/>
                      <w:sz w:val="21"/>
                      <w:szCs w:val="21"/>
                      <w:highlight w:val="none"/>
                      <w:u w:val="none"/>
                      <w:lang w:val="en-US" w:eastAsia="zh-CN"/>
                    </w:rPr>
                    <w:t>TN</w:t>
                  </w:r>
                </w:p>
              </w:tc>
              <w:tc>
                <w:tcPr>
                  <w:tcW w:w="443" w:type="pct"/>
                  <w:tcBorders>
                    <w:tl2br w:val="nil"/>
                    <w:tr2bl w:val="nil"/>
                  </w:tcBorders>
                  <w:noWrap w:val="0"/>
                  <w:vAlign w:val="center"/>
                </w:tcPr>
                <w:p w14:paraId="1E22E7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color w:val="auto"/>
                      <w:sz w:val="21"/>
                      <w:szCs w:val="21"/>
                      <w:highlight w:val="none"/>
                      <w:u w:val="none"/>
                      <w:lang w:val="en-US" w:eastAsia="zh-CN"/>
                    </w:rPr>
                  </w:pPr>
                  <w:r>
                    <w:rPr>
                      <w:rFonts w:hint="eastAsia"/>
                      <w:b/>
                      <w:bCs/>
                      <w:color w:val="auto"/>
                      <w:sz w:val="21"/>
                      <w:szCs w:val="21"/>
                      <w:highlight w:val="none"/>
                      <w:u w:val="none"/>
                      <w:lang w:val="en-US" w:eastAsia="zh-CN"/>
                    </w:rPr>
                    <w:t>动植物油</w:t>
                  </w:r>
                </w:p>
              </w:tc>
            </w:tr>
            <w:tr w14:paraId="03E21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2" w:type="pct"/>
                  <w:tcBorders>
                    <w:tl2br w:val="nil"/>
                    <w:tr2bl w:val="nil"/>
                  </w:tcBorders>
                  <w:noWrap w:val="0"/>
                  <w:vAlign w:val="center"/>
                </w:tcPr>
                <w:p w14:paraId="3E7F9A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highlight w:val="none"/>
                      <w:u w:val="none"/>
                      <w:vertAlign w:val="baseline"/>
                      <w:lang w:eastAsia="zh-CN"/>
                    </w:rPr>
                  </w:pPr>
                  <w:r>
                    <w:rPr>
                      <w:rFonts w:hint="eastAsia" w:eastAsia="宋体"/>
                      <w:color w:val="auto"/>
                      <w:sz w:val="21"/>
                      <w:szCs w:val="21"/>
                      <w:highlight w:val="none"/>
                      <w:u w:val="none"/>
                      <w:vertAlign w:val="baseline"/>
                      <w:lang w:eastAsia="zh-CN"/>
                    </w:rPr>
                    <w:t>《污水综合排放标准》（GB8978-1996）中三级标准</w:t>
                  </w:r>
                </w:p>
              </w:tc>
              <w:tc>
                <w:tcPr>
                  <w:tcW w:w="417" w:type="pct"/>
                  <w:tcBorders>
                    <w:tl2br w:val="nil"/>
                    <w:tr2bl w:val="nil"/>
                  </w:tcBorders>
                  <w:noWrap w:val="0"/>
                  <w:vAlign w:val="center"/>
                </w:tcPr>
                <w:p w14:paraId="63B8F9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rPr>
                  </w:pPr>
                  <w:r>
                    <w:rPr>
                      <w:rFonts w:hint="eastAsia"/>
                      <w:color w:val="auto"/>
                      <w:sz w:val="21"/>
                      <w:szCs w:val="21"/>
                      <w:highlight w:val="none"/>
                      <w:u w:val="none"/>
                      <w:lang w:val="en-US" w:eastAsia="zh-CN"/>
                    </w:rPr>
                    <w:t>6-9</w:t>
                  </w:r>
                </w:p>
              </w:tc>
              <w:tc>
                <w:tcPr>
                  <w:tcW w:w="531" w:type="pct"/>
                  <w:tcBorders>
                    <w:tl2br w:val="nil"/>
                    <w:tr2bl w:val="nil"/>
                  </w:tcBorders>
                  <w:noWrap w:val="0"/>
                  <w:vAlign w:val="center"/>
                </w:tcPr>
                <w:p w14:paraId="24B5F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500</w:t>
                  </w:r>
                </w:p>
              </w:tc>
              <w:tc>
                <w:tcPr>
                  <w:tcW w:w="490" w:type="pct"/>
                  <w:tcBorders>
                    <w:tl2br w:val="nil"/>
                    <w:tr2bl w:val="nil"/>
                  </w:tcBorders>
                  <w:noWrap w:val="0"/>
                  <w:vAlign w:val="center"/>
                </w:tcPr>
                <w:p w14:paraId="5EB86B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300</w:t>
                  </w:r>
                </w:p>
              </w:tc>
              <w:tc>
                <w:tcPr>
                  <w:tcW w:w="322" w:type="pct"/>
                  <w:tcBorders>
                    <w:tl2br w:val="nil"/>
                    <w:tr2bl w:val="nil"/>
                  </w:tcBorders>
                  <w:noWrap w:val="0"/>
                  <w:vAlign w:val="center"/>
                </w:tcPr>
                <w:p w14:paraId="49940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400</w:t>
                  </w:r>
                </w:p>
              </w:tc>
              <w:tc>
                <w:tcPr>
                  <w:tcW w:w="537" w:type="pct"/>
                  <w:tcBorders>
                    <w:tl2br w:val="nil"/>
                    <w:tr2bl w:val="nil"/>
                  </w:tcBorders>
                  <w:noWrap w:val="0"/>
                  <w:vAlign w:val="center"/>
                </w:tcPr>
                <w:p w14:paraId="43BA8E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w:t>
                  </w:r>
                </w:p>
              </w:tc>
              <w:tc>
                <w:tcPr>
                  <w:tcW w:w="500" w:type="pct"/>
                  <w:tcBorders>
                    <w:tl2br w:val="nil"/>
                    <w:tr2bl w:val="nil"/>
                  </w:tcBorders>
                  <w:noWrap w:val="0"/>
                  <w:vAlign w:val="center"/>
                </w:tcPr>
                <w:p w14:paraId="61761CA5">
                  <w:pPr>
                    <w:pStyle w:val="30"/>
                    <w:keepNext w:val="0"/>
                    <w:keepLines w:val="0"/>
                    <w:suppressLineNumbers w:val="0"/>
                    <w:spacing w:before="0" w:beforeAutospacing="0" w:after="0" w:afterAutospacing="0" w:line="240" w:lineRule="auto"/>
                    <w:ind w:left="0" w:right="0"/>
                    <w:jc w:val="center"/>
                    <w:rPr>
                      <w:rFonts w:hint="default"/>
                      <w:color w:val="auto"/>
                      <w:sz w:val="21"/>
                      <w:szCs w:val="21"/>
                      <w:highlight w:val="none"/>
                      <w:u w:val="none"/>
                      <w:vertAlign w:val="baseline"/>
                    </w:rPr>
                  </w:pPr>
                  <w:r>
                    <w:rPr>
                      <w:rFonts w:hint="eastAsia" w:ascii="华文宋体" w:hAnsi="华文宋体" w:eastAsia="华文宋体" w:cs="华文宋体"/>
                      <w:b w:val="0"/>
                      <w:bCs w:val="0"/>
                      <w:color w:val="000000"/>
                      <w:spacing w:val="1"/>
                      <w:sz w:val="21"/>
                      <w:szCs w:val="21"/>
                    </w:rPr>
                    <w:t>/</w:t>
                  </w:r>
                </w:p>
              </w:tc>
              <w:tc>
                <w:tcPr>
                  <w:tcW w:w="443" w:type="pct"/>
                  <w:tcBorders>
                    <w:tl2br w:val="nil"/>
                    <w:tr2bl w:val="nil"/>
                  </w:tcBorders>
                  <w:noWrap w:val="0"/>
                  <w:vAlign w:val="center"/>
                </w:tcPr>
                <w:p w14:paraId="49A2DEE0">
                  <w:pPr>
                    <w:pStyle w:val="30"/>
                    <w:keepNext w:val="0"/>
                    <w:keepLines w:val="0"/>
                    <w:suppressLineNumbers w:val="0"/>
                    <w:spacing w:before="0" w:beforeAutospacing="0" w:after="0" w:afterAutospacing="0" w:line="240" w:lineRule="auto"/>
                    <w:ind w:left="0" w:right="0"/>
                    <w:jc w:val="center"/>
                    <w:rPr>
                      <w:rFonts w:hint="eastAsia" w:ascii="华文宋体" w:hAnsi="华文宋体" w:eastAsia="华文宋体" w:cs="华文宋体"/>
                      <w:b w:val="0"/>
                      <w:bCs w:val="0"/>
                      <w:color w:val="000000"/>
                      <w:spacing w:val="1"/>
                      <w:sz w:val="21"/>
                      <w:szCs w:val="21"/>
                      <w:lang w:val="en-US" w:eastAsia="zh-CN"/>
                    </w:rPr>
                  </w:pPr>
                  <w:r>
                    <w:rPr>
                      <w:rFonts w:hint="eastAsia" w:ascii="华文宋体" w:hAnsi="华文宋体" w:eastAsia="华文宋体" w:cs="华文宋体"/>
                      <w:b w:val="0"/>
                      <w:bCs w:val="0"/>
                      <w:color w:val="000000"/>
                      <w:spacing w:val="1"/>
                      <w:sz w:val="21"/>
                      <w:szCs w:val="21"/>
                      <w:lang w:val="en-US" w:eastAsia="zh-CN"/>
                    </w:rPr>
                    <w:t>/</w:t>
                  </w:r>
                </w:p>
              </w:tc>
              <w:tc>
                <w:tcPr>
                  <w:tcW w:w="443" w:type="pct"/>
                  <w:tcBorders>
                    <w:tl2br w:val="nil"/>
                    <w:tr2bl w:val="nil"/>
                  </w:tcBorders>
                  <w:noWrap w:val="0"/>
                  <w:vAlign w:val="center"/>
                </w:tcPr>
                <w:p w14:paraId="650C8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100</w:t>
                  </w:r>
                </w:p>
              </w:tc>
            </w:tr>
            <w:tr w14:paraId="33C40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2" w:type="pct"/>
                  <w:tcBorders>
                    <w:tl2br w:val="nil"/>
                    <w:tr2bl w:val="nil"/>
                  </w:tcBorders>
                  <w:noWrap w:val="0"/>
                  <w:vAlign w:val="center"/>
                </w:tcPr>
                <w:p w14:paraId="077FB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u w:val="none"/>
                      <w:vertAlign w:val="baseline"/>
                      <w:lang w:eastAsia="zh-CN"/>
                    </w:rPr>
                  </w:pPr>
                  <w:r>
                    <w:rPr>
                      <w:rFonts w:hint="eastAsia" w:ascii="Times New Roman" w:hAnsi="Times New Roman" w:eastAsia="宋体" w:cs="Times New Roman"/>
                      <w:color w:val="auto"/>
                      <w:sz w:val="21"/>
                      <w:szCs w:val="21"/>
                      <w:highlight w:val="none"/>
                      <w:u w:val="none"/>
                      <w:vertAlign w:val="baseline"/>
                      <w:lang w:eastAsia="zh-CN"/>
                    </w:rPr>
                    <w:t>湖南城陵矶临港产业新区污水处理厂进水水质要求</w:t>
                  </w:r>
                </w:p>
              </w:tc>
              <w:tc>
                <w:tcPr>
                  <w:tcW w:w="417" w:type="pct"/>
                  <w:tcBorders>
                    <w:tl2br w:val="nil"/>
                    <w:tr2bl w:val="nil"/>
                  </w:tcBorders>
                  <w:noWrap w:val="0"/>
                  <w:vAlign w:val="center"/>
                </w:tcPr>
                <w:p w14:paraId="2DA868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lang w:val="en-US" w:eastAsia="zh-CN"/>
                    </w:rPr>
                  </w:pPr>
                  <w:r>
                    <w:rPr>
                      <w:rFonts w:hint="eastAsia"/>
                      <w:color w:val="auto"/>
                      <w:sz w:val="21"/>
                      <w:szCs w:val="21"/>
                      <w:highlight w:val="none"/>
                      <w:u w:val="none"/>
                      <w:lang w:val="en-US" w:eastAsia="zh-CN"/>
                    </w:rPr>
                    <w:t>6-9</w:t>
                  </w:r>
                </w:p>
              </w:tc>
              <w:tc>
                <w:tcPr>
                  <w:tcW w:w="531" w:type="pct"/>
                  <w:tcBorders>
                    <w:tl2br w:val="nil"/>
                    <w:tr2bl w:val="nil"/>
                  </w:tcBorders>
                  <w:noWrap w:val="0"/>
                  <w:vAlign w:val="center"/>
                </w:tcPr>
                <w:p w14:paraId="79A05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500</w:t>
                  </w:r>
                </w:p>
              </w:tc>
              <w:tc>
                <w:tcPr>
                  <w:tcW w:w="490" w:type="pct"/>
                  <w:tcBorders>
                    <w:tl2br w:val="nil"/>
                    <w:tr2bl w:val="nil"/>
                  </w:tcBorders>
                  <w:noWrap w:val="0"/>
                  <w:vAlign w:val="center"/>
                </w:tcPr>
                <w:p w14:paraId="2D9977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200</w:t>
                  </w:r>
                </w:p>
              </w:tc>
              <w:tc>
                <w:tcPr>
                  <w:tcW w:w="322" w:type="pct"/>
                  <w:tcBorders>
                    <w:tl2br w:val="nil"/>
                    <w:tr2bl w:val="nil"/>
                  </w:tcBorders>
                  <w:noWrap w:val="0"/>
                  <w:vAlign w:val="center"/>
                </w:tcPr>
                <w:p w14:paraId="50122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400</w:t>
                  </w:r>
                </w:p>
              </w:tc>
              <w:tc>
                <w:tcPr>
                  <w:tcW w:w="537" w:type="pct"/>
                  <w:tcBorders>
                    <w:tl2br w:val="nil"/>
                    <w:tr2bl w:val="nil"/>
                  </w:tcBorders>
                  <w:noWrap w:val="0"/>
                  <w:vAlign w:val="center"/>
                </w:tcPr>
                <w:p w14:paraId="181F2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30</w:t>
                  </w:r>
                </w:p>
              </w:tc>
              <w:tc>
                <w:tcPr>
                  <w:tcW w:w="500" w:type="pct"/>
                  <w:tcBorders>
                    <w:tl2br w:val="nil"/>
                    <w:tr2bl w:val="nil"/>
                  </w:tcBorders>
                  <w:noWrap w:val="0"/>
                  <w:vAlign w:val="center"/>
                </w:tcPr>
                <w:p w14:paraId="7A3D9FE7">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eastAsia="华文宋体" w:cs="Times New Roman"/>
                      <w:b w:val="0"/>
                      <w:bCs w:val="0"/>
                      <w:color w:val="000000"/>
                      <w:spacing w:val="1"/>
                      <w:sz w:val="21"/>
                      <w:szCs w:val="21"/>
                    </w:rPr>
                    <w:t>3.0</w:t>
                  </w:r>
                </w:p>
              </w:tc>
              <w:tc>
                <w:tcPr>
                  <w:tcW w:w="443" w:type="pct"/>
                  <w:tcBorders>
                    <w:tl2br w:val="nil"/>
                    <w:tr2bl w:val="nil"/>
                  </w:tcBorders>
                  <w:noWrap w:val="0"/>
                  <w:vAlign w:val="center"/>
                </w:tcPr>
                <w:p w14:paraId="772C6A11">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华文宋体" w:cs="Times New Roman"/>
                      <w:b w:val="0"/>
                      <w:bCs w:val="0"/>
                      <w:color w:val="000000"/>
                      <w:spacing w:val="1"/>
                      <w:sz w:val="21"/>
                      <w:szCs w:val="21"/>
                      <w:lang w:val="en-US" w:eastAsia="zh-CN"/>
                    </w:rPr>
                  </w:pPr>
                  <w:r>
                    <w:rPr>
                      <w:rFonts w:hint="eastAsia" w:ascii="Times New Roman" w:hAnsi="Times New Roman" w:eastAsia="华文宋体" w:cs="Times New Roman"/>
                      <w:b w:val="0"/>
                      <w:bCs w:val="0"/>
                      <w:color w:val="000000"/>
                      <w:spacing w:val="1"/>
                      <w:sz w:val="21"/>
                      <w:szCs w:val="21"/>
                      <w:lang w:val="en-US" w:eastAsia="zh-CN"/>
                    </w:rPr>
                    <w:t>40</w:t>
                  </w:r>
                </w:p>
              </w:tc>
              <w:tc>
                <w:tcPr>
                  <w:tcW w:w="443" w:type="pct"/>
                  <w:tcBorders>
                    <w:tl2br w:val="nil"/>
                    <w:tr2bl w:val="nil"/>
                  </w:tcBorders>
                  <w:noWrap w:val="0"/>
                  <w:vAlign w:val="center"/>
                </w:tcPr>
                <w:p w14:paraId="3BF3F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w:t>
                  </w:r>
                </w:p>
              </w:tc>
            </w:tr>
            <w:tr w14:paraId="7C569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2" w:type="pct"/>
                  <w:tcBorders>
                    <w:tl2br w:val="nil"/>
                    <w:tr2bl w:val="nil"/>
                  </w:tcBorders>
                  <w:noWrap w:val="0"/>
                  <w:vAlign w:val="center"/>
                </w:tcPr>
                <w:p w14:paraId="5CED0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u w:val="none"/>
                      <w:vertAlign w:val="baseline"/>
                      <w:lang w:eastAsia="zh-CN"/>
                    </w:rPr>
                  </w:pPr>
                  <w:r>
                    <w:rPr>
                      <w:rFonts w:hint="eastAsia" w:cs="Times New Roman"/>
                      <w:color w:val="auto"/>
                      <w:sz w:val="21"/>
                      <w:szCs w:val="21"/>
                      <w:highlight w:val="none"/>
                      <w:u w:val="none"/>
                      <w:vertAlign w:val="baseline"/>
                      <w:lang w:eastAsia="zh-CN"/>
                    </w:rPr>
                    <w:t>本项目执行标准</w:t>
                  </w:r>
                </w:p>
              </w:tc>
              <w:tc>
                <w:tcPr>
                  <w:tcW w:w="417" w:type="pct"/>
                  <w:tcBorders>
                    <w:tl2br w:val="nil"/>
                    <w:tr2bl w:val="nil"/>
                  </w:tcBorders>
                  <w:noWrap w:val="0"/>
                  <w:vAlign w:val="center"/>
                </w:tcPr>
                <w:p w14:paraId="3E7D7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lang w:val="en-US" w:eastAsia="zh-CN"/>
                    </w:rPr>
                  </w:pPr>
                  <w:r>
                    <w:rPr>
                      <w:rFonts w:hint="eastAsia"/>
                      <w:color w:val="auto"/>
                      <w:sz w:val="21"/>
                      <w:szCs w:val="21"/>
                      <w:highlight w:val="none"/>
                      <w:u w:val="none"/>
                      <w:lang w:val="en-US" w:eastAsia="zh-CN"/>
                    </w:rPr>
                    <w:t>6-9</w:t>
                  </w:r>
                </w:p>
              </w:tc>
              <w:tc>
                <w:tcPr>
                  <w:tcW w:w="531" w:type="pct"/>
                  <w:tcBorders>
                    <w:tl2br w:val="nil"/>
                    <w:tr2bl w:val="nil"/>
                  </w:tcBorders>
                  <w:noWrap w:val="0"/>
                  <w:vAlign w:val="center"/>
                </w:tcPr>
                <w:p w14:paraId="49714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500</w:t>
                  </w:r>
                </w:p>
              </w:tc>
              <w:tc>
                <w:tcPr>
                  <w:tcW w:w="490" w:type="pct"/>
                  <w:tcBorders>
                    <w:tl2br w:val="nil"/>
                    <w:tr2bl w:val="nil"/>
                  </w:tcBorders>
                  <w:noWrap w:val="0"/>
                  <w:vAlign w:val="center"/>
                </w:tcPr>
                <w:p w14:paraId="1DA89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200</w:t>
                  </w:r>
                </w:p>
              </w:tc>
              <w:tc>
                <w:tcPr>
                  <w:tcW w:w="322" w:type="pct"/>
                  <w:tcBorders>
                    <w:tl2br w:val="nil"/>
                    <w:tr2bl w:val="nil"/>
                  </w:tcBorders>
                  <w:noWrap w:val="0"/>
                  <w:vAlign w:val="center"/>
                </w:tcPr>
                <w:p w14:paraId="22AAB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400</w:t>
                  </w:r>
                </w:p>
              </w:tc>
              <w:tc>
                <w:tcPr>
                  <w:tcW w:w="537" w:type="pct"/>
                  <w:tcBorders>
                    <w:tl2br w:val="nil"/>
                    <w:tr2bl w:val="nil"/>
                  </w:tcBorders>
                  <w:noWrap w:val="0"/>
                  <w:vAlign w:val="center"/>
                </w:tcPr>
                <w:p w14:paraId="1C2C9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30</w:t>
                  </w:r>
                </w:p>
              </w:tc>
              <w:tc>
                <w:tcPr>
                  <w:tcW w:w="500" w:type="pct"/>
                  <w:tcBorders>
                    <w:tl2br w:val="nil"/>
                    <w:tr2bl w:val="nil"/>
                  </w:tcBorders>
                  <w:noWrap w:val="0"/>
                  <w:vAlign w:val="center"/>
                </w:tcPr>
                <w:p w14:paraId="65B589B6">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u w:val="none"/>
                      <w:vertAlign w:val="baseline"/>
                      <w:lang w:val="en-US" w:eastAsia="zh-CN"/>
                    </w:rPr>
                  </w:pPr>
                  <w:r>
                    <w:rPr>
                      <w:rFonts w:hint="default" w:ascii="Times New Roman" w:hAnsi="Times New Roman" w:eastAsia="华文宋体" w:cs="Times New Roman"/>
                      <w:b w:val="0"/>
                      <w:bCs w:val="0"/>
                      <w:color w:val="000000"/>
                      <w:spacing w:val="1"/>
                      <w:sz w:val="21"/>
                      <w:szCs w:val="21"/>
                    </w:rPr>
                    <w:t>3.0</w:t>
                  </w:r>
                </w:p>
              </w:tc>
              <w:tc>
                <w:tcPr>
                  <w:tcW w:w="443" w:type="pct"/>
                  <w:tcBorders>
                    <w:tl2br w:val="nil"/>
                    <w:tr2bl w:val="nil"/>
                  </w:tcBorders>
                  <w:noWrap w:val="0"/>
                  <w:vAlign w:val="center"/>
                </w:tcPr>
                <w:p w14:paraId="4390A800">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华文宋体" w:cs="Times New Roman"/>
                      <w:b w:val="0"/>
                      <w:bCs w:val="0"/>
                      <w:color w:val="000000"/>
                      <w:spacing w:val="1"/>
                      <w:sz w:val="21"/>
                      <w:szCs w:val="21"/>
                      <w:lang w:val="en-US" w:eastAsia="zh-CN"/>
                    </w:rPr>
                  </w:pPr>
                  <w:r>
                    <w:rPr>
                      <w:rFonts w:hint="eastAsia" w:ascii="Times New Roman" w:hAnsi="Times New Roman" w:eastAsia="华文宋体" w:cs="Times New Roman"/>
                      <w:b w:val="0"/>
                      <w:bCs w:val="0"/>
                      <w:color w:val="000000"/>
                      <w:spacing w:val="1"/>
                      <w:sz w:val="21"/>
                      <w:szCs w:val="21"/>
                      <w:lang w:val="en-US" w:eastAsia="zh-CN"/>
                    </w:rPr>
                    <w:t>40</w:t>
                  </w:r>
                </w:p>
              </w:tc>
              <w:tc>
                <w:tcPr>
                  <w:tcW w:w="443" w:type="pct"/>
                  <w:tcBorders>
                    <w:tl2br w:val="nil"/>
                    <w:tr2bl w:val="nil"/>
                  </w:tcBorders>
                  <w:noWrap w:val="0"/>
                  <w:vAlign w:val="center"/>
                </w:tcPr>
                <w:p w14:paraId="4C8FB0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highlight w:val="none"/>
                      <w:u w:val="none"/>
                      <w:vertAlign w:val="baseline"/>
                      <w:lang w:val="en-US" w:eastAsia="zh-CN"/>
                    </w:rPr>
                  </w:pPr>
                  <w:r>
                    <w:rPr>
                      <w:rFonts w:hint="eastAsia"/>
                      <w:color w:val="auto"/>
                      <w:sz w:val="21"/>
                      <w:szCs w:val="21"/>
                      <w:highlight w:val="none"/>
                      <w:u w:val="none"/>
                      <w:vertAlign w:val="baseline"/>
                      <w:lang w:val="en-US" w:eastAsia="zh-CN"/>
                    </w:rPr>
                    <w:t>100</w:t>
                  </w:r>
                </w:p>
              </w:tc>
            </w:tr>
          </w:tbl>
          <w:p w14:paraId="25339F9B">
            <w:pPr>
              <w:keepNext w:val="0"/>
              <w:keepLines w:val="0"/>
              <w:pageBreakBefore w:val="0"/>
              <w:widowControl w:val="0"/>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outlineLvl w:val="9"/>
              <w:rPr>
                <w:rFonts w:hint="default" w:ascii="Times New Roman" w:hAnsi="Times New Roman" w:eastAsia="宋体" w:cs="Times New Roman"/>
                <w:b/>
                <w:bCs/>
                <w:color w:val="auto"/>
                <w:spacing w:val="0"/>
                <w:position w:val="0"/>
                <w:sz w:val="24"/>
                <w:szCs w:val="24"/>
                <w:highlight w:val="none"/>
                <w:u w:val="none" w:color="auto"/>
              </w:rPr>
            </w:pPr>
            <w:r>
              <w:rPr>
                <w:rFonts w:hint="default" w:ascii="Times New Roman" w:hAnsi="Times New Roman" w:eastAsia="宋体" w:cs="Times New Roman"/>
                <w:b/>
                <w:bCs/>
                <w:color w:val="auto"/>
                <w:spacing w:val="0"/>
                <w:position w:val="0"/>
                <w:sz w:val="24"/>
                <w:szCs w:val="24"/>
                <w:highlight w:val="none"/>
                <w:u w:val="none" w:color="auto"/>
              </w:rPr>
              <w:t>噪声</w:t>
            </w:r>
          </w:p>
          <w:p w14:paraId="6240DC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outlineLvl w:val="9"/>
              <w:rPr>
                <w:rFonts w:hint="eastAsia"/>
                <w:color w:val="auto"/>
                <w:sz w:val="24"/>
                <w:szCs w:val="24"/>
                <w:lang w:eastAsia="zh-CN"/>
              </w:rPr>
            </w:pPr>
            <w:r>
              <w:rPr>
                <w:rFonts w:hint="default" w:ascii="Times New Roman" w:hAnsi="Times New Roman" w:eastAsia="宋体" w:cs="Times New Roman"/>
                <w:color w:val="auto"/>
                <w:spacing w:val="0"/>
                <w:position w:val="0"/>
                <w:sz w:val="24"/>
                <w:szCs w:val="24"/>
                <w:highlight w:val="none"/>
                <w:u w:val="none" w:color="auto"/>
              </w:rPr>
              <w:t>项目</w:t>
            </w:r>
            <w:r>
              <w:rPr>
                <w:rFonts w:hint="default" w:ascii="Times New Roman" w:hAnsi="Times New Roman" w:cs="Times New Roman"/>
                <w:color w:val="auto"/>
                <w:spacing w:val="0"/>
                <w:position w:val="0"/>
                <w:sz w:val="24"/>
                <w:szCs w:val="24"/>
                <w:highlight w:val="none"/>
                <w:u w:val="none" w:color="auto"/>
                <w:lang w:eastAsia="zh-CN"/>
              </w:rPr>
              <w:t>运营期</w:t>
            </w:r>
            <w:r>
              <w:rPr>
                <w:rFonts w:hint="default" w:ascii="Times New Roman" w:hAnsi="Times New Roman" w:eastAsia="宋体" w:cs="Times New Roman"/>
                <w:color w:val="auto"/>
                <w:spacing w:val="0"/>
                <w:position w:val="0"/>
                <w:sz w:val="24"/>
                <w:szCs w:val="24"/>
                <w:highlight w:val="none"/>
                <w:u w:val="none" w:color="auto"/>
              </w:rPr>
              <w:t>厂界噪声执行《工业企业厂界</w:t>
            </w:r>
            <w:r>
              <w:rPr>
                <w:rFonts w:hint="eastAsia" w:cs="Times New Roman"/>
                <w:color w:val="auto"/>
                <w:spacing w:val="0"/>
                <w:position w:val="0"/>
                <w:sz w:val="24"/>
                <w:szCs w:val="24"/>
                <w:highlight w:val="none"/>
                <w:u w:val="none" w:color="auto"/>
                <w:lang w:eastAsia="zh-CN"/>
              </w:rPr>
              <w:t>环境</w:t>
            </w:r>
            <w:r>
              <w:rPr>
                <w:rFonts w:hint="default" w:ascii="Times New Roman" w:hAnsi="Times New Roman" w:eastAsia="宋体" w:cs="Times New Roman"/>
                <w:color w:val="auto"/>
                <w:spacing w:val="0"/>
                <w:position w:val="0"/>
                <w:sz w:val="24"/>
                <w:szCs w:val="24"/>
                <w:highlight w:val="none"/>
                <w:u w:val="none" w:color="auto"/>
              </w:rPr>
              <w:t>噪声排放标准》</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GB12348-2008</w:t>
            </w:r>
            <w:r>
              <w:rPr>
                <w:rFonts w:hint="default" w:ascii="Times New Roman" w:hAnsi="Times New Roman" w:eastAsia="宋体" w:cs="Times New Roman"/>
                <w:color w:val="auto"/>
                <w:spacing w:val="0"/>
                <w:position w:val="0"/>
                <w:sz w:val="24"/>
                <w:szCs w:val="24"/>
                <w:highlight w:val="none"/>
                <w:u w:val="none" w:color="auto"/>
                <w:lang w:eastAsia="zh-CN"/>
              </w:rPr>
              <w:t>）</w:t>
            </w:r>
            <w:r>
              <w:rPr>
                <w:rFonts w:hint="default"/>
                <w:color w:val="auto"/>
                <w:sz w:val="24"/>
                <w:szCs w:val="24"/>
              </w:rPr>
              <w:t>中</w:t>
            </w:r>
            <w:r>
              <w:rPr>
                <w:rFonts w:hint="eastAsia"/>
                <w:color w:val="auto"/>
                <w:sz w:val="24"/>
                <w:szCs w:val="24"/>
                <w:lang w:val="en-US" w:eastAsia="zh-CN"/>
              </w:rPr>
              <w:t>3</w:t>
            </w:r>
            <w:r>
              <w:rPr>
                <w:rFonts w:hint="default"/>
                <w:color w:val="auto"/>
                <w:sz w:val="24"/>
                <w:szCs w:val="24"/>
              </w:rPr>
              <w:t>类</w:t>
            </w:r>
            <w:r>
              <w:rPr>
                <w:rFonts w:hint="eastAsia"/>
                <w:color w:val="auto"/>
                <w:sz w:val="24"/>
                <w:szCs w:val="24"/>
              </w:rPr>
              <w:t>标准</w:t>
            </w:r>
            <w:r>
              <w:rPr>
                <w:rFonts w:hint="eastAsia"/>
                <w:color w:val="auto"/>
                <w:sz w:val="24"/>
                <w:szCs w:val="24"/>
                <w:lang w:eastAsia="zh-CN"/>
              </w:rPr>
              <w:t>限值，具体见下表：</w:t>
            </w:r>
          </w:p>
          <w:p w14:paraId="4A5BF149">
            <w:pPr>
              <w:pStyle w:val="43"/>
              <w:rPr>
                <w:rFonts w:hint="default"/>
              </w:rPr>
            </w:pPr>
          </w:p>
          <w:p w14:paraId="424636D4">
            <w:pPr>
              <w:keepNext w:val="0"/>
              <w:keepLines w:val="0"/>
              <w:pageBreakBefore w:val="0"/>
              <w:widowControl w:val="0"/>
              <w:suppressLineNumbers w:val="0"/>
              <w:kinsoku/>
              <w:wordWrap/>
              <w:overflowPunct/>
              <w:topLinePunct w:val="0"/>
              <w:autoSpaceDE/>
              <w:autoSpaceDN/>
              <w:bidi w:val="0"/>
              <w:adjustRightInd w:val="0"/>
              <w:snapToGrid/>
              <w:spacing w:before="157" w:beforeLines="50" w:beforeAutospacing="0" w:after="0" w:afterAutospacing="0"/>
              <w:ind w:left="0" w:right="0"/>
              <w:jc w:val="right"/>
              <w:textAlignment w:val="auto"/>
              <w:rPr>
                <w:rFonts w:hint="eastAsia" w:ascii="Times New Roman" w:hAnsi="Times New Roman" w:eastAsia="宋体" w:cs="Times New Roman"/>
                <w:b/>
                <w:color w:val="auto"/>
                <w:spacing w:val="0"/>
                <w:w w:val="100"/>
                <w:sz w:val="24"/>
                <w:szCs w:val="24"/>
                <w:u w:val="none" w:color="auto"/>
                <w:lang w:val="en-US" w:eastAsia="zh-CN"/>
              </w:rPr>
            </w:pPr>
            <w:r>
              <w:rPr>
                <w:rFonts w:hint="eastAsia" w:ascii="Times New Roman" w:hAnsi="Times New Roman" w:eastAsia="宋体" w:cs="Times New Roman"/>
                <w:b/>
                <w:color w:val="auto"/>
                <w:spacing w:val="0"/>
                <w:w w:val="100"/>
                <w:sz w:val="24"/>
                <w:szCs w:val="24"/>
                <w:u w:val="none" w:color="auto"/>
                <w:lang w:val="en-US" w:eastAsia="zh-CN"/>
              </w:rPr>
              <w:t>表3-1</w:t>
            </w:r>
            <w:r>
              <w:rPr>
                <w:rFonts w:hint="eastAsia" w:cs="Times New Roman"/>
                <w:b/>
                <w:color w:val="auto"/>
                <w:spacing w:val="0"/>
                <w:w w:val="100"/>
                <w:sz w:val="24"/>
                <w:szCs w:val="24"/>
                <w:u w:val="none" w:color="auto"/>
                <w:lang w:val="en-US" w:eastAsia="zh-CN"/>
              </w:rPr>
              <w:t>2</w:t>
            </w:r>
            <w:r>
              <w:rPr>
                <w:rFonts w:hint="eastAsia" w:ascii="Times New Roman" w:hAnsi="Times New Roman" w:eastAsia="宋体" w:cs="Times New Roman"/>
                <w:b/>
                <w:color w:val="auto"/>
                <w:spacing w:val="0"/>
                <w:w w:val="100"/>
                <w:sz w:val="24"/>
                <w:szCs w:val="24"/>
                <w:u w:val="none" w:color="auto"/>
                <w:lang w:val="en-US" w:eastAsia="zh-CN"/>
              </w:rPr>
              <w:t xml:space="preserve">    噪声排放标准限值            单位：dB（A）</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680"/>
              <w:gridCol w:w="2124"/>
              <w:gridCol w:w="2398"/>
            </w:tblGrid>
            <w:tr w14:paraId="056EE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cantSplit/>
                <w:trHeight w:val="340" w:hRule="atLeast"/>
                <w:jc w:val="center"/>
              </w:trPr>
              <w:tc>
                <w:tcPr>
                  <w:tcW w:w="2242" w:type="pct"/>
                  <w:tcBorders>
                    <w:tl2br w:val="nil"/>
                    <w:tr2bl w:val="nil"/>
                  </w:tcBorders>
                  <w:shd w:val="clear" w:color="auto" w:fill="FFFFFF"/>
                  <w:noWrap w:val="0"/>
                  <w:vAlign w:val="center"/>
                </w:tcPr>
                <w:p w14:paraId="1728935D">
                  <w:pPr>
                    <w:keepNext w:val="0"/>
                    <w:keepLines w:val="0"/>
                    <w:suppressLineNumbers w:val="0"/>
                    <w:spacing w:before="0" w:beforeAutospacing="0" w:after="0" w:afterAutospacing="0"/>
                    <w:ind w:left="0" w:right="0"/>
                    <w:jc w:val="center"/>
                    <w:rPr>
                      <w:rFonts w:hint="default"/>
                      <w:b/>
                      <w:color w:val="auto"/>
                    </w:rPr>
                  </w:pPr>
                  <w:r>
                    <w:rPr>
                      <w:rFonts w:hint="eastAsia"/>
                      <w:b/>
                      <w:color w:val="auto"/>
                    </w:rPr>
                    <w:t>标准名称及代号</w:t>
                  </w:r>
                </w:p>
              </w:tc>
              <w:tc>
                <w:tcPr>
                  <w:tcW w:w="1295" w:type="pct"/>
                  <w:tcBorders>
                    <w:tl2br w:val="nil"/>
                    <w:tr2bl w:val="nil"/>
                  </w:tcBorders>
                  <w:shd w:val="clear" w:color="auto" w:fill="FFFFFF"/>
                  <w:noWrap w:val="0"/>
                  <w:vAlign w:val="center"/>
                </w:tcPr>
                <w:p w14:paraId="7FD12AE9">
                  <w:pPr>
                    <w:keepNext w:val="0"/>
                    <w:keepLines w:val="0"/>
                    <w:suppressLineNumbers w:val="0"/>
                    <w:spacing w:before="0" w:beforeAutospacing="0" w:after="0" w:afterAutospacing="0"/>
                    <w:ind w:left="0" w:right="0"/>
                    <w:jc w:val="center"/>
                    <w:rPr>
                      <w:rFonts w:hint="default"/>
                      <w:b/>
                      <w:color w:val="auto"/>
                    </w:rPr>
                  </w:pPr>
                  <w:r>
                    <w:rPr>
                      <w:rFonts w:hint="eastAsia"/>
                      <w:b/>
                      <w:color w:val="auto"/>
                    </w:rPr>
                    <w:t>昼间</w:t>
                  </w:r>
                </w:p>
              </w:tc>
              <w:tc>
                <w:tcPr>
                  <w:tcW w:w="1461" w:type="pct"/>
                  <w:tcBorders>
                    <w:tl2br w:val="nil"/>
                    <w:tr2bl w:val="nil"/>
                  </w:tcBorders>
                  <w:shd w:val="clear" w:color="auto" w:fill="FFFFFF"/>
                  <w:noWrap w:val="0"/>
                  <w:vAlign w:val="center"/>
                </w:tcPr>
                <w:p w14:paraId="55BFBF13">
                  <w:pPr>
                    <w:keepNext w:val="0"/>
                    <w:keepLines w:val="0"/>
                    <w:suppressLineNumbers w:val="0"/>
                    <w:spacing w:before="0" w:beforeAutospacing="0" w:after="0" w:afterAutospacing="0"/>
                    <w:ind w:left="0" w:right="0"/>
                    <w:jc w:val="center"/>
                    <w:rPr>
                      <w:rFonts w:hint="default"/>
                      <w:b/>
                      <w:color w:val="auto"/>
                    </w:rPr>
                  </w:pPr>
                  <w:r>
                    <w:rPr>
                      <w:rFonts w:hint="eastAsia"/>
                      <w:b/>
                      <w:color w:val="auto"/>
                    </w:rPr>
                    <w:t>夜间</w:t>
                  </w:r>
                </w:p>
              </w:tc>
            </w:tr>
            <w:tr w14:paraId="3D9E8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242" w:type="pct"/>
                  <w:tcBorders>
                    <w:tl2br w:val="nil"/>
                    <w:tr2bl w:val="nil"/>
                  </w:tcBorders>
                  <w:shd w:val="clear" w:color="auto" w:fill="FFFFFF"/>
                  <w:noWrap w:val="0"/>
                  <w:vAlign w:val="center"/>
                </w:tcPr>
                <w:p w14:paraId="2DD060C3">
                  <w:pPr>
                    <w:keepNext w:val="0"/>
                    <w:keepLines w:val="0"/>
                    <w:suppressLineNumbers w:val="0"/>
                    <w:spacing w:before="0" w:beforeAutospacing="0" w:after="0" w:afterAutospacing="0"/>
                    <w:ind w:left="0" w:right="0"/>
                    <w:jc w:val="center"/>
                    <w:rPr>
                      <w:rFonts w:hint="default"/>
                      <w:color w:val="auto"/>
                    </w:rPr>
                  </w:pPr>
                  <w:r>
                    <w:rPr>
                      <w:rFonts w:hint="eastAsia"/>
                      <w:color w:val="auto"/>
                    </w:rPr>
                    <w:t>《工业企业厂界环境噪声排放标准（GB12348-2008）》中3类标准</w:t>
                  </w:r>
                </w:p>
              </w:tc>
              <w:tc>
                <w:tcPr>
                  <w:tcW w:w="1295" w:type="pct"/>
                  <w:tcBorders>
                    <w:tl2br w:val="nil"/>
                    <w:tr2bl w:val="nil"/>
                  </w:tcBorders>
                  <w:shd w:val="clear" w:color="auto" w:fill="FFFFFF"/>
                  <w:noWrap w:val="0"/>
                  <w:vAlign w:val="center"/>
                </w:tcPr>
                <w:p w14:paraId="6AE7E309">
                  <w:pPr>
                    <w:keepNext w:val="0"/>
                    <w:keepLines w:val="0"/>
                    <w:suppressLineNumbers w:val="0"/>
                    <w:spacing w:before="0" w:beforeAutospacing="0" w:after="0" w:afterAutospacing="0"/>
                    <w:ind w:left="0" w:right="0"/>
                    <w:jc w:val="center"/>
                    <w:rPr>
                      <w:rFonts w:hint="default"/>
                      <w:color w:val="auto"/>
                    </w:rPr>
                  </w:pPr>
                  <w:r>
                    <w:rPr>
                      <w:rFonts w:hint="eastAsia"/>
                      <w:color w:val="auto"/>
                    </w:rPr>
                    <w:t>65</w:t>
                  </w:r>
                </w:p>
              </w:tc>
              <w:tc>
                <w:tcPr>
                  <w:tcW w:w="1461" w:type="pct"/>
                  <w:tcBorders>
                    <w:tl2br w:val="nil"/>
                    <w:tr2bl w:val="nil"/>
                  </w:tcBorders>
                  <w:shd w:val="clear" w:color="auto" w:fill="FFFFFF"/>
                  <w:noWrap w:val="0"/>
                  <w:vAlign w:val="center"/>
                </w:tcPr>
                <w:p w14:paraId="2B111BA1">
                  <w:pPr>
                    <w:keepNext w:val="0"/>
                    <w:keepLines w:val="0"/>
                    <w:suppressLineNumbers w:val="0"/>
                    <w:spacing w:before="0" w:beforeAutospacing="0" w:after="0" w:afterAutospacing="0"/>
                    <w:ind w:left="0" w:right="0"/>
                    <w:jc w:val="center"/>
                    <w:rPr>
                      <w:rFonts w:hint="default"/>
                      <w:color w:val="auto"/>
                    </w:rPr>
                  </w:pPr>
                  <w:r>
                    <w:rPr>
                      <w:rFonts w:hint="default"/>
                      <w:color w:val="auto"/>
                    </w:rPr>
                    <w:t>55</w:t>
                  </w:r>
                </w:p>
              </w:tc>
            </w:tr>
          </w:tbl>
          <w:p w14:paraId="2E293E57">
            <w:pPr>
              <w:pStyle w:val="12"/>
              <w:keepNext w:val="0"/>
              <w:keepLines w:val="0"/>
              <w:pageBreakBefore w:val="0"/>
              <w:widowControl w:val="0"/>
              <w:numPr>
                <w:ilvl w:val="0"/>
                <w:numId w:val="1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outlineLvl w:val="9"/>
              <w:rPr>
                <w:rFonts w:hint="default" w:ascii="Times New Roman" w:hAnsi="Times New Roman" w:eastAsia="宋体" w:cs="Times New Roman"/>
                <w:b/>
                <w:bCs/>
                <w:color w:val="auto"/>
                <w:spacing w:val="0"/>
                <w:position w:val="0"/>
                <w:sz w:val="24"/>
                <w:highlight w:val="none"/>
                <w:u w:val="none" w:color="auto"/>
              </w:rPr>
            </w:pPr>
            <w:r>
              <w:rPr>
                <w:rFonts w:hint="default" w:ascii="Times New Roman" w:hAnsi="Times New Roman" w:eastAsia="宋体" w:cs="Times New Roman"/>
                <w:b/>
                <w:bCs/>
                <w:color w:val="auto"/>
                <w:spacing w:val="0"/>
                <w:position w:val="0"/>
                <w:sz w:val="24"/>
                <w:highlight w:val="none"/>
                <w:u w:val="none" w:color="auto"/>
              </w:rPr>
              <w:t>固体废物</w:t>
            </w:r>
          </w:p>
          <w:p w14:paraId="5B32ABC0">
            <w:pPr>
              <w:pStyle w:val="12"/>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pacing w:val="0"/>
                <w:kern w:val="2"/>
                <w:position w:val="0"/>
                <w:sz w:val="21"/>
                <w:szCs w:val="21"/>
                <w:u w:val="none" w:color="auto"/>
                <w:vertAlign w:val="baseline"/>
                <w:lang w:val="en-US" w:eastAsia="zh-CN" w:bidi="ar-SA"/>
              </w:rPr>
            </w:pPr>
            <w:r>
              <w:rPr>
                <w:rFonts w:hint="default" w:ascii="Times New Roman" w:hAnsi="Times New Roman" w:eastAsia="宋体" w:cs="Times New Roman"/>
                <w:color w:val="auto"/>
                <w:spacing w:val="0"/>
                <w:position w:val="0"/>
                <w:sz w:val="24"/>
                <w:highlight w:val="none"/>
                <w:u w:val="none" w:color="auto"/>
              </w:rPr>
              <w:t>一般固体废物执行《一般工业固体废物贮存和填埋污染控制标准》</w:t>
            </w:r>
            <w:r>
              <w:rPr>
                <w:rFonts w:hint="default" w:ascii="Times New Roman" w:hAnsi="Times New Roman" w:eastAsia="宋体" w:cs="Times New Roman"/>
                <w:color w:val="auto"/>
                <w:spacing w:val="0"/>
                <w:position w:val="0"/>
                <w:sz w:val="24"/>
                <w:highlight w:val="none"/>
                <w:u w:val="none" w:color="auto"/>
                <w:lang w:eastAsia="zh-CN"/>
              </w:rPr>
              <w:t>（</w:t>
            </w:r>
            <w:r>
              <w:rPr>
                <w:rFonts w:hint="default" w:ascii="Times New Roman" w:hAnsi="Times New Roman" w:eastAsia="宋体" w:cs="Times New Roman"/>
                <w:color w:val="auto"/>
                <w:spacing w:val="0"/>
                <w:position w:val="0"/>
                <w:sz w:val="24"/>
                <w:highlight w:val="none"/>
                <w:u w:val="none" w:color="auto"/>
              </w:rPr>
              <w:t>GB18599—2020）；危险废物执行《危险废物贮存污染控制标准》</w:t>
            </w:r>
            <w:r>
              <w:rPr>
                <w:rFonts w:hint="default" w:ascii="Times New Roman" w:hAnsi="Times New Roman" w:eastAsia="宋体" w:cs="Times New Roman"/>
                <w:color w:val="auto"/>
                <w:spacing w:val="0"/>
                <w:position w:val="0"/>
                <w:sz w:val="24"/>
                <w:highlight w:val="none"/>
                <w:u w:val="none" w:color="auto"/>
                <w:lang w:eastAsia="zh-CN"/>
              </w:rPr>
              <w:t>（</w:t>
            </w:r>
            <w:r>
              <w:rPr>
                <w:rFonts w:hint="default" w:ascii="Times New Roman" w:hAnsi="Times New Roman" w:eastAsia="宋体" w:cs="Times New Roman"/>
                <w:color w:val="auto"/>
                <w:spacing w:val="0"/>
                <w:position w:val="0"/>
                <w:sz w:val="24"/>
                <w:highlight w:val="none"/>
                <w:u w:val="none" w:color="auto"/>
              </w:rPr>
              <w:t>GB18597-20</w:t>
            </w:r>
            <w:r>
              <w:rPr>
                <w:rFonts w:hint="default" w:ascii="Times New Roman" w:hAnsi="Times New Roman" w:eastAsia="宋体" w:cs="Times New Roman"/>
                <w:color w:val="auto"/>
                <w:spacing w:val="0"/>
                <w:position w:val="0"/>
                <w:sz w:val="24"/>
                <w:highlight w:val="none"/>
                <w:u w:val="none" w:color="auto"/>
                <w:lang w:val="en-US" w:eastAsia="zh-CN"/>
              </w:rPr>
              <w:t>23</w:t>
            </w:r>
            <w:r>
              <w:rPr>
                <w:rFonts w:hint="default" w:ascii="Times New Roman" w:hAnsi="Times New Roman" w:eastAsia="宋体" w:cs="Times New Roman"/>
                <w:color w:val="auto"/>
                <w:spacing w:val="0"/>
                <w:position w:val="0"/>
                <w:sz w:val="24"/>
                <w:highlight w:val="none"/>
                <w:u w:val="none" w:color="auto"/>
              </w:rPr>
              <w:t>）</w:t>
            </w:r>
            <w:r>
              <w:rPr>
                <w:rFonts w:hint="eastAsia" w:ascii="Times New Roman" w:cs="Times New Roman"/>
                <w:color w:val="auto"/>
                <w:spacing w:val="0"/>
                <w:position w:val="0"/>
                <w:sz w:val="24"/>
                <w:highlight w:val="none"/>
                <w:u w:val="none" w:color="auto"/>
                <w:lang w:eastAsia="zh-CN"/>
              </w:rPr>
              <w:t>相关要求</w:t>
            </w:r>
            <w:r>
              <w:rPr>
                <w:rFonts w:hint="default" w:ascii="Times New Roman" w:hAnsi="Times New Roman" w:eastAsia="宋体" w:cs="Times New Roman"/>
                <w:color w:val="auto"/>
                <w:spacing w:val="0"/>
                <w:position w:val="0"/>
                <w:sz w:val="24"/>
                <w:highlight w:val="none"/>
                <w:u w:val="none" w:color="auto"/>
                <w:lang w:eastAsia="zh-CN"/>
              </w:rPr>
              <w:t>。</w:t>
            </w:r>
            <w:r>
              <w:rPr>
                <w:rFonts w:hint="eastAsia" w:ascii="Times New Roman" w:cs="Times New Roman"/>
                <w:color w:val="auto"/>
                <w:spacing w:val="0"/>
                <w:position w:val="0"/>
                <w:sz w:val="24"/>
                <w:highlight w:val="none"/>
                <w:u w:val="none" w:color="auto"/>
                <w:lang w:val="en-US" w:eastAsia="zh-CN"/>
              </w:rPr>
              <w:t xml:space="preserve"> </w:t>
            </w:r>
          </w:p>
        </w:tc>
      </w:tr>
      <w:tr w14:paraId="79762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shd w:val="clear" w:color="auto" w:fill="auto"/>
            <w:noWrap w:val="0"/>
            <w:vAlign w:val="center"/>
          </w:tcPr>
          <w:p w14:paraId="4C43F54E">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outlineLvl w:val="9"/>
              <w:rPr>
                <w:rFonts w:hint="default" w:ascii="Times New Roman" w:hAnsi="Times New Roman" w:eastAsia="宋体" w:cs="Times New Roman"/>
                <w:color w:val="000000" w:themeColor="text1"/>
                <w:spacing w:val="0"/>
                <w:kern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u w:val="none" w:color="auto"/>
                <w14:textFill>
                  <w14:solidFill>
                    <w14:schemeClr w14:val="tx1"/>
                  </w14:solidFill>
                </w14:textFill>
              </w:rPr>
              <w:t>总量</w:t>
            </w:r>
          </w:p>
          <w:p w14:paraId="09562C4B">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outlineLvl w:val="9"/>
              <w:rPr>
                <w:rFonts w:hint="default" w:ascii="Times New Roman" w:hAnsi="Times New Roman" w:eastAsia="宋体" w:cs="Times New Roman"/>
                <w:color w:val="000000" w:themeColor="text1"/>
                <w:spacing w:val="0"/>
                <w:kern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u w:val="none" w:color="auto"/>
                <w14:textFill>
                  <w14:solidFill>
                    <w14:schemeClr w14:val="tx1"/>
                  </w14:solidFill>
                </w14:textFill>
              </w:rPr>
              <w:t>控制</w:t>
            </w:r>
          </w:p>
          <w:p w14:paraId="6BE834B9">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leftChars="0" w:right="0" w:rightChars="0"/>
              <w:jc w:val="center"/>
              <w:outlineLvl w:val="9"/>
              <w:rPr>
                <w:rFonts w:hint="default" w:ascii="Times New Roman" w:hAnsi="Times New Roman" w:eastAsia="宋体" w:cs="Times New Roman"/>
                <w:b w:val="0"/>
                <w:bCs w:val="0"/>
                <w:color w:val="000000" w:themeColor="text1"/>
                <w:spacing w:val="0"/>
                <w:kern w:val="2"/>
                <w:position w:val="0"/>
                <w:sz w:val="24"/>
                <w:szCs w:val="24"/>
                <w:u w:val="none" w:color="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u w:val="none" w:color="auto"/>
                <w14:textFill>
                  <w14:solidFill>
                    <w14:schemeClr w14:val="tx1"/>
                  </w14:solidFill>
                </w14:textFill>
              </w:rPr>
              <w:t>指标</w:t>
            </w:r>
          </w:p>
        </w:tc>
        <w:tc>
          <w:tcPr>
            <w:tcW w:w="4555" w:type="pct"/>
            <w:shd w:val="clear" w:color="auto" w:fill="auto"/>
            <w:noWrap w:val="0"/>
            <w:vAlign w:val="center"/>
          </w:tcPr>
          <w:p w14:paraId="4C4D0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cs="Times New Roman"/>
                <w:color w:val="auto"/>
                <w:spacing w:val="0"/>
                <w:position w:val="0"/>
                <w:sz w:val="24"/>
                <w:szCs w:val="24"/>
                <w:highlight w:val="none"/>
                <w:u w:val="none" w:color="auto"/>
                <w:lang w:val="en-US" w:eastAsia="zh-CN"/>
              </w:rPr>
            </w:pPr>
            <w:r>
              <w:rPr>
                <w:rFonts w:hint="default" w:ascii="Times New Roman" w:hAnsi="Times New Roman" w:eastAsia="宋体" w:cs="Times New Roman"/>
                <w:color w:val="auto"/>
                <w:spacing w:val="0"/>
                <w:position w:val="0"/>
                <w:sz w:val="24"/>
                <w:highlight w:val="none"/>
                <w:u w:val="none" w:color="auto"/>
                <w:lang w:val="en-US" w:eastAsia="zh-CN"/>
              </w:rPr>
              <w:t>根据《湖南省“十</w:t>
            </w:r>
            <w:r>
              <w:rPr>
                <w:rFonts w:hint="default" w:ascii="Times New Roman" w:hAnsi="Times New Roman" w:cs="Times New Roman"/>
                <w:color w:val="auto"/>
                <w:spacing w:val="0"/>
                <w:position w:val="0"/>
                <w:sz w:val="24"/>
                <w:highlight w:val="none"/>
                <w:u w:val="none" w:color="auto"/>
                <w:lang w:val="en-US" w:eastAsia="zh-CN"/>
              </w:rPr>
              <w:t>四</w:t>
            </w:r>
            <w:r>
              <w:rPr>
                <w:rFonts w:hint="default" w:ascii="Times New Roman" w:hAnsi="Times New Roman" w:eastAsia="宋体" w:cs="Times New Roman"/>
                <w:color w:val="auto"/>
                <w:spacing w:val="0"/>
                <w:position w:val="0"/>
                <w:sz w:val="24"/>
                <w:highlight w:val="none"/>
                <w:u w:val="none" w:color="auto"/>
                <w:lang w:val="en-US" w:eastAsia="zh-CN"/>
              </w:rPr>
              <w:t>五”节能减排综合工作实施方案》，湖南省实施总量控制</w:t>
            </w:r>
            <w:r>
              <w:rPr>
                <w:rFonts w:hint="default" w:ascii="Times New Roman" w:hAnsi="Times New Roman" w:cs="Times New Roman"/>
                <w:color w:val="auto"/>
                <w:spacing w:val="0"/>
                <w:position w:val="0"/>
                <w:sz w:val="24"/>
                <w:highlight w:val="none"/>
                <w:u w:val="none" w:color="auto"/>
                <w:lang w:val="en-US" w:eastAsia="zh-CN"/>
              </w:rPr>
              <w:t>的</w:t>
            </w:r>
            <w:r>
              <w:rPr>
                <w:rFonts w:hint="default" w:ascii="Times New Roman" w:hAnsi="Times New Roman" w:eastAsia="宋体" w:cs="Times New Roman"/>
                <w:color w:val="auto"/>
                <w:spacing w:val="0"/>
                <w:position w:val="0"/>
                <w:sz w:val="24"/>
                <w:highlight w:val="none"/>
                <w:u w:val="none" w:color="auto"/>
                <w:lang w:val="en-US" w:eastAsia="zh-CN"/>
              </w:rPr>
              <w:t>主要污染物共4项，其中空气污染物2项（氮氧化物NOx</w:t>
            </w:r>
            <w:r>
              <w:rPr>
                <w:rFonts w:hint="default" w:ascii="Times New Roman" w:hAnsi="Times New Roman" w:cs="Times New Roman"/>
                <w:color w:val="auto"/>
                <w:spacing w:val="0"/>
                <w:position w:val="0"/>
                <w:sz w:val="24"/>
                <w:highlight w:val="none"/>
                <w:u w:val="none" w:color="auto"/>
                <w:lang w:val="en-US" w:eastAsia="zh-CN"/>
              </w:rPr>
              <w:t>、挥发性有机物</w:t>
            </w:r>
            <w:r>
              <w:rPr>
                <w:rFonts w:hint="default" w:ascii="Times New Roman" w:hAnsi="Times New Roman" w:eastAsia="宋体" w:cs="Times New Roman"/>
                <w:color w:val="auto"/>
                <w:spacing w:val="0"/>
                <w:position w:val="0"/>
                <w:sz w:val="24"/>
                <w:highlight w:val="none"/>
                <w:u w:val="none" w:color="auto"/>
                <w:lang w:val="en-US" w:eastAsia="zh-CN"/>
              </w:rPr>
              <w:t>VOCs），水污染物2项（化学需氧量COD、氨氮NH</w:t>
            </w:r>
            <w:r>
              <w:rPr>
                <w:rFonts w:hint="default" w:ascii="Times New Roman" w:hAnsi="Times New Roman" w:eastAsia="宋体" w:cs="Times New Roman"/>
                <w:color w:val="auto"/>
                <w:spacing w:val="0"/>
                <w:position w:val="0"/>
                <w:sz w:val="24"/>
                <w:highlight w:val="none"/>
                <w:u w:val="none" w:color="auto"/>
                <w:vertAlign w:val="subscript"/>
                <w:lang w:val="en-US" w:eastAsia="zh-CN"/>
              </w:rPr>
              <w:t>3</w:t>
            </w:r>
            <w:r>
              <w:rPr>
                <w:rFonts w:hint="default" w:ascii="Times New Roman" w:hAnsi="Times New Roman" w:eastAsia="宋体" w:cs="Times New Roman"/>
                <w:color w:val="auto"/>
                <w:spacing w:val="0"/>
                <w:position w:val="0"/>
                <w:sz w:val="24"/>
                <w:highlight w:val="none"/>
                <w:u w:val="none" w:color="auto"/>
                <w:lang w:val="en-US" w:eastAsia="zh-CN"/>
              </w:rPr>
              <w:t>-N）</w:t>
            </w:r>
            <w:r>
              <w:rPr>
                <w:rFonts w:hint="eastAsia" w:ascii="Times New Roman" w:hAnsi="Times New Roman" w:cs="Times New Roman"/>
                <w:color w:val="auto"/>
                <w:spacing w:val="0"/>
                <w:position w:val="0"/>
                <w:sz w:val="24"/>
                <w:highlight w:val="none"/>
                <w:u w:val="none" w:color="auto"/>
                <w:lang w:val="en-US" w:eastAsia="zh-CN"/>
              </w:rPr>
              <w:t>。</w:t>
            </w:r>
            <w:r>
              <w:rPr>
                <w:rFonts w:hint="default" w:ascii="Times New Roman" w:hAnsi="Times New Roman" w:eastAsia="宋体" w:cs="Times New Roman"/>
                <w:color w:val="auto"/>
                <w:spacing w:val="0"/>
                <w:position w:val="0"/>
                <w:sz w:val="24"/>
                <w:highlight w:val="none"/>
                <w:u w:val="none" w:color="auto"/>
                <w:lang w:val="en-US" w:eastAsia="zh-CN"/>
              </w:rPr>
              <w:t>根据本项目污染物排放特点，确定本项目污染物排放总量控制因子为 COD、NH</w:t>
            </w:r>
            <w:r>
              <w:rPr>
                <w:rFonts w:hint="default" w:ascii="Times New Roman" w:hAnsi="Times New Roman" w:eastAsia="宋体" w:cs="Times New Roman"/>
                <w:color w:val="auto"/>
                <w:spacing w:val="0"/>
                <w:position w:val="0"/>
                <w:sz w:val="24"/>
                <w:highlight w:val="none"/>
                <w:u w:val="none" w:color="auto"/>
                <w:vertAlign w:val="subscript"/>
                <w:lang w:val="en-US" w:eastAsia="zh-CN"/>
              </w:rPr>
              <w:t>3</w:t>
            </w:r>
            <w:r>
              <w:rPr>
                <w:rFonts w:hint="default" w:ascii="Times New Roman" w:hAnsi="Times New Roman" w:eastAsia="宋体" w:cs="Times New Roman"/>
                <w:color w:val="auto"/>
                <w:spacing w:val="0"/>
                <w:position w:val="0"/>
                <w:sz w:val="24"/>
                <w:highlight w:val="none"/>
                <w:u w:val="none" w:color="auto"/>
                <w:lang w:val="en-US" w:eastAsia="zh-CN"/>
              </w:rPr>
              <w:t>-N、VOCs，本项目总量控制指标如下：</w:t>
            </w:r>
          </w:p>
          <w:p w14:paraId="476F2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pacing w:val="0"/>
                <w:position w:val="0"/>
                <w:sz w:val="24"/>
                <w:szCs w:val="24"/>
                <w:highlight w:val="none"/>
                <w:u w:val="none" w:color="auto"/>
                <w:lang w:val="en-US" w:eastAsia="zh-CN"/>
              </w:rPr>
            </w:pPr>
            <w:r>
              <w:rPr>
                <w:rFonts w:hint="eastAsia" w:cs="Times New Roman"/>
                <w:color w:val="auto"/>
                <w:spacing w:val="0"/>
                <w:position w:val="0"/>
                <w:sz w:val="24"/>
                <w:szCs w:val="24"/>
                <w:highlight w:val="none"/>
                <w:u w:val="none" w:color="auto"/>
                <w:lang w:val="en-US" w:eastAsia="zh-CN"/>
              </w:rPr>
              <w:t>1、水污染物总量控制指标</w:t>
            </w:r>
          </w:p>
          <w:p w14:paraId="312FF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pacing w:val="0"/>
                <w:position w:val="0"/>
                <w:sz w:val="24"/>
                <w:highlight w:val="none"/>
                <w:u w:val="none" w:color="auto"/>
                <w:lang w:val="en-US" w:eastAsia="zh-CN"/>
              </w:rPr>
            </w:pPr>
            <w:r>
              <w:rPr>
                <w:rFonts w:hint="default" w:ascii="Times New Roman" w:hAnsi="Times New Roman" w:cs="Times New Roman"/>
                <w:color w:val="auto"/>
                <w:spacing w:val="0"/>
                <w:position w:val="0"/>
                <w:sz w:val="24"/>
                <w:szCs w:val="24"/>
                <w:highlight w:val="none"/>
                <w:u w:val="none" w:color="auto"/>
                <w:lang w:eastAsia="zh-CN"/>
              </w:rPr>
              <w:t>本项目</w:t>
            </w:r>
            <w:r>
              <w:rPr>
                <w:rFonts w:hint="eastAsia" w:cs="Times New Roman"/>
                <w:color w:val="auto"/>
                <w:spacing w:val="0"/>
                <w:position w:val="0"/>
                <w:sz w:val="24"/>
                <w:szCs w:val="24"/>
                <w:highlight w:val="none"/>
                <w:u w:val="none" w:color="auto"/>
                <w:lang w:val="en-US" w:eastAsia="zh-CN"/>
              </w:rPr>
              <w:t>生活污水依托现有隔油化粪池处理</w:t>
            </w:r>
            <w:r>
              <w:rPr>
                <w:rFonts w:hint="default" w:ascii="Times New Roman" w:hAnsi="Times New Roman" w:eastAsia="宋体" w:cs="Times New Roman"/>
                <w:color w:val="auto"/>
                <w:spacing w:val="0"/>
                <w:position w:val="0"/>
                <w:sz w:val="24"/>
                <w:szCs w:val="24"/>
                <w:highlight w:val="none"/>
                <w:u w:val="none" w:color="auto"/>
                <w:lang w:val="en-US" w:eastAsia="zh-CN"/>
              </w:rPr>
              <w:t>达《污水综合排放标准》（GB8978-1996）表4中三级标准及</w:t>
            </w:r>
            <w:r>
              <w:rPr>
                <w:rFonts w:hint="eastAsia"/>
                <w:sz w:val="24"/>
              </w:rPr>
              <w:t>湖南城陵矶临港产业新区污水处理厂</w:t>
            </w:r>
            <w:r>
              <w:rPr>
                <w:rFonts w:hint="default" w:ascii="Times New Roman" w:hAnsi="Times New Roman" w:eastAsia="宋体" w:cs="Times New Roman"/>
                <w:color w:val="auto"/>
                <w:spacing w:val="0"/>
                <w:position w:val="0"/>
                <w:sz w:val="24"/>
                <w:szCs w:val="24"/>
                <w:highlight w:val="none"/>
                <w:u w:val="none" w:color="auto"/>
                <w:lang w:val="en-US" w:eastAsia="zh-CN"/>
              </w:rPr>
              <w:t>进水水质标准后</w:t>
            </w:r>
            <w:r>
              <w:rPr>
                <w:rFonts w:hint="default" w:ascii="Times New Roman" w:hAnsi="Times New Roman" w:eastAsia="宋体" w:cs="Times New Roman"/>
                <w:color w:val="auto"/>
                <w:spacing w:val="0"/>
                <w:position w:val="0"/>
                <w:sz w:val="24"/>
                <w:highlight w:val="none"/>
                <w:u w:val="none" w:color="auto"/>
                <w:lang w:val="en-US" w:eastAsia="zh-CN"/>
              </w:rPr>
              <w:t>，</w:t>
            </w:r>
            <w:r>
              <w:rPr>
                <w:rFonts w:hint="eastAsia" w:cs="Times New Roman"/>
                <w:color w:val="auto"/>
                <w:spacing w:val="0"/>
                <w:position w:val="0"/>
                <w:sz w:val="24"/>
                <w:highlight w:val="none"/>
                <w:u w:val="none" w:color="auto"/>
                <w:lang w:val="en-US" w:eastAsia="zh-CN"/>
              </w:rPr>
              <w:t>通过DW001污水排放口</w:t>
            </w:r>
            <w:r>
              <w:rPr>
                <w:rFonts w:hint="default" w:ascii="Times New Roman" w:hAnsi="Times New Roman" w:eastAsia="宋体" w:cs="Times New Roman"/>
                <w:color w:val="auto"/>
                <w:spacing w:val="0"/>
                <w:position w:val="0"/>
                <w:sz w:val="24"/>
                <w:highlight w:val="none"/>
                <w:u w:val="none" w:color="auto"/>
                <w:lang w:val="en-US" w:eastAsia="zh-CN"/>
              </w:rPr>
              <w:t>排入</w:t>
            </w:r>
            <w:r>
              <w:rPr>
                <w:rFonts w:hint="eastAsia"/>
                <w:sz w:val="24"/>
              </w:rPr>
              <w:t>湖南城陵矶临港产业新区污水处理厂</w:t>
            </w:r>
            <w:r>
              <w:rPr>
                <w:rFonts w:hint="default" w:ascii="Times New Roman" w:hAnsi="Times New Roman" w:eastAsia="宋体" w:cs="Times New Roman"/>
                <w:color w:val="auto"/>
                <w:spacing w:val="0"/>
                <w:position w:val="0"/>
                <w:sz w:val="24"/>
                <w:highlight w:val="none"/>
                <w:u w:val="none" w:color="auto"/>
                <w:lang w:val="en-US" w:eastAsia="zh-CN"/>
              </w:rPr>
              <w:t>，深度处理达到《城镇污水处理厂污</w:t>
            </w:r>
            <w:r>
              <w:rPr>
                <w:rFonts w:hint="default" w:ascii="Times New Roman" w:hAnsi="Times New Roman" w:eastAsia="宋体" w:cs="Times New Roman"/>
                <w:color w:val="auto"/>
                <w:spacing w:val="0"/>
                <w:position w:val="0"/>
                <w:sz w:val="24"/>
                <w:szCs w:val="24"/>
                <w:highlight w:val="none"/>
                <w:u w:val="none" w:color="auto"/>
                <w:lang w:val="en-US" w:eastAsia="zh-CN"/>
              </w:rPr>
              <w:t>染物排放标准》（GB18918-2002）一级A标准后外排</w:t>
            </w:r>
            <w:r>
              <w:rPr>
                <w:rFonts w:hint="eastAsia" w:cs="Times New Roman"/>
                <w:color w:val="auto"/>
                <w:spacing w:val="0"/>
                <w:position w:val="0"/>
                <w:sz w:val="24"/>
                <w:szCs w:val="24"/>
                <w:highlight w:val="none"/>
                <w:u w:val="none" w:color="auto"/>
                <w:lang w:val="en-US" w:eastAsia="zh-CN"/>
              </w:rPr>
              <w:t>。本项目建成后</w:t>
            </w:r>
            <w:r>
              <w:rPr>
                <w:rFonts w:hint="default" w:ascii="Times New Roman" w:hAnsi="Times New Roman" w:eastAsia="宋体" w:cs="Times New Roman"/>
                <w:color w:val="auto"/>
                <w:spacing w:val="0"/>
                <w:position w:val="0"/>
                <w:sz w:val="24"/>
                <w:highlight w:val="none"/>
                <w:u w:val="none" w:color="auto"/>
                <w:lang w:val="en-US" w:eastAsia="zh-CN"/>
              </w:rPr>
              <w:t>全厂水污染物总量控制指标详见下表</w:t>
            </w:r>
            <w:r>
              <w:rPr>
                <w:rFonts w:hint="eastAsia" w:cs="Times New Roman"/>
                <w:color w:val="auto"/>
                <w:spacing w:val="0"/>
                <w:position w:val="0"/>
                <w:sz w:val="24"/>
                <w:highlight w:val="none"/>
                <w:u w:val="none" w:color="auto"/>
                <w:lang w:val="en-US" w:eastAsia="zh-CN"/>
              </w:rPr>
              <w:t>：</w:t>
            </w:r>
          </w:p>
          <w:p w14:paraId="75F199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lang w:eastAsia="zh-CN"/>
              </w:rPr>
            </w:pPr>
            <w:r>
              <w:rPr>
                <w:rFonts w:hint="default" w:ascii="Times New Roman" w:hAnsi="Times New Roman" w:eastAsia="宋体" w:cs="Times New Roman"/>
                <w:b/>
                <w:bCs/>
                <w:color w:val="auto"/>
                <w:spacing w:val="0"/>
                <w:position w:val="0"/>
                <w:sz w:val="21"/>
                <w:szCs w:val="21"/>
                <w:highlight w:val="none"/>
                <w:u w:val="none" w:color="auto"/>
                <w:lang w:eastAsia="zh-CN"/>
              </w:rPr>
              <w:t>表</w:t>
            </w:r>
            <w:r>
              <w:rPr>
                <w:rFonts w:hint="default" w:ascii="Times New Roman" w:hAnsi="Times New Roman" w:eastAsia="宋体" w:cs="Times New Roman"/>
                <w:b/>
                <w:bCs/>
                <w:color w:val="auto"/>
                <w:spacing w:val="0"/>
                <w:position w:val="0"/>
                <w:sz w:val="21"/>
                <w:szCs w:val="21"/>
                <w:highlight w:val="none"/>
                <w:u w:val="none" w:color="auto"/>
                <w:lang w:val="en-US" w:eastAsia="zh-CN"/>
              </w:rPr>
              <w:t>3</w:t>
            </w:r>
            <w:r>
              <w:rPr>
                <w:rFonts w:hint="default" w:ascii="Times New Roman" w:hAnsi="Times New Roman" w:eastAsia="宋体" w:cs="Times New Roman"/>
                <w:b/>
                <w:bCs/>
                <w:color w:val="auto"/>
                <w:spacing w:val="0"/>
                <w:position w:val="0"/>
                <w:sz w:val="21"/>
                <w:szCs w:val="21"/>
                <w:highlight w:val="none"/>
                <w:u w:val="none" w:color="auto"/>
                <w:lang w:eastAsia="zh-CN"/>
              </w:rPr>
              <w:t>-1</w:t>
            </w:r>
            <w:r>
              <w:rPr>
                <w:rFonts w:hint="eastAsia" w:cs="Times New Roman"/>
                <w:b/>
                <w:bCs/>
                <w:color w:val="auto"/>
                <w:spacing w:val="0"/>
                <w:position w:val="0"/>
                <w:sz w:val="21"/>
                <w:szCs w:val="21"/>
                <w:highlight w:val="none"/>
                <w:u w:val="none" w:color="auto"/>
                <w:lang w:val="en-US" w:eastAsia="zh-CN"/>
              </w:rPr>
              <w:t>3</w:t>
            </w:r>
            <w:r>
              <w:rPr>
                <w:rFonts w:hint="default" w:ascii="Times New Roman" w:hAnsi="Times New Roman" w:eastAsia="宋体" w:cs="Times New Roman"/>
                <w:b/>
                <w:bCs/>
                <w:color w:val="auto"/>
                <w:spacing w:val="0"/>
                <w:position w:val="0"/>
                <w:sz w:val="21"/>
                <w:szCs w:val="21"/>
                <w:highlight w:val="none"/>
                <w:u w:val="none" w:color="auto"/>
                <w:lang w:eastAsia="zh-CN"/>
              </w:rPr>
              <w:t xml:space="preserve"> </w:t>
            </w:r>
            <w:r>
              <w:rPr>
                <w:rFonts w:hint="default" w:ascii="Times New Roman" w:hAnsi="Times New Roman" w:eastAsia="宋体" w:cs="Times New Roman"/>
                <w:b/>
                <w:bCs/>
                <w:color w:val="auto"/>
                <w:spacing w:val="0"/>
                <w:position w:val="0"/>
                <w:sz w:val="21"/>
                <w:szCs w:val="21"/>
                <w:highlight w:val="none"/>
                <w:u w:val="none" w:color="auto"/>
                <w:lang w:val="en-US" w:eastAsia="zh-CN"/>
              </w:rPr>
              <w:t xml:space="preserve"> 本项目建成后</w:t>
            </w:r>
            <w:r>
              <w:rPr>
                <w:rFonts w:hint="default" w:ascii="Times New Roman" w:hAnsi="Times New Roman" w:eastAsia="宋体" w:cs="Times New Roman"/>
                <w:b/>
                <w:bCs/>
                <w:color w:val="auto"/>
                <w:spacing w:val="0"/>
                <w:position w:val="0"/>
                <w:sz w:val="21"/>
                <w:szCs w:val="21"/>
                <w:highlight w:val="none"/>
                <w:u w:val="none" w:color="auto"/>
                <w:lang w:eastAsia="zh-CN"/>
              </w:rPr>
              <w:t>全厂</w:t>
            </w:r>
            <w:r>
              <w:rPr>
                <w:rFonts w:hint="default" w:ascii="Times New Roman" w:hAnsi="Times New Roman" w:eastAsia="宋体" w:cs="Times New Roman"/>
                <w:b/>
                <w:bCs/>
                <w:color w:val="auto"/>
                <w:spacing w:val="0"/>
                <w:position w:val="0"/>
                <w:sz w:val="21"/>
                <w:szCs w:val="21"/>
                <w:highlight w:val="none"/>
                <w:u w:val="none" w:color="auto"/>
                <w:lang w:val="en-US" w:eastAsia="zh-CN"/>
              </w:rPr>
              <w:t>水</w:t>
            </w:r>
            <w:r>
              <w:rPr>
                <w:rFonts w:hint="default" w:ascii="Times New Roman" w:hAnsi="Times New Roman" w:eastAsia="宋体" w:cs="Times New Roman"/>
                <w:b/>
                <w:bCs/>
                <w:color w:val="auto"/>
                <w:spacing w:val="0"/>
                <w:position w:val="0"/>
                <w:sz w:val="21"/>
                <w:szCs w:val="21"/>
                <w:highlight w:val="none"/>
                <w:u w:val="none" w:color="auto"/>
                <w:lang w:eastAsia="zh-CN"/>
              </w:rPr>
              <w:t>污染物总量控制建议指标（单位：t/a）</w:t>
            </w:r>
          </w:p>
          <w:tbl>
            <w:tblPr>
              <w:tblStyle w:val="37"/>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020"/>
              <w:gridCol w:w="987"/>
              <w:gridCol w:w="1120"/>
              <w:gridCol w:w="1454"/>
              <w:gridCol w:w="1326"/>
              <w:gridCol w:w="1324"/>
            </w:tblGrid>
            <w:tr w14:paraId="2D815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1" w:type="pct"/>
                  <w:tcBorders>
                    <w:tl2br w:val="nil"/>
                    <w:tr2bl w:val="nil"/>
                  </w:tcBorders>
                  <w:noWrap w:val="0"/>
                  <w:vAlign w:val="center"/>
                </w:tcPr>
                <w:p w14:paraId="50FFF9D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rPr>
                    <w:t>污染物</w:t>
                  </w:r>
                </w:p>
              </w:tc>
              <w:tc>
                <w:tcPr>
                  <w:tcW w:w="620" w:type="pct"/>
                  <w:tcBorders>
                    <w:tl2br w:val="nil"/>
                    <w:tr2bl w:val="nil"/>
                  </w:tcBorders>
                  <w:noWrap w:val="0"/>
                  <w:vAlign w:val="center"/>
                </w:tcPr>
                <w:p w14:paraId="3D5BEC1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rPr>
                    <w:t>现有</w:t>
                  </w:r>
                </w:p>
                <w:p w14:paraId="608B9B8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rPr>
                    <w:t>工程</w:t>
                  </w:r>
                </w:p>
              </w:tc>
              <w:tc>
                <w:tcPr>
                  <w:tcW w:w="600" w:type="pct"/>
                  <w:tcBorders>
                    <w:tl2br w:val="nil"/>
                    <w:tr2bl w:val="nil"/>
                  </w:tcBorders>
                  <w:noWrap w:val="0"/>
                  <w:vAlign w:val="center"/>
                </w:tcPr>
                <w:p w14:paraId="542D767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lang w:eastAsia="zh-CN"/>
                    </w:rPr>
                  </w:pPr>
                  <w:r>
                    <w:rPr>
                      <w:rFonts w:hint="default" w:ascii="Times New Roman" w:hAnsi="Times New Roman" w:eastAsia="宋体" w:cs="Times New Roman"/>
                      <w:b/>
                      <w:bCs w:val="0"/>
                      <w:color w:val="auto"/>
                      <w:spacing w:val="0"/>
                      <w:position w:val="0"/>
                      <w:sz w:val="21"/>
                      <w:szCs w:val="21"/>
                      <w:u w:val="none" w:color="auto"/>
                      <w:lang w:eastAsia="zh-CN"/>
                    </w:rPr>
                    <w:t>在建</w:t>
                  </w:r>
                </w:p>
                <w:p w14:paraId="49BFF785">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lang w:eastAsia="zh-CN"/>
                    </w:rPr>
                  </w:pPr>
                  <w:r>
                    <w:rPr>
                      <w:rFonts w:hint="default" w:ascii="Times New Roman" w:hAnsi="Times New Roman" w:eastAsia="宋体" w:cs="Times New Roman"/>
                      <w:b/>
                      <w:bCs w:val="0"/>
                      <w:color w:val="auto"/>
                      <w:spacing w:val="0"/>
                      <w:position w:val="0"/>
                      <w:sz w:val="21"/>
                      <w:szCs w:val="21"/>
                      <w:u w:val="none" w:color="auto"/>
                      <w:lang w:eastAsia="zh-CN"/>
                    </w:rPr>
                    <w:t>工程</w:t>
                  </w:r>
                </w:p>
              </w:tc>
              <w:tc>
                <w:tcPr>
                  <w:tcW w:w="681" w:type="pct"/>
                  <w:tcBorders>
                    <w:tl2br w:val="nil"/>
                    <w:tr2bl w:val="nil"/>
                  </w:tcBorders>
                  <w:noWrap w:val="0"/>
                  <w:vAlign w:val="center"/>
                </w:tcPr>
                <w:p w14:paraId="6AEE375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lang w:eastAsia="zh-CN"/>
                    </w:rPr>
                  </w:pPr>
                  <w:r>
                    <w:rPr>
                      <w:rFonts w:hint="default" w:ascii="Times New Roman" w:hAnsi="Times New Roman" w:eastAsia="宋体" w:cs="Times New Roman"/>
                      <w:b/>
                      <w:bCs w:val="0"/>
                      <w:color w:val="auto"/>
                      <w:spacing w:val="0"/>
                      <w:position w:val="0"/>
                      <w:sz w:val="21"/>
                      <w:szCs w:val="21"/>
                      <w:u w:val="none" w:color="auto"/>
                      <w:lang w:eastAsia="zh-CN"/>
                    </w:rPr>
                    <w:t>本项目</w:t>
                  </w:r>
                </w:p>
              </w:tc>
              <w:tc>
                <w:tcPr>
                  <w:tcW w:w="884" w:type="pct"/>
                  <w:tcBorders>
                    <w:tl2br w:val="nil"/>
                    <w:tr2bl w:val="nil"/>
                  </w:tcBorders>
                  <w:noWrap w:val="0"/>
                  <w:vAlign w:val="center"/>
                </w:tcPr>
                <w:p w14:paraId="520BD8B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lang w:val="en-US" w:eastAsia="zh-CN"/>
                    </w:rPr>
                    <w:t>项目建成后</w:t>
                  </w:r>
                  <w:r>
                    <w:rPr>
                      <w:rFonts w:hint="default" w:ascii="Times New Roman" w:hAnsi="Times New Roman" w:eastAsia="宋体" w:cs="Times New Roman"/>
                      <w:b/>
                      <w:bCs w:val="0"/>
                      <w:color w:val="auto"/>
                      <w:spacing w:val="0"/>
                      <w:position w:val="0"/>
                      <w:sz w:val="21"/>
                      <w:szCs w:val="21"/>
                      <w:u w:val="none" w:color="auto"/>
                    </w:rPr>
                    <w:t>全厂总量</w:t>
                  </w:r>
                </w:p>
              </w:tc>
              <w:tc>
                <w:tcPr>
                  <w:tcW w:w="806" w:type="pct"/>
                  <w:tcBorders>
                    <w:tl2br w:val="nil"/>
                    <w:tr2bl w:val="nil"/>
                  </w:tcBorders>
                  <w:noWrap w:val="0"/>
                  <w:vAlign w:val="center"/>
                </w:tcPr>
                <w:p w14:paraId="02C93BBC">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lang w:val="en-US" w:eastAsia="zh-CN"/>
                    </w:rPr>
                  </w:pPr>
                  <w:r>
                    <w:rPr>
                      <w:rFonts w:hint="eastAsia" w:ascii="Times New Roman" w:hAnsi="Times New Roman" w:cs="Times New Roman"/>
                      <w:b/>
                      <w:bCs w:val="0"/>
                      <w:color w:val="auto"/>
                      <w:spacing w:val="0"/>
                      <w:position w:val="0"/>
                      <w:sz w:val="21"/>
                      <w:szCs w:val="21"/>
                      <w:u w:val="none" w:color="auto"/>
                      <w:lang w:val="en-US" w:eastAsia="zh-CN"/>
                    </w:rPr>
                    <w:t>已购买</w:t>
                  </w:r>
                  <w:r>
                    <w:rPr>
                      <w:rFonts w:hint="default" w:ascii="Times New Roman" w:hAnsi="Times New Roman" w:eastAsia="宋体" w:cs="Times New Roman"/>
                      <w:b/>
                      <w:bCs w:val="0"/>
                      <w:color w:val="auto"/>
                      <w:spacing w:val="0"/>
                      <w:position w:val="0"/>
                      <w:sz w:val="21"/>
                      <w:szCs w:val="21"/>
                      <w:u w:val="none" w:color="auto"/>
                      <w:lang w:val="en-US" w:eastAsia="zh-CN"/>
                    </w:rPr>
                    <w:t>指标</w:t>
                  </w:r>
                </w:p>
              </w:tc>
              <w:tc>
                <w:tcPr>
                  <w:tcW w:w="805" w:type="pct"/>
                  <w:tcBorders>
                    <w:tl2br w:val="nil"/>
                    <w:tr2bl w:val="nil"/>
                  </w:tcBorders>
                  <w:shd w:val="clear" w:color="auto" w:fill="auto"/>
                  <w:noWrap w:val="0"/>
                  <w:vAlign w:val="center"/>
                </w:tcPr>
                <w:p w14:paraId="2FF39ED1">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kern w:val="2"/>
                      <w:position w:val="0"/>
                      <w:sz w:val="21"/>
                      <w:szCs w:val="21"/>
                      <w:u w:val="none" w:color="auto"/>
                      <w:lang w:val="en-US" w:eastAsia="zh-CN" w:bidi="ar-SA"/>
                    </w:rPr>
                  </w:pPr>
                  <w:r>
                    <w:rPr>
                      <w:rFonts w:hint="default" w:ascii="Times New Roman" w:hAnsi="Times New Roman" w:eastAsia="宋体" w:cs="Times New Roman"/>
                      <w:b/>
                      <w:bCs w:val="0"/>
                      <w:color w:val="auto"/>
                      <w:spacing w:val="0"/>
                      <w:position w:val="0"/>
                      <w:sz w:val="21"/>
                      <w:szCs w:val="21"/>
                      <w:u w:val="none" w:color="auto"/>
                      <w:lang w:val="en-US" w:eastAsia="zh-CN"/>
                    </w:rPr>
                    <w:t>建议</w:t>
                  </w:r>
                  <w:r>
                    <w:rPr>
                      <w:rFonts w:hint="eastAsia" w:cs="Times New Roman"/>
                      <w:b/>
                      <w:bCs w:val="0"/>
                      <w:color w:val="auto"/>
                      <w:spacing w:val="0"/>
                      <w:position w:val="0"/>
                      <w:sz w:val="21"/>
                      <w:szCs w:val="21"/>
                      <w:u w:val="none" w:color="auto"/>
                      <w:lang w:val="en-US" w:eastAsia="zh-CN"/>
                    </w:rPr>
                    <w:t>新增</w:t>
                  </w:r>
                  <w:r>
                    <w:rPr>
                      <w:rFonts w:hint="eastAsia" w:ascii="Times New Roman" w:hAnsi="Times New Roman" w:cs="Times New Roman"/>
                      <w:b/>
                      <w:bCs w:val="0"/>
                      <w:color w:val="auto"/>
                      <w:spacing w:val="0"/>
                      <w:position w:val="0"/>
                      <w:sz w:val="21"/>
                      <w:szCs w:val="21"/>
                      <w:u w:val="none" w:color="auto"/>
                      <w:lang w:val="en-US" w:eastAsia="zh-CN"/>
                    </w:rPr>
                    <w:t>购买</w:t>
                  </w:r>
                  <w:r>
                    <w:rPr>
                      <w:rFonts w:hint="default" w:ascii="Times New Roman" w:hAnsi="Times New Roman" w:eastAsia="宋体" w:cs="Times New Roman"/>
                      <w:b/>
                      <w:bCs w:val="0"/>
                      <w:color w:val="auto"/>
                      <w:spacing w:val="0"/>
                      <w:position w:val="0"/>
                      <w:sz w:val="21"/>
                      <w:szCs w:val="21"/>
                      <w:u w:val="none" w:color="auto"/>
                      <w:lang w:val="en-US" w:eastAsia="zh-CN"/>
                    </w:rPr>
                    <w:t>指标</w:t>
                  </w:r>
                </w:p>
              </w:tc>
            </w:tr>
            <w:tr w14:paraId="42A10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1" w:type="pct"/>
                  <w:tcBorders>
                    <w:tl2br w:val="nil"/>
                    <w:tr2bl w:val="nil"/>
                  </w:tcBorders>
                  <w:noWrap w:val="0"/>
                  <w:vAlign w:val="center"/>
                </w:tcPr>
                <w:p w14:paraId="4CCB27B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COD</w:t>
                  </w:r>
                  <w:r>
                    <w:rPr>
                      <w:rFonts w:hint="default" w:ascii="Times New Roman" w:hAnsi="Times New Roman" w:eastAsia="宋体" w:cs="Times New Roman"/>
                      <w:color w:val="auto"/>
                      <w:spacing w:val="0"/>
                      <w:position w:val="0"/>
                      <w:sz w:val="21"/>
                      <w:szCs w:val="21"/>
                      <w:u w:val="none" w:color="auto"/>
                      <w:vertAlign w:val="subscript"/>
                    </w:rPr>
                    <w:t>cr</w:t>
                  </w:r>
                </w:p>
              </w:tc>
              <w:tc>
                <w:tcPr>
                  <w:tcW w:w="1020" w:type="dxa"/>
                  <w:tcBorders>
                    <w:tl2br w:val="nil"/>
                    <w:tr2bl w:val="nil"/>
                  </w:tcBorders>
                  <w:noWrap w:val="0"/>
                  <w:vAlign w:val="center"/>
                </w:tcPr>
                <w:p w14:paraId="43A10AA9">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0"/>
                      <w:position w:val="0"/>
                      <w:sz w:val="21"/>
                      <w:szCs w:val="21"/>
                      <w:u w:val="none" w:color="auto"/>
                      <w:lang w:val="en-US" w:eastAsia="zh-CN"/>
                    </w:rPr>
                  </w:pPr>
                  <w:r>
                    <w:rPr>
                      <w:rStyle w:val="96"/>
                      <w:rFonts w:hint="eastAsia" w:ascii="Times New Roman" w:hAnsi="Times New Roman" w:eastAsia="宋体" w:cs="Times New Roman"/>
                      <w:color w:val="auto"/>
                      <w:sz w:val="21"/>
                      <w:szCs w:val="21"/>
                      <w:lang w:val="en-US" w:eastAsia="zh-CN"/>
                    </w:rPr>
                    <w:t>0.024</w:t>
                  </w:r>
                </w:p>
              </w:tc>
              <w:tc>
                <w:tcPr>
                  <w:tcW w:w="987" w:type="dxa"/>
                  <w:tcBorders>
                    <w:tl2br w:val="nil"/>
                    <w:tr2bl w:val="nil"/>
                  </w:tcBorders>
                  <w:noWrap w:val="0"/>
                  <w:vAlign w:val="center"/>
                </w:tcPr>
                <w:p w14:paraId="5C727B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position w:val="0"/>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0.036</w:t>
                  </w:r>
                </w:p>
              </w:tc>
              <w:tc>
                <w:tcPr>
                  <w:tcW w:w="1120" w:type="dxa"/>
                  <w:tcBorders>
                    <w:tl2br w:val="nil"/>
                    <w:tr2bl w:val="nil"/>
                  </w:tcBorders>
                  <w:noWrap w:val="0"/>
                  <w:vAlign w:val="center"/>
                </w:tcPr>
                <w:p w14:paraId="550ACB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0.039</w:t>
                  </w:r>
                </w:p>
              </w:tc>
              <w:tc>
                <w:tcPr>
                  <w:tcW w:w="1454" w:type="dxa"/>
                  <w:tcBorders>
                    <w:tl2br w:val="nil"/>
                    <w:tr2bl w:val="nil"/>
                  </w:tcBorders>
                  <w:noWrap w:val="0"/>
                  <w:vAlign w:val="center"/>
                </w:tcPr>
                <w:p w14:paraId="7B5EF1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0.099</w:t>
                  </w:r>
                </w:p>
              </w:tc>
              <w:tc>
                <w:tcPr>
                  <w:tcW w:w="1326" w:type="dxa"/>
                  <w:tcBorders>
                    <w:tl2br w:val="nil"/>
                    <w:tr2bl w:val="nil"/>
                  </w:tcBorders>
                  <w:noWrap w:val="0"/>
                  <w:vAlign w:val="center"/>
                </w:tcPr>
                <w:p w14:paraId="1CC57DBA">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u w:val="none" w:color="auto"/>
                      <w:lang w:val="en-US" w:eastAsia="zh-CN" w:bidi="ar"/>
                    </w:rPr>
                  </w:pP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2</w:t>
                  </w:r>
                </w:p>
              </w:tc>
              <w:tc>
                <w:tcPr>
                  <w:tcW w:w="805" w:type="pct"/>
                  <w:tcBorders>
                    <w:tl2br w:val="nil"/>
                    <w:tr2bl w:val="nil"/>
                  </w:tcBorders>
                  <w:shd w:val="clear" w:color="auto" w:fill="auto"/>
                  <w:noWrap w:val="0"/>
                  <w:vAlign w:val="center"/>
                </w:tcPr>
                <w:p w14:paraId="5615C1E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pacing w:val="0"/>
                      <w:kern w:val="0"/>
                      <w:position w:val="0"/>
                      <w:sz w:val="21"/>
                      <w:szCs w:val="21"/>
                      <w:u w:val="none" w:color="auto"/>
                      <w:lang w:val="en-US" w:eastAsia="zh-CN" w:bidi="ar"/>
                    </w:rPr>
                  </w:pPr>
                  <w:r>
                    <w:rPr>
                      <w:rFonts w:hint="eastAsia" w:cs="Times New Roman"/>
                      <w:color w:val="auto"/>
                      <w:spacing w:val="0"/>
                      <w:kern w:val="0"/>
                      <w:position w:val="0"/>
                      <w:sz w:val="21"/>
                      <w:szCs w:val="21"/>
                      <w:u w:val="none" w:color="auto"/>
                      <w:lang w:val="en-US" w:eastAsia="zh-CN" w:bidi="ar"/>
                    </w:rPr>
                    <w:t>0</w:t>
                  </w:r>
                </w:p>
              </w:tc>
            </w:tr>
            <w:tr w14:paraId="49606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1" w:type="pct"/>
                  <w:tcBorders>
                    <w:tl2br w:val="nil"/>
                    <w:tr2bl w:val="nil"/>
                  </w:tcBorders>
                  <w:noWrap w:val="0"/>
                  <w:vAlign w:val="center"/>
                </w:tcPr>
                <w:p w14:paraId="7EAA657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NH</w:t>
                  </w:r>
                  <w:r>
                    <w:rPr>
                      <w:rFonts w:hint="default" w:ascii="Times New Roman" w:hAnsi="Times New Roman" w:eastAsia="宋体" w:cs="Times New Roman"/>
                      <w:color w:val="auto"/>
                      <w:spacing w:val="0"/>
                      <w:position w:val="0"/>
                      <w:sz w:val="21"/>
                      <w:szCs w:val="21"/>
                      <w:u w:val="none" w:color="auto"/>
                      <w:vertAlign w:val="subscript"/>
                    </w:rPr>
                    <w:t>3</w:t>
                  </w:r>
                  <w:r>
                    <w:rPr>
                      <w:rFonts w:hint="default" w:ascii="Times New Roman" w:hAnsi="Times New Roman" w:eastAsia="宋体" w:cs="Times New Roman"/>
                      <w:color w:val="auto"/>
                      <w:spacing w:val="0"/>
                      <w:position w:val="0"/>
                      <w:sz w:val="21"/>
                      <w:szCs w:val="21"/>
                      <w:u w:val="none" w:color="auto"/>
                    </w:rPr>
                    <w:t>-N</w:t>
                  </w:r>
                </w:p>
              </w:tc>
              <w:tc>
                <w:tcPr>
                  <w:tcW w:w="1020" w:type="dxa"/>
                  <w:tcBorders>
                    <w:tl2br w:val="nil"/>
                    <w:tr2bl w:val="nil"/>
                  </w:tcBorders>
                  <w:noWrap w:val="0"/>
                  <w:vAlign w:val="center"/>
                </w:tcPr>
                <w:p w14:paraId="007BA8B8">
                  <w:pPr>
                    <w:pStyle w:val="5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0"/>
                      <w:position w:val="0"/>
                      <w:sz w:val="21"/>
                      <w:szCs w:val="21"/>
                      <w:u w:val="none" w:color="auto"/>
                      <w:lang w:val="en-US" w:eastAsia="zh-CN"/>
                    </w:rPr>
                  </w:pPr>
                  <w:r>
                    <w:rPr>
                      <w:rStyle w:val="96"/>
                      <w:rFonts w:hint="default" w:ascii="Times New Roman" w:hAnsi="Times New Roman" w:eastAsia="宋体" w:cs="Times New Roman"/>
                      <w:color w:val="auto"/>
                      <w:sz w:val="21"/>
                      <w:szCs w:val="21"/>
                      <w:lang w:val="en-US" w:eastAsia="zh-CN"/>
                    </w:rPr>
                    <w:t>0.</w:t>
                  </w:r>
                  <w:r>
                    <w:rPr>
                      <w:rStyle w:val="96"/>
                      <w:rFonts w:hint="eastAsia" w:ascii="Times New Roman" w:hAnsi="Times New Roman" w:eastAsia="宋体" w:cs="Times New Roman"/>
                      <w:color w:val="auto"/>
                      <w:sz w:val="21"/>
                      <w:szCs w:val="21"/>
                      <w:lang w:val="en-US" w:eastAsia="zh-CN"/>
                    </w:rPr>
                    <w:t>001</w:t>
                  </w:r>
                </w:p>
              </w:tc>
              <w:tc>
                <w:tcPr>
                  <w:tcW w:w="987" w:type="dxa"/>
                  <w:tcBorders>
                    <w:tl2br w:val="nil"/>
                    <w:tr2bl w:val="nil"/>
                  </w:tcBorders>
                  <w:noWrap w:val="0"/>
                  <w:vAlign w:val="center"/>
                </w:tcPr>
                <w:p w14:paraId="1905CE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position w:val="0"/>
                      <w:sz w:val="21"/>
                      <w:szCs w:val="21"/>
                      <w:u w:val="none" w:color="auto"/>
                      <w:lang w:val="en-US" w:eastAsia="zh-CN"/>
                    </w:rPr>
                  </w:pPr>
                  <w:r>
                    <w:rPr>
                      <w:rFonts w:hint="eastAsia" w:ascii="Times New Roman" w:hAnsi="Times New Roman" w:eastAsia="宋体" w:cs="Times New Roman"/>
                      <w:i w:val="0"/>
                      <w:iCs w:val="0"/>
                      <w:color w:val="auto"/>
                      <w:kern w:val="0"/>
                      <w:sz w:val="21"/>
                      <w:szCs w:val="21"/>
                      <w:u w:val="none" w:color="auto"/>
                      <w:lang w:val="en-US" w:eastAsia="zh-CN" w:bidi="ar"/>
                    </w:rPr>
                    <w:t>0.0015</w:t>
                  </w:r>
                </w:p>
              </w:tc>
              <w:tc>
                <w:tcPr>
                  <w:tcW w:w="1120" w:type="dxa"/>
                  <w:tcBorders>
                    <w:tl2br w:val="nil"/>
                    <w:tr2bl w:val="nil"/>
                  </w:tcBorders>
                  <w:noWrap w:val="0"/>
                  <w:vAlign w:val="center"/>
                </w:tcPr>
                <w:p w14:paraId="714D69F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pacing w:val="0"/>
                      <w:positio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454" w:type="dxa"/>
                  <w:tcBorders>
                    <w:tl2br w:val="nil"/>
                    <w:tr2bl w:val="nil"/>
                  </w:tcBorders>
                  <w:noWrap w:val="0"/>
                  <w:vAlign w:val="center"/>
                </w:tcPr>
                <w:p w14:paraId="7B1012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0.0065</w:t>
                  </w:r>
                </w:p>
              </w:tc>
              <w:tc>
                <w:tcPr>
                  <w:tcW w:w="1326" w:type="dxa"/>
                  <w:tcBorders>
                    <w:tl2br w:val="nil"/>
                    <w:tr2bl w:val="nil"/>
                  </w:tcBorders>
                  <w:noWrap w:val="0"/>
                  <w:vAlign w:val="center"/>
                </w:tcPr>
                <w:p w14:paraId="51BDE6DD">
                  <w:pPr>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u w:val="none" w:color="auto"/>
                      <w:lang w:val="en-US" w:eastAsia="zh-CN" w:bidi="ar"/>
                    </w:rPr>
                  </w:pP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1</w:t>
                  </w:r>
                </w:p>
              </w:tc>
              <w:tc>
                <w:tcPr>
                  <w:tcW w:w="805" w:type="pct"/>
                  <w:tcBorders>
                    <w:tl2br w:val="nil"/>
                    <w:tr2bl w:val="nil"/>
                  </w:tcBorders>
                  <w:shd w:val="clear" w:color="auto" w:fill="auto"/>
                  <w:noWrap w:val="0"/>
                  <w:vAlign w:val="center"/>
                </w:tcPr>
                <w:p w14:paraId="2937C9E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pacing w:val="0"/>
                      <w:kern w:val="0"/>
                      <w:position w:val="0"/>
                      <w:sz w:val="21"/>
                      <w:szCs w:val="21"/>
                      <w:u w:val="none" w:color="auto"/>
                      <w:lang w:val="en-US" w:eastAsia="zh-CN" w:bidi="ar"/>
                    </w:rPr>
                  </w:pPr>
                  <w:r>
                    <w:rPr>
                      <w:rFonts w:hint="eastAsia" w:cs="Times New Roman"/>
                      <w:color w:val="auto"/>
                      <w:spacing w:val="0"/>
                      <w:kern w:val="0"/>
                      <w:position w:val="0"/>
                      <w:sz w:val="21"/>
                      <w:szCs w:val="21"/>
                      <w:u w:val="none" w:color="auto"/>
                      <w:lang w:val="en-US" w:eastAsia="zh-CN" w:bidi="ar"/>
                    </w:rPr>
                    <w:t>0</w:t>
                  </w:r>
                </w:p>
              </w:tc>
            </w:tr>
          </w:tbl>
          <w:p w14:paraId="0EE55D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outlineLvl w:val="9"/>
              <w:rPr>
                <w:rFonts w:hint="default" w:ascii="Times New Roman" w:hAnsi="Times New Roman" w:eastAsia="宋体" w:cs="Times New Roman"/>
                <w:b/>
                <w:bCs w:val="0"/>
                <w:color w:val="auto"/>
                <w:spacing w:val="0"/>
                <w:position w:val="0"/>
                <w:sz w:val="24"/>
                <w:highlight w:val="none"/>
                <w:u w:val="none" w:color="auto"/>
                <w:lang w:val="en-US" w:eastAsia="zh-CN"/>
              </w:rPr>
            </w:pPr>
            <w:r>
              <w:rPr>
                <w:rFonts w:hint="default" w:ascii="Times New Roman" w:hAnsi="Times New Roman" w:eastAsia="宋体" w:cs="Times New Roman"/>
                <w:b/>
                <w:bCs w:val="0"/>
                <w:color w:val="auto"/>
                <w:spacing w:val="0"/>
                <w:position w:val="0"/>
                <w:sz w:val="24"/>
                <w:highlight w:val="none"/>
                <w:u w:val="none" w:color="auto"/>
                <w:lang w:val="en-US" w:eastAsia="zh-CN"/>
              </w:rPr>
              <w:t>2、大气</w:t>
            </w:r>
            <w:r>
              <w:rPr>
                <w:rFonts w:hint="eastAsia" w:cs="Times New Roman"/>
                <w:b/>
                <w:bCs w:val="0"/>
                <w:color w:val="auto"/>
                <w:spacing w:val="0"/>
                <w:position w:val="0"/>
                <w:sz w:val="24"/>
                <w:highlight w:val="none"/>
                <w:u w:val="none" w:color="auto"/>
                <w:lang w:val="en-US" w:eastAsia="zh-CN"/>
              </w:rPr>
              <w:t>污染物</w:t>
            </w:r>
            <w:r>
              <w:rPr>
                <w:rFonts w:hint="default" w:ascii="Times New Roman" w:hAnsi="Times New Roman" w:eastAsia="宋体" w:cs="Times New Roman"/>
                <w:b/>
                <w:bCs w:val="0"/>
                <w:color w:val="auto"/>
                <w:spacing w:val="0"/>
                <w:position w:val="0"/>
                <w:sz w:val="24"/>
                <w:highlight w:val="none"/>
                <w:u w:val="none" w:color="auto"/>
                <w:lang w:val="en-US" w:eastAsia="zh-CN"/>
              </w:rPr>
              <w:t>总量控制指标</w:t>
            </w:r>
          </w:p>
          <w:p w14:paraId="0398BD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color w:val="auto"/>
                <w:spacing w:val="0"/>
                <w:position w:val="0"/>
                <w:sz w:val="24"/>
                <w:highlight w:val="none"/>
                <w:u w:val="none" w:color="auto"/>
                <w:lang w:eastAsia="zh-CN"/>
              </w:rPr>
            </w:pPr>
            <w:r>
              <w:rPr>
                <w:rFonts w:hint="default" w:ascii="Times New Roman" w:hAnsi="Times New Roman" w:eastAsia="宋体" w:cs="Times New Roman"/>
                <w:color w:val="auto"/>
                <w:spacing w:val="0"/>
                <w:position w:val="0"/>
                <w:sz w:val="24"/>
                <w:highlight w:val="none"/>
                <w:u w:val="none" w:color="auto"/>
                <w:lang w:val="en-US" w:eastAsia="zh-CN"/>
              </w:rPr>
              <w:t>根据工程分析，</w:t>
            </w:r>
            <w:r>
              <w:rPr>
                <w:rFonts w:hint="default" w:ascii="Times New Roman" w:hAnsi="Times New Roman" w:eastAsia="宋体" w:cs="Times New Roman"/>
                <w:color w:val="auto"/>
                <w:spacing w:val="0"/>
                <w:position w:val="0"/>
                <w:sz w:val="24"/>
                <w:highlight w:val="none"/>
                <w:u w:val="none" w:color="auto"/>
              </w:rPr>
              <w:t>本项目大气污染物</w:t>
            </w:r>
            <w:r>
              <w:rPr>
                <w:rFonts w:hint="eastAsia" w:ascii="Times New Roman" w:hAnsi="Times New Roman" w:cs="Times New Roman"/>
                <w:color w:val="auto"/>
                <w:spacing w:val="0"/>
                <w:position w:val="0"/>
                <w:sz w:val="24"/>
                <w:highlight w:val="none"/>
                <w:u w:val="none" w:color="auto"/>
                <w:lang w:eastAsia="zh-CN"/>
              </w:rPr>
              <w:t>总量</w:t>
            </w:r>
            <w:r>
              <w:rPr>
                <w:rFonts w:hint="default" w:ascii="Times New Roman" w:hAnsi="Times New Roman" w:eastAsia="宋体" w:cs="Times New Roman"/>
                <w:color w:val="auto"/>
                <w:spacing w:val="0"/>
                <w:position w:val="0"/>
                <w:sz w:val="24"/>
                <w:highlight w:val="none"/>
                <w:u w:val="none" w:color="auto"/>
                <w:lang w:eastAsia="zh-CN"/>
              </w:rPr>
              <w:t>控制因子为</w:t>
            </w:r>
            <w:r>
              <w:rPr>
                <w:rFonts w:hint="default" w:ascii="Times New Roman" w:hAnsi="Times New Roman" w:eastAsia="宋体" w:cs="Times New Roman"/>
                <w:color w:val="auto"/>
                <w:spacing w:val="0"/>
                <w:position w:val="0"/>
                <w:sz w:val="24"/>
                <w:highlight w:val="none"/>
                <w:u w:val="none" w:color="auto"/>
              </w:rPr>
              <w:t>挥发性有机物（VOCs）</w:t>
            </w:r>
            <w:r>
              <w:rPr>
                <w:rFonts w:hint="eastAsia" w:ascii="Times New Roman" w:hAnsi="Times New Roman" w:cs="Times New Roman"/>
                <w:color w:val="auto"/>
                <w:spacing w:val="0"/>
                <w:position w:val="0"/>
                <w:sz w:val="24"/>
                <w:highlight w:val="none"/>
                <w:u w:val="none" w:color="auto"/>
                <w:lang w:eastAsia="zh-CN"/>
              </w:rPr>
              <w:t>，</w:t>
            </w:r>
            <w:r>
              <w:rPr>
                <w:rFonts w:hint="default" w:ascii="Times New Roman" w:hAnsi="Times New Roman" w:eastAsia="宋体" w:cs="Times New Roman"/>
                <w:color w:val="auto"/>
                <w:spacing w:val="0"/>
                <w:kern w:val="0"/>
                <w:position w:val="0"/>
                <w:sz w:val="24"/>
                <w:szCs w:val="24"/>
                <w:u w:val="none" w:color="auto"/>
              </w:rPr>
              <w:t>目前</w:t>
            </w:r>
            <w:r>
              <w:rPr>
                <w:rFonts w:hint="default" w:ascii="Times New Roman" w:hAnsi="Times New Roman" w:eastAsia="宋体" w:cs="Times New Roman"/>
                <w:color w:val="auto"/>
                <w:spacing w:val="0"/>
                <w:position w:val="0"/>
                <w:sz w:val="24"/>
                <w:szCs w:val="24"/>
                <w:u w:val="none" w:color="auto"/>
              </w:rPr>
              <w:t>岳阳市未实施VOCs总量指标交易，待实施交易后建设单位应通过交易获取</w:t>
            </w:r>
            <w:r>
              <w:rPr>
                <w:rFonts w:hint="default" w:ascii="Times New Roman" w:hAnsi="Times New Roman" w:eastAsia="宋体" w:cs="Times New Roman"/>
                <w:color w:val="auto"/>
                <w:spacing w:val="0"/>
                <w:position w:val="0"/>
                <w:sz w:val="24"/>
                <w:highlight w:val="none"/>
                <w:u w:val="none" w:color="auto"/>
                <w:lang w:eastAsia="zh-CN"/>
              </w:rPr>
              <w:t>。</w:t>
            </w:r>
            <w:r>
              <w:rPr>
                <w:rFonts w:hint="default" w:ascii="Times New Roman" w:hAnsi="Times New Roman" w:eastAsia="宋体" w:cs="Times New Roman"/>
                <w:color w:val="auto"/>
                <w:spacing w:val="0"/>
                <w:position w:val="0"/>
                <w:sz w:val="24"/>
                <w:highlight w:val="none"/>
                <w:u w:val="none" w:color="auto"/>
                <w:lang w:val="en-US" w:eastAsia="zh-CN"/>
              </w:rPr>
              <w:t>本项目建成</w:t>
            </w:r>
            <w:r>
              <w:rPr>
                <w:rFonts w:hint="default" w:ascii="Times New Roman" w:hAnsi="Times New Roman" w:eastAsia="宋体" w:cs="Times New Roman"/>
                <w:color w:val="auto"/>
                <w:spacing w:val="0"/>
                <w:position w:val="0"/>
                <w:sz w:val="24"/>
                <w:highlight w:val="none"/>
                <w:u w:val="none" w:color="auto"/>
                <w:lang w:eastAsia="zh-CN"/>
              </w:rPr>
              <w:t>后，全厂大气污染物总量控制指标详见</w:t>
            </w:r>
            <w:r>
              <w:rPr>
                <w:rFonts w:hint="default" w:ascii="Times New Roman" w:hAnsi="Times New Roman" w:eastAsia="宋体" w:cs="Times New Roman"/>
                <w:color w:val="auto"/>
                <w:spacing w:val="0"/>
                <w:position w:val="0"/>
                <w:sz w:val="24"/>
                <w:highlight w:val="none"/>
                <w:u w:val="none" w:color="auto"/>
                <w:lang w:val="en-US" w:eastAsia="zh-CN"/>
              </w:rPr>
              <w:t>下</w:t>
            </w:r>
            <w:r>
              <w:rPr>
                <w:rFonts w:hint="default" w:ascii="Times New Roman" w:hAnsi="Times New Roman" w:eastAsia="宋体" w:cs="Times New Roman"/>
                <w:color w:val="auto"/>
                <w:spacing w:val="0"/>
                <w:position w:val="0"/>
                <w:sz w:val="24"/>
                <w:highlight w:val="none"/>
                <w:u w:val="none" w:color="auto"/>
                <w:lang w:eastAsia="zh-CN"/>
              </w:rPr>
              <w:t>表</w:t>
            </w:r>
            <w:r>
              <w:rPr>
                <w:rFonts w:hint="eastAsia" w:ascii="Times New Roman" w:hAnsi="Times New Roman" w:cs="Times New Roman"/>
                <w:color w:val="auto"/>
                <w:spacing w:val="0"/>
                <w:position w:val="0"/>
                <w:sz w:val="24"/>
                <w:highlight w:val="none"/>
                <w:u w:val="none" w:color="auto"/>
                <w:lang w:eastAsia="zh-CN"/>
              </w:rPr>
              <w:t>：</w:t>
            </w:r>
          </w:p>
          <w:p w14:paraId="328909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u w:val="none" w:color="auto"/>
                <w:lang w:eastAsia="zh-CN"/>
              </w:rPr>
            </w:pPr>
            <w:r>
              <w:rPr>
                <w:rFonts w:hint="default" w:ascii="Times New Roman" w:hAnsi="Times New Roman" w:eastAsia="宋体" w:cs="Times New Roman"/>
                <w:b/>
                <w:bCs/>
                <w:color w:val="auto"/>
                <w:spacing w:val="0"/>
                <w:position w:val="0"/>
                <w:sz w:val="21"/>
                <w:szCs w:val="21"/>
                <w:highlight w:val="none"/>
                <w:u w:val="none" w:color="auto"/>
                <w:lang w:eastAsia="zh-CN"/>
              </w:rPr>
              <w:t>表</w:t>
            </w:r>
            <w:r>
              <w:rPr>
                <w:rFonts w:hint="default" w:ascii="Times New Roman" w:hAnsi="Times New Roman" w:eastAsia="宋体" w:cs="Times New Roman"/>
                <w:b/>
                <w:bCs/>
                <w:color w:val="auto"/>
                <w:spacing w:val="0"/>
                <w:position w:val="0"/>
                <w:sz w:val="21"/>
                <w:szCs w:val="21"/>
                <w:highlight w:val="none"/>
                <w:u w:val="none" w:color="auto"/>
                <w:lang w:val="en-US" w:eastAsia="zh-CN"/>
              </w:rPr>
              <w:t>3</w:t>
            </w:r>
            <w:r>
              <w:rPr>
                <w:rFonts w:hint="default" w:ascii="Times New Roman" w:hAnsi="Times New Roman" w:eastAsia="宋体" w:cs="Times New Roman"/>
                <w:b/>
                <w:bCs/>
                <w:color w:val="auto"/>
                <w:spacing w:val="0"/>
                <w:position w:val="0"/>
                <w:sz w:val="21"/>
                <w:szCs w:val="21"/>
                <w:highlight w:val="none"/>
                <w:u w:val="none" w:color="auto"/>
                <w:lang w:eastAsia="zh-CN"/>
              </w:rPr>
              <w:t>-1</w:t>
            </w:r>
            <w:r>
              <w:rPr>
                <w:rFonts w:hint="eastAsia" w:cs="Times New Roman"/>
                <w:b/>
                <w:bCs/>
                <w:color w:val="auto"/>
                <w:spacing w:val="0"/>
                <w:position w:val="0"/>
                <w:sz w:val="21"/>
                <w:szCs w:val="21"/>
                <w:highlight w:val="none"/>
                <w:u w:val="none" w:color="auto"/>
                <w:lang w:val="en-US" w:eastAsia="zh-CN"/>
              </w:rPr>
              <w:t>4</w:t>
            </w:r>
            <w:r>
              <w:rPr>
                <w:rFonts w:hint="default" w:ascii="Times New Roman" w:hAnsi="Times New Roman" w:cs="Times New Roman"/>
                <w:b/>
                <w:bCs/>
                <w:color w:val="auto"/>
                <w:spacing w:val="0"/>
                <w:position w:val="0"/>
                <w:sz w:val="21"/>
                <w:szCs w:val="21"/>
                <w:highlight w:val="none"/>
                <w:u w:val="none" w:color="auto"/>
                <w:lang w:val="en-US" w:eastAsia="zh-CN"/>
              </w:rPr>
              <w:t xml:space="preserve">  </w:t>
            </w:r>
            <w:r>
              <w:rPr>
                <w:rFonts w:hint="default" w:ascii="Times New Roman" w:hAnsi="Times New Roman" w:eastAsia="宋体" w:cs="Times New Roman"/>
                <w:b/>
                <w:bCs/>
                <w:color w:val="auto"/>
                <w:spacing w:val="0"/>
                <w:position w:val="0"/>
                <w:sz w:val="21"/>
                <w:szCs w:val="21"/>
                <w:highlight w:val="none"/>
                <w:u w:val="none" w:color="auto"/>
                <w:lang w:val="en-US" w:eastAsia="zh-CN"/>
              </w:rPr>
              <w:t>本项目建成后</w:t>
            </w:r>
            <w:r>
              <w:rPr>
                <w:rFonts w:hint="default" w:ascii="Times New Roman" w:hAnsi="Times New Roman" w:eastAsia="宋体" w:cs="Times New Roman"/>
                <w:b/>
                <w:bCs/>
                <w:color w:val="auto"/>
                <w:spacing w:val="0"/>
                <w:position w:val="0"/>
                <w:sz w:val="21"/>
                <w:szCs w:val="21"/>
                <w:highlight w:val="none"/>
                <w:u w:val="none" w:color="auto"/>
                <w:lang w:eastAsia="zh-CN"/>
              </w:rPr>
              <w:t>全厂大气污染物总量控制建议指标（单位：t/a）</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214"/>
              <w:gridCol w:w="1214"/>
              <w:gridCol w:w="1214"/>
              <w:gridCol w:w="1214"/>
              <w:gridCol w:w="1214"/>
              <w:gridCol w:w="1214"/>
            </w:tblGrid>
            <w:tr w14:paraId="4409A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8" w:type="pct"/>
                  <w:tcBorders>
                    <w:tl2br w:val="nil"/>
                    <w:tr2bl w:val="nil"/>
                  </w:tcBorders>
                  <w:noWrap w:val="0"/>
                  <w:vAlign w:val="center"/>
                </w:tcPr>
                <w:p w14:paraId="2013076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rPr>
                    <w:t>污染物</w:t>
                  </w:r>
                </w:p>
              </w:tc>
              <w:tc>
                <w:tcPr>
                  <w:tcW w:w="740" w:type="pct"/>
                  <w:tcBorders>
                    <w:tl2br w:val="nil"/>
                    <w:tr2bl w:val="nil"/>
                  </w:tcBorders>
                  <w:noWrap w:val="0"/>
                  <w:vAlign w:val="center"/>
                </w:tcPr>
                <w:p w14:paraId="147945AA">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rPr>
                    <w:t>现有</w:t>
                  </w:r>
                </w:p>
                <w:p w14:paraId="2C37A7B2">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rPr>
                    <w:t>工程</w:t>
                  </w:r>
                </w:p>
              </w:tc>
              <w:tc>
                <w:tcPr>
                  <w:tcW w:w="740" w:type="pct"/>
                  <w:tcBorders>
                    <w:tl2br w:val="nil"/>
                    <w:tr2bl w:val="nil"/>
                  </w:tcBorders>
                  <w:noWrap w:val="0"/>
                  <w:vAlign w:val="center"/>
                </w:tcPr>
                <w:p w14:paraId="7BCA585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lang w:eastAsia="zh-CN"/>
                    </w:rPr>
                  </w:pPr>
                  <w:r>
                    <w:rPr>
                      <w:rFonts w:hint="default" w:ascii="Times New Roman" w:hAnsi="Times New Roman" w:eastAsia="宋体" w:cs="Times New Roman"/>
                      <w:b/>
                      <w:bCs w:val="0"/>
                      <w:color w:val="auto"/>
                      <w:spacing w:val="0"/>
                      <w:position w:val="0"/>
                      <w:sz w:val="21"/>
                      <w:szCs w:val="21"/>
                      <w:u w:val="none" w:color="auto"/>
                      <w:lang w:eastAsia="zh-CN"/>
                    </w:rPr>
                    <w:t>在建</w:t>
                  </w:r>
                </w:p>
                <w:p w14:paraId="207AE673">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lang w:eastAsia="zh-CN"/>
                    </w:rPr>
                  </w:pPr>
                  <w:r>
                    <w:rPr>
                      <w:rFonts w:hint="default" w:ascii="Times New Roman" w:hAnsi="Times New Roman" w:eastAsia="宋体" w:cs="Times New Roman"/>
                      <w:b/>
                      <w:bCs w:val="0"/>
                      <w:color w:val="auto"/>
                      <w:spacing w:val="0"/>
                      <w:position w:val="0"/>
                      <w:sz w:val="21"/>
                      <w:szCs w:val="21"/>
                      <w:u w:val="none" w:color="auto"/>
                      <w:lang w:eastAsia="zh-CN"/>
                    </w:rPr>
                    <w:t>工程</w:t>
                  </w:r>
                </w:p>
              </w:tc>
              <w:tc>
                <w:tcPr>
                  <w:tcW w:w="740" w:type="pct"/>
                  <w:tcBorders>
                    <w:tl2br w:val="nil"/>
                    <w:tr2bl w:val="nil"/>
                  </w:tcBorders>
                  <w:noWrap w:val="0"/>
                  <w:vAlign w:val="center"/>
                </w:tcPr>
                <w:p w14:paraId="5BAFC1E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lang w:eastAsia="zh-CN"/>
                    </w:rPr>
                  </w:pPr>
                  <w:r>
                    <w:rPr>
                      <w:rFonts w:hint="default" w:ascii="Times New Roman" w:hAnsi="Times New Roman" w:eastAsia="宋体" w:cs="Times New Roman"/>
                      <w:b/>
                      <w:bCs w:val="0"/>
                      <w:color w:val="auto"/>
                      <w:spacing w:val="0"/>
                      <w:position w:val="0"/>
                      <w:sz w:val="21"/>
                      <w:szCs w:val="21"/>
                      <w:u w:val="none" w:color="auto"/>
                      <w:lang w:eastAsia="zh-CN"/>
                    </w:rPr>
                    <w:t>本项目</w:t>
                  </w:r>
                </w:p>
              </w:tc>
              <w:tc>
                <w:tcPr>
                  <w:tcW w:w="740" w:type="pct"/>
                  <w:tcBorders>
                    <w:tl2br w:val="nil"/>
                    <w:tr2bl w:val="nil"/>
                  </w:tcBorders>
                  <w:noWrap w:val="0"/>
                  <w:vAlign w:val="center"/>
                </w:tcPr>
                <w:p w14:paraId="42B24318">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lang w:val="en-US" w:eastAsia="zh-CN"/>
                    </w:rPr>
                    <w:t>项目建成后</w:t>
                  </w:r>
                  <w:r>
                    <w:rPr>
                      <w:rFonts w:hint="default" w:ascii="Times New Roman" w:hAnsi="Times New Roman" w:eastAsia="宋体" w:cs="Times New Roman"/>
                      <w:b/>
                      <w:bCs w:val="0"/>
                      <w:color w:val="auto"/>
                      <w:spacing w:val="0"/>
                      <w:position w:val="0"/>
                      <w:sz w:val="21"/>
                      <w:szCs w:val="21"/>
                      <w:u w:val="none" w:color="auto"/>
                    </w:rPr>
                    <w:t>全厂总量</w:t>
                  </w:r>
                </w:p>
              </w:tc>
              <w:tc>
                <w:tcPr>
                  <w:tcW w:w="740" w:type="pct"/>
                  <w:tcBorders>
                    <w:tl2br w:val="nil"/>
                    <w:tr2bl w:val="nil"/>
                  </w:tcBorders>
                  <w:noWrap w:val="0"/>
                  <w:vAlign w:val="center"/>
                </w:tcPr>
                <w:p w14:paraId="76989DE7">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lang w:val="en-US" w:eastAsia="zh-CN"/>
                    </w:rPr>
                  </w:pPr>
                  <w:r>
                    <w:rPr>
                      <w:rFonts w:hint="eastAsia" w:ascii="Times New Roman" w:hAnsi="Times New Roman" w:cs="Times New Roman"/>
                      <w:b/>
                      <w:bCs w:val="0"/>
                      <w:color w:val="auto"/>
                      <w:spacing w:val="0"/>
                      <w:position w:val="0"/>
                      <w:sz w:val="21"/>
                      <w:szCs w:val="21"/>
                      <w:u w:val="none" w:color="auto"/>
                      <w:lang w:val="en-US" w:eastAsia="zh-CN"/>
                    </w:rPr>
                    <w:t>已批复指标</w:t>
                  </w:r>
                </w:p>
              </w:tc>
              <w:tc>
                <w:tcPr>
                  <w:tcW w:w="740" w:type="pct"/>
                  <w:tcBorders>
                    <w:tl2br w:val="nil"/>
                    <w:tr2bl w:val="nil"/>
                  </w:tcBorders>
                  <w:noWrap w:val="0"/>
                  <w:vAlign w:val="center"/>
                </w:tcPr>
                <w:p w14:paraId="0D43579C">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bCs w:val="0"/>
                      <w:color w:val="auto"/>
                      <w:spacing w:val="0"/>
                      <w:position w:val="0"/>
                      <w:sz w:val="21"/>
                      <w:szCs w:val="21"/>
                      <w:u w:val="none" w:color="auto"/>
                    </w:rPr>
                  </w:pPr>
                  <w:r>
                    <w:rPr>
                      <w:rFonts w:hint="default" w:ascii="Times New Roman" w:hAnsi="Times New Roman" w:eastAsia="宋体" w:cs="Times New Roman"/>
                      <w:b/>
                      <w:bCs w:val="0"/>
                      <w:color w:val="auto"/>
                      <w:spacing w:val="0"/>
                      <w:position w:val="0"/>
                      <w:sz w:val="21"/>
                      <w:szCs w:val="21"/>
                      <w:u w:val="none" w:color="auto"/>
                      <w:lang w:val="en-US" w:eastAsia="zh-CN"/>
                    </w:rPr>
                    <w:t>建议</w:t>
                  </w:r>
                  <w:r>
                    <w:rPr>
                      <w:rFonts w:hint="eastAsia" w:cs="Times New Roman"/>
                      <w:b/>
                      <w:bCs w:val="0"/>
                      <w:color w:val="auto"/>
                      <w:spacing w:val="0"/>
                      <w:position w:val="0"/>
                      <w:sz w:val="21"/>
                      <w:szCs w:val="21"/>
                      <w:u w:val="none" w:color="auto"/>
                      <w:lang w:val="en-US" w:eastAsia="zh-CN"/>
                    </w:rPr>
                    <w:t>新增</w:t>
                  </w:r>
                  <w:r>
                    <w:rPr>
                      <w:rFonts w:hint="default" w:ascii="Times New Roman" w:hAnsi="Times New Roman" w:eastAsia="宋体" w:cs="Times New Roman"/>
                      <w:b/>
                      <w:bCs w:val="0"/>
                      <w:color w:val="auto"/>
                      <w:spacing w:val="0"/>
                      <w:position w:val="0"/>
                      <w:sz w:val="21"/>
                      <w:szCs w:val="21"/>
                      <w:u w:val="none" w:color="auto"/>
                      <w:lang w:val="en-US" w:eastAsia="zh-CN"/>
                    </w:rPr>
                    <w:t>控制指标</w:t>
                  </w:r>
                </w:p>
              </w:tc>
            </w:tr>
            <w:tr w14:paraId="77345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58" w:type="pct"/>
                  <w:tcBorders>
                    <w:tl2br w:val="nil"/>
                    <w:tr2bl w:val="nil"/>
                  </w:tcBorders>
                  <w:noWrap w:val="0"/>
                  <w:vAlign w:val="center"/>
                </w:tcPr>
                <w:p w14:paraId="68A6F1EE">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pacing w:val="0"/>
                      <w:position w:val="0"/>
                      <w:sz w:val="21"/>
                      <w:szCs w:val="21"/>
                      <w:u w:val="none" w:color="auto"/>
                    </w:rPr>
                  </w:pPr>
                  <w:r>
                    <w:rPr>
                      <w:rFonts w:hint="default" w:ascii="Times New Roman" w:hAnsi="Times New Roman" w:eastAsia="宋体" w:cs="Times New Roman"/>
                      <w:color w:val="auto"/>
                      <w:spacing w:val="0"/>
                      <w:position w:val="0"/>
                      <w:sz w:val="21"/>
                      <w:szCs w:val="21"/>
                      <w:u w:val="none" w:color="auto"/>
                    </w:rPr>
                    <w:t>VOCs</w:t>
                  </w:r>
                </w:p>
              </w:tc>
              <w:tc>
                <w:tcPr>
                  <w:tcW w:w="740" w:type="pct"/>
                  <w:tcBorders>
                    <w:tl2br w:val="nil"/>
                    <w:tr2bl w:val="nil"/>
                  </w:tcBorders>
                  <w:noWrap w:val="0"/>
                  <w:vAlign w:val="center"/>
                </w:tcPr>
                <w:p w14:paraId="26B9D57B">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eastAsia" w:ascii="Times New Roman" w:hAnsi="Times New Roman" w:eastAsia="宋体" w:cs="Times New Roman"/>
                      <w:color w:val="auto"/>
                      <w:spacing w:val="0"/>
                      <w:position w:val="0"/>
                      <w:sz w:val="21"/>
                      <w:szCs w:val="21"/>
                      <w:u w:val="none" w:color="auto"/>
                      <w:lang w:val="en-US" w:eastAsia="zh-CN"/>
                    </w:rPr>
                  </w:pPr>
                  <w:r>
                    <w:rPr>
                      <w:rFonts w:hint="eastAsia" w:ascii="Times New Roman" w:hAnsi="Times New Roman" w:cs="Times New Roman"/>
                      <w:color w:val="auto"/>
                      <w:spacing w:val="0"/>
                      <w:position w:val="0"/>
                      <w:sz w:val="21"/>
                      <w:szCs w:val="21"/>
                      <w:u w:val="none" w:color="auto"/>
                      <w:lang w:val="en-US" w:eastAsia="zh-CN"/>
                    </w:rPr>
                    <w:t>0</w:t>
                  </w:r>
                </w:p>
              </w:tc>
              <w:tc>
                <w:tcPr>
                  <w:tcW w:w="1214" w:type="dxa"/>
                  <w:tcBorders>
                    <w:tl2br w:val="nil"/>
                    <w:tr2bl w:val="nil"/>
                  </w:tcBorders>
                  <w:noWrap w:val="0"/>
                  <w:vAlign w:val="center"/>
                </w:tcPr>
                <w:p w14:paraId="755E4E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position w:val="0"/>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0.342</w:t>
                  </w:r>
                </w:p>
              </w:tc>
              <w:tc>
                <w:tcPr>
                  <w:tcW w:w="1214" w:type="dxa"/>
                  <w:tcBorders>
                    <w:tl2br w:val="nil"/>
                    <w:tr2bl w:val="nil"/>
                  </w:tcBorders>
                  <w:noWrap w:val="0"/>
                  <w:vAlign w:val="center"/>
                </w:tcPr>
                <w:p w14:paraId="550BC2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0.336</w:t>
                  </w:r>
                </w:p>
              </w:tc>
              <w:tc>
                <w:tcPr>
                  <w:tcW w:w="740" w:type="pct"/>
                  <w:tcBorders>
                    <w:tl2br w:val="nil"/>
                    <w:tr2bl w:val="nil"/>
                  </w:tcBorders>
                  <w:noWrap w:val="0"/>
                  <w:vAlign w:val="center"/>
                </w:tcPr>
                <w:p w14:paraId="38D9810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pacing w:val="0"/>
                      <w:kern w:val="0"/>
                      <w:position w:val="0"/>
                      <w:sz w:val="21"/>
                      <w:szCs w:val="21"/>
                      <w:u w:val="none" w:color="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0.678</w:t>
                  </w:r>
                </w:p>
              </w:tc>
              <w:tc>
                <w:tcPr>
                  <w:tcW w:w="740" w:type="pct"/>
                  <w:tcBorders>
                    <w:tl2br w:val="nil"/>
                    <w:tr2bl w:val="nil"/>
                  </w:tcBorders>
                  <w:noWrap w:val="0"/>
                  <w:vAlign w:val="center"/>
                </w:tcPr>
                <w:p w14:paraId="7617F49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pacing w:val="0"/>
                      <w:kern w:val="0"/>
                      <w:positio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0.342</w:t>
                  </w:r>
                </w:p>
              </w:tc>
              <w:tc>
                <w:tcPr>
                  <w:tcW w:w="740" w:type="pct"/>
                  <w:tcBorders>
                    <w:tl2br w:val="nil"/>
                    <w:tr2bl w:val="nil"/>
                  </w:tcBorders>
                  <w:noWrap w:val="0"/>
                  <w:vAlign w:val="center"/>
                </w:tcPr>
                <w:p w14:paraId="446BA77F">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pacing w:val="0"/>
                      <w:position w:val="0"/>
                      <w:sz w:val="21"/>
                      <w:szCs w:val="21"/>
                      <w:u w:val="none" w:color="auto"/>
                      <w:lang w:val="en-US" w:eastAsia="zh-CN"/>
                    </w:rPr>
                  </w:pPr>
                  <w:r>
                    <w:rPr>
                      <w:rFonts w:hint="eastAsia" w:cs="Times New Roman"/>
                      <w:color w:val="auto"/>
                      <w:spacing w:val="0"/>
                      <w:position w:val="0"/>
                      <w:sz w:val="21"/>
                      <w:szCs w:val="21"/>
                      <w:u w:val="none" w:color="auto"/>
                      <w:lang w:val="en-US" w:eastAsia="zh-CN"/>
                    </w:rPr>
                    <w:t>0.336</w:t>
                  </w:r>
                </w:p>
              </w:tc>
            </w:tr>
          </w:tbl>
          <w:p w14:paraId="5A98BF25">
            <w:pPr>
              <w:pStyle w:val="13"/>
              <w:keepNext w:val="0"/>
              <w:keepLines w:val="0"/>
              <w:pageBreakBefore w:val="0"/>
              <w:suppressLineNumbers w:val="0"/>
              <w:kinsoku/>
              <w:overflowPunct/>
              <w:topLinePunct w:val="0"/>
              <w:autoSpaceDE/>
              <w:autoSpaceDN/>
              <w:bidi w:val="0"/>
              <w:spacing w:before="0" w:beforeAutospacing="0" w:after="0" w:afterAutospacing="0"/>
              <w:ind w:left="0" w:leftChars="0" w:right="0" w:rightChars="0" w:firstLine="0" w:firstLineChars="0"/>
              <w:outlineLvl w:val="9"/>
              <w:rPr>
                <w:rFonts w:hint="default" w:ascii="Times New Roman" w:hAnsi="Times New Roman" w:eastAsia="宋体" w:cs="Times New Roman"/>
                <w:color w:val="000000" w:themeColor="text1"/>
                <w:spacing w:val="0"/>
                <w:kern w:val="2"/>
                <w:position w:val="0"/>
                <w:sz w:val="21"/>
                <w:szCs w:val="24"/>
                <w:u w:val="none" w:color="auto"/>
                <w:lang w:val="en-US" w:eastAsia="zh-CN" w:bidi="ar-SA"/>
                <w14:textFill>
                  <w14:solidFill>
                    <w14:schemeClr w14:val="tx1"/>
                  </w14:solidFill>
                </w14:textFill>
              </w:rPr>
            </w:pPr>
          </w:p>
        </w:tc>
      </w:tr>
    </w:tbl>
    <w:p w14:paraId="4F523742">
      <w:pPr>
        <w:rPr>
          <w:rFonts w:hint="default" w:ascii="Times New Roman" w:hAnsi="Times New Roman" w:eastAsia="宋体" w:cs="Times New Roman"/>
          <w:color w:val="000000" w:themeColor="text1"/>
          <w:spacing w:val="0"/>
          <w:position w:val="0"/>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u w:val="none" w:color="auto"/>
          <w14:textFill>
            <w14:solidFill>
              <w14:schemeClr w14:val="tx1"/>
            </w14:solidFill>
          </w14:textFill>
        </w:rPr>
        <w:br w:type="page"/>
      </w:r>
    </w:p>
    <w:p w14:paraId="51AFA58F">
      <w:pPr>
        <w:pStyle w:val="6"/>
        <w:bidi w:val="0"/>
        <w:rPr>
          <w:rFonts w:hint="default"/>
        </w:rPr>
      </w:pPr>
      <w:bookmarkStart w:id="13" w:name="_Toc542"/>
      <w:bookmarkStart w:id="14" w:name="_Toc13570"/>
      <w:r>
        <w:rPr>
          <w:rFonts w:hint="default"/>
        </w:rPr>
        <w:t>四、主要环境影响和保护措施</w:t>
      </w:r>
      <w:bookmarkEnd w:id="13"/>
      <w:bookmarkEnd w:id="14"/>
    </w:p>
    <w:tbl>
      <w:tblPr>
        <w:tblStyle w:val="37"/>
        <w:tblW w:w="51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9"/>
        <w:gridCol w:w="9103"/>
      </w:tblGrid>
      <w:tr w14:paraId="7D1727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1" w:hRule="atLeast"/>
          <w:jc w:val="center"/>
        </w:trPr>
        <w:tc>
          <w:tcPr>
            <w:tcW w:w="159" w:type="pct"/>
            <w:noWrap w:val="0"/>
            <w:tcMar>
              <w:left w:w="28" w:type="dxa"/>
              <w:right w:w="28" w:type="dxa"/>
            </w:tcMar>
            <w:vAlign w:val="center"/>
          </w:tcPr>
          <w:p w14:paraId="6DC6F35A">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000000" w:themeColor="text1"/>
                <w:spacing w:val="0"/>
                <w:kern w:val="2"/>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kern w:val="2"/>
                <w:position w:val="0"/>
                <w:sz w:val="24"/>
                <w:szCs w:val="24"/>
                <w:u w:val="none" w:color="auto"/>
                <w14:textFill>
                  <w14:solidFill>
                    <w14:schemeClr w14:val="tx1"/>
                  </w14:solidFill>
                </w14:textFill>
              </w:rPr>
              <w:t>施工</w:t>
            </w:r>
          </w:p>
          <w:p w14:paraId="6C4137E5">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000000" w:themeColor="text1"/>
                <w:spacing w:val="0"/>
                <w:kern w:val="2"/>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kern w:val="2"/>
                <w:position w:val="0"/>
                <w:sz w:val="24"/>
                <w:szCs w:val="24"/>
                <w:u w:val="none" w:color="auto"/>
                <w14:textFill>
                  <w14:solidFill>
                    <w14:schemeClr w14:val="tx1"/>
                  </w14:solidFill>
                </w14:textFill>
              </w:rPr>
              <w:t>期环</w:t>
            </w:r>
          </w:p>
          <w:p w14:paraId="20AE919A">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000000" w:themeColor="text1"/>
                <w:spacing w:val="0"/>
                <w:kern w:val="2"/>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kern w:val="2"/>
                <w:position w:val="0"/>
                <w:sz w:val="24"/>
                <w:szCs w:val="24"/>
                <w:u w:val="none" w:color="auto"/>
                <w14:textFill>
                  <w14:solidFill>
                    <w14:schemeClr w14:val="tx1"/>
                  </w14:solidFill>
                </w14:textFill>
              </w:rPr>
              <w:t>境保</w:t>
            </w:r>
          </w:p>
          <w:p w14:paraId="782CF577">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000000" w:themeColor="text1"/>
                <w:spacing w:val="0"/>
                <w:kern w:val="2"/>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kern w:val="2"/>
                <w:position w:val="0"/>
                <w:sz w:val="24"/>
                <w:szCs w:val="24"/>
                <w:u w:val="none" w:color="auto"/>
                <w14:textFill>
                  <w14:solidFill>
                    <w14:schemeClr w14:val="tx1"/>
                  </w14:solidFill>
                </w14:textFill>
              </w:rPr>
              <w:t>护措</w:t>
            </w:r>
          </w:p>
          <w:p w14:paraId="6A870D90">
            <w:pPr>
              <w:pStyle w:val="3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bCs/>
                <w:color w:val="000000" w:themeColor="text1"/>
                <w:spacing w:val="0"/>
                <w:kern w:val="2"/>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kern w:val="2"/>
                <w:position w:val="0"/>
                <w:sz w:val="24"/>
                <w:szCs w:val="24"/>
                <w:u w:val="none" w:color="auto"/>
                <w14:textFill>
                  <w14:solidFill>
                    <w14:schemeClr w14:val="tx1"/>
                  </w14:solidFill>
                </w14:textFill>
              </w:rPr>
              <w:t>施</w:t>
            </w:r>
          </w:p>
        </w:tc>
        <w:tc>
          <w:tcPr>
            <w:tcW w:w="4840" w:type="pct"/>
            <w:noWrap w:val="0"/>
            <w:vAlign w:val="center"/>
          </w:tcPr>
          <w:p w14:paraId="2835E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outlineLvl w:val="9"/>
              <w:rPr>
                <w:rFonts w:hint="default" w:ascii="Times New Roman" w:hAnsi="Times New Roman" w:eastAsia="宋体" w:cs="Times New Roman"/>
                <w:color w:val="000000" w:themeColor="text1"/>
                <w:spacing w:val="0"/>
                <w:kern w:val="0"/>
                <w:position w:val="0"/>
                <w:sz w:val="21"/>
                <w:szCs w:val="21"/>
                <w:u w:val="none" w:color="auto"/>
                <w:lang w:eastAsia="zh-CN"/>
                <w14:textFill>
                  <w14:solidFill>
                    <w14:schemeClr w14:val="tx1"/>
                  </w14:solidFill>
                </w14:textFill>
              </w:rPr>
            </w:pPr>
            <w:r>
              <w:rPr>
                <w:rFonts w:hint="eastAsia"/>
                <w:color w:val="auto"/>
                <w:sz w:val="24"/>
                <w:szCs w:val="24"/>
                <w:u w:val="none" w:color="auto"/>
                <w:lang w:eastAsia="zh-CN"/>
              </w:rPr>
              <w:t>本项目利用现有厂房进行生产，不新增用地和建构筑物，施工期仅为设备安装调试。项目施工期较短，主要为设备安装噪声，通过加强管理和厂房隔声后，对环境影响较小。</w:t>
            </w:r>
          </w:p>
        </w:tc>
      </w:tr>
      <w:tr w14:paraId="208564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59" w:type="pct"/>
            <w:noWrap w:val="0"/>
            <w:tcMar>
              <w:left w:w="28" w:type="dxa"/>
              <w:right w:w="28" w:type="dxa"/>
            </w:tcMar>
            <w:vAlign w:val="center"/>
          </w:tcPr>
          <w:p w14:paraId="29DD52F2">
            <w:pPr>
              <w:keepNext w:val="0"/>
              <w:keepLines w:val="0"/>
              <w:pageBreakBefore w:val="0"/>
              <w:suppressLineNumbers w:val="0"/>
              <w:kinsoku/>
              <w:overflowPunct/>
              <w:bidi w:val="0"/>
              <w:adjustRightInd w:val="0"/>
              <w:snapToGrid w:val="0"/>
              <w:spacing w:before="0" w:beforeAutospacing="0" w:after="0" w:afterAutospacing="0"/>
              <w:ind w:left="0" w:right="0"/>
              <w:jc w:val="center"/>
              <w:outlineLvl w:val="9"/>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t>运营</w:t>
            </w:r>
          </w:p>
          <w:p w14:paraId="2E7B02E3">
            <w:pPr>
              <w:keepNext w:val="0"/>
              <w:keepLines w:val="0"/>
              <w:pageBreakBefore w:val="0"/>
              <w:suppressLineNumbers w:val="0"/>
              <w:kinsoku/>
              <w:overflowPunct/>
              <w:bidi w:val="0"/>
              <w:adjustRightInd w:val="0"/>
              <w:snapToGrid w:val="0"/>
              <w:spacing w:before="0" w:beforeAutospacing="0" w:after="0" w:afterAutospacing="0"/>
              <w:ind w:left="0" w:right="0"/>
              <w:jc w:val="center"/>
              <w:outlineLvl w:val="9"/>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t>期环</w:t>
            </w:r>
          </w:p>
          <w:p w14:paraId="7187D182">
            <w:pPr>
              <w:keepNext w:val="0"/>
              <w:keepLines w:val="0"/>
              <w:pageBreakBefore w:val="0"/>
              <w:suppressLineNumbers w:val="0"/>
              <w:kinsoku/>
              <w:overflowPunct/>
              <w:bidi w:val="0"/>
              <w:adjustRightInd w:val="0"/>
              <w:snapToGrid w:val="0"/>
              <w:spacing w:before="0" w:beforeAutospacing="0" w:after="0" w:afterAutospacing="0"/>
              <w:ind w:left="0" w:right="0"/>
              <w:jc w:val="center"/>
              <w:outlineLvl w:val="9"/>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t>境影</w:t>
            </w:r>
          </w:p>
          <w:p w14:paraId="510630D8">
            <w:pPr>
              <w:keepNext w:val="0"/>
              <w:keepLines w:val="0"/>
              <w:pageBreakBefore w:val="0"/>
              <w:suppressLineNumbers w:val="0"/>
              <w:kinsoku/>
              <w:overflowPunct/>
              <w:bidi w:val="0"/>
              <w:adjustRightInd w:val="0"/>
              <w:snapToGrid w:val="0"/>
              <w:spacing w:before="0" w:beforeAutospacing="0" w:after="0" w:afterAutospacing="0"/>
              <w:ind w:left="0" w:right="0"/>
              <w:jc w:val="center"/>
              <w:outlineLvl w:val="9"/>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t>响和</w:t>
            </w:r>
          </w:p>
          <w:p w14:paraId="13F1CB85">
            <w:pPr>
              <w:keepNext w:val="0"/>
              <w:keepLines w:val="0"/>
              <w:pageBreakBefore w:val="0"/>
              <w:suppressLineNumbers w:val="0"/>
              <w:kinsoku/>
              <w:overflowPunct/>
              <w:bidi w:val="0"/>
              <w:adjustRightInd w:val="0"/>
              <w:snapToGrid w:val="0"/>
              <w:spacing w:before="0" w:beforeAutospacing="0" w:after="0" w:afterAutospacing="0"/>
              <w:ind w:left="0" w:right="0"/>
              <w:jc w:val="center"/>
              <w:outlineLvl w:val="9"/>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t>保护</w:t>
            </w:r>
          </w:p>
          <w:p w14:paraId="4C109F27">
            <w:pPr>
              <w:keepNext w:val="0"/>
              <w:keepLines w:val="0"/>
              <w:pageBreakBefore w:val="0"/>
              <w:suppressLineNumbers w:val="0"/>
              <w:kinsoku/>
              <w:overflowPunct/>
              <w:bidi w:val="0"/>
              <w:adjustRightInd w:val="0"/>
              <w:snapToGrid w:val="0"/>
              <w:spacing w:before="0" w:beforeAutospacing="0" w:after="0" w:afterAutospacing="0"/>
              <w:ind w:left="0" w:right="0"/>
              <w:jc w:val="center"/>
              <w:outlineLvl w:val="9"/>
              <w:rPr>
                <w:rFonts w:hint="default" w:ascii="Times New Roman" w:hAnsi="Times New Roman" w:eastAsia="宋体" w:cs="Times New Roman"/>
                <w:bCs/>
                <w:color w:val="000000" w:themeColor="text1"/>
                <w:spacing w:val="0"/>
                <w:kern w:val="2"/>
                <w:position w:val="0"/>
                <w:sz w:val="24"/>
                <w:szCs w:val="24"/>
                <w:u w:val="none" w:color="auto"/>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0"/>
                <w:position w:val="0"/>
                <w:sz w:val="24"/>
                <w:szCs w:val="24"/>
                <w:u w:val="none" w:color="auto"/>
                <w14:textFill>
                  <w14:solidFill>
                    <w14:schemeClr w14:val="tx1"/>
                  </w14:solidFill>
                </w14:textFill>
              </w:rPr>
              <w:t>措施</w:t>
            </w:r>
          </w:p>
        </w:tc>
        <w:tc>
          <w:tcPr>
            <w:tcW w:w="4840" w:type="pct"/>
            <w:noWrap w:val="0"/>
            <w:vAlign w:val="center"/>
          </w:tcPr>
          <w:p w14:paraId="7C34A693">
            <w:pPr>
              <w:keepNext w:val="0"/>
              <w:keepLines w:val="0"/>
              <w:suppressLineNumbers w:val="0"/>
              <w:spacing w:before="0" w:beforeAutospacing="0" w:after="0" w:afterAutospacing="0" w:line="360" w:lineRule="auto"/>
              <w:ind w:left="0" w:right="0"/>
              <w:rPr>
                <w:rFonts w:hint="default"/>
                <w:b/>
                <w:bCs/>
                <w:color w:val="auto"/>
                <w:sz w:val="28"/>
                <w:szCs w:val="28"/>
                <w:lang w:val="en-US" w:eastAsia="zh-CN"/>
              </w:rPr>
            </w:pPr>
            <w:r>
              <w:rPr>
                <w:rFonts w:hint="eastAsia"/>
                <w:b/>
                <w:bCs/>
                <w:color w:val="auto"/>
                <w:sz w:val="28"/>
                <w:szCs w:val="28"/>
                <w:lang w:val="en-US" w:eastAsia="zh-CN"/>
              </w:rPr>
              <w:t>1、</w:t>
            </w:r>
            <w:r>
              <w:rPr>
                <w:rFonts w:hint="default"/>
                <w:b/>
                <w:bCs/>
                <w:color w:val="auto"/>
                <w:sz w:val="28"/>
                <w:szCs w:val="28"/>
                <w:lang w:val="en-US" w:eastAsia="zh-CN"/>
              </w:rPr>
              <w:t>运营期大气环境影响分析和保护措施</w:t>
            </w:r>
          </w:p>
          <w:p w14:paraId="420EA6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1.1污染工序及源强分析</w:t>
            </w:r>
          </w:p>
          <w:p w14:paraId="2D47DEA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本项目运营期产生的废气主要包括：</w:t>
            </w:r>
            <w:r>
              <w:rPr>
                <w:rFonts w:hint="default" w:ascii="Times New Roman" w:hAnsi="Times New Roman" w:cs="Times New Roman"/>
                <w:color w:val="auto"/>
                <w:sz w:val="24"/>
                <w:highlight w:val="none"/>
                <w:u w:val="none"/>
                <w:lang w:val="en-US" w:eastAsia="zh-CN"/>
              </w:rPr>
              <w:t>下料</w:t>
            </w:r>
            <w:r>
              <w:rPr>
                <w:rFonts w:hint="default" w:ascii="Times New Roman" w:hAnsi="Times New Roman" w:eastAsia="宋体" w:cs="Times New Roman"/>
                <w:color w:val="auto"/>
                <w:sz w:val="24"/>
                <w:highlight w:val="none"/>
                <w:u w:val="none"/>
                <w:lang w:val="en-US" w:eastAsia="zh-CN"/>
              </w:rPr>
              <w:t>粉尘、焊接工序产生的烟尘、抛丸粉尘、喷漆工序产生的颗粒物和有机废气等。</w:t>
            </w:r>
          </w:p>
          <w:p w14:paraId="080816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jc w:val="both"/>
              <w:textAlignment w:val="auto"/>
              <w:rPr>
                <w:rFonts w:hint="default" w:ascii="Times New Roman" w:hAnsi="Times New Roman" w:eastAsia="宋体" w:cs="Times New Roman"/>
                <w:color w:val="auto"/>
                <w:w w:val="100"/>
                <w:sz w:val="24"/>
                <w:highlight w:val="none"/>
                <w:u w:val="none" w:color="auto"/>
                <w:lang w:val="en-US" w:eastAsia="zh-CN"/>
              </w:rPr>
            </w:pPr>
            <w:r>
              <w:rPr>
                <w:rFonts w:hint="default" w:ascii="Times New Roman" w:hAnsi="Times New Roman" w:cs="Times New Roman"/>
                <w:color w:val="auto"/>
                <w:w w:val="100"/>
                <w:sz w:val="24"/>
                <w:highlight w:val="none"/>
                <w:u w:val="none" w:color="auto"/>
                <w:lang w:val="en-US" w:eastAsia="zh-CN"/>
              </w:rPr>
              <w:t>（1）下料</w:t>
            </w:r>
            <w:r>
              <w:rPr>
                <w:rFonts w:hint="default" w:ascii="Times New Roman" w:hAnsi="Times New Roman" w:eastAsia="宋体" w:cs="Times New Roman"/>
                <w:color w:val="auto"/>
                <w:w w:val="100"/>
                <w:sz w:val="24"/>
                <w:highlight w:val="none"/>
                <w:u w:val="none" w:color="auto"/>
                <w:lang w:val="en-US" w:eastAsia="zh-CN"/>
              </w:rPr>
              <w:t>粉尘</w:t>
            </w:r>
          </w:p>
          <w:p w14:paraId="16E00221">
            <w:pPr>
              <w:pStyle w:val="97"/>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原辅材料下料</w:t>
            </w:r>
            <w:r>
              <w:rPr>
                <w:rFonts w:hint="default" w:ascii="Times New Roman" w:hAnsi="Times New Roman" w:cs="Times New Roman"/>
                <w:color w:val="auto"/>
                <w:highlight w:val="none"/>
              </w:rPr>
              <w:t>工序使用激光切割、</w:t>
            </w:r>
            <w:r>
              <w:rPr>
                <w:rFonts w:hint="default" w:ascii="Times New Roman" w:hAnsi="Times New Roman" w:cs="Times New Roman"/>
                <w:color w:val="auto"/>
                <w:highlight w:val="none"/>
                <w:lang w:eastAsia="zh-CN"/>
              </w:rPr>
              <w:t>等离子切割、</w:t>
            </w:r>
            <w:r>
              <w:rPr>
                <w:rFonts w:hint="default" w:ascii="Times New Roman" w:hAnsi="Times New Roman" w:cs="Times New Roman"/>
                <w:color w:val="auto"/>
                <w:highlight w:val="none"/>
              </w:rPr>
              <w:t>火焰切割和机械切割等切割方法，此工序会产生颗粒物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根据《排放源统计调查产排污核算方法和系数手册》中“33-37机械行业系数手册-04下料”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“氧/可燃气切割”颗粒物产污系数为“1.50kg/吨-原料”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“锯床、砂轮切割机切割”颗粒物产污系数为“5.30kg/吨-原料”</w:t>
            </w:r>
            <w:r>
              <w:rPr>
                <w:rFonts w:hint="default" w:ascii="Times New Roman" w:hAnsi="Times New Roman" w:cs="Times New Roman"/>
                <w:color w:val="auto"/>
                <w:highlight w:val="none"/>
                <w:lang w:eastAsia="zh-CN"/>
              </w:rPr>
              <w:t>；“等离子切割”</w:t>
            </w:r>
            <w:r>
              <w:rPr>
                <w:rFonts w:hint="default" w:ascii="Times New Roman" w:hAnsi="Times New Roman" w:cs="Times New Roman"/>
                <w:color w:val="auto"/>
                <w:highlight w:val="none"/>
              </w:rPr>
              <w:t>颗粒物产污系数为“</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kg/吨-原料”</w:t>
            </w:r>
            <w:r>
              <w:rPr>
                <w:rFonts w:hint="default" w:ascii="Times New Roman" w:hAnsi="Times New Roman" w:cs="Times New Roman"/>
                <w:color w:val="auto"/>
                <w:highlight w:val="none"/>
                <w:lang w:eastAsia="zh-CN"/>
              </w:rPr>
              <w:t>；激光切割无产污系数，实际激光切割颗粒物产生量较等离子切割小，故本次评价参照等离子切割的颗粒物产生系数，确定激光切割</w:t>
            </w:r>
            <w:r>
              <w:rPr>
                <w:rFonts w:hint="default" w:ascii="Times New Roman" w:hAnsi="Times New Roman" w:cs="Times New Roman"/>
                <w:color w:val="auto"/>
                <w:highlight w:val="none"/>
              </w:rPr>
              <w:t>颗粒物产污系数为“</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kg/吨-原料”</w:t>
            </w:r>
            <w:r>
              <w:rPr>
                <w:rFonts w:hint="default" w:ascii="Times New Roman" w:hAnsi="Times New Roman" w:cs="Times New Roman"/>
                <w:color w:val="auto"/>
                <w:highlight w:val="none"/>
                <w:lang w:eastAsia="zh-CN"/>
              </w:rPr>
              <w:t>。</w:t>
            </w:r>
          </w:p>
          <w:p w14:paraId="6DED388B">
            <w:pPr>
              <w:pStyle w:val="97"/>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cs="Times New Roman"/>
                <w:color w:val="auto"/>
                <w:highlight w:val="none"/>
                <w:lang w:eastAsia="zh-CN"/>
              </w:rPr>
              <w:t>本项目板材的切割方式为激光切割，共需切割</w:t>
            </w:r>
            <w:r>
              <w:rPr>
                <w:rFonts w:hint="default" w:ascii="Times New Roman" w:hAnsi="Times New Roman" w:cs="Times New Roman"/>
                <w:color w:val="auto"/>
                <w:highlight w:val="none"/>
                <w:lang w:val="en-US" w:eastAsia="zh-CN"/>
              </w:rPr>
              <w:t>474</w:t>
            </w:r>
            <w:r>
              <w:rPr>
                <w:rFonts w:hint="default" w:ascii="Times New Roman" w:hAnsi="Times New Roman" w:cs="Times New Roman"/>
                <w:color w:val="auto"/>
                <w:sz w:val="24"/>
                <w:szCs w:val="24"/>
                <w:u w:val="none" w:color="auto"/>
                <w:lang w:val="en-US" w:eastAsia="zh-CN"/>
              </w:rPr>
              <w:t>t</w:t>
            </w:r>
            <w:r>
              <w:rPr>
                <w:rFonts w:hint="default" w:ascii="Times New Roman" w:hAnsi="Times New Roman" w:eastAsia="宋体" w:cs="Times New Roman"/>
                <w:color w:val="auto"/>
                <w:sz w:val="24"/>
                <w:szCs w:val="24"/>
                <w:u w:val="none" w:color="auto"/>
                <w:lang w:val="en-US" w:eastAsia="zh-CN"/>
              </w:rPr>
              <w:t>/a；铜管采用机械切割，共需切割6</w:t>
            </w:r>
            <w:r>
              <w:rPr>
                <w:rFonts w:hint="default" w:ascii="Times New Roman" w:hAnsi="Times New Roman" w:cs="Times New Roman"/>
                <w:color w:val="auto"/>
                <w:sz w:val="24"/>
                <w:szCs w:val="24"/>
                <w:u w:val="none" w:color="auto"/>
                <w:lang w:val="en-US" w:eastAsia="zh-CN"/>
              </w:rPr>
              <w:t>t</w:t>
            </w:r>
            <w:r>
              <w:rPr>
                <w:rFonts w:hint="default" w:ascii="Times New Roman" w:hAnsi="Times New Roman" w:eastAsia="宋体" w:cs="Times New Roman"/>
                <w:color w:val="auto"/>
                <w:sz w:val="24"/>
                <w:szCs w:val="24"/>
                <w:u w:val="none" w:color="auto"/>
                <w:lang w:val="en-US" w:eastAsia="zh-CN"/>
              </w:rPr>
              <w:t>/a；角钢采用氧割，共需切割260</w:t>
            </w:r>
            <w:r>
              <w:rPr>
                <w:rFonts w:hint="default" w:ascii="Times New Roman" w:hAnsi="Times New Roman" w:cs="Times New Roman"/>
                <w:color w:val="auto"/>
                <w:sz w:val="24"/>
                <w:szCs w:val="24"/>
                <w:u w:val="none" w:color="auto"/>
                <w:lang w:val="en-US" w:eastAsia="zh-CN"/>
              </w:rPr>
              <w:t>t</w:t>
            </w:r>
            <w:r>
              <w:rPr>
                <w:rFonts w:hint="default" w:ascii="Times New Roman" w:hAnsi="Times New Roman" w:eastAsia="宋体" w:cs="Times New Roman"/>
                <w:color w:val="auto"/>
                <w:sz w:val="24"/>
                <w:szCs w:val="24"/>
                <w:u w:val="none" w:color="auto"/>
                <w:lang w:val="en-US" w:eastAsia="zh-CN"/>
              </w:rPr>
              <w:t>/a；其余型材、管材采和等离子切割，共需切割1370</w:t>
            </w:r>
            <w:r>
              <w:rPr>
                <w:rFonts w:hint="default" w:ascii="Times New Roman" w:hAnsi="Times New Roman" w:cs="Times New Roman"/>
                <w:color w:val="auto"/>
                <w:sz w:val="24"/>
                <w:szCs w:val="24"/>
                <w:u w:val="none" w:color="auto"/>
                <w:lang w:val="en-US" w:eastAsia="zh-CN"/>
              </w:rPr>
              <w:t>t</w:t>
            </w:r>
            <w:r>
              <w:rPr>
                <w:rFonts w:hint="default" w:ascii="Times New Roman" w:hAnsi="Times New Roman" w:eastAsia="宋体" w:cs="Times New Roman"/>
                <w:color w:val="auto"/>
                <w:sz w:val="24"/>
                <w:szCs w:val="24"/>
                <w:u w:val="none" w:color="auto"/>
                <w:lang w:val="en-US" w:eastAsia="zh-CN"/>
              </w:rPr>
              <w:t>/a。经计算，本项目下料粉尘总产生量为2.45</w:t>
            </w:r>
            <w:r>
              <w:rPr>
                <w:rFonts w:hint="default" w:ascii="Times New Roman" w:hAnsi="Times New Roman" w:cs="Times New Roman"/>
                <w:color w:val="auto"/>
                <w:sz w:val="24"/>
                <w:szCs w:val="24"/>
                <w:u w:val="none" w:color="auto"/>
                <w:lang w:val="en-US" w:eastAsia="zh-CN"/>
              </w:rPr>
              <w:t>0t</w:t>
            </w:r>
            <w:r>
              <w:rPr>
                <w:rFonts w:hint="default" w:ascii="Times New Roman" w:hAnsi="Times New Roman" w:eastAsia="宋体" w:cs="Times New Roman"/>
                <w:color w:val="auto"/>
                <w:sz w:val="24"/>
                <w:szCs w:val="24"/>
                <w:u w:val="none" w:color="auto"/>
                <w:lang w:val="en-US" w:eastAsia="zh-CN"/>
              </w:rPr>
              <w:t>/a，产生速率为2.1</w:t>
            </w:r>
            <w:r>
              <w:rPr>
                <w:rFonts w:hint="default" w:ascii="Times New Roman" w:hAnsi="Times New Roman" w:cs="Times New Roman"/>
                <w:color w:val="auto"/>
                <w:sz w:val="24"/>
                <w:szCs w:val="24"/>
                <w:u w:val="none" w:color="auto"/>
                <w:lang w:val="en-US" w:eastAsia="zh-CN"/>
              </w:rPr>
              <w:t>88</w:t>
            </w:r>
            <w:r>
              <w:rPr>
                <w:rFonts w:hint="default" w:ascii="Times New Roman" w:hAnsi="Times New Roman" w:eastAsia="宋体" w:cs="Times New Roman"/>
                <w:color w:val="auto"/>
                <w:sz w:val="24"/>
                <w:szCs w:val="24"/>
                <w:u w:val="none" w:color="auto"/>
                <w:lang w:val="en-US" w:eastAsia="zh-CN"/>
              </w:rPr>
              <w:t>kg/h（年工作280*4=1120h）。</w:t>
            </w:r>
          </w:p>
          <w:p w14:paraId="4EC5633B">
            <w:pPr>
              <w:pStyle w:val="97"/>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下料粉尘均为金属粉尘，</w:t>
            </w:r>
            <w:r>
              <w:rPr>
                <w:rFonts w:hint="default" w:ascii="Times New Roman" w:hAnsi="Times New Roman" w:eastAsia="宋体" w:cs="Times New Roman"/>
                <w:color w:val="auto"/>
                <w:w w:val="100"/>
                <w:sz w:val="24"/>
                <w:highlight w:val="none"/>
                <w:u w:val="none" w:color="auto"/>
                <w:lang w:val="en-US" w:eastAsia="zh-CN"/>
              </w:rPr>
              <w:t>比重大，沉降系数高，</w:t>
            </w:r>
            <w:r>
              <w:rPr>
                <w:rFonts w:hint="default" w:ascii="Times New Roman" w:hAnsi="Times New Roman" w:cs="Times New Roman"/>
                <w:color w:val="auto"/>
                <w:w w:val="100"/>
                <w:sz w:val="24"/>
                <w:highlight w:val="none"/>
                <w:u w:val="none" w:color="auto"/>
                <w:lang w:val="en-US" w:eastAsia="zh-CN"/>
              </w:rPr>
              <w:t>大部分</w:t>
            </w:r>
            <w:r>
              <w:rPr>
                <w:rFonts w:hint="default" w:ascii="Times New Roman" w:hAnsi="Times New Roman" w:eastAsia="宋体" w:cs="Times New Roman"/>
                <w:color w:val="auto"/>
                <w:w w:val="100"/>
                <w:sz w:val="24"/>
                <w:highlight w:val="none"/>
                <w:u w:val="none" w:color="auto"/>
                <w:lang w:val="en-US" w:eastAsia="zh-CN"/>
              </w:rPr>
              <w:t>沉降在加工</w:t>
            </w:r>
            <w:r>
              <w:rPr>
                <w:rFonts w:hint="default" w:ascii="Times New Roman" w:hAnsi="Times New Roman" w:cs="Times New Roman"/>
                <w:color w:val="auto"/>
                <w:w w:val="100"/>
                <w:sz w:val="24"/>
                <w:highlight w:val="none"/>
                <w:u w:val="none" w:color="auto"/>
                <w:lang w:val="en-US" w:eastAsia="zh-CN"/>
              </w:rPr>
              <w:t>设备</w:t>
            </w:r>
            <w:r>
              <w:rPr>
                <w:rFonts w:hint="default" w:ascii="Times New Roman" w:hAnsi="Times New Roman" w:eastAsia="宋体" w:cs="Times New Roman"/>
                <w:color w:val="auto"/>
                <w:w w:val="100"/>
                <w:sz w:val="24"/>
                <w:highlight w:val="none"/>
                <w:u w:val="none" w:color="auto"/>
                <w:lang w:val="en-US" w:eastAsia="zh-CN"/>
              </w:rPr>
              <w:t>附近，通过定期清扫去除。未沉降粉尘通过</w:t>
            </w:r>
            <w:r>
              <w:rPr>
                <w:rFonts w:hint="default" w:ascii="Times New Roman" w:hAnsi="Times New Roman" w:cs="Times New Roman"/>
                <w:color w:val="auto"/>
                <w:w w:val="100"/>
                <w:sz w:val="24"/>
                <w:highlight w:val="none"/>
                <w:u w:val="none" w:color="auto"/>
                <w:lang w:val="en-US" w:eastAsia="zh-CN"/>
              </w:rPr>
              <w:t>厂房</w:t>
            </w:r>
            <w:r>
              <w:rPr>
                <w:rFonts w:hint="default" w:ascii="Times New Roman" w:hAnsi="Times New Roman" w:eastAsia="宋体" w:cs="Times New Roman"/>
                <w:color w:val="auto"/>
                <w:w w:val="100"/>
                <w:sz w:val="24"/>
                <w:highlight w:val="none"/>
                <w:u w:val="none" w:color="auto"/>
                <w:lang w:val="en-US" w:eastAsia="zh-CN"/>
              </w:rPr>
              <w:t>门窗</w:t>
            </w:r>
            <w:r>
              <w:rPr>
                <w:rFonts w:hint="default" w:ascii="Times New Roman" w:hAnsi="Times New Roman" w:cs="Times New Roman"/>
                <w:color w:val="auto"/>
                <w:w w:val="100"/>
                <w:sz w:val="24"/>
                <w:highlight w:val="none"/>
                <w:u w:val="none" w:color="auto"/>
                <w:lang w:val="en-US" w:eastAsia="zh-CN"/>
              </w:rPr>
              <w:t>呈</w:t>
            </w:r>
            <w:r>
              <w:rPr>
                <w:rFonts w:hint="default" w:ascii="Times New Roman" w:hAnsi="Times New Roman" w:eastAsia="宋体" w:cs="Times New Roman"/>
                <w:color w:val="auto"/>
                <w:w w:val="100"/>
                <w:sz w:val="24"/>
                <w:highlight w:val="none"/>
                <w:u w:val="none" w:color="auto"/>
                <w:lang w:val="en-US" w:eastAsia="zh-CN"/>
              </w:rPr>
              <w:t>无组织排放。参照</w:t>
            </w:r>
            <w:r>
              <w:rPr>
                <w:rFonts w:hint="default" w:ascii="Times New Roman" w:hAnsi="Times New Roman" w:cs="Times New Roman"/>
                <w:color w:val="auto"/>
                <w:highlight w:val="none"/>
              </w:rPr>
              <w:t>《未纳入排污许可管理行业适用的排污系数、物料衡算方法（试行）》（原环境保护部公告2017年第81号）中“47 锯材加工业”的系数，车间不装除尘设备的情况下，重力沉降法的效率约为85%，金属比重大于木材，本次项目的产生的粉尘为金属粉尘，较木质粉尘更易沉降，</w:t>
            </w:r>
            <w:r>
              <w:rPr>
                <w:rFonts w:hint="default" w:ascii="Times New Roman" w:hAnsi="Times New Roman" w:cs="Times New Roman"/>
                <w:color w:val="auto"/>
                <w:kern w:val="0"/>
                <w:highlight w:val="none"/>
              </w:rPr>
              <w:t>本项目</w:t>
            </w:r>
            <w:r>
              <w:rPr>
                <w:rFonts w:hint="default" w:ascii="Times New Roman" w:hAnsi="Times New Roman" w:cs="Times New Roman"/>
                <w:color w:val="auto"/>
                <w:kern w:val="0"/>
                <w:highlight w:val="none"/>
                <w:lang w:eastAsia="zh-CN"/>
              </w:rPr>
              <w:t>原料下料</w:t>
            </w:r>
            <w:r>
              <w:rPr>
                <w:rFonts w:hint="default" w:ascii="Times New Roman" w:hAnsi="Times New Roman" w:cs="Times New Roman"/>
                <w:color w:val="auto"/>
                <w:kern w:val="0"/>
                <w:highlight w:val="none"/>
              </w:rPr>
              <w:t>工序</w:t>
            </w:r>
            <w:r>
              <w:rPr>
                <w:rFonts w:hint="default" w:ascii="Times New Roman" w:hAnsi="Times New Roman" w:cs="Times New Roman"/>
                <w:color w:val="auto"/>
                <w:highlight w:val="none"/>
              </w:rPr>
              <w:t>沉降率按90%计</w:t>
            </w:r>
            <w:r>
              <w:rPr>
                <w:rFonts w:hint="default" w:ascii="Times New Roman" w:hAnsi="Times New Roman" w:cs="Times New Roman"/>
                <w:color w:val="auto"/>
                <w:highlight w:val="none"/>
                <w:lang w:eastAsia="zh-CN"/>
              </w:rPr>
              <w:t>。经计算，下料粉尘无组织排放量为</w:t>
            </w:r>
            <w:r>
              <w:rPr>
                <w:rFonts w:hint="default" w:ascii="Times New Roman" w:hAnsi="Times New Roman" w:cs="Times New Roman"/>
                <w:color w:val="auto"/>
                <w:highlight w:val="none"/>
                <w:lang w:val="en-US" w:eastAsia="zh-CN"/>
              </w:rPr>
              <w:t>0.245</w:t>
            </w:r>
            <w:r>
              <w:rPr>
                <w:rFonts w:hint="default" w:ascii="Times New Roman" w:hAnsi="Times New Roman" w:cs="Times New Roman"/>
                <w:color w:val="auto"/>
                <w:sz w:val="24"/>
                <w:szCs w:val="24"/>
                <w:u w:val="none" w:color="auto"/>
                <w:lang w:val="en-US" w:eastAsia="zh-CN"/>
              </w:rPr>
              <w:t>t</w:t>
            </w:r>
            <w:r>
              <w:rPr>
                <w:rFonts w:hint="default" w:ascii="Times New Roman" w:hAnsi="Times New Roman" w:eastAsia="宋体" w:cs="Times New Roman"/>
                <w:color w:val="auto"/>
                <w:sz w:val="24"/>
                <w:szCs w:val="24"/>
                <w:u w:val="none" w:color="auto"/>
                <w:lang w:val="en-US" w:eastAsia="zh-CN"/>
              </w:rPr>
              <w:t>/a，排放速率为0.219kg/h</w:t>
            </w:r>
            <w:r>
              <w:rPr>
                <w:rFonts w:hint="default" w:ascii="Times New Roman" w:hAnsi="Times New Roman" w:cs="Times New Roman"/>
                <w:bCs/>
                <w:color w:val="auto"/>
                <w:highlight w:val="none"/>
              </w:rPr>
              <w:t>。</w:t>
            </w:r>
          </w:p>
          <w:p w14:paraId="70AAA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w w:val="100"/>
                <w:sz w:val="24"/>
                <w:highlight w:val="none"/>
                <w:u w:val="none" w:color="auto"/>
                <w:lang w:eastAsia="zh-CN"/>
              </w:rPr>
            </w:pPr>
            <w:r>
              <w:rPr>
                <w:rFonts w:hint="default" w:ascii="Times New Roman" w:hAnsi="Times New Roman" w:eastAsia="宋体" w:cs="Times New Roman"/>
                <w:color w:val="auto"/>
                <w:w w:val="100"/>
                <w:sz w:val="24"/>
                <w:highlight w:val="none"/>
                <w:u w:val="none" w:color="auto"/>
                <w:lang w:val="en-US" w:eastAsia="zh-CN"/>
              </w:rPr>
              <w:t>（2）</w:t>
            </w:r>
            <w:r>
              <w:rPr>
                <w:rFonts w:hint="default" w:ascii="Times New Roman" w:hAnsi="Times New Roman" w:eastAsia="宋体" w:cs="Times New Roman"/>
                <w:color w:val="auto"/>
                <w:w w:val="100"/>
                <w:sz w:val="24"/>
                <w:highlight w:val="none"/>
                <w:u w:val="none" w:color="auto"/>
                <w:lang w:eastAsia="zh-CN"/>
              </w:rPr>
              <w:t>焊接烟尘</w:t>
            </w:r>
          </w:p>
          <w:p w14:paraId="0FCAED9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w w:val="100"/>
                <w:sz w:val="24"/>
                <w:highlight w:val="none"/>
                <w:u w:val="none" w:color="auto"/>
                <w:lang w:val="en-US" w:eastAsia="zh-CN"/>
              </w:rPr>
              <w:t xml:space="preserve"> </w:t>
            </w:r>
            <w:bookmarkStart w:id="15" w:name="_Toc3081"/>
            <w:r>
              <w:rPr>
                <w:rFonts w:hint="default" w:ascii="Times New Roman" w:hAnsi="Times New Roman" w:cs="Times New Roman"/>
                <w:color w:val="auto"/>
                <w:sz w:val="24"/>
                <w:highlight w:val="none"/>
                <w:lang w:eastAsia="zh-CN"/>
              </w:rPr>
              <w:t>本项目</w:t>
            </w:r>
            <w:r>
              <w:rPr>
                <w:rFonts w:hint="default" w:ascii="Times New Roman" w:hAnsi="Times New Roman" w:cs="Times New Roman"/>
                <w:color w:val="auto"/>
                <w:sz w:val="24"/>
                <w:highlight w:val="none"/>
              </w:rPr>
              <w:t>焊接工序在生产厂房内进行，</w:t>
            </w:r>
            <w:r>
              <w:rPr>
                <w:rFonts w:hint="default" w:ascii="Times New Roman" w:hAnsi="Times New Roman" w:cs="Times New Roman"/>
                <w:color w:val="auto"/>
                <w:sz w:val="24"/>
                <w:highlight w:val="none"/>
                <w:lang w:eastAsia="zh-CN"/>
              </w:rPr>
              <w:t>主要采用</w:t>
            </w:r>
            <w:r>
              <w:rPr>
                <w:rFonts w:hint="default" w:ascii="Times New Roman" w:hAnsi="Times New Roman" w:eastAsia="宋体" w:cs="Times New Roman"/>
                <w:color w:val="auto"/>
                <w:sz w:val="24"/>
                <w:highlight w:val="none"/>
                <w:lang w:val="en-US" w:eastAsia="zh-CN"/>
              </w:rPr>
              <w:t>氩弧焊、激光焊、埋弧焊、</w:t>
            </w:r>
            <w:r>
              <w:rPr>
                <w:rFonts w:hint="default" w:ascii="Times New Roman" w:hAnsi="Times New Roman" w:eastAsia="宋体" w:cs="Times New Roman"/>
                <w:color w:val="auto"/>
                <w:sz w:val="24"/>
                <w:highlight w:val="none"/>
                <w:lang w:eastAsia="zh-CN"/>
              </w:rPr>
              <w:t>CO</w:t>
            </w:r>
            <w:r>
              <w:rPr>
                <w:rFonts w:hint="default" w:ascii="Times New Roman" w:hAnsi="Times New Roman" w:eastAsia="宋体" w:cs="Times New Roman"/>
                <w:color w:val="auto"/>
                <w:sz w:val="24"/>
                <w:highlight w:val="none"/>
                <w:vertAlign w:val="subscript"/>
                <w:lang w:eastAsia="zh-CN"/>
              </w:rPr>
              <w:t>2</w:t>
            </w:r>
            <w:r>
              <w:rPr>
                <w:rFonts w:hint="default" w:ascii="Times New Roman" w:hAnsi="Times New Roman" w:eastAsia="宋体" w:cs="Times New Roman"/>
                <w:color w:val="auto"/>
                <w:sz w:val="24"/>
                <w:highlight w:val="none"/>
                <w:lang w:eastAsia="zh-CN"/>
              </w:rPr>
              <w:t>保护焊、气焊等，</w:t>
            </w:r>
            <w:r>
              <w:rPr>
                <w:rFonts w:hint="default" w:ascii="Times New Roman" w:hAnsi="Times New Roman" w:eastAsia="宋体" w:cs="Times New Roman"/>
                <w:color w:val="auto"/>
                <w:sz w:val="24"/>
                <w:highlight w:val="none"/>
              </w:rPr>
              <w:t>焊接时</w:t>
            </w:r>
            <w:r>
              <w:rPr>
                <w:rFonts w:hint="default" w:ascii="Times New Roman" w:hAnsi="Times New Roman" w:eastAsia="宋体" w:cs="Times New Roman"/>
                <w:color w:val="auto"/>
                <w:sz w:val="24"/>
                <w:highlight w:val="none"/>
                <w:lang w:eastAsia="zh-CN"/>
              </w:rPr>
              <w:t>将产生焊接烟尘</w:t>
            </w:r>
            <w:r>
              <w:rPr>
                <w:rFonts w:hint="default" w:ascii="Times New Roman" w:hAnsi="Times New Roman" w:cs="Times New Roman"/>
                <w:color w:val="auto"/>
                <w:sz w:val="24"/>
                <w:highlight w:val="none"/>
              </w:rPr>
              <w:t>。</w:t>
            </w:r>
            <w:bookmarkEnd w:id="15"/>
            <w:r>
              <w:rPr>
                <w:rFonts w:hint="default" w:ascii="Times New Roman" w:hAnsi="Times New Roman" w:cs="Times New Roman"/>
                <w:color w:val="auto"/>
                <w:sz w:val="24"/>
                <w:szCs w:val="24"/>
                <w:u w:val="none" w:color="auto"/>
                <w:lang w:val="en-US" w:eastAsia="zh-CN"/>
              </w:rPr>
              <w:t>根据《排放源统计调查产排污核算方法和系数手册》</w:t>
            </w:r>
            <w:r>
              <w:rPr>
                <w:rFonts w:hint="default" w:ascii="Times New Roman" w:hAnsi="Times New Roman" w:cs="Times New Roman"/>
                <w:color w:val="auto"/>
                <w:sz w:val="24"/>
                <w:szCs w:val="24"/>
                <w:highlight w:val="none"/>
              </w:rPr>
              <w:t>“33-37机械行业系数手册-</w:t>
            </w:r>
            <w:r>
              <w:rPr>
                <w:rFonts w:hint="default" w:ascii="Times New Roman" w:hAnsi="Times New Roman" w:cs="Times New Roman"/>
                <w:color w:val="auto"/>
                <w:sz w:val="24"/>
                <w:szCs w:val="24"/>
                <w:u w:val="none" w:color="auto"/>
                <w:lang w:val="en-US" w:eastAsia="zh-CN"/>
              </w:rPr>
              <w:t>09焊接</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u w:val="none" w:color="auto"/>
                <w:lang w:val="en-US" w:eastAsia="zh-CN"/>
              </w:rPr>
              <w:t>，焊接工序药芯焊丝颗粒物产污系数为20.5kg/t原料</w:t>
            </w:r>
            <w:r>
              <w:rPr>
                <w:rFonts w:hint="default" w:ascii="Times New Roman" w:hAnsi="Times New Roman" w:eastAsia="宋体" w:cs="Times New Roman"/>
                <w:color w:val="auto"/>
                <w:sz w:val="24"/>
                <w:szCs w:val="24"/>
                <w:u w:val="none" w:color="auto"/>
                <w:lang w:val="en-US" w:eastAsia="zh-CN"/>
              </w:rPr>
              <w:t>。根据企业提供资料，项目焊丝、焊条消耗量为</w:t>
            </w:r>
            <w:r>
              <w:rPr>
                <w:rFonts w:hint="default" w:ascii="Times New Roman" w:hAnsi="Times New Roman" w:cs="Times New Roman"/>
                <w:color w:val="auto"/>
                <w:sz w:val="24"/>
                <w:szCs w:val="24"/>
                <w:u w:val="none" w:color="auto"/>
                <w:lang w:val="en-US" w:eastAsia="zh-CN"/>
              </w:rPr>
              <w:t>15</w:t>
            </w:r>
            <w:r>
              <w:rPr>
                <w:rFonts w:hint="default" w:ascii="Times New Roman" w:hAnsi="Times New Roman" w:eastAsia="宋体" w:cs="Times New Roman"/>
                <w:color w:val="auto"/>
                <w:sz w:val="24"/>
                <w:szCs w:val="24"/>
                <w:u w:val="none" w:color="auto"/>
                <w:lang w:val="en-US" w:eastAsia="zh-CN"/>
              </w:rPr>
              <w:t>t/a，则本项目焊接烟尘产生量为</w:t>
            </w:r>
            <w:r>
              <w:rPr>
                <w:rFonts w:hint="default" w:ascii="Times New Roman" w:hAnsi="Times New Roman" w:cs="Times New Roman"/>
                <w:color w:val="auto"/>
                <w:sz w:val="24"/>
                <w:szCs w:val="24"/>
                <w:u w:val="none" w:color="auto"/>
                <w:lang w:val="en-US" w:eastAsia="zh-CN"/>
              </w:rPr>
              <w:t>0.308</w:t>
            </w:r>
            <w:r>
              <w:rPr>
                <w:rFonts w:hint="default" w:ascii="Times New Roman" w:hAnsi="Times New Roman" w:eastAsia="宋体" w:cs="Times New Roman"/>
                <w:color w:val="auto"/>
                <w:sz w:val="24"/>
                <w:szCs w:val="24"/>
                <w:u w:val="none" w:color="auto"/>
                <w:lang w:val="en-US" w:eastAsia="zh-CN"/>
              </w:rPr>
              <w:t>t/a，产生速率0.275kg/h（年工作280*4=1120h）</w:t>
            </w:r>
            <w:r>
              <w:rPr>
                <w:rFonts w:hint="default" w:ascii="Times New Roman" w:hAnsi="Times New Roman" w:eastAsia="宋体" w:cs="Times New Roman"/>
                <w:color w:val="auto"/>
                <w:sz w:val="24"/>
                <w:highlight w:val="none"/>
                <w:lang w:val="en-US" w:eastAsia="zh-CN"/>
              </w:rPr>
              <w:t>。</w:t>
            </w:r>
          </w:p>
          <w:p w14:paraId="3175537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u w:val="none" w:color="auto"/>
                <w:lang w:val="en-US" w:eastAsia="zh-CN"/>
              </w:rPr>
            </w:pPr>
            <w:r>
              <w:rPr>
                <w:rFonts w:hint="default" w:ascii="Times New Roman" w:hAnsi="Times New Roman" w:eastAsia="宋体" w:cs="Times New Roman"/>
                <w:color w:val="auto"/>
                <w:sz w:val="24"/>
                <w:highlight w:val="none"/>
              </w:rPr>
              <w:t>焊</w:t>
            </w:r>
            <w:r>
              <w:rPr>
                <w:rFonts w:hint="default" w:ascii="Times New Roman" w:hAnsi="Times New Roman" w:eastAsia="宋体" w:cs="Times New Roman"/>
                <w:color w:val="auto"/>
                <w:sz w:val="24"/>
                <w:highlight w:val="none"/>
                <w:lang w:eastAsia="zh-CN"/>
              </w:rPr>
              <w:t>接</w:t>
            </w:r>
            <w:r>
              <w:rPr>
                <w:rFonts w:hint="default" w:ascii="Times New Roman" w:hAnsi="Times New Roman" w:eastAsia="宋体" w:cs="Times New Roman"/>
                <w:color w:val="auto"/>
                <w:sz w:val="24"/>
                <w:highlight w:val="none"/>
              </w:rPr>
              <w:t>烟尘采用</w:t>
            </w:r>
            <w:r>
              <w:rPr>
                <w:rFonts w:hint="default" w:ascii="Times New Roman" w:hAnsi="Times New Roman" w:eastAsia="宋体" w:cs="Times New Roman"/>
                <w:color w:val="auto"/>
                <w:sz w:val="24"/>
                <w:highlight w:val="none"/>
                <w:lang w:eastAsia="zh-CN"/>
              </w:rPr>
              <w:t>新增</w:t>
            </w:r>
            <w:r>
              <w:rPr>
                <w:rFonts w:hint="default" w:ascii="Times New Roman" w:hAnsi="Times New Roman" w:eastAsia="宋体" w:cs="Times New Roman"/>
                <w:color w:val="auto"/>
                <w:sz w:val="24"/>
                <w:highlight w:val="none"/>
              </w:rPr>
              <w:t>1套可移动焊烟净化器</w:t>
            </w:r>
            <w:r>
              <w:rPr>
                <w:rFonts w:hint="default" w:ascii="Times New Roman" w:hAnsi="Times New Roman" w:eastAsia="宋体" w:cs="Times New Roman"/>
                <w:color w:val="auto"/>
                <w:sz w:val="24"/>
                <w:highlight w:val="none"/>
                <w:lang w:eastAsia="zh-CN"/>
              </w:rPr>
              <w:t>进行</w:t>
            </w:r>
            <w:r>
              <w:rPr>
                <w:rFonts w:hint="default" w:ascii="Times New Roman" w:hAnsi="Times New Roman" w:eastAsia="宋体" w:cs="Times New Roman"/>
                <w:color w:val="auto"/>
                <w:sz w:val="24"/>
                <w:highlight w:val="none"/>
              </w:rPr>
              <w:t>处理，通过其移动软管集气罩</w:t>
            </w:r>
            <w:r>
              <w:rPr>
                <w:rFonts w:hint="default" w:ascii="Times New Roman" w:hAnsi="Times New Roman" w:eastAsia="宋体" w:cs="Times New Roman"/>
                <w:color w:val="auto"/>
                <w:sz w:val="24"/>
                <w:highlight w:val="none"/>
                <w:lang w:eastAsia="zh-CN"/>
              </w:rPr>
              <w:t>对焊烟进行</w:t>
            </w:r>
            <w:r>
              <w:rPr>
                <w:rFonts w:hint="default" w:ascii="Times New Roman" w:hAnsi="Times New Roman" w:eastAsia="宋体" w:cs="Times New Roman"/>
                <w:color w:val="auto"/>
                <w:sz w:val="24"/>
                <w:highlight w:val="none"/>
              </w:rPr>
              <w:t>收集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并通过设备内的滤网</w:t>
            </w:r>
            <w:r>
              <w:rPr>
                <w:rFonts w:hint="default" w:ascii="Times New Roman" w:hAnsi="Times New Roman" w:eastAsia="宋体" w:cs="Times New Roman"/>
                <w:color w:val="auto"/>
                <w:sz w:val="24"/>
                <w:highlight w:val="none"/>
                <w:lang w:eastAsia="zh-CN"/>
              </w:rPr>
              <w:t>过滤</w:t>
            </w:r>
            <w:r>
              <w:rPr>
                <w:rFonts w:hint="default" w:ascii="Times New Roman" w:hAnsi="Times New Roman" w:eastAsia="宋体" w:cs="Times New Roman"/>
                <w:color w:val="auto"/>
                <w:sz w:val="24"/>
                <w:highlight w:val="none"/>
              </w:rPr>
              <w:t>焊接烟尘后无组织排放。</w:t>
            </w:r>
            <w:r>
              <w:rPr>
                <w:rFonts w:hint="default" w:ascii="Times New Roman" w:hAnsi="Times New Roman" w:eastAsia="宋体" w:cs="Times New Roman"/>
                <w:color w:val="auto"/>
                <w:sz w:val="24"/>
                <w:highlight w:val="none"/>
                <w:lang w:eastAsia="zh-CN"/>
              </w:rPr>
              <w:t>移动式焊烟除尘器</w:t>
            </w:r>
            <w:r>
              <w:rPr>
                <w:rFonts w:hint="default" w:ascii="Times New Roman" w:hAnsi="Times New Roman" w:eastAsia="宋体" w:cs="Times New Roman"/>
                <w:color w:val="auto"/>
                <w:sz w:val="24"/>
                <w:highlight w:val="none"/>
                <w:lang w:val="en-US" w:eastAsia="zh-CN"/>
              </w:rPr>
              <w:t>收集效率取80%，处理效率参考《排放源统计调查产排污核算方法和系数手册》中移动式烟尘净化器颗粒物去除效率为95%。经计算，</w:t>
            </w:r>
            <w:r>
              <w:rPr>
                <w:rFonts w:hint="default" w:ascii="Times New Roman" w:hAnsi="Times New Roman" w:eastAsia="宋体" w:cs="Times New Roman"/>
                <w:color w:val="auto"/>
                <w:highlight w:val="none"/>
              </w:rPr>
              <w:t>无组织焊接烟尘排放量为0.</w:t>
            </w:r>
            <w:r>
              <w:rPr>
                <w:rFonts w:hint="default" w:ascii="Times New Roman" w:hAnsi="Times New Roman" w:eastAsia="宋体" w:cs="Times New Roman"/>
                <w:color w:val="auto"/>
                <w:highlight w:val="none"/>
                <w:lang w:val="en-US" w:eastAsia="zh-CN"/>
              </w:rPr>
              <w:t>069</w:t>
            </w:r>
            <w:r>
              <w:rPr>
                <w:rFonts w:hint="default" w:ascii="Times New Roman" w:hAnsi="Times New Roman" w:eastAsia="宋体" w:cs="Times New Roman"/>
                <w:color w:val="auto"/>
                <w:highlight w:val="none"/>
              </w:rPr>
              <w:t>t/a，排放速率为0.0</w:t>
            </w:r>
            <w:r>
              <w:rPr>
                <w:rFonts w:hint="default" w:ascii="Times New Roman" w:hAnsi="Times New Roman" w:eastAsia="宋体" w:cs="Times New Roman"/>
                <w:color w:val="auto"/>
                <w:highlight w:val="none"/>
                <w:lang w:val="en-US" w:eastAsia="zh-CN"/>
              </w:rPr>
              <w:t>62</w:t>
            </w:r>
            <w:r>
              <w:rPr>
                <w:rFonts w:hint="default" w:ascii="Times New Roman" w:hAnsi="Times New Roman" w:eastAsia="宋体" w:cs="Times New Roman"/>
                <w:color w:val="auto"/>
                <w:highlight w:val="none"/>
              </w:rPr>
              <w:t>kg/h。</w:t>
            </w:r>
          </w:p>
          <w:p w14:paraId="3943B4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w w:val="100"/>
                <w:sz w:val="24"/>
                <w:highlight w:val="none"/>
                <w:u w:val="none" w:color="auto"/>
                <w:lang w:eastAsia="zh-CN"/>
              </w:rPr>
            </w:pPr>
            <w:r>
              <w:rPr>
                <w:rFonts w:hint="default" w:ascii="Times New Roman" w:hAnsi="Times New Roman" w:eastAsia="宋体" w:cs="Times New Roman"/>
                <w:color w:val="auto"/>
                <w:w w:val="100"/>
                <w:sz w:val="24"/>
                <w:highlight w:val="none"/>
                <w:u w:val="none" w:color="auto"/>
                <w:lang w:val="en-US" w:eastAsia="zh-CN"/>
              </w:rPr>
              <w:t>（3）</w:t>
            </w:r>
            <w:r>
              <w:rPr>
                <w:rFonts w:hint="default" w:ascii="Times New Roman" w:hAnsi="Times New Roman" w:eastAsia="宋体" w:cs="Times New Roman"/>
                <w:color w:val="auto"/>
                <w:w w:val="100"/>
                <w:sz w:val="24"/>
                <w:highlight w:val="none"/>
                <w:u w:val="none" w:color="auto"/>
                <w:lang w:eastAsia="zh-CN"/>
              </w:rPr>
              <w:t>抛丸粉尘</w:t>
            </w:r>
          </w:p>
          <w:p w14:paraId="4D20EC03">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highlight w:val="none"/>
                <w:lang w:eastAsia="zh-CN"/>
              </w:rPr>
              <w:t>本项目钢结构生产时，需利用现有抛丸机对表面</w:t>
            </w:r>
            <w:r>
              <w:rPr>
                <w:rFonts w:hint="default" w:ascii="Times New Roman" w:hAnsi="Times New Roman" w:eastAsia="宋体" w:cs="Times New Roman"/>
                <w:color w:val="auto"/>
                <w:sz w:val="24"/>
                <w:highlight w:val="none"/>
              </w:rPr>
              <w:t>进行抛丸除锈，</w:t>
            </w:r>
            <w:r>
              <w:rPr>
                <w:rFonts w:hint="default" w:ascii="Times New Roman" w:hAnsi="Times New Roman" w:eastAsia="宋体" w:cs="Times New Roman"/>
                <w:color w:val="auto"/>
                <w:sz w:val="24"/>
                <w:highlight w:val="none"/>
                <w:lang w:eastAsia="zh-CN"/>
              </w:rPr>
              <w:t>此工序</w:t>
            </w:r>
            <w:r>
              <w:rPr>
                <w:rFonts w:hint="default" w:ascii="Times New Roman" w:hAnsi="Times New Roman" w:eastAsia="宋体" w:cs="Times New Roman"/>
                <w:color w:val="auto"/>
                <w:sz w:val="24"/>
                <w:highlight w:val="none"/>
              </w:rPr>
              <w:t>会产生抛丸粉尘</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抛丸粉尘根据《排放源统计调查产排污核算方法和系数手册》中“33-37机械行业系数手册-06预处理”中“抛丸、喷砂、打磨、滚筒”颗粒物产污系数为“2.19kg/吨-原料”</w:t>
            </w:r>
            <w:r>
              <w:rPr>
                <w:rFonts w:hint="default" w:ascii="Times New Roman" w:hAnsi="Times New Roman" w:eastAsia="宋体" w:cs="Times New Roman"/>
                <w:color w:val="auto"/>
                <w:sz w:val="24"/>
                <w:highlight w:val="none"/>
                <w:lang w:eastAsia="zh-CN"/>
              </w:rPr>
              <w:t>。根据建设方提供资料，本项目需抛丸的原材料量为</w:t>
            </w:r>
            <w:r>
              <w:rPr>
                <w:rFonts w:hint="default" w:ascii="Times New Roman" w:hAnsi="Times New Roman" w:eastAsia="宋体" w:cs="Times New Roman"/>
                <w:color w:val="auto"/>
                <w:sz w:val="24"/>
                <w:highlight w:val="none"/>
                <w:lang w:val="en-US" w:eastAsia="zh-CN"/>
              </w:rPr>
              <w:t>2100</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szCs w:val="24"/>
                <w:u w:val="none" w:color="auto"/>
                <w:lang w:val="en-US" w:eastAsia="zh-CN"/>
              </w:rPr>
              <w:t>，则抛丸颗粒物产生量为4.599t/a，产生速率为4.106</w:t>
            </w:r>
            <w:r>
              <w:rPr>
                <w:rFonts w:hint="default" w:ascii="Times New Roman" w:hAnsi="Times New Roman" w:eastAsia="宋体" w:cs="Times New Roman"/>
                <w:color w:val="auto"/>
                <w:sz w:val="24"/>
                <w:highlight w:val="none"/>
              </w:rPr>
              <w:t>kg/h</w:t>
            </w:r>
            <w:r>
              <w:rPr>
                <w:rFonts w:hint="default" w:ascii="Times New Roman" w:hAnsi="Times New Roman" w:eastAsia="宋体" w:cs="Times New Roman"/>
                <w:color w:val="auto"/>
                <w:sz w:val="24"/>
                <w:szCs w:val="24"/>
                <w:u w:val="none" w:color="auto"/>
                <w:lang w:val="en-US" w:eastAsia="zh-CN"/>
              </w:rPr>
              <w:t>。</w:t>
            </w:r>
          </w:p>
          <w:p w14:paraId="5765A619">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本项目抛丸工序利用现有密闭抛丸机（已建成），抛丸粉尘通过密闭收集后，利用现有布袋</w:t>
            </w:r>
            <w:r>
              <w:rPr>
                <w:rFonts w:hint="default" w:ascii="Times New Roman" w:hAnsi="Times New Roman" w:eastAsia="宋体" w:cs="Times New Roman"/>
                <w:color w:val="auto"/>
                <w:sz w:val="24"/>
                <w:highlight w:val="none"/>
              </w:rPr>
              <w:t>除尘器</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TA003，</w:t>
            </w:r>
            <w:r>
              <w:rPr>
                <w:rFonts w:hint="default" w:ascii="Times New Roman" w:hAnsi="Times New Roman" w:eastAsia="宋体" w:cs="Times New Roman"/>
                <w:color w:val="auto"/>
                <w:sz w:val="24"/>
                <w:highlight w:val="none"/>
                <w:lang w:eastAsia="zh-CN"/>
              </w:rPr>
              <w:t>已建成）</w:t>
            </w:r>
            <w:r>
              <w:rPr>
                <w:rFonts w:hint="default" w:ascii="Times New Roman" w:hAnsi="Times New Roman" w:eastAsia="宋体" w:cs="Times New Roman"/>
                <w:color w:val="auto"/>
                <w:sz w:val="24"/>
                <w:highlight w:val="none"/>
                <w:lang w:val="en-US" w:eastAsia="zh-CN"/>
              </w:rPr>
              <w:t>处理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再</w:t>
            </w:r>
            <w:r>
              <w:rPr>
                <w:rFonts w:hint="default" w:ascii="Times New Roman" w:hAnsi="Times New Roman" w:eastAsia="宋体" w:cs="Times New Roman"/>
                <w:color w:val="auto"/>
                <w:sz w:val="24"/>
                <w:highlight w:val="none"/>
              </w:rPr>
              <w:t>经</w:t>
            </w:r>
            <w:r>
              <w:rPr>
                <w:rFonts w:hint="default" w:ascii="Times New Roman" w:hAnsi="Times New Roman" w:eastAsia="宋体" w:cs="Times New Roman"/>
                <w:color w:val="auto"/>
                <w:sz w:val="24"/>
                <w:highlight w:val="none"/>
                <w:lang w:eastAsia="zh-CN"/>
              </w:rPr>
              <w:t>现有</w:t>
            </w:r>
            <w:r>
              <w:rPr>
                <w:rFonts w:hint="default" w:ascii="Times New Roman" w:hAnsi="Times New Roman" w:eastAsia="宋体" w:cs="Times New Roman"/>
                <w:color w:val="auto"/>
                <w:sz w:val="24"/>
                <w:highlight w:val="none"/>
              </w:rPr>
              <w:t>15m排气筒（DA00</w:t>
            </w:r>
            <w:r>
              <w:rPr>
                <w:rFonts w:hint="default" w:ascii="Times New Roman" w:hAnsi="Times New Roman" w:eastAsia="宋体" w:cs="Times New Roman"/>
                <w:color w:val="auto"/>
                <w:sz w:val="24"/>
                <w:highlight w:val="none"/>
                <w:lang w:val="en-US" w:eastAsia="zh-CN"/>
              </w:rPr>
              <w:t>3，已建成</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GB"/>
              </w:rPr>
              <w:t>除尘器的</w:t>
            </w:r>
            <w:r>
              <w:rPr>
                <w:rFonts w:hint="default" w:ascii="Times New Roman" w:hAnsi="Times New Roman" w:eastAsia="宋体" w:cs="Times New Roman"/>
                <w:color w:val="auto"/>
                <w:sz w:val="24"/>
                <w:highlight w:val="none"/>
                <w:lang w:val="en-GB" w:eastAsia="zh-CN"/>
              </w:rPr>
              <w:t>风机</w:t>
            </w:r>
            <w:r>
              <w:rPr>
                <w:rFonts w:hint="default" w:ascii="Times New Roman" w:hAnsi="Times New Roman" w:eastAsia="宋体" w:cs="Times New Roman"/>
                <w:color w:val="auto"/>
                <w:sz w:val="24"/>
                <w:highlight w:val="none"/>
                <w:lang w:val="en-GB"/>
              </w:rPr>
              <w:t>风量为</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rPr>
              <w:t>000</w:t>
            </w:r>
            <w:r>
              <w:rPr>
                <w:rFonts w:hint="default" w:ascii="Times New Roman" w:hAnsi="Times New Roman" w:eastAsia="宋体" w:cs="Times New Roman"/>
                <w:color w:val="auto"/>
                <w:sz w:val="24"/>
                <w:highlight w:val="none"/>
                <w:lang w:val="en-GB"/>
              </w:rPr>
              <w:t>m</w:t>
            </w:r>
            <w:r>
              <w:rPr>
                <w:rFonts w:hint="default" w:ascii="Times New Roman" w:hAnsi="Times New Roman" w:eastAsia="宋体" w:cs="Times New Roman"/>
                <w:color w:val="auto"/>
                <w:sz w:val="24"/>
                <w:highlight w:val="none"/>
                <w:vertAlign w:val="superscript"/>
                <w:lang w:val="en-GB"/>
              </w:rPr>
              <w:t>3</w:t>
            </w:r>
            <w:r>
              <w:rPr>
                <w:rFonts w:hint="default" w:ascii="Times New Roman" w:hAnsi="Times New Roman" w:eastAsia="宋体" w:cs="Times New Roman"/>
                <w:color w:val="auto"/>
                <w:sz w:val="24"/>
                <w:highlight w:val="none"/>
                <w:lang w:val="en-GB"/>
              </w:rPr>
              <w:t>/h，</w:t>
            </w:r>
            <w:r>
              <w:rPr>
                <w:rFonts w:hint="default" w:ascii="Times New Roman" w:hAnsi="Times New Roman" w:eastAsia="宋体" w:cs="Times New Roman"/>
                <w:color w:val="auto"/>
                <w:sz w:val="24"/>
                <w:highlight w:val="none"/>
              </w:rPr>
              <w:t>抛丸工序工作时间每天4小时，年工作</w:t>
            </w:r>
            <w:r>
              <w:rPr>
                <w:rFonts w:hint="default" w:ascii="Times New Roman" w:hAnsi="Times New Roman" w:eastAsia="宋体" w:cs="Times New Roman"/>
                <w:color w:val="auto"/>
                <w:sz w:val="24"/>
                <w:highlight w:val="none"/>
                <w:lang w:val="en-US" w:eastAsia="zh-CN"/>
              </w:rPr>
              <w:t>28</w:t>
            </w:r>
            <w:r>
              <w:rPr>
                <w:rFonts w:hint="default" w:ascii="Times New Roman" w:hAnsi="Times New Roman" w:eastAsia="宋体" w:cs="Times New Roman"/>
                <w:color w:val="auto"/>
                <w:sz w:val="24"/>
                <w:highlight w:val="none"/>
              </w:rPr>
              <w:t>0天。</w:t>
            </w:r>
            <w:r>
              <w:rPr>
                <w:rFonts w:hint="default" w:ascii="Times New Roman" w:hAnsi="Times New Roman" w:cs="Times New Roman"/>
                <w:color w:val="auto"/>
                <w:sz w:val="24"/>
                <w:highlight w:val="none"/>
                <w:lang w:eastAsia="zh-CN"/>
              </w:rPr>
              <w:t>抛丸粉尘</w:t>
            </w:r>
            <w:r>
              <w:rPr>
                <w:rFonts w:hint="default" w:ascii="Times New Roman" w:hAnsi="Times New Roman" w:eastAsia="宋体" w:cs="Times New Roman"/>
                <w:color w:val="auto"/>
                <w:sz w:val="24"/>
                <w:highlight w:val="none"/>
                <w:lang w:eastAsia="zh-CN"/>
              </w:rPr>
              <w:t>密闭收集效率可达到</w:t>
            </w:r>
            <w:r>
              <w:rPr>
                <w:rFonts w:hint="default" w:ascii="Times New Roman" w:hAnsi="Times New Roman" w:eastAsia="宋体" w:cs="Times New Roman"/>
                <w:color w:val="auto"/>
                <w:sz w:val="24"/>
                <w:highlight w:val="none"/>
                <w:lang w:val="en-US" w:eastAsia="zh-CN"/>
              </w:rPr>
              <w:t>98%，布袋</w:t>
            </w:r>
            <w:r>
              <w:rPr>
                <w:rFonts w:hint="default" w:ascii="Times New Roman" w:hAnsi="Times New Roman" w:eastAsia="宋体" w:cs="Times New Roman"/>
                <w:color w:val="auto"/>
                <w:sz w:val="24"/>
                <w:highlight w:val="none"/>
              </w:rPr>
              <w:t>除尘器</w:t>
            </w:r>
            <w:r>
              <w:rPr>
                <w:rFonts w:hint="default" w:ascii="Times New Roman" w:hAnsi="Times New Roman" w:eastAsia="宋体" w:cs="Times New Roman"/>
                <w:color w:val="auto"/>
                <w:sz w:val="24"/>
                <w:highlight w:val="none"/>
                <w:lang w:eastAsia="zh-CN"/>
              </w:rPr>
              <w:t>处理效率</w:t>
            </w:r>
            <w:r>
              <w:rPr>
                <w:rFonts w:hint="default" w:ascii="Times New Roman" w:hAnsi="Times New Roman" w:eastAsia="宋体" w:cs="Times New Roman"/>
                <w:color w:val="auto"/>
                <w:sz w:val="24"/>
                <w:highlight w:val="none"/>
                <w:lang w:val="en-US" w:eastAsia="zh-CN"/>
              </w:rPr>
              <w:t>参考《排放源统计调查产排污核算方法和系数手册》中袋式除尘器颗粒物去除效率取95%。</w:t>
            </w:r>
          </w:p>
          <w:p w14:paraId="2A35FA1D">
            <w:pPr>
              <w:keepNext w:val="0"/>
              <w:keepLines w:val="0"/>
              <w:widowControl w:val="0"/>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FF0000"/>
                <w:sz w:val="24"/>
                <w:highlight w:val="none"/>
                <w:lang w:val="en-US" w:eastAsia="zh-CN"/>
              </w:rPr>
            </w:pPr>
            <w:r>
              <w:rPr>
                <w:rFonts w:hint="default" w:ascii="Times New Roman" w:hAnsi="Times New Roman" w:eastAsia="宋体" w:cs="Times New Roman"/>
                <w:color w:val="auto"/>
                <w:sz w:val="24"/>
                <w:highlight w:val="none"/>
                <w:lang w:eastAsia="zh-CN"/>
              </w:rPr>
              <w:t>经计算，抛丸工序有组织</w:t>
            </w:r>
            <w:r>
              <w:rPr>
                <w:rFonts w:hint="default" w:ascii="Times New Roman" w:hAnsi="Times New Roman" w:cs="Times New Roman"/>
                <w:color w:val="auto"/>
                <w:sz w:val="24"/>
                <w:highlight w:val="none"/>
                <w:lang w:eastAsia="zh-CN"/>
              </w:rPr>
              <w:t>粉尘</w:t>
            </w:r>
            <w:r>
              <w:rPr>
                <w:rFonts w:hint="default" w:ascii="Times New Roman" w:hAnsi="Times New Roman" w:eastAsia="宋体" w:cs="Times New Roman"/>
                <w:color w:val="auto"/>
                <w:sz w:val="24"/>
                <w:szCs w:val="24"/>
                <w:u w:val="none" w:color="auto"/>
                <w:lang w:val="en-US" w:eastAsia="zh-CN"/>
              </w:rPr>
              <w:t>产生量为4.5</w:t>
            </w:r>
            <w:r>
              <w:rPr>
                <w:rFonts w:hint="default" w:ascii="Times New Roman" w:hAnsi="Times New Roman" w:cs="Times New Roman"/>
                <w:color w:val="auto"/>
                <w:sz w:val="24"/>
                <w:szCs w:val="24"/>
                <w:u w:val="none" w:color="auto"/>
                <w:lang w:val="en-US" w:eastAsia="zh-CN"/>
              </w:rPr>
              <w:t>07</w:t>
            </w:r>
            <w:r>
              <w:rPr>
                <w:rFonts w:hint="default" w:ascii="Times New Roman" w:hAnsi="Times New Roman" w:eastAsia="宋体" w:cs="Times New Roman"/>
                <w:color w:val="auto"/>
                <w:sz w:val="24"/>
                <w:szCs w:val="24"/>
                <w:u w:val="none" w:color="auto"/>
                <w:lang w:val="en-US" w:eastAsia="zh-CN"/>
              </w:rPr>
              <w:t>t/a，产生速率为4.</w:t>
            </w:r>
            <w:r>
              <w:rPr>
                <w:rFonts w:hint="default" w:ascii="Times New Roman" w:hAnsi="Times New Roman" w:cs="Times New Roman"/>
                <w:color w:val="auto"/>
                <w:sz w:val="24"/>
                <w:szCs w:val="24"/>
                <w:u w:val="none" w:color="auto"/>
                <w:lang w:val="en-US" w:eastAsia="zh-CN"/>
              </w:rPr>
              <w:t>024</w:t>
            </w:r>
            <w:r>
              <w:rPr>
                <w:rFonts w:hint="default" w:ascii="Times New Roman" w:hAnsi="Times New Roman" w:eastAsia="宋体" w:cs="Times New Roman"/>
                <w:color w:val="auto"/>
                <w:sz w:val="24"/>
                <w:highlight w:val="none"/>
              </w:rPr>
              <w:t>kg/h</w:t>
            </w:r>
            <w:r>
              <w:rPr>
                <w:rFonts w:hint="default" w:ascii="Times New Roman" w:hAnsi="Times New Roman" w:cs="Times New Roman"/>
                <w:color w:val="auto"/>
                <w:sz w:val="24"/>
                <w:highlight w:val="none"/>
                <w:lang w:eastAsia="zh-CN"/>
              </w:rPr>
              <w:t>，产生浓度</w:t>
            </w:r>
            <w:r>
              <w:rPr>
                <w:rFonts w:hint="default" w:ascii="Times New Roman" w:hAnsi="Times New Roman" w:cs="Times New Roman"/>
                <w:color w:val="auto"/>
                <w:sz w:val="24"/>
                <w:highlight w:val="none"/>
                <w:lang w:val="en-US" w:eastAsia="zh-CN"/>
              </w:rPr>
              <w:t>191.625mg/m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；有组织粉尘排放</w:t>
            </w:r>
            <w:r>
              <w:rPr>
                <w:rFonts w:hint="default" w:ascii="Times New Roman" w:hAnsi="Times New Roman" w:eastAsia="宋体" w:cs="Times New Roman"/>
                <w:color w:val="auto"/>
                <w:sz w:val="24"/>
                <w:szCs w:val="24"/>
                <w:u w:val="none" w:color="auto"/>
                <w:lang w:val="en-US" w:eastAsia="zh-CN"/>
              </w:rPr>
              <w:t>量为</w:t>
            </w:r>
            <w:r>
              <w:rPr>
                <w:rFonts w:hint="default" w:ascii="Times New Roman" w:hAnsi="Times New Roman" w:cs="Times New Roman"/>
                <w:color w:val="auto"/>
                <w:sz w:val="24"/>
                <w:szCs w:val="24"/>
                <w:u w:val="none" w:color="auto"/>
                <w:lang w:val="en-US" w:eastAsia="zh-CN"/>
              </w:rPr>
              <w:t>0.225</w:t>
            </w:r>
            <w:r>
              <w:rPr>
                <w:rFonts w:hint="default" w:ascii="Times New Roman" w:hAnsi="Times New Roman" w:eastAsia="宋体" w:cs="Times New Roman"/>
                <w:color w:val="auto"/>
                <w:sz w:val="24"/>
                <w:szCs w:val="24"/>
                <w:u w:val="none" w:color="auto"/>
                <w:lang w:val="en-US" w:eastAsia="zh-CN"/>
              </w:rPr>
              <w:t>t/a，</w:t>
            </w:r>
            <w:r>
              <w:rPr>
                <w:rFonts w:hint="default" w:ascii="Times New Roman" w:hAnsi="Times New Roman" w:cs="Times New Roman"/>
                <w:color w:val="auto"/>
                <w:sz w:val="24"/>
                <w:szCs w:val="24"/>
                <w:u w:val="none" w:color="auto"/>
                <w:lang w:val="en-US" w:eastAsia="zh-CN"/>
              </w:rPr>
              <w:t>排放</w:t>
            </w:r>
            <w:r>
              <w:rPr>
                <w:rFonts w:hint="default" w:ascii="Times New Roman" w:hAnsi="Times New Roman" w:eastAsia="宋体" w:cs="Times New Roman"/>
                <w:color w:val="auto"/>
                <w:sz w:val="24"/>
                <w:szCs w:val="24"/>
                <w:u w:val="none" w:color="auto"/>
                <w:lang w:val="en-US" w:eastAsia="zh-CN"/>
              </w:rPr>
              <w:t>速率为</w:t>
            </w:r>
            <w:r>
              <w:rPr>
                <w:rFonts w:hint="default" w:ascii="Times New Roman" w:hAnsi="Times New Roman" w:cs="Times New Roman"/>
                <w:color w:val="auto"/>
                <w:sz w:val="24"/>
                <w:szCs w:val="24"/>
                <w:u w:val="none" w:color="auto"/>
                <w:lang w:val="en-US" w:eastAsia="zh-CN"/>
              </w:rPr>
              <w:t>0.201</w:t>
            </w:r>
            <w:r>
              <w:rPr>
                <w:rFonts w:hint="default" w:ascii="Times New Roman" w:hAnsi="Times New Roman" w:eastAsia="宋体" w:cs="Times New Roman"/>
                <w:color w:val="auto"/>
                <w:sz w:val="24"/>
                <w:highlight w:val="none"/>
              </w:rPr>
              <w:t>kg/h</w:t>
            </w:r>
            <w:r>
              <w:rPr>
                <w:rFonts w:hint="default" w:ascii="Times New Roman" w:hAnsi="Times New Roman" w:cs="Times New Roman"/>
                <w:color w:val="auto"/>
                <w:sz w:val="24"/>
                <w:highlight w:val="none"/>
                <w:lang w:eastAsia="zh-CN"/>
              </w:rPr>
              <w:t>，排放浓度</w:t>
            </w:r>
            <w:r>
              <w:rPr>
                <w:rFonts w:hint="default" w:ascii="Times New Roman" w:hAnsi="Times New Roman" w:cs="Times New Roman"/>
                <w:color w:val="auto"/>
                <w:sz w:val="24"/>
                <w:highlight w:val="none"/>
                <w:lang w:val="en-US" w:eastAsia="zh-CN"/>
              </w:rPr>
              <w:t>9.581mg/m</w:t>
            </w:r>
            <w:r>
              <w:rPr>
                <w:rFonts w:hint="default" w:ascii="Times New Roman" w:hAnsi="Times New Roman" w:cs="Times New Roman"/>
                <w:color w:val="auto"/>
                <w:sz w:val="24"/>
                <w:highlight w:val="none"/>
                <w:vertAlign w:val="superscript"/>
                <w:lang w:val="en-US" w:eastAsia="zh-CN"/>
              </w:rPr>
              <w:t>3</w:t>
            </w:r>
          </w:p>
          <w:p w14:paraId="489A09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未捕集的2%抛丸粉尘以无组织形式排放，</w:t>
            </w:r>
            <w:r>
              <w:rPr>
                <w:rFonts w:hint="default" w:ascii="Times New Roman" w:hAnsi="Times New Roman" w:cs="Times New Roman"/>
                <w:color w:val="auto"/>
                <w:sz w:val="24"/>
                <w:szCs w:val="24"/>
                <w:u w:val="none" w:color="auto"/>
                <w:lang w:val="en-US" w:eastAsia="zh-CN"/>
              </w:rPr>
              <w:t>则</w:t>
            </w:r>
            <w:r>
              <w:rPr>
                <w:rFonts w:hint="default" w:ascii="Times New Roman" w:hAnsi="Times New Roman" w:eastAsia="宋体" w:cs="Times New Roman"/>
                <w:color w:val="auto"/>
                <w:sz w:val="24"/>
                <w:szCs w:val="24"/>
                <w:u w:val="none" w:color="auto"/>
                <w:lang w:val="en-US" w:eastAsia="zh-CN"/>
              </w:rPr>
              <w:t>无组织排放量为0.</w:t>
            </w:r>
            <w:r>
              <w:rPr>
                <w:rFonts w:hint="default" w:ascii="Times New Roman" w:hAnsi="Times New Roman" w:cs="Times New Roman"/>
                <w:color w:val="auto"/>
                <w:sz w:val="24"/>
                <w:szCs w:val="24"/>
                <w:u w:val="none" w:color="auto"/>
                <w:lang w:val="en-US" w:eastAsia="zh-CN"/>
              </w:rPr>
              <w:t>092</w:t>
            </w:r>
            <w:r>
              <w:rPr>
                <w:rFonts w:hint="default" w:ascii="Times New Roman" w:hAnsi="Times New Roman" w:eastAsia="宋体" w:cs="Times New Roman"/>
                <w:color w:val="auto"/>
                <w:sz w:val="24"/>
                <w:szCs w:val="24"/>
                <w:u w:val="none" w:color="auto"/>
                <w:lang w:val="en-US" w:eastAsia="zh-CN"/>
              </w:rPr>
              <w:t>t/a，排放速率为0.0</w:t>
            </w:r>
            <w:r>
              <w:rPr>
                <w:rFonts w:hint="default" w:ascii="Times New Roman" w:hAnsi="Times New Roman" w:cs="Times New Roman"/>
                <w:color w:val="auto"/>
                <w:sz w:val="24"/>
                <w:szCs w:val="24"/>
                <w:u w:val="none" w:color="auto"/>
                <w:lang w:val="en-US" w:eastAsia="zh-CN"/>
              </w:rPr>
              <w:t>82</w:t>
            </w:r>
            <w:r>
              <w:rPr>
                <w:rFonts w:hint="default" w:ascii="Times New Roman" w:hAnsi="Times New Roman" w:eastAsia="宋体" w:cs="Times New Roman"/>
                <w:color w:val="auto"/>
                <w:sz w:val="24"/>
                <w:szCs w:val="24"/>
                <w:u w:val="none" w:color="auto"/>
                <w:lang w:val="en-US" w:eastAsia="zh-CN"/>
              </w:rPr>
              <w:t>kg/h。</w:t>
            </w:r>
          </w:p>
          <w:p w14:paraId="554AF0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pacing w:val="0"/>
                <w:w w:val="100"/>
                <w:position w:val="0"/>
                <w:sz w:val="24"/>
                <w:szCs w:val="24"/>
                <w:highlight w:val="none"/>
                <w:u w:val="none" w:color="auto"/>
                <w:lang w:eastAsia="zh-CN"/>
              </w:rPr>
            </w:pPr>
            <w:r>
              <w:rPr>
                <w:rFonts w:hint="default" w:ascii="Times New Roman" w:hAnsi="Times New Roman" w:eastAsia="宋体" w:cs="Times New Roman"/>
                <w:b w:val="0"/>
                <w:bCs/>
                <w:color w:val="auto"/>
                <w:spacing w:val="0"/>
                <w:w w:val="100"/>
                <w:position w:val="0"/>
                <w:sz w:val="24"/>
                <w:szCs w:val="24"/>
                <w:highlight w:val="none"/>
                <w:u w:val="none" w:color="auto"/>
                <w:lang w:eastAsia="zh-CN"/>
              </w:rPr>
              <w:t>（</w:t>
            </w:r>
            <w:r>
              <w:rPr>
                <w:rFonts w:hint="default" w:ascii="Times New Roman" w:hAnsi="Times New Roman" w:eastAsia="宋体" w:cs="Times New Roman"/>
                <w:b w:val="0"/>
                <w:bCs/>
                <w:color w:val="auto"/>
                <w:spacing w:val="0"/>
                <w:w w:val="100"/>
                <w:position w:val="0"/>
                <w:sz w:val="24"/>
                <w:szCs w:val="24"/>
                <w:highlight w:val="none"/>
                <w:u w:val="none" w:color="auto"/>
                <w:lang w:val="en-US" w:eastAsia="zh-CN"/>
              </w:rPr>
              <w:t>4）</w:t>
            </w:r>
            <w:r>
              <w:rPr>
                <w:rFonts w:hint="eastAsia" w:ascii="Times New Roman" w:hAnsi="Times New Roman" w:cs="Times New Roman"/>
                <w:color w:val="auto"/>
                <w:sz w:val="24"/>
                <w:szCs w:val="24"/>
                <w:highlight w:val="none"/>
                <w:lang w:eastAsia="zh-CN"/>
              </w:rPr>
              <w:t>刷</w:t>
            </w:r>
            <w:r>
              <w:rPr>
                <w:rFonts w:hint="default" w:ascii="Times New Roman" w:hAnsi="Times New Roman" w:eastAsia="宋体" w:cs="Times New Roman"/>
                <w:b w:val="0"/>
                <w:bCs/>
                <w:color w:val="auto"/>
                <w:spacing w:val="0"/>
                <w:w w:val="100"/>
                <w:position w:val="0"/>
                <w:sz w:val="24"/>
                <w:szCs w:val="24"/>
                <w:highlight w:val="none"/>
                <w:u w:val="none" w:color="auto"/>
                <w:lang w:eastAsia="zh-CN"/>
              </w:rPr>
              <w:t>漆废气</w:t>
            </w:r>
          </w:p>
          <w:p w14:paraId="369580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本项目涉及到的调漆、喷漆、晾干工序均在喷漆房内进行，一批次产品进行喷漆过后，在喷漆房就地晾干，产品晾干后再进行下一批工件的喷漆处理。</w:t>
            </w:r>
            <w:r>
              <w:rPr>
                <w:rFonts w:hint="default" w:ascii="Times New Roman" w:hAnsi="Times New Roman" w:eastAsia="宋体" w:cs="Times New Roman"/>
                <w:color w:val="auto"/>
                <w:sz w:val="24"/>
                <w:szCs w:val="24"/>
                <w:u w:val="none" w:color="auto"/>
                <w:lang w:val="en-US" w:eastAsia="zh-CN"/>
              </w:rPr>
              <w:t>根据建设方提供资料，各类油漆、稀释剂、固化剂的使用量及各组份含量如下：</w:t>
            </w:r>
          </w:p>
          <w:p w14:paraId="08B7DE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u w:val="none"/>
                <w:lang w:eastAsia="zh-CN"/>
              </w:rPr>
            </w:pPr>
            <w:r>
              <w:rPr>
                <w:rFonts w:hint="default" w:ascii="Times New Roman" w:hAnsi="Times New Roman" w:eastAsia="宋体" w:cs="Times New Roman"/>
                <w:b/>
                <w:bCs/>
                <w:color w:val="auto"/>
                <w:sz w:val="24"/>
                <w:szCs w:val="24"/>
                <w:u w:val="none"/>
                <w:lang w:eastAsia="zh-CN"/>
              </w:rPr>
              <w:t>表</w:t>
            </w:r>
            <w:r>
              <w:rPr>
                <w:rFonts w:hint="default" w:ascii="Times New Roman" w:hAnsi="Times New Roman" w:eastAsia="宋体" w:cs="Times New Roman"/>
                <w:b/>
                <w:bCs/>
                <w:color w:val="auto"/>
                <w:sz w:val="24"/>
                <w:szCs w:val="24"/>
                <w:u w:val="none"/>
                <w:lang w:val="en-US" w:eastAsia="zh-CN"/>
              </w:rPr>
              <w:t>4-1</w:t>
            </w:r>
            <w:r>
              <w:rPr>
                <w:rFonts w:hint="default" w:ascii="Times New Roman" w:hAnsi="Times New Roman" w:eastAsia="宋体" w:cs="Times New Roman"/>
                <w:b/>
                <w:bCs/>
                <w:color w:val="auto"/>
                <w:sz w:val="24"/>
                <w:szCs w:val="24"/>
                <w:u w:val="none"/>
                <w:lang w:eastAsia="zh-CN"/>
              </w:rPr>
              <w:t xml:space="preserve">   项目油漆、固化剂及稀释剂成分一览表</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26"/>
              <w:gridCol w:w="1148"/>
              <w:gridCol w:w="1827"/>
              <w:gridCol w:w="2515"/>
              <w:gridCol w:w="1140"/>
              <w:gridCol w:w="1131"/>
            </w:tblGrid>
            <w:tr w14:paraId="549BF6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tcBorders>
                    <w:tl2br w:val="nil"/>
                    <w:tr2bl w:val="nil"/>
                  </w:tcBorders>
                  <w:noWrap w:val="0"/>
                  <w:vAlign w:val="center"/>
                </w:tcPr>
                <w:p w14:paraId="61855AD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vertAlign w:val="baseline"/>
                      <w:lang w:val="en-US" w:eastAsia="zh-CN"/>
                    </w:rPr>
                  </w:pPr>
                  <w:r>
                    <w:rPr>
                      <w:rFonts w:hint="default" w:ascii="Times New Roman" w:hAnsi="Times New Roman" w:eastAsia="宋体" w:cs="Times New Roman"/>
                      <w:b/>
                      <w:bCs/>
                      <w:color w:val="auto"/>
                      <w:u w:val="none"/>
                      <w:vertAlign w:val="baseline"/>
                      <w:lang w:val="en-US" w:eastAsia="zh-CN"/>
                    </w:rPr>
                    <w:t>物料名称</w:t>
                  </w:r>
                </w:p>
              </w:tc>
              <w:tc>
                <w:tcPr>
                  <w:tcW w:w="1148" w:type="dxa"/>
                  <w:tcBorders>
                    <w:tl2br w:val="nil"/>
                    <w:tr2bl w:val="nil"/>
                  </w:tcBorders>
                  <w:noWrap w:val="0"/>
                  <w:vAlign w:val="center"/>
                </w:tcPr>
                <w:p w14:paraId="39BBED1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vertAlign w:val="baseline"/>
                      <w:lang w:val="en-US" w:eastAsia="zh-CN"/>
                    </w:rPr>
                  </w:pPr>
                  <w:r>
                    <w:rPr>
                      <w:rFonts w:hint="default" w:ascii="Times New Roman" w:hAnsi="Times New Roman" w:eastAsia="宋体" w:cs="Times New Roman"/>
                      <w:b/>
                      <w:bCs/>
                      <w:color w:val="auto"/>
                      <w:u w:val="none"/>
                      <w:vertAlign w:val="baseline"/>
                      <w:lang w:val="en-US" w:eastAsia="zh-CN"/>
                    </w:rPr>
                    <w:t>用量(t/a)</w:t>
                  </w:r>
                </w:p>
              </w:tc>
              <w:tc>
                <w:tcPr>
                  <w:tcW w:w="1827" w:type="dxa"/>
                  <w:tcBorders>
                    <w:tl2br w:val="nil"/>
                    <w:tr2bl w:val="nil"/>
                  </w:tcBorders>
                  <w:noWrap w:val="0"/>
                  <w:vAlign w:val="center"/>
                </w:tcPr>
                <w:p w14:paraId="239EF36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vertAlign w:val="baseline"/>
                      <w:lang w:val="en-US" w:eastAsia="zh-CN"/>
                    </w:rPr>
                  </w:pPr>
                  <w:r>
                    <w:rPr>
                      <w:rFonts w:hint="default" w:ascii="Times New Roman" w:hAnsi="Times New Roman" w:eastAsia="宋体" w:cs="Times New Roman"/>
                      <w:b/>
                      <w:bCs/>
                      <w:color w:val="auto"/>
                      <w:u w:val="none"/>
                      <w:vertAlign w:val="baseline"/>
                      <w:lang w:val="en-US" w:eastAsia="zh-CN"/>
                    </w:rPr>
                    <w:t>性质</w:t>
                  </w:r>
                </w:p>
              </w:tc>
              <w:tc>
                <w:tcPr>
                  <w:tcW w:w="2515" w:type="dxa"/>
                  <w:tcBorders>
                    <w:tl2br w:val="nil"/>
                    <w:tr2bl w:val="nil"/>
                  </w:tcBorders>
                  <w:noWrap w:val="0"/>
                  <w:vAlign w:val="center"/>
                </w:tcPr>
                <w:p w14:paraId="726C73C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vertAlign w:val="baseline"/>
                      <w:lang w:val="en-US" w:eastAsia="zh-CN"/>
                    </w:rPr>
                  </w:pPr>
                  <w:r>
                    <w:rPr>
                      <w:rFonts w:hint="default" w:ascii="Times New Roman" w:hAnsi="Times New Roman" w:eastAsia="宋体" w:cs="Times New Roman"/>
                      <w:b/>
                      <w:bCs/>
                      <w:color w:val="auto"/>
                      <w:u w:val="none"/>
                      <w:vertAlign w:val="baseline"/>
                      <w:lang w:val="en-US" w:eastAsia="zh-CN"/>
                    </w:rPr>
                    <w:t>成分</w:t>
                  </w:r>
                </w:p>
              </w:tc>
              <w:tc>
                <w:tcPr>
                  <w:tcW w:w="1140" w:type="dxa"/>
                  <w:tcBorders>
                    <w:tl2br w:val="nil"/>
                    <w:tr2bl w:val="nil"/>
                  </w:tcBorders>
                  <w:noWrap w:val="0"/>
                  <w:vAlign w:val="center"/>
                </w:tcPr>
                <w:p w14:paraId="1A7B278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vertAlign w:val="baseline"/>
                      <w:lang w:val="en-US" w:eastAsia="zh-CN"/>
                    </w:rPr>
                  </w:pPr>
                  <w:r>
                    <w:rPr>
                      <w:rFonts w:hint="default" w:ascii="Times New Roman" w:hAnsi="Times New Roman" w:eastAsia="宋体" w:cs="Times New Roman"/>
                      <w:b/>
                      <w:bCs/>
                      <w:color w:val="auto"/>
                      <w:u w:val="none"/>
                      <w:vertAlign w:val="baseline"/>
                      <w:lang w:val="en-US" w:eastAsia="zh-CN"/>
                    </w:rPr>
                    <w:t>比例</w:t>
                  </w:r>
                </w:p>
              </w:tc>
              <w:tc>
                <w:tcPr>
                  <w:tcW w:w="1131" w:type="dxa"/>
                  <w:tcBorders>
                    <w:tl2br w:val="nil"/>
                    <w:tr2bl w:val="nil"/>
                  </w:tcBorders>
                  <w:noWrap w:val="0"/>
                  <w:vAlign w:val="center"/>
                </w:tcPr>
                <w:p w14:paraId="5A6F8D6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u w:val="none"/>
                      <w:vertAlign w:val="baseline"/>
                      <w:lang w:val="en-US" w:eastAsia="zh-CN"/>
                    </w:rPr>
                  </w:pPr>
                  <w:r>
                    <w:rPr>
                      <w:rFonts w:hint="default" w:ascii="Times New Roman" w:hAnsi="Times New Roman" w:eastAsia="宋体" w:cs="Times New Roman"/>
                      <w:b/>
                      <w:bCs/>
                      <w:color w:val="auto"/>
                      <w:u w:val="none"/>
                      <w:vertAlign w:val="baseline"/>
                      <w:lang w:val="en-US" w:eastAsia="zh-CN"/>
                    </w:rPr>
                    <w:t>含量(t/a)</w:t>
                  </w:r>
                </w:p>
              </w:tc>
            </w:tr>
            <w:tr w14:paraId="52152A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noWrap w:val="0"/>
                  <w:vAlign w:val="center"/>
                </w:tcPr>
                <w:p w14:paraId="72E1CCE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铁红醇酸防锈底漆</w:t>
                  </w:r>
                </w:p>
              </w:tc>
              <w:tc>
                <w:tcPr>
                  <w:tcW w:w="1148" w:type="dxa"/>
                  <w:vMerge w:val="restart"/>
                  <w:tcBorders>
                    <w:tl2br w:val="nil"/>
                    <w:tr2bl w:val="nil"/>
                  </w:tcBorders>
                  <w:noWrap w:val="0"/>
                  <w:vAlign w:val="center"/>
                </w:tcPr>
                <w:p w14:paraId="30E641D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cs="Times New Roman"/>
                      <w:color w:val="auto"/>
                      <w:u w:val="none"/>
                      <w:vertAlign w:val="baseline"/>
                      <w:lang w:val="en-US" w:eastAsia="zh-CN"/>
                    </w:rPr>
                    <w:t>0.3</w:t>
                  </w:r>
                </w:p>
              </w:tc>
              <w:tc>
                <w:tcPr>
                  <w:tcW w:w="1827" w:type="dxa"/>
                  <w:tcBorders>
                    <w:tl2br w:val="nil"/>
                    <w:tr2bl w:val="nil"/>
                  </w:tcBorders>
                  <w:noWrap w:val="0"/>
                  <w:vAlign w:val="center"/>
                </w:tcPr>
                <w:p w14:paraId="2B108DD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固份（90%）</w:t>
                  </w:r>
                </w:p>
              </w:tc>
              <w:tc>
                <w:tcPr>
                  <w:tcW w:w="2515" w:type="dxa"/>
                  <w:tcBorders>
                    <w:tl2br w:val="nil"/>
                    <w:tr2bl w:val="nil"/>
                  </w:tcBorders>
                  <w:noWrap w:val="0"/>
                  <w:vAlign w:val="center"/>
                </w:tcPr>
                <w:p w14:paraId="6DD5FD9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醇酸树脂、颜填料</w:t>
                  </w:r>
                </w:p>
              </w:tc>
              <w:tc>
                <w:tcPr>
                  <w:tcW w:w="1140" w:type="dxa"/>
                  <w:tcBorders>
                    <w:tl2br w:val="nil"/>
                    <w:tr2bl w:val="nil"/>
                  </w:tcBorders>
                  <w:noWrap w:val="0"/>
                  <w:vAlign w:val="center"/>
                </w:tcPr>
                <w:p w14:paraId="016AC8A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55.0%</w:t>
                  </w:r>
                </w:p>
              </w:tc>
              <w:tc>
                <w:tcPr>
                  <w:tcW w:w="1131" w:type="dxa"/>
                  <w:tcBorders>
                    <w:tl2br w:val="nil"/>
                    <w:tr2bl w:val="nil"/>
                  </w:tcBorders>
                  <w:noWrap w:val="0"/>
                  <w:vAlign w:val="center"/>
                </w:tcPr>
                <w:p w14:paraId="43AAD5D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0.270 </w:t>
                  </w:r>
                </w:p>
              </w:tc>
            </w:tr>
            <w:tr w14:paraId="46D726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1859FCF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1D70A56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restart"/>
                  <w:tcBorders>
                    <w:tl2br w:val="nil"/>
                    <w:tr2bl w:val="nil"/>
                  </w:tcBorders>
                  <w:noWrap w:val="0"/>
                  <w:vAlign w:val="center"/>
                </w:tcPr>
                <w:p w14:paraId="52F5D10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挥发份（10%）</w:t>
                  </w:r>
                </w:p>
              </w:tc>
              <w:tc>
                <w:tcPr>
                  <w:tcW w:w="2515" w:type="dxa"/>
                  <w:tcBorders>
                    <w:tl2br w:val="nil"/>
                    <w:tr2bl w:val="nil"/>
                  </w:tcBorders>
                  <w:noWrap w:val="0"/>
                  <w:vAlign w:val="center"/>
                </w:tcPr>
                <w:p w14:paraId="46E3756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助剂</w:t>
                  </w:r>
                </w:p>
              </w:tc>
              <w:tc>
                <w:tcPr>
                  <w:tcW w:w="1140" w:type="dxa"/>
                  <w:tcBorders>
                    <w:tl2br w:val="nil"/>
                    <w:tr2bl w:val="nil"/>
                  </w:tcBorders>
                  <w:noWrap w:val="0"/>
                  <w:vAlign w:val="center"/>
                </w:tcPr>
                <w:p w14:paraId="15A1014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2.5%</w:t>
                  </w:r>
                </w:p>
              </w:tc>
              <w:tc>
                <w:tcPr>
                  <w:tcW w:w="1131" w:type="dxa"/>
                  <w:tcBorders>
                    <w:tl2br w:val="nil"/>
                    <w:tr2bl w:val="nil"/>
                  </w:tcBorders>
                  <w:noWrap w:val="0"/>
                  <w:vAlign w:val="center"/>
                </w:tcPr>
                <w:p w14:paraId="7CA9AB6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0.008 </w:t>
                  </w:r>
                </w:p>
              </w:tc>
            </w:tr>
            <w:tr w14:paraId="431A0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0E23812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71FCB6B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continue"/>
                  <w:tcBorders>
                    <w:tl2br w:val="nil"/>
                    <w:tr2bl w:val="nil"/>
                  </w:tcBorders>
                  <w:noWrap w:val="0"/>
                  <w:vAlign w:val="center"/>
                </w:tcPr>
                <w:p w14:paraId="72F01F9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2515" w:type="dxa"/>
                  <w:tcBorders>
                    <w:tl2br w:val="nil"/>
                    <w:tr2bl w:val="nil"/>
                  </w:tcBorders>
                  <w:noWrap w:val="0"/>
                  <w:vAlign w:val="center"/>
                </w:tcPr>
                <w:p w14:paraId="5FEDC7A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溶剂汽油</w:t>
                  </w:r>
                </w:p>
              </w:tc>
              <w:tc>
                <w:tcPr>
                  <w:tcW w:w="1140" w:type="dxa"/>
                  <w:tcBorders>
                    <w:tl2br w:val="nil"/>
                    <w:tr2bl w:val="nil"/>
                  </w:tcBorders>
                  <w:noWrap w:val="0"/>
                  <w:vAlign w:val="center"/>
                </w:tcPr>
                <w:p w14:paraId="7F25A24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7.5%</w:t>
                  </w:r>
                </w:p>
              </w:tc>
              <w:tc>
                <w:tcPr>
                  <w:tcW w:w="1131" w:type="dxa"/>
                  <w:tcBorders>
                    <w:tl2br w:val="nil"/>
                    <w:tr2bl w:val="nil"/>
                  </w:tcBorders>
                  <w:noWrap w:val="0"/>
                  <w:vAlign w:val="center"/>
                </w:tcPr>
                <w:p w14:paraId="41CFBF5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0.023 </w:t>
                  </w:r>
                </w:p>
              </w:tc>
            </w:tr>
            <w:tr w14:paraId="6A34DC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noWrap w:val="0"/>
                  <w:vAlign w:val="center"/>
                </w:tcPr>
                <w:p w14:paraId="3518D3F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醇酸面漆</w:t>
                  </w:r>
                </w:p>
              </w:tc>
              <w:tc>
                <w:tcPr>
                  <w:tcW w:w="1148" w:type="dxa"/>
                  <w:vMerge w:val="restart"/>
                  <w:tcBorders>
                    <w:tl2br w:val="nil"/>
                    <w:tr2bl w:val="nil"/>
                  </w:tcBorders>
                  <w:noWrap w:val="0"/>
                  <w:vAlign w:val="center"/>
                </w:tcPr>
                <w:p w14:paraId="670FC72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cs="Times New Roman"/>
                      <w:color w:val="auto"/>
                      <w:u w:val="none"/>
                      <w:vertAlign w:val="baseline"/>
                      <w:lang w:val="en-US" w:eastAsia="zh-CN"/>
                    </w:rPr>
                    <w:t>0.3</w:t>
                  </w:r>
                </w:p>
              </w:tc>
              <w:tc>
                <w:tcPr>
                  <w:tcW w:w="1827" w:type="dxa"/>
                  <w:tcBorders>
                    <w:tl2br w:val="nil"/>
                    <w:tr2bl w:val="nil"/>
                  </w:tcBorders>
                  <w:noWrap w:val="0"/>
                  <w:vAlign w:val="center"/>
                </w:tcPr>
                <w:p w14:paraId="5B94A25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固份（90%）</w:t>
                  </w:r>
                </w:p>
              </w:tc>
              <w:tc>
                <w:tcPr>
                  <w:tcW w:w="2515" w:type="dxa"/>
                  <w:tcBorders>
                    <w:tl2br w:val="nil"/>
                    <w:tr2bl w:val="nil"/>
                  </w:tcBorders>
                  <w:noWrap w:val="0"/>
                  <w:vAlign w:val="center"/>
                </w:tcPr>
                <w:p w14:paraId="53B67D7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醇酸树脂、颜填料</w:t>
                  </w:r>
                </w:p>
              </w:tc>
              <w:tc>
                <w:tcPr>
                  <w:tcW w:w="1140" w:type="dxa"/>
                  <w:tcBorders>
                    <w:tl2br w:val="nil"/>
                    <w:tr2bl w:val="nil"/>
                  </w:tcBorders>
                  <w:noWrap w:val="0"/>
                  <w:vAlign w:val="center"/>
                </w:tcPr>
                <w:p w14:paraId="3FFD860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90.0%</w:t>
                  </w:r>
                </w:p>
              </w:tc>
              <w:tc>
                <w:tcPr>
                  <w:tcW w:w="1131" w:type="dxa"/>
                  <w:tcBorders>
                    <w:tl2br w:val="nil"/>
                    <w:tr2bl w:val="nil"/>
                  </w:tcBorders>
                  <w:noWrap w:val="0"/>
                  <w:vAlign w:val="center"/>
                </w:tcPr>
                <w:p w14:paraId="6474291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0.270 </w:t>
                  </w:r>
                </w:p>
              </w:tc>
            </w:tr>
            <w:tr w14:paraId="35B31B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470A5FD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088D635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restart"/>
                  <w:tcBorders>
                    <w:tl2br w:val="nil"/>
                    <w:tr2bl w:val="nil"/>
                  </w:tcBorders>
                  <w:noWrap w:val="0"/>
                  <w:vAlign w:val="center"/>
                </w:tcPr>
                <w:p w14:paraId="6A88FC2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挥发份（10%）</w:t>
                  </w:r>
                </w:p>
              </w:tc>
              <w:tc>
                <w:tcPr>
                  <w:tcW w:w="2515" w:type="dxa"/>
                  <w:tcBorders>
                    <w:tl2br w:val="nil"/>
                    <w:tr2bl w:val="nil"/>
                  </w:tcBorders>
                  <w:noWrap w:val="0"/>
                  <w:vAlign w:val="center"/>
                </w:tcPr>
                <w:p w14:paraId="67AE968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助剂</w:t>
                  </w:r>
                </w:p>
              </w:tc>
              <w:tc>
                <w:tcPr>
                  <w:tcW w:w="1140" w:type="dxa"/>
                  <w:tcBorders>
                    <w:tl2br w:val="nil"/>
                    <w:tr2bl w:val="nil"/>
                  </w:tcBorders>
                  <w:noWrap w:val="0"/>
                  <w:vAlign w:val="center"/>
                </w:tcPr>
                <w:p w14:paraId="39144D4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2.5%</w:t>
                  </w:r>
                </w:p>
              </w:tc>
              <w:tc>
                <w:tcPr>
                  <w:tcW w:w="1131" w:type="dxa"/>
                  <w:tcBorders>
                    <w:tl2br w:val="nil"/>
                    <w:tr2bl w:val="nil"/>
                  </w:tcBorders>
                  <w:noWrap w:val="0"/>
                  <w:vAlign w:val="center"/>
                </w:tcPr>
                <w:p w14:paraId="13483E6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0.008 </w:t>
                  </w:r>
                </w:p>
              </w:tc>
            </w:tr>
            <w:tr w14:paraId="3FD645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2A0AC33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27AAA85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continue"/>
                  <w:tcBorders>
                    <w:tl2br w:val="nil"/>
                    <w:tr2bl w:val="nil"/>
                  </w:tcBorders>
                  <w:noWrap w:val="0"/>
                  <w:vAlign w:val="center"/>
                </w:tcPr>
                <w:p w14:paraId="0910D77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2515" w:type="dxa"/>
                  <w:tcBorders>
                    <w:tl2br w:val="nil"/>
                    <w:tr2bl w:val="nil"/>
                  </w:tcBorders>
                  <w:noWrap w:val="0"/>
                  <w:vAlign w:val="center"/>
                </w:tcPr>
                <w:p w14:paraId="4C06EBF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溶剂汽油</w:t>
                  </w:r>
                </w:p>
              </w:tc>
              <w:tc>
                <w:tcPr>
                  <w:tcW w:w="1140" w:type="dxa"/>
                  <w:tcBorders>
                    <w:tl2br w:val="nil"/>
                    <w:tr2bl w:val="nil"/>
                  </w:tcBorders>
                  <w:noWrap w:val="0"/>
                  <w:vAlign w:val="center"/>
                </w:tcPr>
                <w:p w14:paraId="1BD943A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7.5%</w:t>
                  </w:r>
                </w:p>
              </w:tc>
              <w:tc>
                <w:tcPr>
                  <w:tcW w:w="1131" w:type="dxa"/>
                  <w:tcBorders>
                    <w:tl2br w:val="nil"/>
                    <w:tr2bl w:val="nil"/>
                  </w:tcBorders>
                  <w:noWrap w:val="0"/>
                  <w:vAlign w:val="center"/>
                </w:tcPr>
                <w:p w14:paraId="426381D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0.023 </w:t>
                  </w:r>
                </w:p>
              </w:tc>
            </w:tr>
            <w:tr w14:paraId="37BE15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noWrap w:val="0"/>
                  <w:vAlign w:val="center"/>
                </w:tcPr>
                <w:p w14:paraId="1DA46F0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环氧富锌底漆</w:t>
                  </w:r>
                </w:p>
              </w:tc>
              <w:tc>
                <w:tcPr>
                  <w:tcW w:w="1148" w:type="dxa"/>
                  <w:vMerge w:val="restart"/>
                  <w:tcBorders>
                    <w:tl2br w:val="nil"/>
                    <w:tr2bl w:val="nil"/>
                  </w:tcBorders>
                  <w:noWrap w:val="0"/>
                  <w:vAlign w:val="center"/>
                </w:tcPr>
                <w:p w14:paraId="791151A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1.3</w:t>
                  </w:r>
                </w:p>
              </w:tc>
              <w:tc>
                <w:tcPr>
                  <w:tcW w:w="1827" w:type="dxa"/>
                  <w:tcBorders>
                    <w:tl2br w:val="nil"/>
                    <w:tr2bl w:val="nil"/>
                  </w:tcBorders>
                  <w:noWrap w:val="0"/>
                  <w:vAlign w:val="center"/>
                </w:tcPr>
                <w:p w14:paraId="3AAA882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固份（97.5%）</w:t>
                  </w:r>
                </w:p>
              </w:tc>
              <w:tc>
                <w:tcPr>
                  <w:tcW w:w="2515" w:type="dxa"/>
                  <w:tcBorders>
                    <w:tl2br w:val="nil"/>
                    <w:tr2bl w:val="nil"/>
                  </w:tcBorders>
                  <w:noWrap w:val="0"/>
                  <w:vAlign w:val="center"/>
                </w:tcPr>
                <w:p w14:paraId="5EB41E8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环氧树脂、锌粉</w:t>
                  </w:r>
                </w:p>
              </w:tc>
              <w:tc>
                <w:tcPr>
                  <w:tcW w:w="1140" w:type="dxa"/>
                  <w:tcBorders>
                    <w:tl2br w:val="nil"/>
                    <w:tr2bl w:val="nil"/>
                  </w:tcBorders>
                  <w:noWrap w:val="0"/>
                  <w:vAlign w:val="center"/>
                </w:tcPr>
                <w:p w14:paraId="6ADC085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97.5%</w:t>
                  </w:r>
                </w:p>
              </w:tc>
              <w:tc>
                <w:tcPr>
                  <w:tcW w:w="1131" w:type="dxa"/>
                  <w:tcBorders>
                    <w:tl2br w:val="nil"/>
                    <w:tr2bl w:val="nil"/>
                  </w:tcBorders>
                  <w:noWrap w:val="0"/>
                  <w:vAlign w:val="center"/>
                </w:tcPr>
                <w:p w14:paraId="1FC007B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1.268 </w:t>
                  </w:r>
                </w:p>
              </w:tc>
            </w:tr>
            <w:tr w14:paraId="0F7C3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1AFA8AA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0578A2D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tcBorders>
                    <w:tl2br w:val="nil"/>
                    <w:tr2bl w:val="nil"/>
                  </w:tcBorders>
                  <w:noWrap w:val="0"/>
                  <w:vAlign w:val="center"/>
                </w:tcPr>
                <w:p w14:paraId="5D68AAD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挥发份（2.5%）</w:t>
                  </w:r>
                </w:p>
              </w:tc>
              <w:tc>
                <w:tcPr>
                  <w:tcW w:w="2515" w:type="dxa"/>
                  <w:tcBorders>
                    <w:tl2br w:val="nil"/>
                    <w:tr2bl w:val="nil"/>
                  </w:tcBorders>
                  <w:noWrap w:val="0"/>
                  <w:vAlign w:val="center"/>
                </w:tcPr>
                <w:p w14:paraId="661CFD7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助剂</w:t>
                  </w:r>
                </w:p>
              </w:tc>
              <w:tc>
                <w:tcPr>
                  <w:tcW w:w="1140" w:type="dxa"/>
                  <w:tcBorders>
                    <w:tl2br w:val="nil"/>
                    <w:tr2bl w:val="nil"/>
                  </w:tcBorders>
                  <w:noWrap w:val="0"/>
                  <w:vAlign w:val="center"/>
                </w:tcPr>
                <w:p w14:paraId="12E265B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2.5%</w:t>
                  </w:r>
                </w:p>
              </w:tc>
              <w:tc>
                <w:tcPr>
                  <w:tcW w:w="1131" w:type="dxa"/>
                  <w:tcBorders>
                    <w:tl2br w:val="nil"/>
                    <w:tr2bl w:val="nil"/>
                  </w:tcBorders>
                  <w:noWrap w:val="0"/>
                  <w:vAlign w:val="center"/>
                </w:tcPr>
                <w:p w14:paraId="35475A2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0.033 </w:t>
                  </w:r>
                </w:p>
              </w:tc>
            </w:tr>
            <w:tr w14:paraId="6EACB7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noWrap w:val="0"/>
                  <w:vAlign w:val="center"/>
                </w:tcPr>
                <w:p w14:paraId="2DCB5CE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环氧云铁中间漆</w:t>
                  </w:r>
                </w:p>
              </w:tc>
              <w:tc>
                <w:tcPr>
                  <w:tcW w:w="1148" w:type="dxa"/>
                  <w:vMerge w:val="restart"/>
                  <w:tcBorders>
                    <w:tl2br w:val="nil"/>
                    <w:tr2bl w:val="nil"/>
                  </w:tcBorders>
                  <w:noWrap w:val="0"/>
                  <w:vAlign w:val="center"/>
                </w:tcPr>
                <w:p w14:paraId="32291E4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1.3</w:t>
                  </w:r>
                </w:p>
              </w:tc>
              <w:tc>
                <w:tcPr>
                  <w:tcW w:w="1827" w:type="dxa"/>
                  <w:tcBorders>
                    <w:tl2br w:val="nil"/>
                    <w:tr2bl w:val="nil"/>
                  </w:tcBorders>
                  <w:noWrap w:val="0"/>
                  <w:vAlign w:val="center"/>
                </w:tcPr>
                <w:p w14:paraId="4851C72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固份（99%）</w:t>
                  </w:r>
                </w:p>
              </w:tc>
              <w:tc>
                <w:tcPr>
                  <w:tcW w:w="2515" w:type="dxa"/>
                  <w:tcBorders>
                    <w:tl2br w:val="nil"/>
                    <w:tr2bl w:val="nil"/>
                  </w:tcBorders>
                  <w:noWrap w:val="0"/>
                  <w:vAlign w:val="center"/>
                </w:tcPr>
                <w:p w14:paraId="0434B38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树脂、粉料、增稠剂、铝银浆、云母氧化铁</w:t>
                  </w:r>
                </w:p>
              </w:tc>
              <w:tc>
                <w:tcPr>
                  <w:tcW w:w="1140" w:type="dxa"/>
                  <w:tcBorders>
                    <w:tl2br w:val="nil"/>
                    <w:tr2bl w:val="nil"/>
                  </w:tcBorders>
                  <w:noWrap w:val="0"/>
                  <w:vAlign w:val="center"/>
                </w:tcPr>
                <w:p w14:paraId="3FC2A30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99.0%</w:t>
                  </w:r>
                </w:p>
              </w:tc>
              <w:tc>
                <w:tcPr>
                  <w:tcW w:w="1131" w:type="dxa"/>
                  <w:tcBorders>
                    <w:tl2br w:val="nil"/>
                    <w:tr2bl w:val="nil"/>
                  </w:tcBorders>
                  <w:noWrap w:val="0"/>
                  <w:vAlign w:val="center"/>
                </w:tcPr>
                <w:p w14:paraId="03446EA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1.287 </w:t>
                  </w:r>
                </w:p>
              </w:tc>
            </w:tr>
            <w:tr w14:paraId="2E0A10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2000D7A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49C78F1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tcBorders>
                    <w:tl2br w:val="nil"/>
                    <w:tr2bl w:val="nil"/>
                  </w:tcBorders>
                  <w:noWrap w:val="0"/>
                  <w:vAlign w:val="center"/>
                </w:tcPr>
                <w:p w14:paraId="466FAA4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挥发份（1%）</w:t>
                  </w:r>
                </w:p>
              </w:tc>
              <w:tc>
                <w:tcPr>
                  <w:tcW w:w="2515" w:type="dxa"/>
                  <w:tcBorders>
                    <w:tl2br w:val="nil"/>
                    <w:tr2bl w:val="nil"/>
                  </w:tcBorders>
                  <w:noWrap w:val="0"/>
                  <w:vAlign w:val="center"/>
                </w:tcPr>
                <w:p w14:paraId="59DB8B8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助剂</w:t>
                  </w:r>
                </w:p>
              </w:tc>
              <w:tc>
                <w:tcPr>
                  <w:tcW w:w="1140" w:type="dxa"/>
                  <w:tcBorders>
                    <w:tl2br w:val="nil"/>
                    <w:tr2bl w:val="nil"/>
                  </w:tcBorders>
                  <w:noWrap w:val="0"/>
                  <w:vAlign w:val="center"/>
                </w:tcPr>
                <w:p w14:paraId="4F8E239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1%</w:t>
                  </w:r>
                </w:p>
              </w:tc>
              <w:tc>
                <w:tcPr>
                  <w:tcW w:w="1131" w:type="dxa"/>
                  <w:tcBorders>
                    <w:tl2br w:val="nil"/>
                    <w:tr2bl w:val="nil"/>
                  </w:tcBorders>
                  <w:noWrap w:val="0"/>
                  <w:vAlign w:val="center"/>
                </w:tcPr>
                <w:p w14:paraId="6921CBA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0.013 </w:t>
                  </w:r>
                </w:p>
              </w:tc>
            </w:tr>
            <w:tr w14:paraId="192F3E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noWrap w:val="0"/>
                  <w:vAlign w:val="center"/>
                </w:tcPr>
                <w:p w14:paraId="6A0074B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聚氨酯面漆</w:t>
                  </w:r>
                </w:p>
              </w:tc>
              <w:tc>
                <w:tcPr>
                  <w:tcW w:w="1148" w:type="dxa"/>
                  <w:vMerge w:val="restart"/>
                  <w:tcBorders>
                    <w:tl2br w:val="nil"/>
                    <w:tr2bl w:val="nil"/>
                  </w:tcBorders>
                  <w:noWrap w:val="0"/>
                  <w:vAlign w:val="center"/>
                </w:tcPr>
                <w:p w14:paraId="34004A9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1.3</w:t>
                  </w:r>
                </w:p>
              </w:tc>
              <w:tc>
                <w:tcPr>
                  <w:tcW w:w="1827" w:type="dxa"/>
                  <w:tcBorders>
                    <w:tl2br w:val="nil"/>
                    <w:tr2bl w:val="nil"/>
                  </w:tcBorders>
                  <w:shd w:val="clear" w:color="auto" w:fill="auto"/>
                  <w:noWrap w:val="0"/>
                  <w:vAlign w:val="center"/>
                </w:tcPr>
                <w:p w14:paraId="239A979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固份（79.5%）</w:t>
                  </w:r>
                </w:p>
              </w:tc>
              <w:tc>
                <w:tcPr>
                  <w:tcW w:w="2515" w:type="dxa"/>
                  <w:tcBorders>
                    <w:tl2br w:val="nil"/>
                    <w:tr2bl w:val="nil"/>
                  </w:tcBorders>
                  <w:noWrap w:val="0"/>
                  <w:vAlign w:val="center"/>
                </w:tcPr>
                <w:p w14:paraId="0435D3F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热塑性丙烯酸树脂、钛白粉、重晶石粉、滑石粉</w:t>
                  </w:r>
                </w:p>
              </w:tc>
              <w:tc>
                <w:tcPr>
                  <w:tcW w:w="1140" w:type="dxa"/>
                  <w:tcBorders>
                    <w:tl2br w:val="nil"/>
                    <w:tr2bl w:val="nil"/>
                  </w:tcBorders>
                  <w:noWrap w:val="0"/>
                  <w:vAlign w:val="center"/>
                </w:tcPr>
                <w:p w14:paraId="440FD9B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79.5%</w:t>
                  </w:r>
                </w:p>
              </w:tc>
              <w:tc>
                <w:tcPr>
                  <w:tcW w:w="1131" w:type="dxa"/>
                  <w:tcBorders>
                    <w:tl2br w:val="nil"/>
                    <w:tr2bl w:val="nil"/>
                  </w:tcBorders>
                  <w:noWrap w:val="0"/>
                  <w:vAlign w:val="center"/>
                </w:tcPr>
                <w:p w14:paraId="6BB35E7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1.034 </w:t>
                  </w:r>
                </w:p>
              </w:tc>
            </w:tr>
            <w:tr w14:paraId="4B3AE9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4D56C84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4AE8D5A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restart"/>
                  <w:tcBorders>
                    <w:tl2br w:val="nil"/>
                    <w:tr2bl w:val="nil"/>
                  </w:tcBorders>
                  <w:shd w:val="clear" w:color="auto" w:fill="auto"/>
                  <w:noWrap w:val="0"/>
                  <w:vAlign w:val="center"/>
                </w:tcPr>
                <w:p w14:paraId="0F711AA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挥发份（20.5%）</w:t>
                  </w:r>
                </w:p>
              </w:tc>
              <w:tc>
                <w:tcPr>
                  <w:tcW w:w="2515" w:type="dxa"/>
                  <w:tcBorders>
                    <w:tl2br w:val="nil"/>
                    <w:tr2bl w:val="nil"/>
                  </w:tcBorders>
                  <w:noWrap w:val="0"/>
                  <w:vAlign w:val="center"/>
                </w:tcPr>
                <w:p w14:paraId="4AE1BD0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二甲苯</w:t>
                  </w:r>
                </w:p>
              </w:tc>
              <w:tc>
                <w:tcPr>
                  <w:tcW w:w="1140" w:type="dxa"/>
                  <w:tcBorders>
                    <w:tl2br w:val="nil"/>
                    <w:tr2bl w:val="nil"/>
                  </w:tcBorders>
                  <w:noWrap w:val="0"/>
                  <w:vAlign w:val="center"/>
                </w:tcPr>
                <w:p w14:paraId="3CC751B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9.0%</w:t>
                  </w:r>
                </w:p>
              </w:tc>
              <w:tc>
                <w:tcPr>
                  <w:tcW w:w="1131" w:type="dxa"/>
                  <w:tcBorders>
                    <w:tl2br w:val="nil"/>
                    <w:tr2bl w:val="nil"/>
                  </w:tcBorders>
                  <w:noWrap w:val="0"/>
                  <w:vAlign w:val="center"/>
                </w:tcPr>
                <w:p w14:paraId="01EA436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0.117 </w:t>
                  </w:r>
                </w:p>
              </w:tc>
            </w:tr>
            <w:tr w14:paraId="6CBD40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50B0830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781B3E6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continue"/>
                  <w:tcBorders>
                    <w:tl2br w:val="nil"/>
                    <w:tr2bl w:val="nil"/>
                  </w:tcBorders>
                  <w:shd w:val="clear" w:color="auto" w:fill="auto"/>
                  <w:noWrap w:val="0"/>
                  <w:vAlign w:val="center"/>
                </w:tcPr>
                <w:p w14:paraId="4A8DC24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2515" w:type="dxa"/>
                  <w:tcBorders>
                    <w:tl2br w:val="nil"/>
                    <w:tr2bl w:val="nil"/>
                  </w:tcBorders>
                  <w:noWrap w:val="0"/>
                  <w:vAlign w:val="center"/>
                </w:tcPr>
                <w:p w14:paraId="57ACAA4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C9-C12的芳香烃</w:t>
                  </w:r>
                </w:p>
              </w:tc>
              <w:tc>
                <w:tcPr>
                  <w:tcW w:w="1140" w:type="dxa"/>
                  <w:tcBorders>
                    <w:tl2br w:val="nil"/>
                    <w:tr2bl w:val="nil"/>
                  </w:tcBorders>
                  <w:noWrap w:val="0"/>
                  <w:vAlign w:val="center"/>
                </w:tcPr>
                <w:p w14:paraId="0BBA7B5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6.0%</w:t>
                  </w:r>
                </w:p>
              </w:tc>
              <w:tc>
                <w:tcPr>
                  <w:tcW w:w="1131" w:type="dxa"/>
                  <w:tcBorders>
                    <w:tl2br w:val="nil"/>
                    <w:tr2bl w:val="nil"/>
                  </w:tcBorders>
                  <w:noWrap w:val="0"/>
                  <w:vAlign w:val="center"/>
                </w:tcPr>
                <w:p w14:paraId="161AE42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0.078 </w:t>
                  </w:r>
                </w:p>
              </w:tc>
            </w:tr>
            <w:tr w14:paraId="28CEE7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24509BB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3539805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continue"/>
                  <w:tcBorders>
                    <w:tl2br w:val="nil"/>
                    <w:tr2bl w:val="nil"/>
                  </w:tcBorders>
                  <w:shd w:val="clear" w:color="auto" w:fill="auto"/>
                  <w:noWrap w:val="0"/>
                  <w:vAlign w:val="center"/>
                </w:tcPr>
                <w:p w14:paraId="605F9F4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2515" w:type="dxa"/>
                  <w:tcBorders>
                    <w:tl2br w:val="nil"/>
                    <w:tr2bl w:val="nil"/>
                  </w:tcBorders>
                  <w:noWrap w:val="0"/>
                  <w:vAlign w:val="center"/>
                </w:tcPr>
                <w:p w14:paraId="51A033D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乙苯</w:t>
                  </w:r>
                </w:p>
              </w:tc>
              <w:tc>
                <w:tcPr>
                  <w:tcW w:w="1140" w:type="dxa"/>
                  <w:tcBorders>
                    <w:tl2br w:val="nil"/>
                    <w:tr2bl w:val="nil"/>
                  </w:tcBorders>
                  <w:noWrap w:val="0"/>
                  <w:vAlign w:val="center"/>
                </w:tcPr>
                <w:p w14:paraId="4B85B92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4.0%</w:t>
                  </w:r>
                </w:p>
              </w:tc>
              <w:tc>
                <w:tcPr>
                  <w:tcW w:w="1131" w:type="dxa"/>
                  <w:tcBorders>
                    <w:tl2br w:val="nil"/>
                    <w:tr2bl w:val="nil"/>
                  </w:tcBorders>
                  <w:noWrap w:val="0"/>
                  <w:vAlign w:val="center"/>
                </w:tcPr>
                <w:p w14:paraId="70B6830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0.052 </w:t>
                  </w:r>
                </w:p>
              </w:tc>
            </w:tr>
            <w:tr w14:paraId="6957C9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195B35F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45D879B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continue"/>
                  <w:tcBorders>
                    <w:tl2br w:val="nil"/>
                    <w:tr2bl w:val="nil"/>
                  </w:tcBorders>
                  <w:shd w:val="clear" w:color="auto" w:fill="auto"/>
                  <w:noWrap w:val="0"/>
                  <w:vAlign w:val="center"/>
                </w:tcPr>
                <w:p w14:paraId="15D3F39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2515" w:type="dxa"/>
                  <w:tcBorders>
                    <w:tl2br w:val="nil"/>
                    <w:tr2bl w:val="nil"/>
                  </w:tcBorders>
                  <w:noWrap w:val="0"/>
                  <w:vAlign w:val="center"/>
                </w:tcPr>
                <w:p w14:paraId="62E44CB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助剂正丁醇</w:t>
                  </w:r>
                </w:p>
              </w:tc>
              <w:tc>
                <w:tcPr>
                  <w:tcW w:w="1140" w:type="dxa"/>
                  <w:tcBorders>
                    <w:tl2br w:val="nil"/>
                    <w:tr2bl w:val="nil"/>
                  </w:tcBorders>
                  <w:noWrap w:val="0"/>
                  <w:vAlign w:val="center"/>
                </w:tcPr>
                <w:p w14:paraId="1A9A141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1.5%</w:t>
                  </w:r>
                </w:p>
              </w:tc>
              <w:tc>
                <w:tcPr>
                  <w:tcW w:w="1131" w:type="dxa"/>
                  <w:tcBorders>
                    <w:tl2br w:val="nil"/>
                    <w:tr2bl w:val="nil"/>
                  </w:tcBorders>
                  <w:noWrap w:val="0"/>
                  <w:vAlign w:val="center"/>
                </w:tcPr>
                <w:p w14:paraId="713A3A0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0.020 </w:t>
                  </w:r>
                </w:p>
              </w:tc>
            </w:tr>
            <w:tr w14:paraId="4C0BD3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noWrap w:val="0"/>
                  <w:vAlign w:val="center"/>
                </w:tcPr>
                <w:p w14:paraId="774EBC5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稀释剂</w:t>
                  </w:r>
                </w:p>
              </w:tc>
              <w:tc>
                <w:tcPr>
                  <w:tcW w:w="1148" w:type="dxa"/>
                  <w:vMerge w:val="restart"/>
                  <w:tcBorders>
                    <w:tl2br w:val="nil"/>
                    <w:tr2bl w:val="nil"/>
                  </w:tcBorders>
                  <w:noWrap w:val="0"/>
                  <w:vAlign w:val="center"/>
                </w:tcPr>
                <w:p w14:paraId="3B7F1FE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0.</w:t>
                  </w:r>
                  <w:r>
                    <w:rPr>
                      <w:rFonts w:hint="default" w:ascii="Times New Roman" w:hAnsi="Times New Roman" w:cs="Times New Roman"/>
                      <w:color w:val="auto"/>
                      <w:u w:val="none"/>
                      <w:vertAlign w:val="baseline"/>
                      <w:lang w:val="en-US" w:eastAsia="zh-CN"/>
                    </w:rPr>
                    <w:t>45</w:t>
                  </w:r>
                </w:p>
              </w:tc>
              <w:tc>
                <w:tcPr>
                  <w:tcW w:w="1827" w:type="dxa"/>
                  <w:vMerge w:val="restart"/>
                  <w:tcBorders>
                    <w:tl2br w:val="nil"/>
                    <w:tr2bl w:val="nil"/>
                  </w:tcBorders>
                  <w:noWrap w:val="0"/>
                  <w:vAlign w:val="center"/>
                </w:tcPr>
                <w:p w14:paraId="4C61EE2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挥发份（100%）</w:t>
                  </w:r>
                </w:p>
              </w:tc>
              <w:tc>
                <w:tcPr>
                  <w:tcW w:w="2515" w:type="dxa"/>
                  <w:tcBorders>
                    <w:tl2br w:val="nil"/>
                    <w:tr2bl w:val="nil"/>
                  </w:tcBorders>
                  <w:noWrap w:val="0"/>
                  <w:vAlign w:val="center"/>
                </w:tcPr>
                <w:p w14:paraId="0BCAD54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二甲苯</w:t>
                  </w:r>
                </w:p>
              </w:tc>
              <w:tc>
                <w:tcPr>
                  <w:tcW w:w="1140" w:type="dxa"/>
                  <w:tcBorders>
                    <w:tl2br w:val="nil"/>
                    <w:tr2bl w:val="nil"/>
                  </w:tcBorders>
                  <w:noWrap w:val="0"/>
                  <w:vAlign w:val="center"/>
                </w:tcPr>
                <w:p w14:paraId="67E3D1B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77.5%</w:t>
                  </w:r>
                </w:p>
              </w:tc>
              <w:tc>
                <w:tcPr>
                  <w:tcW w:w="1131" w:type="dxa"/>
                  <w:tcBorders>
                    <w:tl2br w:val="nil"/>
                    <w:tr2bl w:val="nil"/>
                  </w:tcBorders>
                  <w:noWrap w:val="0"/>
                  <w:vAlign w:val="center"/>
                </w:tcPr>
                <w:p w14:paraId="53DABD1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0.349 </w:t>
                  </w:r>
                </w:p>
              </w:tc>
            </w:tr>
            <w:tr w14:paraId="4F5E56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123C50B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68FA354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continue"/>
                  <w:tcBorders>
                    <w:tl2br w:val="nil"/>
                    <w:tr2bl w:val="nil"/>
                  </w:tcBorders>
                  <w:noWrap w:val="0"/>
                  <w:vAlign w:val="center"/>
                </w:tcPr>
                <w:p w14:paraId="5E03EB0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2515" w:type="dxa"/>
                  <w:tcBorders>
                    <w:tl2br w:val="nil"/>
                    <w:tr2bl w:val="nil"/>
                  </w:tcBorders>
                  <w:noWrap w:val="0"/>
                  <w:vAlign w:val="center"/>
                </w:tcPr>
                <w:p w14:paraId="2C13907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1-乙酰基-2-丙二醇酯</w:t>
                  </w:r>
                </w:p>
              </w:tc>
              <w:tc>
                <w:tcPr>
                  <w:tcW w:w="1140" w:type="dxa"/>
                  <w:tcBorders>
                    <w:tl2br w:val="nil"/>
                    <w:tr2bl w:val="nil"/>
                  </w:tcBorders>
                  <w:noWrap w:val="0"/>
                  <w:vAlign w:val="center"/>
                </w:tcPr>
                <w:p w14:paraId="1F7852F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22.5%</w:t>
                  </w:r>
                </w:p>
              </w:tc>
              <w:tc>
                <w:tcPr>
                  <w:tcW w:w="1131" w:type="dxa"/>
                  <w:tcBorders>
                    <w:tl2br w:val="nil"/>
                    <w:tr2bl w:val="nil"/>
                  </w:tcBorders>
                  <w:noWrap w:val="0"/>
                  <w:vAlign w:val="center"/>
                </w:tcPr>
                <w:p w14:paraId="1AD7762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0.101 </w:t>
                  </w:r>
                </w:p>
              </w:tc>
            </w:tr>
            <w:tr w14:paraId="32C0CD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noWrap w:val="0"/>
                  <w:vAlign w:val="center"/>
                </w:tcPr>
                <w:p w14:paraId="61BB9A1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固化剂</w:t>
                  </w:r>
                </w:p>
              </w:tc>
              <w:tc>
                <w:tcPr>
                  <w:tcW w:w="1148" w:type="dxa"/>
                  <w:vMerge w:val="restart"/>
                  <w:tcBorders>
                    <w:tl2br w:val="nil"/>
                    <w:tr2bl w:val="nil"/>
                  </w:tcBorders>
                  <w:noWrap w:val="0"/>
                  <w:vAlign w:val="center"/>
                </w:tcPr>
                <w:p w14:paraId="6DF0B54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cs="Times New Roman"/>
                      <w:color w:val="auto"/>
                      <w:u w:val="none"/>
                      <w:vertAlign w:val="baseline"/>
                      <w:lang w:val="en-US" w:eastAsia="zh-CN"/>
                    </w:rPr>
                    <w:t>1.17</w:t>
                  </w:r>
                </w:p>
              </w:tc>
              <w:tc>
                <w:tcPr>
                  <w:tcW w:w="1827" w:type="dxa"/>
                  <w:tcBorders>
                    <w:tl2br w:val="nil"/>
                    <w:tr2bl w:val="nil"/>
                  </w:tcBorders>
                  <w:noWrap/>
                  <w:vAlign w:val="center"/>
                </w:tcPr>
                <w:p w14:paraId="5E930ED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固体份（67.5%）</w:t>
                  </w:r>
                </w:p>
              </w:tc>
              <w:tc>
                <w:tcPr>
                  <w:tcW w:w="2515" w:type="dxa"/>
                  <w:tcBorders>
                    <w:tl2br w:val="nil"/>
                    <w:tr2bl w:val="nil"/>
                  </w:tcBorders>
                  <w:noWrap/>
                  <w:vAlign w:val="center"/>
                </w:tcPr>
                <w:p w14:paraId="348DE53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聚酰胺、三亚乙基四胺</w:t>
                  </w:r>
                </w:p>
              </w:tc>
              <w:tc>
                <w:tcPr>
                  <w:tcW w:w="1140" w:type="dxa"/>
                  <w:tcBorders>
                    <w:tl2br w:val="nil"/>
                    <w:tr2bl w:val="nil"/>
                  </w:tcBorders>
                  <w:noWrap w:val="0"/>
                  <w:vAlign w:val="center"/>
                </w:tcPr>
                <w:p w14:paraId="6B2FD56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67.5%</w:t>
                  </w:r>
                </w:p>
              </w:tc>
              <w:tc>
                <w:tcPr>
                  <w:tcW w:w="1131" w:type="dxa"/>
                  <w:tcBorders>
                    <w:tl2br w:val="nil"/>
                    <w:tr2bl w:val="nil"/>
                  </w:tcBorders>
                  <w:noWrap w:val="0"/>
                  <w:vAlign w:val="center"/>
                </w:tcPr>
                <w:p w14:paraId="26E2262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0.790 </w:t>
                  </w:r>
                </w:p>
              </w:tc>
            </w:tr>
            <w:tr w14:paraId="563FC9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4FBFC27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28DACDE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restart"/>
                  <w:tcBorders>
                    <w:tl2br w:val="nil"/>
                    <w:tr2bl w:val="nil"/>
                  </w:tcBorders>
                  <w:noWrap w:val="0"/>
                  <w:vAlign w:val="center"/>
                </w:tcPr>
                <w:p w14:paraId="561A49C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挥发份（32.5%）</w:t>
                  </w:r>
                </w:p>
              </w:tc>
              <w:tc>
                <w:tcPr>
                  <w:tcW w:w="2515" w:type="dxa"/>
                  <w:tcBorders>
                    <w:tl2br w:val="nil"/>
                    <w:tr2bl w:val="nil"/>
                  </w:tcBorders>
                  <w:noWrap/>
                  <w:vAlign w:val="center"/>
                </w:tcPr>
                <w:p w14:paraId="4B47F5C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正丁醇</w:t>
                  </w:r>
                </w:p>
              </w:tc>
              <w:tc>
                <w:tcPr>
                  <w:tcW w:w="1140" w:type="dxa"/>
                  <w:tcBorders>
                    <w:tl2br w:val="nil"/>
                    <w:tr2bl w:val="nil"/>
                  </w:tcBorders>
                  <w:noWrap w:val="0"/>
                  <w:vAlign w:val="center"/>
                </w:tcPr>
                <w:p w14:paraId="240379B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7.5%</w:t>
                  </w:r>
                </w:p>
              </w:tc>
              <w:tc>
                <w:tcPr>
                  <w:tcW w:w="1131" w:type="dxa"/>
                  <w:tcBorders>
                    <w:tl2br w:val="nil"/>
                    <w:tr2bl w:val="nil"/>
                  </w:tcBorders>
                  <w:noWrap w:val="0"/>
                  <w:vAlign w:val="center"/>
                </w:tcPr>
                <w:p w14:paraId="2EAF5E3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0.088 </w:t>
                  </w:r>
                </w:p>
              </w:tc>
            </w:tr>
            <w:tr w14:paraId="6DE0EA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1E69845D">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107F49D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continue"/>
                  <w:tcBorders>
                    <w:tl2br w:val="nil"/>
                    <w:tr2bl w:val="nil"/>
                  </w:tcBorders>
                  <w:noWrap w:val="0"/>
                  <w:vAlign w:val="center"/>
                </w:tcPr>
                <w:p w14:paraId="3D3762A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2515" w:type="dxa"/>
                  <w:tcBorders>
                    <w:tl2br w:val="nil"/>
                    <w:tr2bl w:val="nil"/>
                  </w:tcBorders>
                  <w:noWrap w:val="0"/>
                  <w:vAlign w:val="center"/>
                </w:tcPr>
                <w:p w14:paraId="5D100D8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二甲苯</w:t>
                  </w:r>
                </w:p>
              </w:tc>
              <w:tc>
                <w:tcPr>
                  <w:tcW w:w="1140" w:type="dxa"/>
                  <w:tcBorders>
                    <w:tl2br w:val="nil"/>
                    <w:tr2bl w:val="nil"/>
                  </w:tcBorders>
                  <w:noWrap w:val="0"/>
                  <w:vAlign w:val="center"/>
                </w:tcPr>
                <w:p w14:paraId="58B3396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25.0%</w:t>
                  </w:r>
                </w:p>
              </w:tc>
              <w:tc>
                <w:tcPr>
                  <w:tcW w:w="1131" w:type="dxa"/>
                  <w:tcBorders>
                    <w:tl2br w:val="nil"/>
                    <w:tr2bl w:val="nil"/>
                  </w:tcBorders>
                  <w:noWrap w:val="0"/>
                  <w:vAlign w:val="center"/>
                </w:tcPr>
                <w:p w14:paraId="33CF17C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 xml:space="preserve">0.293 </w:t>
                  </w:r>
                </w:p>
              </w:tc>
            </w:tr>
            <w:tr w14:paraId="08FB5B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restart"/>
                  <w:tcBorders>
                    <w:tl2br w:val="nil"/>
                    <w:tr2bl w:val="nil"/>
                  </w:tcBorders>
                  <w:noWrap w:val="0"/>
                  <w:vAlign w:val="center"/>
                </w:tcPr>
                <w:p w14:paraId="6AFB219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小计</w:t>
                  </w:r>
                </w:p>
              </w:tc>
              <w:tc>
                <w:tcPr>
                  <w:tcW w:w="1148" w:type="dxa"/>
                  <w:vMerge w:val="restart"/>
                  <w:tcBorders>
                    <w:tl2br w:val="nil"/>
                    <w:tr2bl w:val="nil"/>
                  </w:tcBorders>
                  <w:noWrap w:val="0"/>
                  <w:vAlign w:val="center"/>
                </w:tcPr>
                <w:p w14:paraId="248DDB9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cs="Times New Roman"/>
                      <w:color w:val="auto"/>
                      <w:u w:val="none"/>
                      <w:vertAlign w:val="baseline"/>
                      <w:lang w:val="en-US" w:eastAsia="zh-CN"/>
                    </w:rPr>
                    <w:t>6.12</w:t>
                  </w:r>
                </w:p>
              </w:tc>
              <w:tc>
                <w:tcPr>
                  <w:tcW w:w="1827" w:type="dxa"/>
                  <w:vMerge w:val="restart"/>
                  <w:tcBorders>
                    <w:tl2br w:val="nil"/>
                    <w:tr2bl w:val="nil"/>
                  </w:tcBorders>
                  <w:noWrap w:val="0"/>
                  <w:vAlign w:val="center"/>
                </w:tcPr>
                <w:p w14:paraId="26A2EF1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w:t>
                  </w:r>
                </w:p>
              </w:tc>
              <w:tc>
                <w:tcPr>
                  <w:tcW w:w="2515" w:type="dxa"/>
                  <w:tcBorders>
                    <w:tl2br w:val="nil"/>
                    <w:tr2bl w:val="nil"/>
                  </w:tcBorders>
                  <w:noWrap w:val="0"/>
                  <w:vAlign w:val="center"/>
                </w:tcPr>
                <w:p w14:paraId="16A3025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固份</w:t>
                  </w:r>
                </w:p>
              </w:tc>
              <w:tc>
                <w:tcPr>
                  <w:tcW w:w="1140" w:type="dxa"/>
                  <w:tcBorders>
                    <w:tl2br w:val="nil"/>
                    <w:tr2bl w:val="nil"/>
                  </w:tcBorders>
                  <w:noWrap w:val="0"/>
                  <w:vAlign w:val="center"/>
                </w:tcPr>
                <w:p w14:paraId="38D4E63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w:t>
                  </w:r>
                </w:p>
              </w:tc>
              <w:tc>
                <w:tcPr>
                  <w:tcW w:w="1131" w:type="dxa"/>
                  <w:tcBorders>
                    <w:tl2br w:val="nil"/>
                    <w:tr2bl w:val="nil"/>
                  </w:tcBorders>
                  <w:noWrap w:val="0"/>
                  <w:vAlign w:val="center"/>
                </w:tcPr>
                <w:p w14:paraId="74D60B8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4.918</w:t>
                  </w:r>
                </w:p>
              </w:tc>
            </w:tr>
            <w:tr w14:paraId="398FA4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614F916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05C8E56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continue"/>
                  <w:tcBorders>
                    <w:tl2br w:val="nil"/>
                    <w:tr2bl w:val="nil"/>
                  </w:tcBorders>
                  <w:noWrap w:val="0"/>
                  <w:vAlign w:val="center"/>
                </w:tcPr>
                <w:p w14:paraId="6B61FDB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2515" w:type="dxa"/>
                  <w:tcBorders>
                    <w:tl2br w:val="nil"/>
                    <w:tr2bl w:val="nil"/>
                  </w:tcBorders>
                  <w:noWrap w:val="0"/>
                  <w:vAlign w:val="center"/>
                </w:tcPr>
                <w:p w14:paraId="36DA793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二甲苯</w:t>
                  </w:r>
                </w:p>
              </w:tc>
              <w:tc>
                <w:tcPr>
                  <w:tcW w:w="1140" w:type="dxa"/>
                  <w:tcBorders>
                    <w:tl2br w:val="nil"/>
                    <w:tr2bl w:val="nil"/>
                  </w:tcBorders>
                  <w:noWrap w:val="0"/>
                  <w:vAlign w:val="center"/>
                </w:tcPr>
                <w:p w14:paraId="2FE0082A">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w:t>
                  </w:r>
                </w:p>
              </w:tc>
              <w:tc>
                <w:tcPr>
                  <w:tcW w:w="1131" w:type="dxa"/>
                  <w:tcBorders>
                    <w:tl2br w:val="nil"/>
                    <w:tr2bl w:val="nil"/>
                  </w:tcBorders>
                  <w:noWrap w:val="0"/>
                  <w:vAlign w:val="center"/>
                </w:tcPr>
                <w:p w14:paraId="5F378EF0">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（0.758）</w:t>
                  </w:r>
                </w:p>
              </w:tc>
            </w:tr>
            <w:tr w14:paraId="6161CA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26" w:type="dxa"/>
                  <w:vMerge w:val="continue"/>
                  <w:tcBorders>
                    <w:tl2br w:val="nil"/>
                    <w:tr2bl w:val="nil"/>
                  </w:tcBorders>
                  <w:noWrap w:val="0"/>
                  <w:vAlign w:val="center"/>
                </w:tcPr>
                <w:p w14:paraId="648C0DF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148" w:type="dxa"/>
                  <w:vMerge w:val="continue"/>
                  <w:tcBorders>
                    <w:tl2br w:val="nil"/>
                    <w:tr2bl w:val="nil"/>
                  </w:tcBorders>
                  <w:noWrap w:val="0"/>
                  <w:vAlign w:val="center"/>
                </w:tcPr>
                <w:p w14:paraId="2586D6B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1827" w:type="dxa"/>
                  <w:vMerge w:val="continue"/>
                  <w:tcBorders>
                    <w:tl2br w:val="nil"/>
                    <w:tr2bl w:val="nil"/>
                  </w:tcBorders>
                  <w:noWrap w:val="0"/>
                  <w:vAlign w:val="center"/>
                </w:tcPr>
                <w:p w14:paraId="22A0022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p>
              </w:tc>
              <w:tc>
                <w:tcPr>
                  <w:tcW w:w="2515" w:type="dxa"/>
                  <w:tcBorders>
                    <w:tl2br w:val="nil"/>
                    <w:tr2bl w:val="nil"/>
                  </w:tcBorders>
                  <w:noWrap w:val="0"/>
                  <w:vAlign w:val="center"/>
                </w:tcPr>
                <w:p w14:paraId="1610140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VOC</w:t>
                  </w:r>
                  <w:r>
                    <w:rPr>
                      <w:rFonts w:hint="default" w:ascii="Times New Roman" w:hAnsi="Times New Roman" w:eastAsia="宋体" w:cs="Times New Roman"/>
                      <w:color w:val="auto"/>
                      <w:u w:val="none"/>
                      <w:vertAlign w:val="subscript"/>
                      <w:lang w:val="en-US" w:eastAsia="zh-CN"/>
                    </w:rPr>
                    <w:t>S</w:t>
                  </w:r>
                </w:p>
              </w:tc>
              <w:tc>
                <w:tcPr>
                  <w:tcW w:w="1140" w:type="dxa"/>
                  <w:tcBorders>
                    <w:tl2br w:val="nil"/>
                    <w:tr2bl w:val="nil"/>
                  </w:tcBorders>
                  <w:noWrap w:val="0"/>
                  <w:vAlign w:val="center"/>
                </w:tcPr>
                <w:p w14:paraId="7527B98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w:t>
                  </w:r>
                </w:p>
              </w:tc>
              <w:tc>
                <w:tcPr>
                  <w:tcW w:w="1131" w:type="dxa"/>
                  <w:tcBorders>
                    <w:tl2br w:val="nil"/>
                    <w:tr2bl w:val="nil"/>
                  </w:tcBorders>
                  <w:noWrap w:val="0"/>
                  <w:vAlign w:val="center"/>
                </w:tcPr>
                <w:p w14:paraId="57C46A49">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color w:val="auto"/>
                      <w:u w:val="none"/>
                      <w:vertAlign w:val="baseline"/>
                      <w:lang w:val="en-US" w:eastAsia="zh-CN"/>
                    </w:rPr>
                    <w:t>1.202</w:t>
                  </w:r>
                </w:p>
              </w:tc>
            </w:tr>
            <w:tr w14:paraId="11D2B9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887" w:type="dxa"/>
                  <w:gridSpan w:val="6"/>
                  <w:tcBorders>
                    <w:tl2br w:val="nil"/>
                    <w:tr2bl w:val="nil"/>
                  </w:tcBorders>
                  <w:noWrap w:val="0"/>
                  <w:vAlign w:val="center"/>
                </w:tcPr>
                <w:p w14:paraId="54A12230">
                  <w:pPr>
                    <w:pStyle w:val="90"/>
                    <w:keepNext w:val="0"/>
                    <w:keepLines w:val="0"/>
                    <w:suppressLineNumbers w:val="0"/>
                    <w:bidi w:val="0"/>
                    <w:spacing w:before="0" w:beforeAutospacing="0" w:after="0" w:afterAutospacing="0" w:line="240" w:lineRule="auto"/>
                    <w:ind w:left="0" w:right="0"/>
                    <w:jc w:val="both"/>
                    <w:rPr>
                      <w:rFonts w:hint="default" w:ascii="Times New Roman" w:hAnsi="Times New Roman" w:eastAsia="宋体" w:cs="Times New Roman"/>
                      <w:color w:val="auto"/>
                      <w:u w:val="none"/>
                      <w:vertAlign w:val="baseline"/>
                      <w:lang w:val="en-US" w:eastAsia="zh-CN"/>
                    </w:rPr>
                  </w:pPr>
                  <w:r>
                    <w:rPr>
                      <w:rFonts w:hint="default" w:ascii="Times New Roman" w:hAnsi="Times New Roman" w:eastAsia="宋体" w:cs="Times New Roman"/>
                      <w:b w:val="0"/>
                      <w:bCs/>
                      <w:color w:val="auto"/>
                      <w:spacing w:val="0"/>
                      <w:w w:val="100"/>
                      <w:kern w:val="21"/>
                      <w:position w:val="0"/>
                      <w:sz w:val="18"/>
                      <w:szCs w:val="18"/>
                      <w:highlight w:val="none"/>
                      <w:u w:val="none" w:color="auto"/>
                      <w:lang w:val="en-US" w:eastAsia="zh-CN" w:bidi="ar-SA"/>
                    </w:rPr>
                    <w:t>注：若有机物挥发量提供的百分比范围，则取其中值</w:t>
                  </w:r>
                  <w:r>
                    <w:rPr>
                      <w:rFonts w:hint="default" w:ascii="Times New Roman" w:hAnsi="Times New Roman" w:cs="Times New Roman"/>
                      <w:b w:val="0"/>
                      <w:bCs/>
                      <w:color w:val="auto"/>
                      <w:spacing w:val="0"/>
                      <w:w w:val="100"/>
                      <w:kern w:val="21"/>
                      <w:position w:val="0"/>
                      <w:sz w:val="18"/>
                      <w:szCs w:val="18"/>
                      <w:highlight w:val="none"/>
                      <w:u w:val="none" w:color="auto"/>
                      <w:lang w:val="en-US" w:eastAsia="zh-CN" w:bidi="ar-SA"/>
                    </w:rPr>
                    <w:t>；</w:t>
                  </w:r>
                  <w:r>
                    <w:rPr>
                      <w:rFonts w:hint="default" w:ascii="Times New Roman" w:hAnsi="Times New Roman" w:eastAsia="宋体" w:cs="Times New Roman"/>
                      <w:b w:val="0"/>
                      <w:bCs/>
                      <w:color w:val="auto"/>
                      <w:spacing w:val="0"/>
                      <w:w w:val="100"/>
                      <w:kern w:val="21"/>
                      <w:position w:val="0"/>
                      <w:sz w:val="18"/>
                      <w:szCs w:val="18"/>
                      <w:highlight w:val="none"/>
                      <w:u w:val="none" w:color="auto"/>
                      <w:lang w:val="en-US" w:eastAsia="zh-CN" w:bidi="ar-SA"/>
                    </w:rPr>
                    <w:t>C9-C12的芳香烃按最不利情况全部挥发计算。</w:t>
                  </w:r>
                </w:p>
              </w:tc>
            </w:tr>
          </w:tbl>
          <w:p w14:paraId="24344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pP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本项目喷漆过程中油漆附着率（上漆率）约为</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8</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0%，即约</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8</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0%的固体份附着在产品上带走，剩余</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2</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0%固体份形成漆雾颗粒。通过表4-1计算可知，本项目使用的油漆、稀释剂、固化剂中固体份总量约</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4.918</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t/a，上漆率按</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8</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0%，则喷漆工序漆雾颗粒物产生量为</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0.984</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t/a。喷漆工序</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按挥发份全部挥发计算，则</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二甲苯产生量为0.</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758</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t/a，VOC</w:t>
            </w:r>
            <w:r>
              <w:rPr>
                <w:rFonts w:hint="default" w:ascii="Times New Roman" w:hAnsi="Times New Roman" w:eastAsia="宋体" w:cs="Times New Roman"/>
                <w:color w:val="auto"/>
                <w:u w:val="none"/>
                <w:vertAlign w:val="subscript"/>
                <w:lang w:val="en-US" w:eastAsia="zh-CN"/>
              </w:rPr>
              <w:t>S</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产生量为1.2</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02</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w:t>
            </w:r>
          </w:p>
          <w:p w14:paraId="016FEBF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pPr>
            <w:r>
              <w:rPr>
                <w:rFonts w:hint="default" w:ascii="Times New Roman" w:hAnsi="Times New Roman" w:cs="Times New Roman"/>
                <w:b/>
                <w:bCs/>
                <w:color w:val="auto"/>
                <w:sz w:val="24"/>
                <w:szCs w:val="24"/>
                <w:u w:val="none" w:color="auto"/>
                <w:lang w:val="en-US" w:eastAsia="zh-CN"/>
              </w:rPr>
              <w:t>有组织废气：</w:t>
            </w:r>
            <w:r>
              <w:rPr>
                <w:rFonts w:hint="eastAsia" w:ascii="Times New Roman" w:hAnsi="Times New Roman" w:cs="Times New Roman"/>
                <w:color w:val="auto"/>
                <w:sz w:val="24"/>
                <w:szCs w:val="24"/>
                <w:u w:val="none" w:color="auto"/>
                <w:lang w:val="en-US" w:eastAsia="zh-CN"/>
              </w:rPr>
              <w:t>刷</w:t>
            </w:r>
            <w:r>
              <w:rPr>
                <w:rFonts w:hint="default" w:ascii="Times New Roman" w:hAnsi="Times New Roman" w:eastAsia="宋体" w:cs="Times New Roman"/>
                <w:color w:val="auto"/>
                <w:sz w:val="24"/>
                <w:szCs w:val="24"/>
                <w:u w:val="none" w:color="auto"/>
                <w:lang w:val="en-US" w:eastAsia="zh-CN"/>
              </w:rPr>
              <w:t>漆均在密闭的</w:t>
            </w:r>
            <w:r>
              <w:rPr>
                <w:rFonts w:hint="eastAsia" w:ascii="Times New Roman" w:hAnsi="Times New Roman" w:cs="Times New Roman"/>
                <w:color w:val="auto"/>
                <w:sz w:val="24"/>
                <w:szCs w:val="24"/>
                <w:u w:val="none" w:color="auto"/>
                <w:lang w:val="en-US" w:eastAsia="zh-CN"/>
              </w:rPr>
              <w:t>油漆房</w:t>
            </w:r>
            <w:r>
              <w:rPr>
                <w:rFonts w:hint="default" w:ascii="Times New Roman" w:hAnsi="Times New Roman" w:eastAsia="宋体" w:cs="Times New Roman"/>
                <w:color w:val="auto"/>
                <w:sz w:val="24"/>
                <w:szCs w:val="24"/>
                <w:u w:val="none" w:color="auto"/>
                <w:lang w:val="en-US" w:eastAsia="zh-CN"/>
              </w:rPr>
              <w:t>内进行，</w:t>
            </w:r>
            <w:r>
              <w:rPr>
                <w:rFonts w:hint="default" w:ascii="Times New Roman" w:hAnsi="Times New Roman" w:cs="Times New Roman"/>
                <w:color w:val="auto"/>
                <w:sz w:val="24"/>
                <w:szCs w:val="24"/>
                <w:u w:val="none" w:color="auto"/>
                <w:lang w:val="en-US" w:eastAsia="zh-CN"/>
              </w:rPr>
              <w:t>本项目</w:t>
            </w:r>
            <w:r>
              <w:rPr>
                <w:rFonts w:hint="eastAsia" w:ascii="Times New Roman" w:hAnsi="Times New Roman" w:cs="Times New Roman"/>
                <w:color w:val="auto"/>
                <w:sz w:val="24"/>
                <w:szCs w:val="24"/>
                <w:highlight w:val="none"/>
                <w:lang w:eastAsia="zh-CN"/>
              </w:rPr>
              <w:t>刷</w:t>
            </w:r>
            <w:r>
              <w:rPr>
                <w:rFonts w:hint="default" w:ascii="Times New Roman" w:hAnsi="Times New Roman" w:eastAsia="宋体" w:cs="Times New Roman"/>
                <w:color w:val="auto"/>
                <w:sz w:val="24"/>
                <w:szCs w:val="24"/>
                <w:highlight w:val="none"/>
              </w:rPr>
              <w:t>漆工艺年运行时间为</w:t>
            </w:r>
            <w:r>
              <w:rPr>
                <w:rFonts w:hint="default" w:ascii="Times New Roman" w:hAnsi="Times New Roman" w:cs="Times New Roman"/>
                <w:color w:val="auto"/>
                <w:sz w:val="24"/>
                <w:szCs w:val="24"/>
                <w:highlight w:val="none"/>
                <w:lang w:val="en-US" w:eastAsia="zh-CN"/>
              </w:rPr>
              <w:t>1120</w:t>
            </w:r>
            <w:r>
              <w:rPr>
                <w:rFonts w:hint="default" w:ascii="Times New Roman" w:hAnsi="Times New Roman" w:eastAsia="宋体" w:cs="Times New Roman"/>
                <w:color w:val="auto"/>
                <w:sz w:val="24"/>
                <w:szCs w:val="24"/>
                <w:highlight w:val="none"/>
              </w:rPr>
              <w:t>h/a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280天，每天4小时</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刷</w:t>
            </w:r>
            <w:r>
              <w:rPr>
                <w:rFonts w:hint="default" w:ascii="Times New Roman" w:hAnsi="Times New Roman" w:cs="Times New Roman"/>
                <w:color w:val="auto"/>
                <w:sz w:val="24"/>
                <w:szCs w:val="24"/>
                <w:highlight w:val="none"/>
                <w:lang w:eastAsia="zh-CN"/>
              </w:rPr>
              <w:t>漆废气负压</w:t>
            </w:r>
            <w:r>
              <w:rPr>
                <w:rFonts w:hint="default" w:ascii="Times New Roman" w:hAnsi="Times New Roman" w:eastAsia="宋体" w:cs="Times New Roman"/>
                <w:color w:val="auto"/>
                <w:sz w:val="24"/>
                <w:szCs w:val="24"/>
                <w:u w:val="none" w:color="auto"/>
                <w:lang w:val="en-US" w:eastAsia="zh-CN"/>
              </w:rPr>
              <w:t>收集效率按9</w:t>
            </w:r>
            <w:r>
              <w:rPr>
                <w:rFonts w:hint="default" w:ascii="Times New Roman" w:hAnsi="Times New Roman" w:cs="Times New Roman"/>
                <w:color w:val="auto"/>
                <w:sz w:val="24"/>
                <w:szCs w:val="24"/>
                <w:u w:val="none" w:color="auto"/>
                <w:lang w:val="en-US" w:eastAsia="zh-CN"/>
              </w:rPr>
              <w:t>0</w:t>
            </w:r>
            <w:r>
              <w:rPr>
                <w:rFonts w:hint="default" w:ascii="Times New Roman" w:hAnsi="Times New Roman" w:eastAsia="宋体" w:cs="Times New Roman"/>
                <w:color w:val="auto"/>
                <w:sz w:val="24"/>
                <w:szCs w:val="24"/>
                <w:u w:val="none" w:color="auto"/>
                <w:lang w:val="en-US" w:eastAsia="zh-CN"/>
              </w:rPr>
              <w:t>%计</w:t>
            </w:r>
            <w:r>
              <w:rPr>
                <w:rFonts w:hint="default" w:ascii="Times New Roman" w:hAnsi="Times New Roman" w:cs="Times New Roman"/>
                <w:color w:val="auto"/>
                <w:sz w:val="24"/>
                <w:szCs w:val="24"/>
                <w:u w:val="none" w:color="auto"/>
                <w:lang w:val="en-US" w:eastAsia="zh-CN"/>
              </w:rPr>
              <w:t>。本项目油漆房尺寸为L8m*B6m*H4m，设计换气次数为80次/h，则风量约为1</w:t>
            </w:r>
            <w:r>
              <w:rPr>
                <w:rFonts w:hint="default" w:ascii="Times New Roman" w:hAnsi="Times New Roman" w:eastAsia="宋体" w:cs="Times New Roman"/>
                <w:color w:val="auto"/>
                <w:sz w:val="24"/>
                <w:szCs w:val="24"/>
                <w:u w:val="none" w:color="auto"/>
                <w:lang w:val="en-US" w:eastAsia="zh-CN"/>
              </w:rPr>
              <w:t>5</w:t>
            </w:r>
            <w:r>
              <w:rPr>
                <w:rFonts w:hint="default" w:ascii="Times New Roman" w:hAnsi="Times New Roman" w:cs="Times New Roman"/>
                <w:color w:val="auto"/>
                <w:sz w:val="24"/>
                <w:szCs w:val="24"/>
                <w:u w:val="none" w:color="auto"/>
                <w:lang w:val="en-US" w:eastAsia="zh-CN"/>
              </w:rPr>
              <w:t>36</w:t>
            </w:r>
            <w:r>
              <w:rPr>
                <w:rFonts w:hint="default" w:ascii="Times New Roman" w:hAnsi="Times New Roman" w:eastAsia="宋体" w:cs="Times New Roman"/>
                <w:color w:val="auto"/>
                <w:sz w:val="24"/>
                <w:szCs w:val="24"/>
                <w:u w:val="none" w:color="auto"/>
                <w:lang w:val="en-US" w:eastAsia="zh-CN"/>
              </w:rPr>
              <w:t>0m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eastAsia="宋体" w:cs="Times New Roman"/>
                <w:color w:val="auto"/>
                <w:sz w:val="24"/>
                <w:szCs w:val="24"/>
                <w:u w:val="none" w:color="auto"/>
                <w:lang w:val="en-US" w:eastAsia="zh-CN"/>
              </w:rPr>
              <w:t>/h</w:t>
            </w:r>
            <w:r>
              <w:rPr>
                <w:rFonts w:hint="default" w:ascii="Times New Roman" w:hAnsi="Times New Roman" w:cs="Times New Roman"/>
                <w:color w:val="auto"/>
                <w:sz w:val="24"/>
                <w:szCs w:val="24"/>
                <w:u w:val="none" w:color="auto"/>
                <w:lang w:val="en-US" w:eastAsia="zh-CN"/>
              </w:rPr>
              <w:t>。</w:t>
            </w:r>
            <w:r>
              <w:rPr>
                <w:rFonts w:hint="eastAsia" w:ascii="Times New Roman" w:hAnsi="Times New Roman" w:cs="Times New Roman"/>
                <w:color w:val="auto"/>
                <w:sz w:val="24"/>
                <w:szCs w:val="24"/>
                <w:highlight w:val="none"/>
                <w:lang w:eastAsia="zh-CN"/>
              </w:rPr>
              <w:t>刷</w:t>
            </w:r>
            <w:r>
              <w:rPr>
                <w:rFonts w:hint="default" w:ascii="Times New Roman" w:hAnsi="Times New Roman" w:eastAsia="宋体" w:cs="Times New Roman"/>
                <w:color w:val="auto"/>
                <w:sz w:val="24"/>
                <w:szCs w:val="24"/>
                <w:u w:val="none" w:color="auto"/>
                <w:lang w:val="en-US" w:eastAsia="zh-CN"/>
              </w:rPr>
              <w:t>漆废气密闭收集后，</w:t>
            </w:r>
            <w:r>
              <w:rPr>
                <w:rFonts w:hint="default" w:ascii="Times New Roman" w:hAnsi="Times New Roman" w:cs="Times New Roman"/>
                <w:color w:val="auto"/>
                <w:sz w:val="24"/>
                <w:szCs w:val="24"/>
                <w:u w:val="none" w:color="auto"/>
                <w:lang w:val="en-US" w:eastAsia="zh-CN"/>
              </w:rPr>
              <w:t>由“干式过滤器</w:t>
            </w:r>
            <w:r>
              <w:rPr>
                <w:rFonts w:hint="default" w:ascii="Times New Roman" w:hAnsi="Times New Roman" w:eastAsia="宋体" w:cs="Times New Roman"/>
                <w:color w:val="auto"/>
                <w:sz w:val="24"/>
                <w:szCs w:val="24"/>
                <w:u w:val="none" w:color="auto"/>
                <w:lang w:val="en-US" w:eastAsia="zh-CN"/>
              </w:rPr>
              <w:t>+</w:t>
            </w:r>
            <w:r>
              <w:rPr>
                <w:rFonts w:hint="default" w:ascii="Times New Roman" w:hAnsi="Times New Roman" w:cs="Times New Roman"/>
                <w:color w:val="auto"/>
                <w:sz w:val="24"/>
                <w:szCs w:val="24"/>
                <w:u w:val="none" w:color="auto"/>
                <w:lang w:val="en-US" w:eastAsia="zh-CN"/>
              </w:rPr>
              <w:t>二级</w:t>
            </w:r>
            <w:r>
              <w:rPr>
                <w:rFonts w:hint="default" w:ascii="Times New Roman" w:hAnsi="Times New Roman" w:eastAsia="宋体" w:cs="Times New Roman"/>
                <w:color w:val="auto"/>
                <w:sz w:val="24"/>
                <w:szCs w:val="24"/>
                <w:u w:val="none" w:color="auto"/>
                <w:lang w:val="en-US" w:eastAsia="zh-CN"/>
              </w:rPr>
              <w:t>活性炭吸附装置</w:t>
            </w:r>
            <w:r>
              <w:rPr>
                <w:rFonts w:hint="default" w:ascii="Times New Roman" w:hAnsi="Times New Roman"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处理</w:t>
            </w:r>
            <w:r>
              <w:rPr>
                <w:rFonts w:hint="default" w:ascii="Times New Roman" w:hAnsi="Times New Roman" w:cs="Times New Roman"/>
                <w:color w:val="auto"/>
                <w:sz w:val="24"/>
                <w:szCs w:val="24"/>
                <w:u w:val="none" w:color="auto"/>
                <w:lang w:val="en-US" w:eastAsia="zh-CN"/>
              </w:rPr>
              <w:t>（与在建工程共用）</w:t>
            </w:r>
            <w:r>
              <w:rPr>
                <w:rFonts w:hint="default" w:ascii="Times New Roman" w:hAnsi="Times New Roman" w:eastAsia="宋体" w:cs="Times New Roman"/>
                <w:color w:val="auto"/>
                <w:sz w:val="24"/>
                <w:szCs w:val="24"/>
                <w:u w:val="none" w:color="auto"/>
                <w:lang w:val="en-US" w:eastAsia="zh-CN"/>
              </w:rPr>
              <w:t>。根据《湖南省制造业（工业涂装）VOCs排放量测算技术指南（试行）》表2“常见VOCs治理设施处理效率”，</w:t>
            </w:r>
            <w:r>
              <w:rPr>
                <w:rFonts w:hint="default" w:ascii="Times New Roman" w:hAnsi="Times New Roman" w:cs="Times New Roman"/>
                <w:color w:val="auto"/>
                <w:sz w:val="24"/>
                <w:szCs w:val="24"/>
                <w:u w:val="none" w:color="auto"/>
                <w:lang w:val="en-US" w:eastAsia="zh-CN"/>
              </w:rPr>
              <w:t>活性炭吸附处理</w:t>
            </w:r>
            <w:r>
              <w:rPr>
                <w:rFonts w:hint="default" w:ascii="Times New Roman" w:hAnsi="Times New Roman" w:eastAsia="宋体" w:cs="Times New Roman"/>
                <w:color w:val="auto"/>
                <w:sz w:val="24"/>
                <w:szCs w:val="24"/>
                <w:u w:val="none" w:color="auto"/>
                <w:lang w:val="en-US" w:eastAsia="zh-CN"/>
              </w:rPr>
              <w:t>效率可达80%</w:t>
            </w:r>
            <w:r>
              <w:rPr>
                <w:rFonts w:hint="default" w:ascii="Times New Roman" w:hAnsi="Times New Roman" w:cs="Times New Roman"/>
                <w:color w:val="auto"/>
                <w:sz w:val="24"/>
                <w:szCs w:val="24"/>
                <w:u w:val="none" w:color="auto"/>
                <w:lang w:val="en-US" w:eastAsia="zh-CN"/>
              </w:rPr>
              <w:t>。项目</w:t>
            </w:r>
            <w:r>
              <w:rPr>
                <w:rFonts w:hint="eastAsia" w:ascii="Times New Roman" w:hAnsi="Times New Roman" w:cs="Times New Roman"/>
                <w:color w:val="auto"/>
                <w:sz w:val="24"/>
                <w:szCs w:val="24"/>
                <w:highlight w:val="none"/>
                <w:lang w:eastAsia="zh-CN"/>
              </w:rPr>
              <w:t>刷</w:t>
            </w:r>
            <w:r>
              <w:rPr>
                <w:rFonts w:hint="default" w:ascii="Times New Roman" w:hAnsi="Times New Roman" w:cs="Times New Roman"/>
                <w:color w:val="auto"/>
                <w:sz w:val="24"/>
                <w:szCs w:val="24"/>
                <w:u w:val="none" w:color="auto"/>
                <w:lang w:val="en-US" w:eastAsia="zh-CN"/>
              </w:rPr>
              <w:t>漆废气经处理后</w:t>
            </w:r>
            <w:r>
              <w:rPr>
                <w:rFonts w:hint="default" w:ascii="Times New Roman" w:hAnsi="Times New Roman" w:eastAsia="宋体" w:cs="Times New Roman"/>
                <w:color w:val="auto"/>
                <w:sz w:val="24"/>
                <w:szCs w:val="24"/>
                <w:u w:val="none" w:color="auto"/>
                <w:lang w:val="en-US" w:eastAsia="zh-CN"/>
              </w:rPr>
              <w:t>由</w:t>
            </w:r>
            <w:r>
              <w:rPr>
                <w:rFonts w:hint="default" w:ascii="Times New Roman" w:hAnsi="Times New Roman" w:cs="Times New Roman"/>
                <w:color w:val="auto"/>
                <w:sz w:val="24"/>
                <w:szCs w:val="24"/>
                <w:u w:val="none" w:color="auto"/>
                <w:lang w:val="en-US" w:eastAsia="zh-CN"/>
              </w:rPr>
              <w:t>15</w:t>
            </w:r>
            <w:r>
              <w:rPr>
                <w:rFonts w:hint="default" w:ascii="Times New Roman" w:hAnsi="Times New Roman" w:eastAsia="宋体" w:cs="Times New Roman"/>
                <w:color w:val="auto"/>
                <w:sz w:val="24"/>
                <w:szCs w:val="24"/>
                <w:u w:val="none" w:color="auto"/>
                <w:lang w:val="en-US" w:eastAsia="zh-CN"/>
              </w:rPr>
              <w:t>m高排气</w:t>
            </w:r>
            <w:r>
              <w:rPr>
                <w:rFonts w:hint="default" w:ascii="Times New Roman" w:hAnsi="Times New Roman" w:cs="Times New Roman"/>
                <w:color w:val="auto"/>
                <w:sz w:val="24"/>
                <w:szCs w:val="24"/>
                <w:u w:val="none" w:color="auto"/>
                <w:lang w:val="en-US" w:eastAsia="zh-CN"/>
              </w:rPr>
              <w:t>筒</w:t>
            </w:r>
            <w:r>
              <w:rPr>
                <w:rFonts w:hint="default" w:ascii="Times New Roman" w:hAnsi="Times New Roman" w:eastAsia="宋体" w:cs="Times New Roman"/>
                <w:color w:val="auto"/>
                <w:sz w:val="24"/>
                <w:szCs w:val="24"/>
                <w:u w:val="none" w:color="auto"/>
                <w:lang w:val="en-US" w:eastAsia="zh-CN"/>
              </w:rPr>
              <w:t>排放（DA00</w:t>
            </w:r>
            <w:r>
              <w:rPr>
                <w:rFonts w:hint="default" w:ascii="Times New Roman" w:hAnsi="Times New Roman"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w:t>
            </w:r>
            <w:r>
              <w:rPr>
                <w:rFonts w:hint="default" w:ascii="Times New Roman" w:hAnsi="Times New Roman" w:cs="Times New Roman"/>
                <w:color w:val="auto"/>
                <w:sz w:val="24"/>
                <w:szCs w:val="24"/>
                <w:u w:val="none" w:color="auto"/>
                <w:lang w:val="en-US" w:eastAsia="zh-CN"/>
              </w:rPr>
              <w:t>。经计算，</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喷漆废气</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各污染因子</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有组织产</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排情况如下：</w:t>
            </w:r>
          </w:p>
          <w:p w14:paraId="61DE39C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pP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漆雾颗粒物</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产生</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量为</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0.885</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产生</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速率</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0.790</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kg/h，</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产生</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浓度</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51.455</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mg/m</w:t>
            </w:r>
            <w:r>
              <w:rPr>
                <w:rFonts w:hint="default" w:ascii="Times New Roman" w:hAnsi="Times New Roman" w:eastAsia="宋体" w:cs="Times New Roman"/>
                <w:b w:val="0"/>
                <w:bCs/>
                <w:color w:val="auto"/>
                <w:spacing w:val="0"/>
                <w:w w:val="100"/>
                <w:kern w:val="21"/>
                <w:position w:val="0"/>
                <w:sz w:val="24"/>
                <w:szCs w:val="24"/>
                <w:highlight w:val="none"/>
                <w:u w:val="none" w:color="auto"/>
                <w:vertAlign w:val="superscript"/>
                <w:lang w:val="en-US" w:eastAsia="zh-CN"/>
              </w:rPr>
              <w:t>3</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；排放量为</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0.177</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t/a，排放速率</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0.158</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kg/h，排放浓度</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10.291</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mg/m</w:t>
            </w:r>
            <w:r>
              <w:rPr>
                <w:rFonts w:hint="default" w:ascii="Times New Roman" w:hAnsi="Times New Roman" w:eastAsia="宋体" w:cs="Times New Roman"/>
                <w:b w:val="0"/>
                <w:bCs/>
                <w:color w:val="auto"/>
                <w:spacing w:val="0"/>
                <w:w w:val="100"/>
                <w:kern w:val="21"/>
                <w:position w:val="0"/>
                <w:sz w:val="24"/>
                <w:szCs w:val="24"/>
                <w:highlight w:val="none"/>
                <w:u w:val="none" w:color="auto"/>
                <w:vertAlign w:val="superscript"/>
                <w:lang w:val="en-US" w:eastAsia="zh-CN"/>
              </w:rPr>
              <w:t>3</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w:t>
            </w:r>
          </w:p>
          <w:p w14:paraId="74A2A60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pP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二甲苯</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产生</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量为</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0.682</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产生</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速率0</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.609</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kg/h，</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产生</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浓度</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39.668</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mg/m</w:t>
            </w:r>
            <w:r>
              <w:rPr>
                <w:rFonts w:hint="default" w:ascii="Times New Roman" w:hAnsi="Times New Roman" w:eastAsia="宋体" w:cs="Times New Roman"/>
                <w:b w:val="0"/>
                <w:bCs/>
                <w:color w:val="auto"/>
                <w:spacing w:val="0"/>
                <w:w w:val="100"/>
                <w:kern w:val="21"/>
                <w:position w:val="0"/>
                <w:sz w:val="24"/>
                <w:szCs w:val="24"/>
                <w:highlight w:val="none"/>
                <w:u w:val="none" w:color="auto"/>
                <w:vertAlign w:val="superscript"/>
                <w:lang w:val="en-US" w:eastAsia="zh-CN"/>
              </w:rPr>
              <w:t>3</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；排放量为0.1</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36</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t/a，排放速率0.</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122</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kg/h，排放浓度</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7.934</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mg/m</w:t>
            </w:r>
            <w:r>
              <w:rPr>
                <w:rFonts w:hint="default" w:ascii="Times New Roman" w:hAnsi="Times New Roman" w:eastAsia="宋体" w:cs="Times New Roman"/>
                <w:b w:val="0"/>
                <w:bCs/>
                <w:color w:val="auto"/>
                <w:spacing w:val="0"/>
                <w:w w:val="100"/>
                <w:kern w:val="21"/>
                <w:position w:val="0"/>
                <w:sz w:val="24"/>
                <w:szCs w:val="24"/>
                <w:highlight w:val="none"/>
                <w:u w:val="none" w:color="auto"/>
                <w:vertAlign w:val="superscript"/>
                <w:lang w:val="en-US" w:eastAsia="zh-CN"/>
              </w:rPr>
              <w:t>3</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w:t>
            </w:r>
          </w:p>
          <w:p w14:paraId="25D7C44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pP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VOC</w:t>
            </w:r>
            <w:r>
              <w:rPr>
                <w:rFonts w:hint="default" w:ascii="Times New Roman" w:hAnsi="Times New Roman" w:eastAsia="宋体" w:cs="Times New Roman"/>
                <w:color w:val="auto"/>
                <w:u w:val="none" w:color="auto"/>
                <w:vertAlign w:val="subscript"/>
                <w:lang w:val="en-US" w:eastAsia="zh-CN"/>
              </w:rPr>
              <w:t>S</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产生</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量为</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1.082</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产生</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速率0.</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966</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kg/h，</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产生</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浓度</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62.897</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mg/m</w:t>
            </w:r>
            <w:r>
              <w:rPr>
                <w:rFonts w:hint="default" w:ascii="Times New Roman" w:hAnsi="Times New Roman" w:eastAsia="宋体" w:cs="Times New Roman"/>
                <w:b w:val="0"/>
                <w:bCs/>
                <w:color w:val="auto"/>
                <w:spacing w:val="0"/>
                <w:w w:val="100"/>
                <w:kern w:val="21"/>
                <w:position w:val="0"/>
                <w:sz w:val="24"/>
                <w:szCs w:val="24"/>
                <w:highlight w:val="none"/>
                <w:u w:val="none" w:color="auto"/>
                <w:vertAlign w:val="superscript"/>
                <w:lang w:val="en-US" w:eastAsia="zh-CN"/>
              </w:rPr>
              <w:t>3</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；排放量为0.2</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16</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t/a，排放速率0.1</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93</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kg/h，排放浓度</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12.579</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mg/m</w:t>
            </w:r>
            <w:r>
              <w:rPr>
                <w:rFonts w:hint="default" w:ascii="Times New Roman" w:hAnsi="Times New Roman" w:eastAsia="宋体" w:cs="Times New Roman"/>
                <w:b w:val="0"/>
                <w:bCs/>
                <w:color w:val="auto"/>
                <w:spacing w:val="0"/>
                <w:w w:val="100"/>
                <w:kern w:val="21"/>
                <w:position w:val="0"/>
                <w:sz w:val="24"/>
                <w:szCs w:val="24"/>
                <w:highlight w:val="none"/>
                <w:u w:val="none" w:color="auto"/>
                <w:vertAlign w:val="superscript"/>
                <w:lang w:val="en-US" w:eastAsia="zh-CN"/>
              </w:rPr>
              <w:t>3</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w:t>
            </w:r>
          </w:p>
          <w:p w14:paraId="4AD94B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pPr>
            <w:r>
              <w:rPr>
                <w:rFonts w:hint="default" w:ascii="Times New Roman" w:hAnsi="Times New Roman" w:cs="Times New Roman"/>
                <w:b/>
                <w:bCs w:val="0"/>
                <w:color w:val="auto"/>
                <w:spacing w:val="0"/>
                <w:w w:val="100"/>
                <w:kern w:val="21"/>
                <w:position w:val="0"/>
                <w:sz w:val="24"/>
                <w:szCs w:val="24"/>
                <w:highlight w:val="none"/>
                <w:u w:val="none" w:color="auto"/>
                <w:lang w:val="en-US" w:eastAsia="zh-CN"/>
              </w:rPr>
              <w:t>无组织废气：</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喷漆工序未捕集的废气，以无组织形式排放，无组织排放情况如下：漆雾颗粒物无组织排放量为0.1</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48</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t/a，排放速率0.</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132</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kg/h；二甲苯无组织排放量为0.0</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76</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t/a，排放速率0.0</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68</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kg/h；VOC</w:t>
            </w:r>
            <w:r>
              <w:rPr>
                <w:rFonts w:hint="default" w:ascii="Times New Roman" w:hAnsi="Times New Roman" w:eastAsia="宋体" w:cs="Times New Roman"/>
                <w:color w:val="auto"/>
                <w:sz w:val="24"/>
                <w:szCs w:val="24"/>
                <w:u w:val="none" w:color="auto"/>
                <w:vertAlign w:val="subscript"/>
                <w:lang w:val="en-US" w:eastAsia="zh-CN"/>
              </w:rPr>
              <w:t>S</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无组织排放量为0.12</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0</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t/a，排放速率0.</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107</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kg/h。</w:t>
            </w:r>
          </w:p>
          <w:p w14:paraId="571E2AFC">
            <w:pPr>
              <w:pStyle w:val="12"/>
              <w:keepNext w:val="0"/>
              <w:keepLines w:val="0"/>
              <w:suppressLineNumbers w:val="0"/>
              <w:spacing w:before="0" w:beforeAutospacing="0" w:after="0" w:afterAutospacing="0"/>
              <w:ind w:left="0" w:right="0" w:firstLine="520" w:firstLineChars="217"/>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pPr>
            <w:r>
              <w:rPr>
                <w:rFonts w:hint="default" w:ascii="Times New Roman" w:hAnsi="Times New Roman" w:eastAsia="宋体" w:cs="Times New Roman"/>
                <w:color w:val="auto"/>
                <w:sz w:val="24"/>
                <w:szCs w:val="24"/>
                <w:u w:val="none"/>
                <w:lang w:val="en-US" w:eastAsia="zh-CN"/>
              </w:rPr>
              <w:t>本项目废气污染源源强核算结果及相关参数见表4-</w:t>
            </w:r>
            <w:r>
              <w:rPr>
                <w:rFonts w:hint="default" w:ascii="Times New Roman" w:hAnsi="Times New Roman" w:cs="Times New Roman"/>
                <w:color w:val="auto"/>
                <w:sz w:val="24"/>
                <w:szCs w:val="24"/>
                <w:u w:val="none"/>
                <w:lang w:val="en-US" w:eastAsia="zh-CN"/>
              </w:rPr>
              <w:t>2</w:t>
            </w:r>
            <w:r>
              <w:rPr>
                <w:rFonts w:hint="default" w:ascii="Times New Roman" w:hAnsi="Times New Roman" w:eastAsia="宋体" w:cs="Times New Roman"/>
                <w:color w:val="auto"/>
                <w:sz w:val="24"/>
                <w:szCs w:val="24"/>
                <w:u w:val="none"/>
                <w:lang w:val="en-US" w:eastAsia="zh-CN"/>
              </w:rPr>
              <w:t>：</w:t>
            </w:r>
            <w:r>
              <w:rPr>
                <w:rFonts w:hint="default" w:ascii="Times New Roman" w:hAnsi="Times New Roman" w:cs="Times New Roman"/>
                <w:b w:val="0"/>
                <w:bCs/>
                <w:color w:val="auto"/>
                <w:spacing w:val="-10"/>
                <w:sz w:val="21"/>
                <w:szCs w:val="21"/>
                <w:lang w:val="en-US" w:eastAsia="zh-CN"/>
              </w:rPr>
              <w:t xml:space="preserve"> </w:t>
            </w:r>
          </w:p>
          <w:p w14:paraId="30D764FD">
            <w:pPr>
              <w:pStyle w:val="1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pPr>
          </w:p>
          <w:p w14:paraId="7BBC8E8F">
            <w:pPr>
              <w:pStyle w:val="1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pPr>
          </w:p>
          <w:p w14:paraId="6434F20A">
            <w:pPr>
              <w:pStyle w:val="1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pPr>
          </w:p>
          <w:p w14:paraId="3F9F33B3">
            <w:pPr>
              <w:pStyle w:val="12"/>
              <w:keepNext w:val="0"/>
              <w:keepLines w:val="0"/>
              <w:suppressLineNumbers w:val="0"/>
              <w:spacing w:before="0" w:beforeAutospacing="0" w:after="0" w:afterAutospacing="0"/>
              <w:ind w:left="0" w:leftChars="0" w:right="0" w:firstLine="0" w:firstLineChars="0"/>
              <w:rPr>
                <w:rFonts w:hint="eastAsia" w:ascii="Times New Roman" w:hAnsi="Times New Roman" w:eastAsia="宋体" w:cs="Times New Roman"/>
                <w:color w:val="000000" w:themeColor="text1"/>
                <w:spacing w:val="0"/>
                <w:position w:val="0"/>
                <w:sz w:val="24"/>
                <w:szCs w:val="24"/>
                <w:u w:val="none" w:color="auto"/>
                <w:lang w:val="en-US" w:eastAsia="zh-CN"/>
                <w14:textFill>
                  <w14:solidFill>
                    <w14:schemeClr w14:val="tx1"/>
                  </w14:solidFill>
                </w14:textFill>
              </w:rPr>
            </w:pPr>
          </w:p>
        </w:tc>
      </w:tr>
    </w:tbl>
    <w:p w14:paraId="6FCE6BCA">
      <w:pPr>
        <w:pStyle w:val="7"/>
        <w:outlineLvl w:val="9"/>
        <w:rPr>
          <w:rFonts w:hint="default" w:ascii="Times New Roman" w:hAnsi="Times New Roman" w:eastAsia="宋体" w:cs="Times New Roman"/>
          <w:color w:val="000000" w:themeColor="text1"/>
          <w:spacing w:val="0"/>
          <w:position w:val="0"/>
          <w:u w:val="none" w:color="auto"/>
          <w14:textFill>
            <w14:solidFill>
              <w14:schemeClr w14:val="tx1"/>
            </w14:solidFill>
          </w14:textFill>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3655"/>
      </w:tblGrid>
      <w:tr w14:paraId="6E50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6" w:hRule="atLeast"/>
        </w:trPr>
        <w:tc>
          <w:tcPr>
            <w:tcW w:w="182" w:type="pct"/>
          </w:tcPr>
          <w:p w14:paraId="61635D08">
            <w:pPr>
              <w:pStyle w:val="7"/>
              <w:suppressLineNumbers w:val="0"/>
              <w:bidi w:val="0"/>
              <w:spacing w:before="0" w:after="0"/>
              <w:ind w:left="0" w:right="0"/>
              <w:jc w:val="both"/>
              <w:outlineLvl w:val="9"/>
              <w:rPr>
                <w:rFonts w:hint="default" w:ascii="Times New Roman" w:hAnsi="Times New Roman" w:eastAsia="宋体" w:cs="Times New Roman"/>
                <w:color w:val="000000" w:themeColor="text1"/>
                <w:spacing w:val="0"/>
                <w:position w:val="0"/>
                <w:u w:val="none" w:color="auto"/>
                <w:vertAlign w:val="baseline"/>
                <w14:textFill>
                  <w14:solidFill>
                    <w14:schemeClr w14:val="tx1"/>
                  </w14:solidFill>
                </w14:textFill>
              </w:rPr>
            </w:pPr>
          </w:p>
        </w:tc>
        <w:tc>
          <w:tcPr>
            <w:tcW w:w="4817" w:type="pct"/>
          </w:tcPr>
          <w:p w14:paraId="06379646">
            <w:pPr>
              <w:keepNext w:val="0"/>
              <w:keepLines w:val="0"/>
              <w:numPr>
                <w:ilvl w:val="0"/>
                <w:numId w:val="0"/>
              </w:numPr>
              <w:suppressLineNumbers w:val="0"/>
              <w:spacing w:before="0" w:beforeAutospacing="0" w:after="0" w:afterAutospacing="0" w:line="360" w:lineRule="auto"/>
              <w:ind w:left="0" w:right="0"/>
              <w:jc w:val="center"/>
              <w:rPr>
                <w:rFonts w:hint="default"/>
                <w:b/>
                <w:bCs/>
                <w:color w:val="auto"/>
                <w:lang w:val="en-US" w:eastAsia="zh-CN"/>
              </w:rPr>
            </w:pPr>
            <w:r>
              <w:rPr>
                <w:rFonts w:hint="eastAsia"/>
                <w:b/>
                <w:bCs/>
                <w:color w:val="auto"/>
                <w:sz w:val="24"/>
                <w:szCs w:val="24"/>
                <w:lang w:val="en-US" w:eastAsia="zh-CN"/>
              </w:rPr>
              <w:t xml:space="preserve">表4-2  废气污染源源强核算结果及相关参数一览表 </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446"/>
              <w:gridCol w:w="245"/>
              <w:gridCol w:w="742"/>
              <w:gridCol w:w="1077"/>
              <w:gridCol w:w="941"/>
              <w:gridCol w:w="664"/>
              <w:gridCol w:w="541"/>
              <w:gridCol w:w="264"/>
              <w:gridCol w:w="425"/>
              <w:gridCol w:w="264"/>
              <w:gridCol w:w="570"/>
              <w:gridCol w:w="893"/>
              <w:gridCol w:w="955"/>
              <w:gridCol w:w="659"/>
              <w:gridCol w:w="683"/>
              <w:gridCol w:w="337"/>
              <w:gridCol w:w="333"/>
              <w:gridCol w:w="320"/>
              <w:gridCol w:w="653"/>
              <w:gridCol w:w="1139"/>
              <w:gridCol w:w="729"/>
              <w:gridCol w:w="559"/>
            </w:tblGrid>
            <w:tr w14:paraId="0E021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61" w:hRule="atLeast"/>
                <w:tblHeader/>
                <w:jc w:val="center"/>
              </w:trPr>
              <w:tc>
                <w:tcPr>
                  <w:tcW w:w="166" w:type="pct"/>
                  <w:vMerge w:val="restart"/>
                  <w:tcBorders>
                    <w:tl2br w:val="nil"/>
                    <w:tr2bl w:val="nil"/>
                  </w:tcBorders>
                  <w:shd w:val="clear" w:color="auto" w:fill="auto"/>
                  <w:vAlign w:val="center"/>
                </w:tcPr>
                <w:p w14:paraId="6BD6050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产排污环节</w:t>
                  </w:r>
                </w:p>
              </w:tc>
              <w:tc>
                <w:tcPr>
                  <w:tcW w:w="91" w:type="pct"/>
                  <w:vMerge w:val="restart"/>
                  <w:tcBorders>
                    <w:tl2br w:val="nil"/>
                    <w:tr2bl w:val="nil"/>
                  </w:tcBorders>
                  <w:shd w:val="clear" w:color="auto" w:fill="auto"/>
                  <w:vAlign w:val="center"/>
                </w:tcPr>
                <w:p w14:paraId="24B7477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排放形式</w:t>
                  </w:r>
                </w:p>
              </w:tc>
              <w:tc>
                <w:tcPr>
                  <w:tcW w:w="275" w:type="pct"/>
                  <w:vMerge w:val="restart"/>
                  <w:tcBorders>
                    <w:tl2br w:val="nil"/>
                    <w:tr2bl w:val="nil"/>
                  </w:tcBorders>
                  <w:shd w:val="clear" w:color="auto" w:fill="auto"/>
                  <w:vAlign w:val="center"/>
                </w:tcPr>
                <w:p w14:paraId="62ADBF2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p w14:paraId="5AF28C4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种类</w:t>
                  </w:r>
                </w:p>
              </w:tc>
              <w:tc>
                <w:tcPr>
                  <w:tcW w:w="997" w:type="pct"/>
                  <w:gridSpan w:val="3"/>
                  <w:tcBorders>
                    <w:tl2br w:val="nil"/>
                    <w:tr2bl w:val="nil"/>
                  </w:tcBorders>
                  <w:shd w:val="clear" w:color="auto" w:fill="auto"/>
                  <w:vAlign w:val="center"/>
                </w:tcPr>
                <w:p w14:paraId="28953F8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污染物产生量和浓度</w:t>
                  </w:r>
                </w:p>
              </w:tc>
              <w:tc>
                <w:tcPr>
                  <w:tcW w:w="767" w:type="pct"/>
                  <w:gridSpan w:val="5"/>
                  <w:tcBorders>
                    <w:tl2br w:val="nil"/>
                    <w:tr2bl w:val="nil"/>
                  </w:tcBorders>
                  <w:shd w:val="clear" w:color="auto" w:fill="auto"/>
                  <w:vAlign w:val="center"/>
                </w:tcPr>
                <w:p w14:paraId="15C8D5E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污染治理设施</w:t>
                  </w:r>
                </w:p>
              </w:tc>
              <w:tc>
                <w:tcPr>
                  <w:tcW w:w="932" w:type="pct"/>
                  <w:gridSpan w:val="3"/>
                  <w:tcBorders>
                    <w:tl2br w:val="nil"/>
                    <w:tr2bl w:val="nil"/>
                  </w:tcBorders>
                  <w:shd w:val="clear" w:color="auto" w:fill="auto"/>
                  <w:vAlign w:val="center"/>
                </w:tcPr>
                <w:p w14:paraId="0C9C05A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污染物排放量和浓度</w:t>
                  </w:r>
                </w:p>
              </w:tc>
              <w:tc>
                <w:tcPr>
                  <w:tcW w:w="1288" w:type="pct"/>
                  <w:gridSpan w:val="6"/>
                  <w:tcBorders>
                    <w:tl2br w:val="nil"/>
                    <w:tr2bl w:val="nil"/>
                  </w:tcBorders>
                  <w:shd w:val="clear" w:color="auto" w:fill="auto"/>
                  <w:vAlign w:val="center"/>
                </w:tcPr>
                <w:p w14:paraId="71F66C1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排放口基本情况</w:t>
                  </w:r>
                </w:p>
              </w:tc>
              <w:tc>
                <w:tcPr>
                  <w:tcW w:w="479" w:type="pct"/>
                  <w:gridSpan w:val="2"/>
                  <w:tcBorders>
                    <w:tl2br w:val="nil"/>
                    <w:tr2bl w:val="nil"/>
                  </w:tcBorders>
                  <w:shd w:val="clear" w:color="auto" w:fill="auto"/>
                  <w:vAlign w:val="center"/>
                </w:tcPr>
                <w:p w14:paraId="578328A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排放标准</w:t>
                  </w:r>
                </w:p>
              </w:tc>
            </w:tr>
            <w:tr w14:paraId="5ADF5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355" w:hRule="atLeast"/>
                <w:tblHeader/>
                <w:jc w:val="center"/>
              </w:trPr>
              <w:tc>
                <w:tcPr>
                  <w:tcW w:w="166" w:type="pct"/>
                  <w:vMerge w:val="continue"/>
                  <w:tcBorders>
                    <w:tl2br w:val="nil"/>
                    <w:tr2bl w:val="nil"/>
                  </w:tcBorders>
                  <w:shd w:val="clear" w:color="auto" w:fill="auto"/>
                  <w:vAlign w:val="center"/>
                </w:tcPr>
                <w:p w14:paraId="704E9E4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p>
              </w:tc>
              <w:tc>
                <w:tcPr>
                  <w:tcW w:w="91" w:type="pct"/>
                  <w:vMerge w:val="continue"/>
                  <w:tcBorders>
                    <w:tl2br w:val="nil"/>
                    <w:tr2bl w:val="nil"/>
                  </w:tcBorders>
                  <w:shd w:val="clear" w:color="auto" w:fill="auto"/>
                  <w:vAlign w:val="center"/>
                </w:tcPr>
                <w:p w14:paraId="74A62CE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p>
              </w:tc>
              <w:tc>
                <w:tcPr>
                  <w:tcW w:w="275" w:type="pct"/>
                  <w:vMerge w:val="continue"/>
                  <w:tcBorders>
                    <w:tl2br w:val="nil"/>
                    <w:tr2bl w:val="nil"/>
                  </w:tcBorders>
                  <w:shd w:val="clear" w:color="auto" w:fill="auto"/>
                  <w:vAlign w:val="center"/>
                </w:tcPr>
                <w:p w14:paraId="5CF59E9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p>
              </w:tc>
              <w:tc>
                <w:tcPr>
                  <w:tcW w:w="400" w:type="pct"/>
                  <w:tcBorders>
                    <w:tl2br w:val="nil"/>
                    <w:tr2bl w:val="nil"/>
                  </w:tcBorders>
                  <w:shd w:val="clear" w:color="auto" w:fill="auto"/>
                  <w:vAlign w:val="center"/>
                </w:tcPr>
                <w:p w14:paraId="542FDE7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产生浓度</w:t>
                  </w:r>
                </w:p>
                <w:p w14:paraId="717F31A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mg/m</w:t>
                  </w:r>
                  <w:r>
                    <w:rPr>
                      <w:rFonts w:hint="default" w:ascii="Times New Roman" w:hAnsi="Times New Roman" w:eastAsia="宋体" w:cs="Times New Roman"/>
                      <w:b/>
                      <w:bCs w:val="0"/>
                      <w:color w:val="auto"/>
                      <w:sz w:val="21"/>
                      <w:szCs w:val="21"/>
                      <w:highlight w:val="none"/>
                      <w:vertAlign w:val="superscript"/>
                    </w:rPr>
                    <w:t>3</w:t>
                  </w:r>
                </w:p>
              </w:tc>
              <w:tc>
                <w:tcPr>
                  <w:tcW w:w="350" w:type="pct"/>
                  <w:tcBorders>
                    <w:tl2br w:val="nil"/>
                    <w:tr2bl w:val="nil"/>
                  </w:tcBorders>
                  <w:shd w:val="clear" w:color="auto" w:fill="auto"/>
                  <w:vAlign w:val="center"/>
                </w:tcPr>
                <w:p w14:paraId="4B6D7C5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产生</w:t>
                  </w:r>
                  <w:r>
                    <w:rPr>
                      <w:rFonts w:hint="eastAsia" w:ascii="Times New Roman" w:hAnsi="Times New Roman" w:eastAsia="宋体" w:cs="Times New Roman"/>
                      <w:b/>
                      <w:bCs w:val="0"/>
                      <w:color w:val="auto"/>
                      <w:sz w:val="21"/>
                      <w:szCs w:val="21"/>
                      <w:highlight w:val="none"/>
                      <w:lang w:eastAsia="zh-CN"/>
                    </w:rPr>
                    <w:t>速率</w:t>
                  </w:r>
                </w:p>
                <w:p w14:paraId="2B254EB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kg/h</w:t>
                  </w:r>
                </w:p>
              </w:tc>
              <w:tc>
                <w:tcPr>
                  <w:tcW w:w="247" w:type="pct"/>
                  <w:tcBorders>
                    <w:tl2br w:val="nil"/>
                    <w:tr2bl w:val="nil"/>
                  </w:tcBorders>
                  <w:shd w:val="clear" w:color="auto" w:fill="auto"/>
                  <w:vAlign w:val="center"/>
                </w:tcPr>
                <w:p w14:paraId="3D90C98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产生量</w:t>
                  </w:r>
                </w:p>
                <w:p w14:paraId="2EFF633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t/a</w:t>
                  </w:r>
                </w:p>
              </w:tc>
              <w:tc>
                <w:tcPr>
                  <w:tcW w:w="201" w:type="pct"/>
                  <w:tcBorders>
                    <w:tl2br w:val="nil"/>
                    <w:tr2bl w:val="nil"/>
                  </w:tcBorders>
                  <w:shd w:val="clear" w:color="auto" w:fill="auto"/>
                  <w:vAlign w:val="center"/>
                </w:tcPr>
                <w:p w14:paraId="73100C7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val="0"/>
                      <w:color w:val="auto"/>
                      <w:sz w:val="21"/>
                      <w:szCs w:val="21"/>
                      <w:highlight w:val="none"/>
                      <w:lang w:eastAsia="zh-CN"/>
                    </w:rPr>
                  </w:pPr>
                  <w:r>
                    <w:rPr>
                      <w:rFonts w:hint="eastAsia" w:ascii="Times New Roman" w:hAnsi="Times New Roman" w:eastAsia="宋体" w:cs="Times New Roman"/>
                      <w:b/>
                      <w:bCs w:val="0"/>
                      <w:color w:val="auto"/>
                      <w:sz w:val="21"/>
                      <w:szCs w:val="21"/>
                      <w:highlight w:val="none"/>
                      <w:lang w:eastAsia="zh-CN"/>
                    </w:rPr>
                    <w:t>风量</w:t>
                  </w:r>
                </w:p>
                <w:p w14:paraId="16E1DED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/h</w:t>
                  </w:r>
                </w:p>
              </w:tc>
              <w:tc>
                <w:tcPr>
                  <w:tcW w:w="98" w:type="pct"/>
                  <w:tcBorders>
                    <w:tl2br w:val="nil"/>
                    <w:tr2bl w:val="nil"/>
                  </w:tcBorders>
                  <w:shd w:val="clear" w:color="auto" w:fill="auto"/>
                  <w:vAlign w:val="center"/>
                </w:tcPr>
                <w:p w14:paraId="3DB4EE9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收集效率</w:t>
                  </w:r>
                </w:p>
                <w:p w14:paraId="043A10B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w:t>
                  </w:r>
                </w:p>
              </w:tc>
              <w:tc>
                <w:tcPr>
                  <w:tcW w:w="158" w:type="pct"/>
                  <w:tcBorders>
                    <w:tl2br w:val="nil"/>
                    <w:tr2bl w:val="nil"/>
                  </w:tcBorders>
                  <w:shd w:val="clear" w:color="auto" w:fill="auto"/>
                  <w:vAlign w:val="center"/>
                </w:tcPr>
                <w:p w14:paraId="40093D4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去除效率</w:t>
                  </w:r>
                </w:p>
                <w:p w14:paraId="71B76C0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w:t>
                  </w:r>
                </w:p>
              </w:tc>
              <w:tc>
                <w:tcPr>
                  <w:tcW w:w="98" w:type="pct"/>
                  <w:tcBorders>
                    <w:tl2br w:val="nil"/>
                    <w:tr2bl w:val="nil"/>
                  </w:tcBorders>
                  <w:shd w:val="clear" w:color="auto" w:fill="auto"/>
                  <w:vAlign w:val="center"/>
                </w:tcPr>
                <w:p w14:paraId="431D0E8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是否可行技术</w:t>
                  </w:r>
                </w:p>
              </w:tc>
              <w:tc>
                <w:tcPr>
                  <w:tcW w:w="212" w:type="pct"/>
                  <w:tcBorders>
                    <w:tl2br w:val="nil"/>
                    <w:tr2bl w:val="nil"/>
                  </w:tcBorders>
                  <w:shd w:val="clear" w:color="auto" w:fill="auto"/>
                  <w:vAlign w:val="center"/>
                </w:tcPr>
                <w:p w14:paraId="12EC5D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处理工艺</w:t>
                  </w:r>
                </w:p>
              </w:tc>
              <w:tc>
                <w:tcPr>
                  <w:tcW w:w="332" w:type="pct"/>
                  <w:tcBorders>
                    <w:tl2br w:val="nil"/>
                    <w:tr2bl w:val="nil"/>
                  </w:tcBorders>
                  <w:shd w:val="clear" w:color="auto" w:fill="auto"/>
                  <w:vAlign w:val="center"/>
                </w:tcPr>
                <w:p w14:paraId="2B7C04B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排放浓度</w:t>
                  </w:r>
                </w:p>
                <w:p w14:paraId="3E2AA0F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mg/m</w:t>
                  </w:r>
                  <w:r>
                    <w:rPr>
                      <w:rFonts w:hint="default" w:ascii="Times New Roman" w:hAnsi="Times New Roman" w:eastAsia="宋体" w:cs="Times New Roman"/>
                      <w:b/>
                      <w:bCs w:val="0"/>
                      <w:color w:val="auto"/>
                      <w:sz w:val="21"/>
                      <w:szCs w:val="21"/>
                      <w:highlight w:val="none"/>
                      <w:vertAlign w:val="superscript"/>
                    </w:rPr>
                    <w:t>3</w:t>
                  </w:r>
                </w:p>
              </w:tc>
              <w:tc>
                <w:tcPr>
                  <w:tcW w:w="355" w:type="pct"/>
                  <w:tcBorders>
                    <w:tl2br w:val="nil"/>
                    <w:tr2bl w:val="nil"/>
                  </w:tcBorders>
                  <w:shd w:val="clear" w:color="auto" w:fill="auto"/>
                  <w:vAlign w:val="center"/>
                </w:tcPr>
                <w:p w14:paraId="36D49CE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排放</w:t>
                  </w:r>
                  <w:r>
                    <w:rPr>
                      <w:rFonts w:hint="eastAsia" w:ascii="Times New Roman" w:hAnsi="Times New Roman" w:eastAsia="宋体" w:cs="Times New Roman"/>
                      <w:b/>
                      <w:bCs w:val="0"/>
                      <w:color w:val="auto"/>
                      <w:sz w:val="21"/>
                      <w:szCs w:val="21"/>
                      <w:highlight w:val="none"/>
                      <w:lang w:eastAsia="zh-CN"/>
                    </w:rPr>
                    <w:t>速率</w:t>
                  </w:r>
                </w:p>
                <w:p w14:paraId="6527A0D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kg/h</w:t>
                  </w:r>
                </w:p>
              </w:tc>
              <w:tc>
                <w:tcPr>
                  <w:tcW w:w="245" w:type="pct"/>
                  <w:tcBorders>
                    <w:tl2br w:val="nil"/>
                    <w:tr2bl w:val="nil"/>
                  </w:tcBorders>
                  <w:shd w:val="clear" w:color="auto" w:fill="auto"/>
                  <w:vAlign w:val="center"/>
                </w:tcPr>
                <w:p w14:paraId="62DD4F4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排放量</w:t>
                  </w:r>
                </w:p>
                <w:p w14:paraId="4ECAD45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t/a</w:t>
                  </w:r>
                </w:p>
              </w:tc>
              <w:tc>
                <w:tcPr>
                  <w:tcW w:w="254" w:type="pct"/>
                  <w:tcBorders>
                    <w:tl2br w:val="nil"/>
                    <w:tr2bl w:val="nil"/>
                  </w:tcBorders>
                  <w:shd w:val="clear" w:color="auto" w:fill="auto"/>
                  <w:vAlign w:val="center"/>
                </w:tcPr>
                <w:p w14:paraId="1DABBE9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编号及名称</w:t>
                  </w:r>
                </w:p>
              </w:tc>
              <w:tc>
                <w:tcPr>
                  <w:tcW w:w="125" w:type="pct"/>
                  <w:tcBorders>
                    <w:tl2br w:val="nil"/>
                    <w:tr2bl w:val="nil"/>
                  </w:tcBorders>
                  <w:shd w:val="clear" w:color="auto" w:fill="auto"/>
                  <w:vAlign w:val="center"/>
                </w:tcPr>
                <w:p w14:paraId="3678D29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高度</w:t>
                  </w:r>
                </w:p>
                <w:p w14:paraId="635638B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m</w:t>
                  </w:r>
                </w:p>
              </w:tc>
              <w:tc>
                <w:tcPr>
                  <w:tcW w:w="123" w:type="pct"/>
                  <w:tcBorders>
                    <w:tl2br w:val="nil"/>
                    <w:tr2bl w:val="nil"/>
                  </w:tcBorders>
                  <w:shd w:val="clear" w:color="auto" w:fill="auto"/>
                  <w:vAlign w:val="center"/>
                </w:tcPr>
                <w:p w14:paraId="5343B20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内径</w:t>
                  </w:r>
                </w:p>
                <w:p w14:paraId="5CD11E5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m</w:t>
                  </w:r>
                </w:p>
              </w:tc>
              <w:tc>
                <w:tcPr>
                  <w:tcW w:w="118" w:type="pct"/>
                  <w:tcBorders>
                    <w:tl2br w:val="nil"/>
                    <w:tr2bl w:val="nil"/>
                  </w:tcBorders>
                  <w:shd w:val="clear" w:color="auto" w:fill="auto"/>
                  <w:vAlign w:val="center"/>
                </w:tcPr>
                <w:p w14:paraId="43D03BA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温度</w:t>
                  </w:r>
                </w:p>
                <w:p w14:paraId="23ECE68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w:t>
                  </w:r>
                </w:p>
              </w:tc>
              <w:tc>
                <w:tcPr>
                  <w:tcW w:w="242" w:type="pct"/>
                  <w:tcBorders>
                    <w:tl2br w:val="nil"/>
                    <w:tr2bl w:val="nil"/>
                  </w:tcBorders>
                  <w:shd w:val="clear" w:color="auto" w:fill="auto"/>
                  <w:vAlign w:val="center"/>
                </w:tcPr>
                <w:p w14:paraId="0C84F55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类型</w:t>
                  </w:r>
                </w:p>
              </w:tc>
              <w:tc>
                <w:tcPr>
                  <w:tcW w:w="423" w:type="pct"/>
                  <w:tcBorders>
                    <w:tl2br w:val="nil"/>
                    <w:tr2bl w:val="nil"/>
                  </w:tcBorders>
                  <w:shd w:val="clear" w:color="auto" w:fill="auto"/>
                  <w:vAlign w:val="center"/>
                </w:tcPr>
                <w:p w14:paraId="21E0382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地理</w:t>
                  </w:r>
                </w:p>
                <w:p w14:paraId="5EA5D46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坐标</w:t>
                  </w:r>
                </w:p>
              </w:tc>
              <w:tc>
                <w:tcPr>
                  <w:tcW w:w="271" w:type="pct"/>
                  <w:tcBorders>
                    <w:tl2br w:val="nil"/>
                    <w:tr2bl w:val="nil"/>
                  </w:tcBorders>
                  <w:shd w:val="clear" w:color="auto" w:fill="auto"/>
                  <w:vAlign w:val="center"/>
                </w:tcPr>
                <w:p w14:paraId="4211FD0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浓度</w:t>
                  </w:r>
                </w:p>
                <w:p w14:paraId="67E1780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mg/m</w:t>
                  </w:r>
                  <w:r>
                    <w:rPr>
                      <w:rFonts w:hint="default" w:ascii="Times New Roman" w:hAnsi="Times New Roman" w:eastAsia="宋体" w:cs="Times New Roman"/>
                      <w:b/>
                      <w:bCs w:val="0"/>
                      <w:color w:val="auto"/>
                      <w:sz w:val="21"/>
                      <w:szCs w:val="21"/>
                      <w:highlight w:val="none"/>
                      <w:vertAlign w:val="superscript"/>
                    </w:rPr>
                    <w:t>3</w:t>
                  </w:r>
                </w:p>
              </w:tc>
              <w:tc>
                <w:tcPr>
                  <w:tcW w:w="207" w:type="pct"/>
                  <w:tcBorders>
                    <w:tl2br w:val="nil"/>
                    <w:tr2bl w:val="nil"/>
                  </w:tcBorders>
                  <w:shd w:val="clear" w:color="auto" w:fill="auto"/>
                  <w:vAlign w:val="center"/>
                </w:tcPr>
                <w:p w14:paraId="017BB16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排放速率kg/h</w:t>
                  </w:r>
                </w:p>
              </w:tc>
            </w:tr>
            <w:tr w14:paraId="51A59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833" w:hRule="atLeast"/>
                <w:jc w:val="center"/>
              </w:trPr>
              <w:tc>
                <w:tcPr>
                  <w:tcW w:w="166" w:type="pct"/>
                  <w:tcBorders>
                    <w:tl2br w:val="nil"/>
                    <w:tr2bl w:val="nil"/>
                  </w:tcBorders>
                  <w:shd w:val="clear" w:color="auto" w:fill="auto"/>
                  <w:vAlign w:val="center"/>
                </w:tcPr>
                <w:p w14:paraId="3388F464">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下料</w:t>
                  </w:r>
                </w:p>
              </w:tc>
              <w:tc>
                <w:tcPr>
                  <w:tcW w:w="91" w:type="pct"/>
                  <w:tcBorders>
                    <w:tl2br w:val="nil"/>
                    <w:tr2bl w:val="nil"/>
                  </w:tcBorders>
                  <w:shd w:val="clear" w:color="auto" w:fill="auto"/>
                  <w:vAlign w:val="center"/>
                </w:tcPr>
                <w:p w14:paraId="76145B6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无</w:t>
                  </w:r>
                  <w:r>
                    <w:rPr>
                      <w:rFonts w:hint="default" w:ascii="Times New Roman" w:hAnsi="Times New Roman" w:eastAsia="宋体" w:cs="Times New Roman"/>
                      <w:bCs/>
                      <w:color w:val="auto"/>
                      <w:sz w:val="21"/>
                      <w:szCs w:val="21"/>
                      <w:highlight w:val="none"/>
                    </w:rPr>
                    <w:t>组织</w:t>
                  </w:r>
                </w:p>
              </w:tc>
              <w:tc>
                <w:tcPr>
                  <w:tcW w:w="275" w:type="pct"/>
                  <w:tcBorders>
                    <w:tl2br w:val="nil"/>
                    <w:tr2bl w:val="nil"/>
                  </w:tcBorders>
                  <w:shd w:val="clear" w:color="auto" w:fill="auto"/>
                  <w:vAlign w:val="center"/>
                </w:tcPr>
                <w:p w14:paraId="6732184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颗粒物</w:t>
                  </w:r>
                </w:p>
              </w:tc>
              <w:tc>
                <w:tcPr>
                  <w:tcW w:w="400" w:type="pct"/>
                  <w:tcBorders>
                    <w:tl2br w:val="nil"/>
                    <w:tr2bl w:val="nil"/>
                  </w:tcBorders>
                  <w:shd w:val="clear" w:color="auto" w:fill="auto"/>
                  <w:vAlign w:val="center"/>
                </w:tcPr>
                <w:p w14:paraId="1C76AB30">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w:t>
                  </w:r>
                </w:p>
              </w:tc>
              <w:tc>
                <w:tcPr>
                  <w:tcW w:w="350" w:type="pct"/>
                  <w:tcBorders>
                    <w:tl2br w:val="nil"/>
                    <w:tr2bl w:val="nil"/>
                  </w:tcBorders>
                  <w:shd w:val="clear" w:color="auto" w:fill="auto"/>
                  <w:vAlign w:val="center"/>
                </w:tcPr>
                <w:p w14:paraId="708AC52D">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trike w:val="0"/>
                      <w:dstrike w:val="0"/>
                      <w:color w:val="auto"/>
                      <w:sz w:val="21"/>
                      <w:szCs w:val="21"/>
                      <w:u w:val="none"/>
                      <w:lang w:val="en-US" w:eastAsia="zh-CN"/>
                    </w:rPr>
                    <w:t>2.188</w:t>
                  </w:r>
                </w:p>
              </w:tc>
              <w:tc>
                <w:tcPr>
                  <w:tcW w:w="247" w:type="pct"/>
                  <w:tcBorders>
                    <w:tl2br w:val="nil"/>
                    <w:tr2bl w:val="nil"/>
                  </w:tcBorders>
                  <w:shd w:val="clear" w:color="auto" w:fill="auto"/>
                  <w:vAlign w:val="center"/>
                </w:tcPr>
                <w:p w14:paraId="5A085C35">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eastAsia"/>
                      <w:strike w:val="0"/>
                      <w:dstrike w:val="0"/>
                      <w:color w:val="auto"/>
                      <w:sz w:val="21"/>
                      <w:szCs w:val="21"/>
                      <w:u w:val="none"/>
                      <w:lang w:val="en-US" w:eastAsia="zh-CN"/>
                    </w:rPr>
                    <w:t>2.450</w:t>
                  </w:r>
                </w:p>
              </w:tc>
              <w:tc>
                <w:tcPr>
                  <w:tcW w:w="201" w:type="pct"/>
                  <w:tcBorders>
                    <w:tl2br w:val="nil"/>
                    <w:tr2bl w:val="nil"/>
                  </w:tcBorders>
                  <w:shd w:val="clear" w:color="auto" w:fill="auto"/>
                  <w:vAlign w:val="center"/>
                </w:tcPr>
                <w:p w14:paraId="7C6A4EB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w:t>
                  </w:r>
                </w:p>
              </w:tc>
              <w:tc>
                <w:tcPr>
                  <w:tcW w:w="98" w:type="pct"/>
                  <w:tcBorders>
                    <w:tl2br w:val="nil"/>
                    <w:tr2bl w:val="nil"/>
                  </w:tcBorders>
                  <w:shd w:val="clear" w:color="auto" w:fill="auto"/>
                  <w:vAlign w:val="center"/>
                </w:tcPr>
                <w:p w14:paraId="2DA945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w:t>
                  </w:r>
                </w:p>
              </w:tc>
              <w:tc>
                <w:tcPr>
                  <w:tcW w:w="158" w:type="pct"/>
                  <w:tcBorders>
                    <w:tl2br w:val="nil"/>
                    <w:tr2bl w:val="nil"/>
                  </w:tcBorders>
                  <w:shd w:val="clear" w:color="auto" w:fill="auto"/>
                  <w:vAlign w:val="center"/>
                </w:tcPr>
                <w:p w14:paraId="7374452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90</w:t>
                  </w:r>
                </w:p>
              </w:tc>
              <w:tc>
                <w:tcPr>
                  <w:tcW w:w="98" w:type="pct"/>
                  <w:tcBorders>
                    <w:tl2br w:val="nil"/>
                    <w:tr2bl w:val="nil"/>
                  </w:tcBorders>
                  <w:shd w:val="clear" w:color="auto" w:fill="auto"/>
                  <w:vAlign w:val="center"/>
                </w:tcPr>
                <w:p w14:paraId="6BC285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是</w:t>
                  </w:r>
                </w:p>
              </w:tc>
              <w:tc>
                <w:tcPr>
                  <w:tcW w:w="212" w:type="pct"/>
                  <w:tcBorders>
                    <w:tl2br w:val="nil"/>
                    <w:tr2bl w:val="nil"/>
                  </w:tcBorders>
                  <w:shd w:val="clear" w:color="auto" w:fill="auto"/>
                  <w:vAlign w:val="center"/>
                </w:tcPr>
                <w:p w14:paraId="19ECC5F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重力沉降</w:t>
                  </w:r>
                </w:p>
              </w:tc>
              <w:tc>
                <w:tcPr>
                  <w:tcW w:w="332" w:type="pct"/>
                  <w:tcBorders>
                    <w:tl2br w:val="nil"/>
                    <w:tr2bl w:val="nil"/>
                  </w:tcBorders>
                  <w:shd w:val="clear" w:color="auto" w:fill="auto"/>
                  <w:vAlign w:val="center"/>
                </w:tcPr>
                <w:p w14:paraId="790344F4">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w:t>
                  </w:r>
                </w:p>
              </w:tc>
              <w:tc>
                <w:tcPr>
                  <w:tcW w:w="355" w:type="pct"/>
                  <w:tcBorders>
                    <w:tl2br w:val="nil"/>
                    <w:tr2bl w:val="nil"/>
                  </w:tcBorders>
                  <w:shd w:val="clear" w:color="auto" w:fill="auto"/>
                  <w:vAlign w:val="center"/>
                </w:tcPr>
                <w:p w14:paraId="0B2CC2FA">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eastAsia"/>
                      <w:strike w:val="0"/>
                      <w:dstrike w:val="0"/>
                      <w:color w:val="auto"/>
                      <w:sz w:val="21"/>
                      <w:szCs w:val="21"/>
                      <w:u w:val="none"/>
                      <w:lang w:val="en-US" w:eastAsia="zh-CN"/>
                    </w:rPr>
                    <w:t>0.219</w:t>
                  </w:r>
                </w:p>
              </w:tc>
              <w:tc>
                <w:tcPr>
                  <w:tcW w:w="245" w:type="pct"/>
                  <w:tcBorders>
                    <w:tl2br w:val="nil"/>
                    <w:tr2bl w:val="nil"/>
                  </w:tcBorders>
                  <w:shd w:val="clear" w:color="auto" w:fill="auto"/>
                  <w:vAlign w:val="center"/>
                </w:tcPr>
                <w:p w14:paraId="452DD3E4">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eastAsia"/>
                      <w:strike w:val="0"/>
                      <w:dstrike w:val="0"/>
                      <w:color w:val="auto"/>
                      <w:sz w:val="21"/>
                      <w:szCs w:val="21"/>
                      <w:u w:val="none"/>
                      <w:lang w:val="en-US" w:eastAsia="zh-CN"/>
                    </w:rPr>
                    <w:t>0.245</w:t>
                  </w:r>
                </w:p>
              </w:tc>
              <w:tc>
                <w:tcPr>
                  <w:tcW w:w="254" w:type="pct"/>
                  <w:tcBorders>
                    <w:tl2br w:val="nil"/>
                    <w:tr2bl w:val="nil"/>
                  </w:tcBorders>
                  <w:shd w:val="clear" w:color="auto" w:fill="auto"/>
                  <w:vAlign w:val="center"/>
                </w:tcPr>
                <w:p w14:paraId="4486781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厂界</w:t>
                  </w:r>
                </w:p>
              </w:tc>
              <w:tc>
                <w:tcPr>
                  <w:tcW w:w="125" w:type="pct"/>
                  <w:tcBorders>
                    <w:tl2br w:val="nil"/>
                    <w:tr2bl w:val="nil"/>
                  </w:tcBorders>
                  <w:shd w:val="clear" w:color="auto" w:fill="auto"/>
                  <w:vAlign w:val="center"/>
                </w:tcPr>
                <w:p w14:paraId="5939E1C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23" w:type="pct"/>
                  <w:tcBorders>
                    <w:tl2br w:val="nil"/>
                    <w:tr2bl w:val="nil"/>
                  </w:tcBorders>
                  <w:shd w:val="clear" w:color="auto" w:fill="auto"/>
                  <w:vAlign w:val="center"/>
                </w:tcPr>
                <w:p w14:paraId="29F2272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18" w:type="pct"/>
                  <w:tcBorders>
                    <w:tl2br w:val="nil"/>
                    <w:tr2bl w:val="nil"/>
                  </w:tcBorders>
                  <w:shd w:val="clear" w:color="auto" w:fill="auto"/>
                  <w:vAlign w:val="center"/>
                </w:tcPr>
                <w:p w14:paraId="1527A3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42" w:type="pct"/>
                  <w:tcBorders>
                    <w:tl2br w:val="nil"/>
                    <w:tr2bl w:val="nil"/>
                  </w:tcBorders>
                  <w:shd w:val="clear" w:color="auto" w:fill="auto"/>
                  <w:vAlign w:val="center"/>
                </w:tcPr>
                <w:p w14:paraId="39C9D4C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3" w:type="pct"/>
                  <w:tcBorders>
                    <w:tl2br w:val="nil"/>
                    <w:tr2bl w:val="nil"/>
                  </w:tcBorders>
                  <w:shd w:val="clear" w:color="auto" w:fill="auto"/>
                  <w:vAlign w:val="center"/>
                </w:tcPr>
                <w:p w14:paraId="22C6460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71" w:type="pct"/>
                  <w:tcBorders>
                    <w:tl2br w:val="nil"/>
                    <w:tr2bl w:val="nil"/>
                  </w:tcBorders>
                  <w:shd w:val="clear" w:color="auto" w:fill="auto"/>
                  <w:vAlign w:val="center"/>
                </w:tcPr>
                <w:p w14:paraId="66FA17F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1.0</w:t>
                  </w:r>
                </w:p>
              </w:tc>
              <w:tc>
                <w:tcPr>
                  <w:tcW w:w="207" w:type="pct"/>
                  <w:tcBorders>
                    <w:tl2br w:val="nil"/>
                    <w:tr2bl w:val="nil"/>
                  </w:tcBorders>
                  <w:shd w:val="clear" w:color="auto" w:fill="auto"/>
                  <w:vAlign w:val="center"/>
                </w:tcPr>
                <w:p w14:paraId="2E8F017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14:paraId="62516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833" w:hRule="atLeast"/>
                <w:jc w:val="center"/>
              </w:trPr>
              <w:tc>
                <w:tcPr>
                  <w:tcW w:w="166" w:type="pct"/>
                  <w:tcBorders>
                    <w:tl2br w:val="nil"/>
                    <w:tr2bl w:val="nil"/>
                  </w:tcBorders>
                  <w:shd w:val="clear" w:color="auto" w:fill="auto"/>
                  <w:vAlign w:val="center"/>
                </w:tcPr>
                <w:p w14:paraId="6706A91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焊接</w:t>
                  </w:r>
                </w:p>
              </w:tc>
              <w:tc>
                <w:tcPr>
                  <w:tcW w:w="91" w:type="pct"/>
                  <w:tcBorders>
                    <w:tl2br w:val="nil"/>
                    <w:tr2bl w:val="nil"/>
                  </w:tcBorders>
                  <w:shd w:val="clear" w:color="auto" w:fill="auto"/>
                  <w:vAlign w:val="center"/>
                </w:tcPr>
                <w:p w14:paraId="263FB47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无</w:t>
                  </w:r>
                  <w:r>
                    <w:rPr>
                      <w:rFonts w:hint="default" w:ascii="Times New Roman" w:hAnsi="Times New Roman" w:eastAsia="宋体" w:cs="Times New Roman"/>
                      <w:bCs/>
                      <w:color w:val="auto"/>
                      <w:sz w:val="21"/>
                      <w:szCs w:val="21"/>
                      <w:highlight w:val="none"/>
                    </w:rPr>
                    <w:t>组织</w:t>
                  </w:r>
                </w:p>
              </w:tc>
              <w:tc>
                <w:tcPr>
                  <w:tcW w:w="275" w:type="pct"/>
                  <w:tcBorders>
                    <w:tl2br w:val="nil"/>
                    <w:tr2bl w:val="nil"/>
                  </w:tcBorders>
                  <w:shd w:val="clear" w:color="auto" w:fill="auto"/>
                  <w:vAlign w:val="center"/>
                </w:tcPr>
                <w:p w14:paraId="0FB44CF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颗粒物</w:t>
                  </w:r>
                </w:p>
              </w:tc>
              <w:tc>
                <w:tcPr>
                  <w:tcW w:w="400" w:type="pct"/>
                  <w:tcBorders>
                    <w:tl2br w:val="nil"/>
                    <w:tr2bl w:val="nil"/>
                  </w:tcBorders>
                  <w:shd w:val="clear" w:color="auto" w:fill="auto"/>
                  <w:vAlign w:val="center"/>
                </w:tcPr>
                <w:p w14:paraId="187F14FB">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w:t>
                  </w:r>
                </w:p>
              </w:tc>
              <w:tc>
                <w:tcPr>
                  <w:tcW w:w="350" w:type="pct"/>
                  <w:tcBorders>
                    <w:tl2br w:val="nil"/>
                    <w:tr2bl w:val="nil"/>
                  </w:tcBorders>
                  <w:shd w:val="clear" w:color="auto" w:fill="auto"/>
                  <w:vAlign w:val="center"/>
                </w:tcPr>
                <w:p w14:paraId="66E8079C">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u w:val="none" w:color="auto"/>
                      <w:lang w:val="en-US" w:eastAsia="zh-CN"/>
                    </w:rPr>
                    <w:t>0.275</w:t>
                  </w:r>
                </w:p>
              </w:tc>
              <w:tc>
                <w:tcPr>
                  <w:tcW w:w="247" w:type="pct"/>
                  <w:tcBorders>
                    <w:tl2br w:val="nil"/>
                    <w:tr2bl w:val="nil"/>
                  </w:tcBorders>
                  <w:shd w:val="clear" w:color="auto" w:fill="auto"/>
                  <w:vAlign w:val="center"/>
                </w:tcPr>
                <w:p w14:paraId="031AF72A">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cs="Times New Roman"/>
                      <w:color w:val="auto"/>
                      <w:sz w:val="21"/>
                      <w:szCs w:val="21"/>
                      <w:u w:val="none" w:color="auto"/>
                      <w:lang w:val="en-US" w:eastAsia="zh-CN"/>
                    </w:rPr>
                    <w:t>0.308</w:t>
                  </w:r>
                </w:p>
              </w:tc>
              <w:tc>
                <w:tcPr>
                  <w:tcW w:w="201" w:type="pct"/>
                  <w:tcBorders>
                    <w:tl2br w:val="nil"/>
                    <w:tr2bl w:val="nil"/>
                  </w:tcBorders>
                  <w:shd w:val="clear" w:color="auto" w:fill="auto"/>
                  <w:vAlign w:val="center"/>
                </w:tcPr>
                <w:p w14:paraId="3E4340B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98" w:type="pct"/>
                  <w:tcBorders>
                    <w:tl2br w:val="nil"/>
                    <w:tr2bl w:val="nil"/>
                  </w:tcBorders>
                  <w:shd w:val="clear" w:color="auto" w:fill="auto"/>
                  <w:vAlign w:val="center"/>
                </w:tcPr>
                <w:p w14:paraId="1462F34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8</w:t>
                  </w:r>
                  <w:r>
                    <w:rPr>
                      <w:rFonts w:hint="eastAsia" w:ascii="Times New Roman" w:hAnsi="Times New Roman" w:eastAsia="宋体" w:cs="Times New Roman"/>
                      <w:bCs/>
                      <w:color w:val="auto"/>
                      <w:sz w:val="21"/>
                      <w:szCs w:val="21"/>
                      <w:highlight w:val="none"/>
                    </w:rPr>
                    <w:t>0</w:t>
                  </w:r>
                </w:p>
              </w:tc>
              <w:tc>
                <w:tcPr>
                  <w:tcW w:w="158" w:type="pct"/>
                  <w:tcBorders>
                    <w:tl2br w:val="nil"/>
                    <w:tr2bl w:val="nil"/>
                  </w:tcBorders>
                  <w:shd w:val="clear" w:color="auto" w:fill="auto"/>
                  <w:vAlign w:val="center"/>
                </w:tcPr>
                <w:p w14:paraId="520BD52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95</w:t>
                  </w:r>
                </w:p>
              </w:tc>
              <w:tc>
                <w:tcPr>
                  <w:tcW w:w="98" w:type="pct"/>
                  <w:tcBorders>
                    <w:tl2br w:val="nil"/>
                    <w:tr2bl w:val="nil"/>
                  </w:tcBorders>
                  <w:shd w:val="clear" w:color="auto" w:fill="auto"/>
                  <w:vAlign w:val="center"/>
                </w:tcPr>
                <w:p w14:paraId="431D439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是</w:t>
                  </w:r>
                </w:p>
              </w:tc>
              <w:tc>
                <w:tcPr>
                  <w:tcW w:w="212" w:type="pct"/>
                  <w:tcBorders>
                    <w:tl2br w:val="nil"/>
                    <w:tr2bl w:val="nil"/>
                  </w:tcBorders>
                  <w:shd w:val="clear" w:color="auto" w:fill="auto"/>
                  <w:vAlign w:val="center"/>
                </w:tcPr>
                <w:p w14:paraId="73DDCDF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移动式焊烟净化器</w:t>
                  </w:r>
                </w:p>
              </w:tc>
              <w:tc>
                <w:tcPr>
                  <w:tcW w:w="332" w:type="pct"/>
                  <w:tcBorders>
                    <w:tl2br w:val="nil"/>
                    <w:tr2bl w:val="nil"/>
                  </w:tcBorders>
                  <w:shd w:val="clear" w:color="auto" w:fill="auto"/>
                  <w:vAlign w:val="center"/>
                </w:tcPr>
                <w:p w14:paraId="7AB65DBE">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w:t>
                  </w:r>
                </w:p>
              </w:tc>
              <w:tc>
                <w:tcPr>
                  <w:tcW w:w="355" w:type="pct"/>
                  <w:tcBorders>
                    <w:tl2br w:val="nil"/>
                    <w:tr2bl w:val="nil"/>
                  </w:tcBorders>
                  <w:shd w:val="clear" w:color="auto" w:fill="auto"/>
                  <w:vAlign w:val="center"/>
                </w:tcPr>
                <w:p w14:paraId="72DA4267">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62</w:t>
                  </w:r>
                </w:p>
              </w:tc>
              <w:tc>
                <w:tcPr>
                  <w:tcW w:w="245" w:type="pct"/>
                  <w:tcBorders>
                    <w:tl2br w:val="nil"/>
                    <w:tr2bl w:val="nil"/>
                  </w:tcBorders>
                  <w:shd w:val="clear" w:color="auto" w:fill="auto"/>
                  <w:vAlign w:val="center"/>
                </w:tcPr>
                <w:p w14:paraId="3BCC3D5F">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069</w:t>
                  </w:r>
                </w:p>
              </w:tc>
              <w:tc>
                <w:tcPr>
                  <w:tcW w:w="254" w:type="pct"/>
                  <w:tcBorders>
                    <w:tl2br w:val="nil"/>
                    <w:tr2bl w:val="nil"/>
                  </w:tcBorders>
                  <w:shd w:val="clear" w:color="auto" w:fill="auto"/>
                  <w:vAlign w:val="center"/>
                </w:tcPr>
                <w:p w14:paraId="1FE1D40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厂界</w:t>
                  </w:r>
                </w:p>
              </w:tc>
              <w:tc>
                <w:tcPr>
                  <w:tcW w:w="125" w:type="pct"/>
                  <w:tcBorders>
                    <w:tl2br w:val="nil"/>
                    <w:tr2bl w:val="nil"/>
                  </w:tcBorders>
                  <w:shd w:val="clear" w:color="auto" w:fill="auto"/>
                  <w:vAlign w:val="center"/>
                </w:tcPr>
                <w:p w14:paraId="7797768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23" w:type="pct"/>
                  <w:tcBorders>
                    <w:tl2br w:val="nil"/>
                    <w:tr2bl w:val="nil"/>
                  </w:tcBorders>
                  <w:shd w:val="clear" w:color="auto" w:fill="auto"/>
                  <w:vAlign w:val="center"/>
                </w:tcPr>
                <w:p w14:paraId="1FFC2D0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18" w:type="pct"/>
                  <w:tcBorders>
                    <w:tl2br w:val="nil"/>
                    <w:tr2bl w:val="nil"/>
                  </w:tcBorders>
                  <w:shd w:val="clear" w:color="auto" w:fill="auto"/>
                  <w:vAlign w:val="center"/>
                </w:tcPr>
                <w:p w14:paraId="2309E8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42" w:type="pct"/>
                  <w:tcBorders>
                    <w:tl2br w:val="nil"/>
                    <w:tr2bl w:val="nil"/>
                  </w:tcBorders>
                  <w:shd w:val="clear" w:color="auto" w:fill="auto"/>
                  <w:vAlign w:val="center"/>
                </w:tcPr>
                <w:p w14:paraId="305D0A7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3" w:type="pct"/>
                  <w:tcBorders>
                    <w:tl2br w:val="nil"/>
                    <w:tr2bl w:val="nil"/>
                  </w:tcBorders>
                  <w:shd w:val="clear" w:color="auto" w:fill="auto"/>
                  <w:vAlign w:val="center"/>
                </w:tcPr>
                <w:p w14:paraId="3AE61FA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71" w:type="pct"/>
                  <w:tcBorders>
                    <w:tl2br w:val="nil"/>
                    <w:tr2bl w:val="nil"/>
                  </w:tcBorders>
                  <w:shd w:val="clear" w:color="auto" w:fill="auto"/>
                  <w:vAlign w:val="center"/>
                </w:tcPr>
                <w:p w14:paraId="7A9C178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1.0</w:t>
                  </w:r>
                </w:p>
              </w:tc>
              <w:tc>
                <w:tcPr>
                  <w:tcW w:w="207" w:type="pct"/>
                  <w:tcBorders>
                    <w:tl2br w:val="nil"/>
                    <w:tr2bl w:val="nil"/>
                  </w:tcBorders>
                  <w:shd w:val="clear" w:color="auto" w:fill="auto"/>
                  <w:vAlign w:val="center"/>
                </w:tcPr>
                <w:p w14:paraId="6872CBA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r w14:paraId="2CE3B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833" w:hRule="atLeast"/>
                <w:jc w:val="center"/>
              </w:trPr>
              <w:tc>
                <w:tcPr>
                  <w:tcW w:w="166" w:type="pct"/>
                  <w:vMerge w:val="restart"/>
                  <w:tcBorders>
                    <w:tl2br w:val="nil"/>
                    <w:tr2bl w:val="nil"/>
                  </w:tcBorders>
                  <w:shd w:val="clear" w:color="auto" w:fill="auto"/>
                  <w:vAlign w:val="center"/>
                </w:tcPr>
                <w:p w14:paraId="370E099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抛丸</w:t>
                  </w:r>
                </w:p>
              </w:tc>
              <w:tc>
                <w:tcPr>
                  <w:tcW w:w="91" w:type="pct"/>
                  <w:tcBorders>
                    <w:tl2br w:val="nil"/>
                    <w:tr2bl w:val="nil"/>
                  </w:tcBorders>
                  <w:shd w:val="clear" w:color="auto" w:fill="auto"/>
                  <w:vAlign w:val="center"/>
                </w:tcPr>
                <w:p w14:paraId="3DDEE1D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有组织</w:t>
                  </w:r>
                </w:p>
              </w:tc>
              <w:tc>
                <w:tcPr>
                  <w:tcW w:w="275" w:type="pct"/>
                  <w:tcBorders>
                    <w:tl2br w:val="nil"/>
                    <w:tr2bl w:val="nil"/>
                  </w:tcBorders>
                  <w:shd w:val="clear" w:color="auto" w:fill="auto"/>
                  <w:vAlign w:val="center"/>
                </w:tcPr>
                <w:p w14:paraId="73769A5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颗粒物</w:t>
                  </w:r>
                </w:p>
              </w:tc>
              <w:tc>
                <w:tcPr>
                  <w:tcW w:w="400" w:type="pct"/>
                  <w:tcBorders>
                    <w:tl2br w:val="nil"/>
                    <w:tr2bl w:val="nil"/>
                  </w:tcBorders>
                  <w:shd w:val="clear" w:color="auto" w:fill="auto"/>
                  <w:vAlign w:val="center"/>
                </w:tcPr>
                <w:p w14:paraId="6073A7DF">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191.625</w:t>
                  </w:r>
                </w:p>
              </w:tc>
              <w:tc>
                <w:tcPr>
                  <w:tcW w:w="350" w:type="pct"/>
                  <w:tcBorders>
                    <w:tl2br w:val="nil"/>
                    <w:tr2bl w:val="nil"/>
                  </w:tcBorders>
                  <w:shd w:val="clear" w:color="auto" w:fill="auto"/>
                  <w:vAlign w:val="center"/>
                </w:tcPr>
                <w:p w14:paraId="06658248">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u w:val="none" w:color="auto"/>
                      <w:lang w:val="en-US" w:eastAsia="zh-CN"/>
                    </w:rPr>
                    <w:t>4.</w:t>
                  </w:r>
                  <w:r>
                    <w:rPr>
                      <w:rFonts w:hint="default" w:ascii="Times New Roman" w:hAnsi="Times New Roman" w:cs="Times New Roman"/>
                      <w:color w:val="auto"/>
                      <w:sz w:val="21"/>
                      <w:szCs w:val="21"/>
                      <w:u w:val="none" w:color="auto"/>
                      <w:lang w:val="en-US" w:eastAsia="zh-CN"/>
                    </w:rPr>
                    <w:t>024</w:t>
                  </w:r>
                </w:p>
              </w:tc>
              <w:tc>
                <w:tcPr>
                  <w:tcW w:w="247" w:type="pct"/>
                  <w:tcBorders>
                    <w:tl2br w:val="nil"/>
                    <w:tr2bl w:val="nil"/>
                  </w:tcBorders>
                  <w:shd w:val="clear" w:color="auto" w:fill="auto"/>
                  <w:vAlign w:val="center"/>
                </w:tcPr>
                <w:p w14:paraId="2A5D1925">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u w:val="none" w:color="auto"/>
                      <w:lang w:val="en-US" w:eastAsia="zh-CN"/>
                    </w:rPr>
                    <w:t>4.5</w:t>
                  </w:r>
                  <w:r>
                    <w:rPr>
                      <w:rFonts w:hint="default" w:ascii="Times New Roman" w:hAnsi="Times New Roman" w:cs="Times New Roman"/>
                      <w:color w:val="auto"/>
                      <w:sz w:val="21"/>
                      <w:szCs w:val="21"/>
                      <w:u w:val="none" w:color="auto"/>
                      <w:lang w:val="en-US" w:eastAsia="zh-CN"/>
                    </w:rPr>
                    <w:t>07</w:t>
                  </w:r>
                </w:p>
              </w:tc>
              <w:tc>
                <w:tcPr>
                  <w:tcW w:w="201" w:type="pct"/>
                  <w:tcBorders>
                    <w:tl2br w:val="nil"/>
                    <w:tr2bl w:val="nil"/>
                  </w:tcBorders>
                  <w:shd w:val="clear" w:color="auto" w:fill="auto"/>
                  <w:vAlign w:val="center"/>
                </w:tcPr>
                <w:p w14:paraId="31FFF518">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000</w:t>
                  </w:r>
                </w:p>
              </w:tc>
              <w:tc>
                <w:tcPr>
                  <w:tcW w:w="98" w:type="pct"/>
                  <w:tcBorders>
                    <w:tl2br w:val="nil"/>
                    <w:tr2bl w:val="nil"/>
                  </w:tcBorders>
                  <w:shd w:val="clear" w:color="auto" w:fill="auto"/>
                  <w:vAlign w:val="center"/>
                </w:tcPr>
                <w:p w14:paraId="425CCD56">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98</w:t>
                  </w:r>
                </w:p>
              </w:tc>
              <w:tc>
                <w:tcPr>
                  <w:tcW w:w="158" w:type="pct"/>
                  <w:tcBorders>
                    <w:tl2br w:val="nil"/>
                    <w:tr2bl w:val="nil"/>
                  </w:tcBorders>
                  <w:shd w:val="clear" w:color="auto" w:fill="auto"/>
                  <w:vAlign w:val="center"/>
                </w:tcPr>
                <w:p w14:paraId="628009E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95</w:t>
                  </w:r>
                </w:p>
              </w:tc>
              <w:tc>
                <w:tcPr>
                  <w:tcW w:w="98" w:type="pct"/>
                  <w:tcBorders>
                    <w:tl2br w:val="nil"/>
                    <w:tr2bl w:val="nil"/>
                  </w:tcBorders>
                  <w:shd w:val="clear" w:color="auto" w:fill="auto"/>
                  <w:vAlign w:val="center"/>
                </w:tcPr>
                <w:p w14:paraId="23295A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是</w:t>
                  </w:r>
                </w:p>
              </w:tc>
              <w:tc>
                <w:tcPr>
                  <w:tcW w:w="212" w:type="pct"/>
                  <w:tcBorders>
                    <w:tl2br w:val="nil"/>
                    <w:tr2bl w:val="nil"/>
                  </w:tcBorders>
                  <w:shd w:val="clear" w:color="auto" w:fill="auto"/>
                  <w:vAlign w:val="center"/>
                </w:tcPr>
                <w:p w14:paraId="544D1962">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布袋除尘器</w:t>
                  </w:r>
                </w:p>
              </w:tc>
              <w:tc>
                <w:tcPr>
                  <w:tcW w:w="332" w:type="pct"/>
                  <w:tcBorders>
                    <w:tl2br w:val="nil"/>
                    <w:tr2bl w:val="nil"/>
                  </w:tcBorders>
                  <w:shd w:val="clear" w:color="auto" w:fill="auto"/>
                  <w:vAlign w:val="center"/>
                </w:tcPr>
                <w:p w14:paraId="6F966C1F">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9.581</w:t>
                  </w:r>
                </w:p>
              </w:tc>
              <w:tc>
                <w:tcPr>
                  <w:tcW w:w="355" w:type="pct"/>
                  <w:tcBorders>
                    <w:tl2br w:val="nil"/>
                    <w:tr2bl w:val="nil"/>
                  </w:tcBorders>
                  <w:shd w:val="clear" w:color="auto" w:fill="auto"/>
                  <w:vAlign w:val="center"/>
                </w:tcPr>
                <w:p w14:paraId="34FE3FEC">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u w:val="none" w:color="auto"/>
                      <w:lang w:val="en-US" w:eastAsia="zh-CN"/>
                    </w:rPr>
                    <w:t>0.201</w:t>
                  </w:r>
                </w:p>
              </w:tc>
              <w:tc>
                <w:tcPr>
                  <w:tcW w:w="245" w:type="pct"/>
                  <w:tcBorders>
                    <w:tl2br w:val="nil"/>
                    <w:tr2bl w:val="nil"/>
                  </w:tcBorders>
                  <w:shd w:val="clear" w:color="auto" w:fill="auto"/>
                  <w:vAlign w:val="center"/>
                </w:tcPr>
                <w:p w14:paraId="392D491A">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u w:val="none" w:color="auto"/>
                      <w:lang w:val="en-US" w:eastAsia="zh-CN"/>
                    </w:rPr>
                    <w:t>0.225</w:t>
                  </w:r>
                </w:p>
              </w:tc>
              <w:tc>
                <w:tcPr>
                  <w:tcW w:w="254" w:type="pct"/>
                  <w:tcBorders>
                    <w:tl2br w:val="nil"/>
                    <w:tr2bl w:val="nil"/>
                  </w:tcBorders>
                  <w:shd w:val="clear" w:color="auto" w:fill="auto"/>
                  <w:vAlign w:val="center"/>
                </w:tcPr>
                <w:p w14:paraId="52E84E9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DA00</w:t>
                  </w:r>
                  <w:r>
                    <w:rPr>
                      <w:rFonts w:hint="eastAsia" w:ascii="Times New Roman" w:hAnsi="Times New Roman" w:eastAsia="宋体" w:cs="Times New Roman"/>
                      <w:bCs/>
                      <w:color w:val="auto"/>
                      <w:sz w:val="21"/>
                      <w:szCs w:val="21"/>
                      <w:highlight w:val="none"/>
                      <w:lang w:val="en-US" w:eastAsia="zh-CN"/>
                    </w:rPr>
                    <w:t>3</w:t>
                  </w:r>
                  <w:r>
                    <w:rPr>
                      <w:rFonts w:hint="eastAsia" w:ascii="Times New Roman" w:hAnsi="Times New Roman" w:eastAsia="宋体" w:cs="Times New Roman"/>
                      <w:bCs/>
                      <w:color w:val="auto"/>
                      <w:sz w:val="21"/>
                      <w:szCs w:val="21"/>
                      <w:highlight w:val="none"/>
                      <w:lang w:eastAsia="zh-CN"/>
                    </w:rPr>
                    <w:t>抛丸</w:t>
                  </w:r>
                  <w:r>
                    <w:rPr>
                      <w:rFonts w:hint="default" w:ascii="Times New Roman" w:hAnsi="Times New Roman" w:eastAsia="宋体" w:cs="Times New Roman"/>
                      <w:bCs/>
                      <w:color w:val="auto"/>
                      <w:sz w:val="21"/>
                      <w:szCs w:val="21"/>
                      <w:highlight w:val="none"/>
                    </w:rPr>
                    <w:t>排气筒</w:t>
                  </w:r>
                </w:p>
              </w:tc>
              <w:tc>
                <w:tcPr>
                  <w:tcW w:w="125" w:type="pct"/>
                  <w:tcBorders>
                    <w:tl2br w:val="nil"/>
                    <w:tr2bl w:val="nil"/>
                  </w:tcBorders>
                  <w:shd w:val="clear" w:color="auto" w:fill="auto"/>
                  <w:vAlign w:val="center"/>
                </w:tcPr>
                <w:p w14:paraId="765C23A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15</w:t>
                  </w:r>
                </w:p>
              </w:tc>
              <w:tc>
                <w:tcPr>
                  <w:tcW w:w="123" w:type="pct"/>
                  <w:tcBorders>
                    <w:tl2br w:val="nil"/>
                    <w:tr2bl w:val="nil"/>
                  </w:tcBorders>
                  <w:shd w:val="clear" w:color="auto" w:fill="auto"/>
                  <w:vAlign w:val="center"/>
                </w:tcPr>
                <w:p w14:paraId="359D08F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0.</w:t>
                  </w:r>
                  <w:r>
                    <w:rPr>
                      <w:rFonts w:hint="eastAsia" w:cs="Times New Roman"/>
                      <w:bCs/>
                      <w:color w:val="auto"/>
                      <w:sz w:val="21"/>
                      <w:szCs w:val="21"/>
                      <w:highlight w:val="none"/>
                      <w:lang w:val="en-US" w:eastAsia="zh-CN"/>
                    </w:rPr>
                    <w:t>6</w:t>
                  </w:r>
                </w:p>
              </w:tc>
              <w:tc>
                <w:tcPr>
                  <w:tcW w:w="118" w:type="pct"/>
                  <w:tcBorders>
                    <w:tl2br w:val="nil"/>
                    <w:tr2bl w:val="nil"/>
                  </w:tcBorders>
                  <w:shd w:val="clear" w:color="auto" w:fill="auto"/>
                  <w:vAlign w:val="center"/>
                </w:tcPr>
                <w:p w14:paraId="0B4EB28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25</w:t>
                  </w:r>
                </w:p>
              </w:tc>
              <w:tc>
                <w:tcPr>
                  <w:tcW w:w="242" w:type="pct"/>
                  <w:tcBorders>
                    <w:tl2br w:val="nil"/>
                    <w:tr2bl w:val="nil"/>
                  </w:tcBorders>
                  <w:shd w:val="clear" w:color="auto" w:fill="auto"/>
                  <w:vAlign w:val="center"/>
                </w:tcPr>
                <w:p w14:paraId="7CF0A87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一般排放口</w:t>
                  </w:r>
                </w:p>
              </w:tc>
              <w:tc>
                <w:tcPr>
                  <w:tcW w:w="423" w:type="pct"/>
                  <w:tcBorders>
                    <w:tl2br w:val="nil"/>
                    <w:tr2bl w:val="nil"/>
                  </w:tcBorders>
                  <w:shd w:val="clear" w:color="auto" w:fill="auto"/>
                  <w:vAlign w:val="center"/>
                </w:tcPr>
                <w:p w14:paraId="0D5054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113.236990，29.472110</w:t>
                  </w:r>
                </w:p>
              </w:tc>
              <w:tc>
                <w:tcPr>
                  <w:tcW w:w="271" w:type="pct"/>
                  <w:tcBorders>
                    <w:tl2br w:val="nil"/>
                    <w:tr2bl w:val="nil"/>
                  </w:tcBorders>
                  <w:shd w:val="clear" w:color="auto" w:fill="auto"/>
                  <w:vAlign w:val="center"/>
                </w:tcPr>
                <w:p w14:paraId="3E75A09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120</w:t>
                  </w:r>
                </w:p>
              </w:tc>
              <w:tc>
                <w:tcPr>
                  <w:tcW w:w="207" w:type="pct"/>
                  <w:tcBorders>
                    <w:tl2br w:val="nil"/>
                    <w:tr2bl w:val="nil"/>
                  </w:tcBorders>
                  <w:shd w:val="clear" w:color="auto" w:fill="auto"/>
                  <w:vAlign w:val="center"/>
                </w:tcPr>
                <w:p w14:paraId="5C5493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1.75</w:t>
                  </w:r>
                </w:p>
              </w:tc>
            </w:tr>
            <w:tr w14:paraId="2A147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833" w:hRule="atLeast"/>
                <w:jc w:val="center"/>
              </w:trPr>
              <w:tc>
                <w:tcPr>
                  <w:tcW w:w="166" w:type="pct"/>
                  <w:vMerge w:val="continue"/>
                  <w:tcBorders>
                    <w:tl2br w:val="nil"/>
                    <w:tr2bl w:val="nil"/>
                  </w:tcBorders>
                  <w:shd w:val="clear" w:color="auto" w:fill="auto"/>
                  <w:vAlign w:val="center"/>
                </w:tcPr>
                <w:p w14:paraId="6077DDA4">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rPr>
                  </w:pPr>
                </w:p>
              </w:tc>
              <w:tc>
                <w:tcPr>
                  <w:tcW w:w="91" w:type="pct"/>
                  <w:tcBorders>
                    <w:tl2br w:val="nil"/>
                    <w:tr2bl w:val="nil"/>
                  </w:tcBorders>
                  <w:shd w:val="clear" w:color="auto" w:fill="auto"/>
                  <w:vAlign w:val="center"/>
                </w:tcPr>
                <w:p w14:paraId="7CA7D38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无组织</w:t>
                  </w:r>
                </w:p>
              </w:tc>
              <w:tc>
                <w:tcPr>
                  <w:tcW w:w="275" w:type="pct"/>
                  <w:tcBorders>
                    <w:tl2br w:val="nil"/>
                    <w:tr2bl w:val="nil"/>
                  </w:tcBorders>
                  <w:shd w:val="clear" w:color="auto" w:fill="auto"/>
                  <w:vAlign w:val="center"/>
                </w:tcPr>
                <w:p w14:paraId="2D209E7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颗粒物</w:t>
                  </w:r>
                </w:p>
              </w:tc>
              <w:tc>
                <w:tcPr>
                  <w:tcW w:w="400" w:type="pct"/>
                  <w:tcBorders>
                    <w:tl2br w:val="nil"/>
                    <w:tr2bl w:val="nil"/>
                  </w:tcBorders>
                  <w:shd w:val="clear" w:color="auto" w:fill="auto"/>
                  <w:vAlign w:val="center"/>
                </w:tcPr>
                <w:p w14:paraId="368DF08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350" w:type="pct"/>
                  <w:tcBorders>
                    <w:tl2br w:val="nil"/>
                    <w:tr2bl w:val="nil"/>
                  </w:tcBorders>
                  <w:shd w:val="clear" w:color="auto" w:fill="auto"/>
                  <w:vAlign w:val="center"/>
                </w:tcPr>
                <w:p w14:paraId="5DA276CF">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u w:val="none" w:color="auto"/>
                      <w:lang w:val="en-US" w:eastAsia="zh-CN"/>
                    </w:rPr>
                    <w:t>0.0</w:t>
                  </w:r>
                  <w:r>
                    <w:rPr>
                      <w:rFonts w:hint="default" w:ascii="Times New Roman" w:hAnsi="Times New Roman" w:cs="Times New Roman"/>
                      <w:color w:val="auto"/>
                      <w:sz w:val="21"/>
                      <w:szCs w:val="21"/>
                      <w:u w:val="none" w:color="auto"/>
                      <w:lang w:val="en-US" w:eastAsia="zh-CN"/>
                    </w:rPr>
                    <w:t>82</w:t>
                  </w:r>
                </w:p>
              </w:tc>
              <w:tc>
                <w:tcPr>
                  <w:tcW w:w="247" w:type="pct"/>
                  <w:tcBorders>
                    <w:tl2br w:val="nil"/>
                    <w:tr2bl w:val="nil"/>
                  </w:tcBorders>
                  <w:shd w:val="clear" w:color="auto" w:fill="auto"/>
                  <w:vAlign w:val="center"/>
                </w:tcPr>
                <w:p w14:paraId="10175DE2">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u w:val="none" w:color="auto"/>
                      <w:lang w:val="en-US" w:eastAsia="zh-CN"/>
                    </w:rPr>
                    <w:t>0.</w:t>
                  </w:r>
                  <w:r>
                    <w:rPr>
                      <w:rFonts w:hint="default" w:ascii="Times New Roman" w:hAnsi="Times New Roman" w:cs="Times New Roman"/>
                      <w:color w:val="auto"/>
                      <w:sz w:val="21"/>
                      <w:szCs w:val="21"/>
                      <w:u w:val="none" w:color="auto"/>
                      <w:lang w:val="en-US" w:eastAsia="zh-CN"/>
                    </w:rPr>
                    <w:t>092</w:t>
                  </w:r>
                </w:p>
              </w:tc>
              <w:tc>
                <w:tcPr>
                  <w:tcW w:w="201" w:type="pct"/>
                  <w:tcBorders>
                    <w:tl2br w:val="nil"/>
                    <w:tr2bl w:val="nil"/>
                  </w:tcBorders>
                  <w:shd w:val="clear" w:color="auto" w:fill="auto"/>
                  <w:vAlign w:val="center"/>
                </w:tcPr>
                <w:p w14:paraId="3C95E79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98" w:type="pct"/>
                  <w:tcBorders>
                    <w:tl2br w:val="nil"/>
                    <w:tr2bl w:val="nil"/>
                  </w:tcBorders>
                  <w:shd w:val="clear" w:color="auto" w:fill="auto"/>
                  <w:vAlign w:val="center"/>
                </w:tcPr>
                <w:p w14:paraId="2C95641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158" w:type="pct"/>
                  <w:tcBorders>
                    <w:tl2br w:val="nil"/>
                    <w:tr2bl w:val="nil"/>
                  </w:tcBorders>
                  <w:shd w:val="clear" w:color="auto" w:fill="auto"/>
                  <w:vAlign w:val="center"/>
                </w:tcPr>
                <w:p w14:paraId="65B0A03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98" w:type="pct"/>
                  <w:tcBorders>
                    <w:tl2br w:val="nil"/>
                    <w:tr2bl w:val="nil"/>
                  </w:tcBorders>
                  <w:shd w:val="clear" w:color="auto" w:fill="auto"/>
                  <w:vAlign w:val="center"/>
                </w:tcPr>
                <w:p w14:paraId="5A09803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是</w:t>
                  </w:r>
                </w:p>
              </w:tc>
              <w:tc>
                <w:tcPr>
                  <w:tcW w:w="212" w:type="pct"/>
                  <w:tcBorders>
                    <w:tl2br w:val="nil"/>
                    <w:tr2bl w:val="nil"/>
                  </w:tcBorders>
                  <w:shd w:val="clear" w:color="auto" w:fill="auto"/>
                  <w:vAlign w:val="center"/>
                </w:tcPr>
                <w:p w14:paraId="657F59F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自然沉降</w:t>
                  </w:r>
                </w:p>
              </w:tc>
              <w:tc>
                <w:tcPr>
                  <w:tcW w:w="332" w:type="pct"/>
                  <w:tcBorders>
                    <w:tl2br w:val="nil"/>
                    <w:tr2bl w:val="nil"/>
                  </w:tcBorders>
                  <w:shd w:val="clear" w:color="auto" w:fill="auto"/>
                  <w:vAlign w:val="center"/>
                </w:tcPr>
                <w:p w14:paraId="25B6E16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355" w:type="pct"/>
                  <w:tcBorders>
                    <w:tl2br w:val="nil"/>
                    <w:tr2bl w:val="nil"/>
                  </w:tcBorders>
                  <w:shd w:val="clear" w:color="auto" w:fill="auto"/>
                  <w:vAlign w:val="center"/>
                </w:tcPr>
                <w:p w14:paraId="4B52A30A">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u w:val="none" w:color="auto"/>
                      <w:lang w:val="en-US" w:eastAsia="zh-CN"/>
                    </w:rPr>
                    <w:t>0.0</w:t>
                  </w:r>
                  <w:r>
                    <w:rPr>
                      <w:rFonts w:hint="default" w:ascii="Times New Roman" w:hAnsi="Times New Roman" w:cs="Times New Roman"/>
                      <w:color w:val="auto"/>
                      <w:sz w:val="21"/>
                      <w:szCs w:val="21"/>
                      <w:u w:val="none" w:color="auto"/>
                      <w:lang w:val="en-US" w:eastAsia="zh-CN"/>
                    </w:rPr>
                    <w:t>82</w:t>
                  </w:r>
                </w:p>
              </w:tc>
              <w:tc>
                <w:tcPr>
                  <w:tcW w:w="245" w:type="pct"/>
                  <w:tcBorders>
                    <w:tl2br w:val="nil"/>
                    <w:tr2bl w:val="nil"/>
                  </w:tcBorders>
                  <w:shd w:val="clear" w:color="auto" w:fill="auto"/>
                  <w:vAlign w:val="center"/>
                </w:tcPr>
                <w:p w14:paraId="1A27E977">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u w:val="none" w:color="auto"/>
                      <w:lang w:val="en-US" w:eastAsia="zh-CN"/>
                    </w:rPr>
                    <w:t>0.</w:t>
                  </w:r>
                  <w:r>
                    <w:rPr>
                      <w:rFonts w:hint="default" w:ascii="Times New Roman" w:hAnsi="Times New Roman" w:cs="Times New Roman"/>
                      <w:color w:val="auto"/>
                      <w:sz w:val="21"/>
                      <w:szCs w:val="21"/>
                      <w:u w:val="none" w:color="auto"/>
                      <w:lang w:val="en-US" w:eastAsia="zh-CN"/>
                    </w:rPr>
                    <w:t>092</w:t>
                  </w:r>
                </w:p>
              </w:tc>
              <w:tc>
                <w:tcPr>
                  <w:tcW w:w="254" w:type="pct"/>
                  <w:tcBorders>
                    <w:tl2br w:val="nil"/>
                    <w:tr2bl w:val="nil"/>
                  </w:tcBorders>
                  <w:shd w:val="clear" w:color="auto" w:fill="auto"/>
                  <w:vAlign w:val="center"/>
                </w:tcPr>
                <w:p w14:paraId="576EC7A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厂界</w:t>
                  </w:r>
                </w:p>
              </w:tc>
              <w:tc>
                <w:tcPr>
                  <w:tcW w:w="125" w:type="pct"/>
                  <w:tcBorders>
                    <w:tl2br w:val="nil"/>
                    <w:tr2bl w:val="nil"/>
                  </w:tcBorders>
                  <w:shd w:val="clear" w:color="auto" w:fill="auto"/>
                  <w:vAlign w:val="center"/>
                </w:tcPr>
                <w:p w14:paraId="6C2559F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123" w:type="pct"/>
                  <w:tcBorders>
                    <w:tl2br w:val="nil"/>
                    <w:tr2bl w:val="nil"/>
                  </w:tcBorders>
                  <w:shd w:val="clear" w:color="auto" w:fill="auto"/>
                  <w:vAlign w:val="center"/>
                </w:tcPr>
                <w:p w14:paraId="201DA13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118" w:type="pct"/>
                  <w:tcBorders>
                    <w:tl2br w:val="nil"/>
                    <w:tr2bl w:val="nil"/>
                  </w:tcBorders>
                  <w:shd w:val="clear" w:color="auto" w:fill="auto"/>
                  <w:vAlign w:val="center"/>
                </w:tcPr>
                <w:p w14:paraId="30CF67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242" w:type="pct"/>
                  <w:tcBorders>
                    <w:tl2br w:val="nil"/>
                    <w:tr2bl w:val="nil"/>
                  </w:tcBorders>
                  <w:shd w:val="clear" w:color="auto" w:fill="auto"/>
                  <w:vAlign w:val="center"/>
                </w:tcPr>
                <w:p w14:paraId="555B06D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423" w:type="pct"/>
                  <w:tcBorders>
                    <w:tl2br w:val="nil"/>
                    <w:tr2bl w:val="nil"/>
                  </w:tcBorders>
                  <w:shd w:val="clear" w:color="auto" w:fill="auto"/>
                  <w:vAlign w:val="center"/>
                </w:tcPr>
                <w:p w14:paraId="4246317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c>
                <w:tcPr>
                  <w:tcW w:w="271" w:type="pct"/>
                  <w:tcBorders>
                    <w:tl2br w:val="nil"/>
                    <w:tr2bl w:val="nil"/>
                  </w:tcBorders>
                  <w:shd w:val="clear" w:color="auto" w:fill="auto"/>
                  <w:vAlign w:val="center"/>
                </w:tcPr>
                <w:p w14:paraId="49A4631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1.0</w:t>
                  </w:r>
                </w:p>
              </w:tc>
              <w:tc>
                <w:tcPr>
                  <w:tcW w:w="207" w:type="pct"/>
                  <w:tcBorders>
                    <w:tl2br w:val="nil"/>
                    <w:tr2bl w:val="nil"/>
                  </w:tcBorders>
                  <w:shd w:val="clear" w:color="auto" w:fill="auto"/>
                  <w:vAlign w:val="center"/>
                </w:tcPr>
                <w:p w14:paraId="7709D80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w:t>
                  </w:r>
                </w:p>
              </w:tc>
            </w:tr>
            <w:tr w14:paraId="6B64D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833" w:hRule="atLeast"/>
                <w:jc w:val="center"/>
              </w:trPr>
              <w:tc>
                <w:tcPr>
                  <w:tcW w:w="166" w:type="pct"/>
                  <w:vMerge w:val="restart"/>
                  <w:tcBorders>
                    <w:tl2br w:val="nil"/>
                    <w:tr2bl w:val="nil"/>
                  </w:tcBorders>
                  <w:shd w:val="clear" w:color="auto" w:fill="auto"/>
                  <w:vAlign w:val="center"/>
                </w:tcPr>
                <w:p w14:paraId="0BAFC84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eastAsia="zh-CN"/>
                    </w:rPr>
                    <w:t>调</w:t>
                  </w:r>
                  <w:r>
                    <w:rPr>
                      <w:rFonts w:hint="eastAsia" w:ascii="Times New Roman" w:hAnsi="Times New Roman" w:eastAsia="宋体" w:cs="Times New Roman"/>
                      <w:bCs/>
                      <w:color w:val="auto"/>
                      <w:sz w:val="21"/>
                      <w:szCs w:val="21"/>
                      <w:highlight w:val="none"/>
                      <w:lang w:val="en-US" w:eastAsia="zh-CN"/>
                    </w:rPr>
                    <w:t xml:space="preserve"> 漆、</w:t>
                  </w:r>
                  <w:r>
                    <w:rPr>
                      <w:rFonts w:hint="eastAsia" w:ascii="Times New Roman" w:hAnsi="Times New Roman" w:eastAsia="宋体" w:cs="Times New Roman"/>
                      <w:bCs/>
                      <w:color w:val="auto"/>
                      <w:sz w:val="21"/>
                      <w:szCs w:val="21"/>
                      <w:highlight w:val="none"/>
                    </w:rPr>
                    <w:t>喷漆、晾干</w:t>
                  </w:r>
                </w:p>
              </w:tc>
              <w:tc>
                <w:tcPr>
                  <w:tcW w:w="91" w:type="pct"/>
                  <w:vMerge w:val="restart"/>
                  <w:tcBorders>
                    <w:tl2br w:val="nil"/>
                    <w:tr2bl w:val="nil"/>
                  </w:tcBorders>
                  <w:shd w:val="clear" w:color="auto" w:fill="auto"/>
                  <w:vAlign w:val="center"/>
                </w:tcPr>
                <w:p w14:paraId="1762791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有组织</w:t>
                  </w:r>
                </w:p>
              </w:tc>
              <w:tc>
                <w:tcPr>
                  <w:tcW w:w="275" w:type="pct"/>
                  <w:tcBorders>
                    <w:tl2br w:val="nil"/>
                    <w:tr2bl w:val="nil"/>
                  </w:tcBorders>
                  <w:shd w:val="clear" w:color="auto" w:fill="auto"/>
                  <w:vAlign w:val="center"/>
                </w:tcPr>
                <w:p w14:paraId="2ADA3B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颗粒物</w:t>
                  </w:r>
                </w:p>
              </w:tc>
              <w:tc>
                <w:tcPr>
                  <w:tcW w:w="400" w:type="pct"/>
                  <w:tcBorders>
                    <w:tl2br w:val="nil"/>
                    <w:tr2bl w:val="nil"/>
                  </w:tcBorders>
                  <w:shd w:val="clear" w:color="auto" w:fill="auto"/>
                  <w:vAlign w:val="center"/>
                </w:tcPr>
                <w:p w14:paraId="166949DF">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eastAsia" w:cs="Times New Roman"/>
                      <w:b w:val="0"/>
                      <w:bCs/>
                      <w:color w:val="auto"/>
                      <w:spacing w:val="0"/>
                      <w:w w:val="100"/>
                      <w:kern w:val="21"/>
                      <w:position w:val="0"/>
                      <w:sz w:val="21"/>
                      <w:szCs w:val="21"/>
                      <w:highlight w:val="none"/>
                      <w:u w:val="none" w:color="auto"/>
                      <w:lang w:val="en-US" w:eastAsia="zh-CN"/>
                    </w:rPr>
                    <w:t>51.455</w:t>
                  </w:r>
                </w:p>
              </w:tc>
              <w:tc>
                <w:tcPr>
                  <w:tcW w:w="350" w:type="pct"/>
                  <w:tcBorders>
                    <w:tl2br w:val="nil"/>
                    <w:tr2bl w:val="nil"/>
                  </w:tcBorders>
                  <w:shd w:val="clear" w:color="auto" w:fill="auto"/>
                  <w:vAlign w:val="center"/>
                </w:tcPr>
                <w:p w14:paraId="6FDC1F0E">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eastAsia" w:cs="Times New Roman"/>
                      <w:b w:val="0"/>
                      <w:bCs/>
                      <w:color w:val="auto"/>
                      <w:spacing w:val="0"/>
                      <w:w w:val="100"/>
                      <w:kern w:val="21"/>
                      <w:position w:val="0"/>
                      <w:sz w:val="21"/>
                      <w:szCs w:val="21"/>
                      <w:highlight w:val="none"/>
                      <w:u w:val="none" w:color="auto"/>
                      <w:lang w:val="en-US" w:eastAsia="zh-CN"/>
                    </w:rPr>
                    <w:t>0.790</w:t>
                  </w:r>
                </w:p>
              </w:tc>
              <w:tc>
                <w:tcPr>
                  <w:tcW w:w="247" w:type="pct"/>
                  <w:tcBorders>
                    <w:tl2br w:val="nil"/>
                    <w:tr2bl w:val="nil"/>
                  </w:tcBorders>
                  <w:shd w:val="clear" w:color="auto" w:fill="auto"/>
                  <w:vAlign w:val="center"/>
                </w:tcPr>
                <w:p w14:paraId="663ACA2F">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eastAsia" w:cs="Times New Roman"/>
                      <w:b w:val="0"/>
                      <w:bCs/>
                      <w:color w:val="auto"/>
                      <w:spacing w:val="0"/>
                      <w:w w:val="100"/>
                      <w:kern w:val="21"/>
                      <w:position w:val="0"/>
                      <w:sz w:val="21"/>
                      <w:szCs w:val="21"/>
                      <w:highlight w:val="none"/>
                      <w:u w:val="none" w:color="auto"/>
                      <w:lang w:val="en-US" w:eastAsia="zh-CN"/>
                    </w:rPr>
                    <w:t>0.885</w:t>
                  </w:r>
                </w:p>
              </w:tc>
              <w:tc>
                <w:tcPr>
                  <w:tcW w:w="201" w:type="pct"/>
                  <w:vMerge w:val="restart"/>
                  <w:tcBorders>
                    <w:tl2br w:val="nil"/>
                    <w:tr2bl w:val="nil"/>
                  </w:tcBorders>
                  <w:shd w:val="clear" w:color="auto" w:fill="auto"/>
                  <w:vAlign w:val="center"/>
                </w:tcPr>
                <w:p w14:paraId="47420C10">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5</w:t>
                  </w:r>
                  <w:r>
                    <w:rPr>
                      <w:rFonts w:hint="default" w:ascii="Times New Roman" w:hAnsi="Times New Roman" w:cs="Times New Roman"/>
                      <w:color w:val="auto"/>
                      <w:sz w:val="21"/>
                      <w:szCs w:val="21"/>
                      <w:u w:val="none" w:color="auto"/>
                      <w:lang w:val="en-US" w:eastAsia="zh-CN"/>
                    </w:rPr>
                    <w:t>36</w:t>
                  </w:r>
                  <w:r>
                    <w:rPr>
                      <w:rFonts w:hint="default" w:ascii="Times New Roman" w:hAnsi="Times New Roman" w:eastAsia="宋体" w:cs="Times New Roman"/>
                      <w:color w:val="auto"/>
                      <w:sz w:val="21"/>
                      <w:szCs w:val="21"/>
                      <w:u w:val="none" w:color="auto"/>
                      <w:lang w:val="en-US" w:eastAsia="zh-CN"/>
                    </w:rPr>
                    <w:t>0</w:t>
                  </w:r>
                </w:p>
              </w:tc>
              <w:tc>
                <w:tcPr>
                  <w:tcW w:w="98" w:type="pct"/>
                  <w:vMerge w:val="restart"/>
                  <w:tcBorders>
                    <w:tl2br w:val="nil"/>
                    <w:tr2bl w:val="nil"/>
                  </w:tcBorders>
                  <w:shd w:val="clear" w:color="auto" w:fill="auto"/>
                  <w:vAlign w:val="center"/>
                </w:tcPr>
                <w:p w14:paraId="62F02A0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90</w:t>
                  </w:r>
                </w:p>
              </w:tc>
              <w:tc>
                <w:tcPr>
                  <w:tcW w:w="158" w:type="pct"/>
                  <w:vMerge w:val="restart"/>
                  <w:tcBorders>
                    <w:tl2br w:val="nil"/>
                    <w:tr2bl w:val="nil"/>
                  </w:tcBorders>
                  <w:shd w:val="clear" w:color="auto" w:fill="auto"/>
                  <w:vAlign w:val="center"/>
                </w:tcPr>
                <w:p w14:paraId="7736251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80</w:t>
                  </w:r>
                </w:p>
              </w:tc>
              <w:tc>
                <w:tcPr>
                  <w:tcW w:w="98" w:type="pct"/>
                  <w:vMerge w:val="restart"/>
                  <w:tcBorders>
                    <w:tl2br w:val="nil"/>
                    <w:tr2bl w:val="nil"/>
                  </w:tcBorders>
                  <w:shd w:val="clear" w:color="auto" w:fill="auto"/>
                  <w:vAlign w:val="center"/>
                </w:tcPr>
                <w:p w14:paraId="4C0EC82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是</w:t>
                  </w:r>
                </w:p>
              </w:tc>
              <w:tc>
                <w:tcPr>
                  <w:tcW w:w="212" w:type="pct"/>
                  <w:vMerge w:val="restart"/>
                  <w:tcBorders>
                    <w:tl2br w:val="nil"/>
                    <w:tr2bl w:val="nil"/>
                  </w:tcBorders>
                  <w:shd w:val="clear" w:color="auto" w:fill="auto"/>
                  <w:vAlign w:val="center"/>
                </w:tcPr>
                <w:p w14:paraId="03791A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eastAsia="zh-CN"/>
                    </w:rPr>
                    <w:t>干式过滤器</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eastAsia="zh-CN"/>
                    </w:rPr>
                    <w:t>二</w:t>
                  </w:r>
                  <w:r>
                    <w:rPr>
                      <w:rFonts w:hint="eastAsia" w:ascii="Times New Roman" w:hAnsi="Times New Roman" w:eastAsia="宋体" w:cs="Times New Roman"/>
                      <w:bCs/>
                      <w:color w:val="auto"/>
                      <w:sz w:val="21"/>
                      <w:szCs w:val="21"/>
                      <w:highlight w:val="none"/>
                    </w:rPr>
                    <w:t>级活性</w:t>
                  </w:r>
                </w:p>
              </w:tc>
              <w:tc>
                <w:tcPr>
                  <w:tcW w:w="332" w:type="pct"/>
                  <w:tcBorders>
                    <w:tl2br w:val="nil"/>
                    <w:tr2bl w:val="nil"/>
                  </w:tcBorders>
                  <w:shd w:val="clear" w:color="auto" w:fill="auto"/>
                  <w:vAlign w:val="center"/>
                </w:tcPr>
                <w:p w14:paraId="40B2845A">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eastAsia" w:cs="Times New Roman"/>
                      <w:b w:val="0"/>
                      <w:bCs/>
                      <w:color w:val="auto"/>
                      <w:spacing w:val="0"/>
                      <w:w w:val="100"/>
                      <w:kern w:val="21"/>
                      <w:position w:val="0"/>
                      <w:sz w:val="21"/>
                      <w:szCs w:val="21"/>
                      <w:highlight w:val="none"/>
                      <w:u w:val="none" w:color="auto"/>
                      <w:lang w:val="en-US" w:eastAsia="zh-CN"/>
                    </w:rPr>
                    <w:t>10.291</w:t>
                  </w:r>
                </w:p>
              </w:tc>
              <w:tc>
                <w:tcPr>
                  <w:tcW w:w="355" w:type="pct"/>
                  <w:tcBorders>
                    <w:tl2br w:val="nil"/>
                    <w:tr2bl w:val="nil"/>
                  </w:tcBorders>
                  <w:shd w:val="clear" w:color="auto" w:fill="auto"/>
                  <w:vAlign w:val="center"/>
                </w:tcPr>
                <w:p w14:paraId="29C326AB">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eastAsia" w:cs="Times New Roman"/>
                      <w:b w:val="0"/>
                      <w:bCs/>
                      <w:color w:val="auto"/>
                      <w:spacing w:val="0"/>
                      <w:w w:val="100"/>
                      <w:kern w:val="21"/>
                      <w:position w:val="0"/>
                      <w:sz w:val="21"/>
                      <w:szCs w:val="21"/>
                      <w:highlight w:val="none"/>
                      <w:u w:val="none" w:color="auto"/>
                      <w:lang w:val="en-US" w:eastAsia="zh-CN"/>
                    </w:rPr>
                    <w:t>0.158</w:t>
                  </w:r>
                </w:p>
              </w:tc>
              <w:tc>
                <w:tcPr>
                  <w:tcW w:w="245" w:type="pct"/>
                  <w:tcBorders>
                    <w:tl2br w:val="nil"/>
                    <w:tr2bl w:val="nil"/>
                  </w:tcBorders>
                  <w:shd w:val="clear" w:color="auto" w:fill="auto"/>
                  <w:vAlign w:val="center"/>
                </w:tcPr>
                <w:p w14:paraId="1F2E34E4">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eastAsia" w:cs="Times New Roman"/>
                      <w:b w:val="0"/>
                      <w:bCs/>
                      <w:color w:val="auto"/>
                      <w:spacing w:val="0"/>
                      <w:w w:val="100"/>
                      <w:kern w:val="21"/>
                      <w:position w:val="0"/>
                      <w:sz w:val="21"/>
                      <w:szCs w:val="21"/>
                      <w:highlight w:val="none"/>
                      <w:u w:val="none" w:color="auto"/>
                      <w:lang w:val="en-US" w:eastAsia="zh-CN"/>
                    </w:rPr>
                    <w:t>0.177</w:t>
                  </w:r>
                </w:p>
              </w:tc>
              <w:tc>
                <w:tcPr>
                  <w:tcW w:w="254" w:type="pct"/>
                  <w:vMerge w:val="restart"/>
                  <w:tcBorders>
                    <w:tl2br w:val="nil"/>
                    <w:tr2bl w:val="nil"/>
                  </w:tcBorders>
                  <w:shd w:val="clear" w:color="auto" w:fill="auto"/>
                  <w:vAlign w:val="center"/>
                </w:tcPr>
                <w:p w14:paraId="7C8308DC">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eastAsia" w:ascii="Times New Roman" w:hAnsi="Times New Roman" w:eastAsia="宋体" w:cs="Times New Roman"/>
                      <w:bCs/>
                      <w:color w:val="auto"/>
                      <w:sz w:val="21"/>
                      <w:szCs w:val="21"/>
                      <w:highlight w:val="none"/>
                      <w:lang w:val="en-US" w:eastAsia="zh-CN"/>
                    </w:rPr>
                    <w:t>2</w:t>
                  </w:r>
                </w:p>
                <w:p w14:paraId="1640380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喷漆排气筒</w:t>
                  </w:r>
                </w:p>
              </w:tc>
              <w:tc>
                <w:tcPr>
                  <w:tcW w:w="125" w:type="pct"/>
                  <w:vMerge w:val="restart"/>
                  <w:tcBorders>
                    <w:tl2br w:val="nil"/>
                    <w:tr2bl w:val="nil"/>
                  </w:tcBorders>
                  <w:shd w:val="clear" w:color="auto" w:fill="auto"/>
                  <w:vAlign w:val="center"/>
                </w:tcPr>
                <w:p w14:paraId="2C3C6D6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r>
                    <w:rPr>
                      <w:rFonts w:hint="eastAsia" w:ascii="Times New Roman" w:hAnsi="Times New Roman" w:eastAsia="宋体" w:cs="Times New Roman"/>
                      <w:bCs/>
                      <w:color w:val="auto"/>
                      <w:sz w:val="21"/>
                      <w:szCs w:val="21"/>
                      <w:highlight w:val="none"/>
                    </w:rPr>
                    <w:t>5</w:t>
                  </w:r>
                </w:p>
              </w:tc>
              <w:tc>
                <w:tcPr>
                  <w:tcW w:w="123" w:type="pct"/>
                  <w:vMerge w:val="restart"/>
                  <w:tcBorders>
                    <w:tl2br w:val="nil"/>
                    <w:tr2bl w:val="nil"/>
                  </w:tcBorders>
                  <w:shd w:val="clear" w:color="auto" w:fill="auto"/>
                  <w:vAlign w:val="center"/>
                </w:tcPr>
                <w:p w14:paraId="236B350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0.</w:t>
                  </w:r>
                  <w:r>
                    <w:rPr>
                      <w:rFonts w:hint="eastAsia" w:ascii="Times New Roman" w:hAnsi="Times New Roman" w:eastAsia="宋体" w:cs="Times New Roman"/>
                      <w:bCs/>
                      <w:color w:val="auto"/>
                      <w:sz w:val="21"/>
                      <w:szCs w:val="21"/>
                      <w:highlight w:val="none"/>
                      <w:lang w:val="en-US" w:eastAsia="zh-CN"/>
                    </w:rPr>
                    <w:t>6</w:t>
                  </w:r>
                </w:p>
              </w:tc>
              <w:tc>
                <w:tcPr>
                  <w:tcW w:w="118" w:type="pct"/>
                  <w:vMerge w:val="restart"/>
                  <w:tcBorders>
                    <w:tl2br w:val="nil"/>
                    <w:tr2bl w:val="nil"/>
                  </w:tcBorders>
                  <w:shd w:val="clear" w:color="auto" w:fill="auto"/>
                  <w:vAlign w:val="center"/>
                </w:tcPr>
                <w:p w14:paraId="3F33938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25</w:t>
                  </w:r>
                </w:p>
              </w:tc>
              <w:tc>
                <w:tcPr>
                  <w:tcW w:w="242" w:type="pct"/>
                  <w:vMerge w:val="restart"/>
                  <w:tcBorders>
                    <w:tl2br w:val="nil"/>
                    <w:tr2bl w:val="nil"/>
                  </w:tcBorders>
                  <w:shd w:val="clear" w:color="auto" w:fill="auto"/>
                  <w:vAlign w:val="center"/>
                </w:tcPr>
                <w:p w14:paraId="109CD52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23" w:type="pct"/>
                  <w:vMerge w:val="restart"/>
                  <w:tcBorders>
                    <w:tl2br w:val="nil"/>
                    <w:tr2bl w:val="nil"/>
                  </w:tcBorders>
                  <w:shd w:val="clear" w:color="auto" w:fill="auto"/>
                  <w:vAlign w:val="center"/>
                </w:tcPr>
                <w:p w14:paraId="1B0A99C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113.236953</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rPr>
                    <w:t>29.471107</w:t>
                  </w:r>
                </w:p>
              </w:tc>
              <w:tc>
                <w:tcPr>
                  <w:tcW w:w="271" w:type="pct"/>
                  <w:tcBorders>
                    <w:tl2br w:val="nil"/>
                    <w:tr2bl w:val="nil"/>
                  </w:tcBorders>
                  <w:shd w:val="clear" w:color="auto" w:fill="auto"/>
                  <w:vAlign w:val="center"/>
                </w:tcPr>
                <w:p w14:paraId="02ADF8B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120</w:t>
                  </w:r>
                </w:p>
              </w:tc>
              <w:tc>
                <w:tcPr>
                  <w:tcW w:w="207" w:type="pct"/>
                  <w:tcBorders>
                    <w:tl2br w:val="nil"/>
                    <w:tr2bl w:val="nil"/>
                  </w:tcBorders>
                  <w:shd w:val="clear" w:color="auto" w:fill="auto"/>
                  <w:vAlign w:val="center"/>
                </w:tcPr>
                <w:p w14:paraId="7A8B2FD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1.75</w:t>
                  </w:r>
                </w:p>
              </w:tc>
            </w:tr>
            <w:tr w14:paraId="0C691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833" w:hRule="atLeast"/>
                <w:jc w:val="center"/>
              </w:trPr>
              <w:tc>
                <w:tcPr>
                  <w:tcW w:w="166" w:type="pct"/>
                  <w:vMerge w:val="continue"/>
                  <w:tcBorders>
                    <w:tl2br w:val="nil"/>
                    <w:tr2bl w:val="nil"/>
                  </w:tcBorders>
                  <w:shd w:val="clear" w:color="auto" w:fill="auto"/>
                  <w:vAlign w:val="center"/>
                </w:tcPr>
                <w:p w14:paraId="66C0E10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eastAsia="zh-CN"/>
                    </w:rPr>
                  </w:pPr>
                </w:p>
              </w:tc>
              <w:tc>
                <w:tcPr>
                  <w:tcW w:w="91" w:type="pct"/>
                  <w:vMerge w:val="continue"/>
                  <w:tcBorders>
                    <w:tl2br w:val="nil"/>
                    <w:tr2bl w:val="nil"/>
                  </w:tcBorders>
                  <w:shd w:val="clear" w:color="auto" w:fill="auto"/>
                  <w:vAlign w:val="center"/>
                </w:tcPr>
                <w:p w14:paraId="30C3359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75" w:type="pct"/>
                  <w:tcBorders>
                    <w:tl2br w:val="nil"/>
                    <w:tr2bl w:val="nil"/>
                  </w:tcBorders>
                  <w:shd w:val="clear" w:color="auto" w:fill="auto"/>
                  <w:vAlign w:val="center"/>
                </w:tcPr>
                <w:p w14:paraId="6BDBE5A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二甲苯</w:t>
                  </w:r>
                </w:p>
              </w:tc>
              <w:tc>
                <w:tcPr>
                  <w:tcW w:w="400" w:type="pct"/>
                  <w:tcBorders>
                    <w:tl2br w:val="nil"/>
                    <w:tr2bl w:val="nil"/>
                  </w:tcBorders>
                  <w:shd w:val="clear" w:color="auto" w:fill="auto"/>
                  <w:vAlign w:val="center"/>
                </w:tcPr>
                <w:p w14:paraId="12054762">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Cs/>
                      <w:color w:val="auto"/>
                      <w:sz w:val="21"/>
                      <w:szCs w:val="21"/>
                      <w:highlight w:val="none"/>
                    </w:rPr>
                  </w:pPr>
                  <w:r>
                    <w:rPr>
                      <w:rFonts w:hint="eastAsia" w:ascii="Times New Roman" w:hAnsi="Times New Roman" w:cs="Times New Roman"/>
                      <w:b w:val="0"/>
                      <w:bCs/>
                      <w:color w:val="auto"/>
                      <w:spacing w:val="0"/>
                      <w:w w:val="100"/>
                      <w:kern w:val="21"/>
                      <w:position w:val="0"/>
                      <w:sz w:val="21"/>
                      <w:szCs w:val="21"/>
                      <w:highlight w:val="none"/>
                      <w:u w:val="none" w:color="auto"/>
                      <w:lang w:val="en-US" w:eastAsia="zh-CN"/>
                    </w:rPr>
                    <w:t>39.668</w:t>
                  </w:r>
                </w:p>
              </w:tc>
              <w:tc>
                <w:tcPr>
                  <w:tcW w:w="350" w:type="pct"/>
                  <w:tcBorders>
                    <w:tl2br w:val="nil"/>
                    <w:tr2bl w:val="nil"/>
                  </w:tcBorders>
                  <w:shd w:val="clear" w:color="auto" w:fill="auto"/>
                  <w:vAlign w:val="center"/>
                </w:tcPr>
                <w:p w14:paraId="69DD9ADD">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Cs/>
                      <w:color w:val="auto"/>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w:t>
                  </w:r>
                  <w:r>
                    <w:rPr>
                      <w:rFonts w:hint="eastAsia" w:ascii="Times New Roman" w:hAnsi="Times New Roman" w:eastAsia="宋体" w:cs="Times New Roman"/>
                      <w:b w:val="0"/>
                      <w:bCs/>
                      <w:color w:val="auto"/>
                      <w:spacing w:val="0"/>
                      <w:w w:val="100"/>
                      <w:kern w:val="21"/>
                      <w:position w:val="0"/>
                      <w:sz w:val="21"/>
                      <w:szCs w:val="21"/>
                      <w:highlight w:val="none"/>
                      <w:u w:val="none" w:color="auto"/>
                      <w:lang w:val="en-US" w:eastAsia="zh-CN"/>
                    </w:rPr>
                    <w:t>.609</w:t>
                  </w:r>
                </w:p>
              </w:tc>
              <w:tc>
                <w:tcPr>
                  <w:tcW w:w="247" w:type="pct"/>
                  <w:tcBorders>
                    <w:tl2br w:val="nil"/>
                    <w:tr2bl w:val="nil"/>
                  </w:tcBorders>
                  <w:shd w:val="clear" w:color="auto" w:fill="auto"/>
                  <w:vAlign w:val="center"/>
                </w:tcPr>
                <w:p w14:paraId="0233E0A2">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 w:val="0"/>
                      <w:bCs/>
                      <w:color w:val="auto"/>
                      <w:spacing w:val="0"/>
                      <w:w w:val="100"/>
                      <w:kern w:val="21"/>
                      <w:position w:val="0"/>
                      <w:sz w:val="21"/>
                      <w:szCs w:val="21"/>
                      <w:highlight w:val="none"/>
                      <w:u w:val="none" w:color="auto"/>
                      <w:lang w:val="en-US" w:eastAsia="zh-CN"/>
                    </w:rPr>
                    <w:t>0.682</w:t>
                  </w:r>
                </w:p>
              </w:tc>
              <w:tc>
                <w:tcPr>
                  <w:tcW w:w="201" w:type="pct"/>
                  <w:vMerge w:val="continue"/>
                  <w:tcBorders>
                    <w:tl2br w:val="nil"/>
                    <w:tr2bl w:val="nil"/>
                  </w:tcBorders>
                  <w:shd w:val="clear" w:color="auto" w:fill="auto"/>
                  <w:vAlign w:val="center"/>
                </w:tcPr>
                <w:p w14:paraId="58EB6F0F">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highlight w:val="none"/>
                    </w:rPr>
                  </w:pPr>
                </w:p>
              </w:tc>
              <w:tc>
                <w:tcPr>
                  <w:tcW w:w="98" w:type="pct"/>
                  <w:vMerge w:val="continue"/>
                  <w:tcBorders>
                    <w:tl2br w:val="nil"/>
                    <w:tr2bl w:val="nil"/>
                  </w:tcBorders>
                  <w:shd w:val="clear" w:color="auto" w:fill="auto"/>
                  <w:vAlign w:val="center"/>
                </w:tcPr>
                <w:p w14:paraId="0885D9E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rPr>
                  </w:pPr>
                </w:p>
              </w:tc>
              <w:tc>
                <w:tcPr>
                  <w:tcW w:w="158" w:type="pct"/>
                  <w:vMerge w:val="continue"/>
                  <w:tcBorders>
                    <w:tl2br w:val="nil"/>
                    <w:tr2bl w:val="nil"/>
                  </w:tcBorders>
                  <w:shd w:val="clear" w:color="auto" w:fill="auto"/>
                  <w:vAlign w:val="center"/>
                </w:tcPr>
                <w:p w14:paraId="4546A88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rPr>
                  </w:pPr>
                </w:p>
              </w:tc>
              <w:tc>
                <w:tcPr>
                  <w:tcW w:w="98" w:type="pct"/>
                  <w:vMerge w:val="continue"/>
                  <w:tcBorders>
                    <w:tl2br w:val="nil"/>
                    <w:tr2bl w:val="nil"/>
                  </w:tcBorders>
                  <w:shd w:val="clear" w:color="auto" w:fill="auto"/>
                  <w:vAlign w:val="center"/>
                </w:tcPr>
                <w:p w14:paraId="1B50C2C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12" w:type="pct"/>
                  <w:vMerge w:val="continue"/>
                  <w:tcBorders>
                    <w:tl2br w:val="nil"/>
                    <w:tr2bl w:val="nil"/>
                  </w:tcBorders>
                  <w:shd w:val="clear" w:color="auto" w:fill="auto"/>
                  <w:vAlign w:val="center"/>
                </w:tcPr>
                <w:p w14:paraId="7A9EF4DE">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rPr>
                  </w:pPr>
                </w:p>
              </w:tc>
              <w:tc>
                <w:tcPr>
                  <w:tcW w:w="332" w:type="pct"/>
                  <w:tcBorders>
                    <w:tl2br w:val="nil"/>
                    <w:tr2bl w:val="nil"/>
                  </w:tcBorders>
                  <w:shd w:val="clear" w:color="auto" w:fill="auto"/>
                  <w:vAlign w:val="center"/>
                </w:tcPr>
                <w:p w14:paraId="5F0782E4">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Cs/>
                      <w:color w:val="auto"/>
                      <w:sz w:val="21"/>
                      <w:szCs w:val="21"/>
                      <w:highlight w:val="none"/>
                    </w:rPr>
                  </w:pP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7.934</w:t>
                  </w:r>
                </w:p>
              </w:tc>
              <w:tc>
                <w:tcPr>
                  <w:tcW w:w="355" w:type="pct"/>
                  <w:tcBorders>
                    <w:tl2br w:val="nil"/>
                    <w:tr2bl w:val="nil"/>
                  </w:tcBorders>
                  <w:shd w:val="clear" w:color="auto" w:fill="auto"/>
                  <w:vAlign w:val="center"/>
                </w:tcPr>
                <w:p w14:paraId="5CF20F31">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Cs/>
                      <w:color w:val="auto"/>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122</w:t>
                  </w:r>
                </w:p>
              </w:tc>
              <w:tc>
                <w:tcPr>
                  <w:tcW w:w="245" w:type="pct"/>
                  <w:tcBorders>
                    <w:tl2br w:val="nil"/>
                    <w:tr2bl w:val="nil"/>
                  </w:tcBorders>
                  <w:shd w:val="clear" w:color="auto" w:fill="auto"/>
                  <w:vAlign w:val="center"/>
                </w:tcPr>
                <w:p w14:paraId="2E58E05B">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Cs/>
                      <w:color w:val="auto"/>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36</w:t>
                  </w:r>
                </w:p>
              </w:tc>
              <w:tc>
                <w:tcPr>
                  <w:tcW w:w="254" w:type="pct"/>
                  <w:vMerge w:val="continue"/>
                  <w:tcBorders>
                    <w:tl2br w:val="nil"/>
                    <w:tr2bl w:val="nil"/>
                  </w:tcBorders>
                  <w:shd w:val="clear" w:color="auto" w:fill="auto"/>
                  <w:vAlign w:val="center"/>
                </w:tcPr>
                <w:p w14:paraId="490B2B9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25" w:type="pct"/>
                  <w:vMerge w:val="continue"/>
                  <w:tcBorders>
                    <w:tl2br w:val="nil"/>
                    <w:tr2bl w:val="nil"/>
                  </w:tcBorders>
                  <w:shd w:val="clear" w:color="auto" w:fill="auto"/>
                  <w:vAlign w:val="center"/>
                </w:tcPr>
                <w:p w14:paraId="5C2FC10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23" w:type="pct"/>
                  <w:vMerge w:val="continue"/>
                  <w:tcBorders>
                    <w:tl2br w:val="nil"/>
                    <w:tr2bl w:val="nil"/>
                  </w:tcBorders>
                  <w:shd w:val="clear" w:color="auto" w:fill="auto"/>
                  <w:vAlign w:val="center"/>
                </w:tcPr>
                <w:p w14:paraId="1A167E3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18" w:type="pct"/>
                  <w:vMerge w:val="continue"/>
                  <w:tcBorders>
                    <w:tl2br w:val="nil"/>
                    <w:tr2bl w:val="nil"/>
                  </w:tcBorders>
                  <w:shd w:val="clear" w:color="auto" w:fill="auto"/>
                  <w:vAlign w:val="center"/>
                </w:tcPr>
                <w:p w14:paraId="5BFE875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42" w:type="pct"/>
                  <w:vMerge w:val="continue"/>
                  <w:tcBorders>
                    <w:tl2br w:val="nil"/>
                    <w:tr2bl w:val="nil"/>
                  </w:tcBorders>
                  <w:shd w:val="clear" w:color="auto" w:fill="auto"/>
                  <w:vAlign w:val="center"/>
                </w:tcPr>
                <w:p w14:paraId="3DB6006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423" w:type="pct"/>
                  <w:vMerge w:val="continue"/>
                  <w:tcBorders>
                    <w:tl2br w:val="nil"/>
                    <w:tr2bl w:val="nil"/>
                  </w:tcBorders>
                  <w:shd w:val="clear" w:color="auto" w:fill="auto"/>
                  <w:vAlign w:val="center"/>
                </w:tcPr>
                <w:p w14:paraId="529EADD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71" w:type="pct"/>
                  <w:tcBorders>
                    <w:tl2br w:val="nil"/>
                    <w:tr2bl w:val="nil"/>
                  </w:tcBorders>
                  <w:shd w:val="clear" w:color="auto" w:fill="auto"/>
                  <w:vAlign w:val="center"/>
                </w:tcPr>
                <w:p w14:paraId="209892E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17</w:t>
                  </w:r>
                </w:p>
              </w:tc>
              <w:tc>
                <w:tcPr>
                  <w:tcW w:w="207" w:type="pct"/>
                  <w:tcBorders>
                    <w:tl2br w:val="nil"/>
                    <w:tr2bl w:val="nil"/>
                  </w:tcBorders>
                  <w:shd w:val="clear" w:color="auto" w:fill="auto"/>
                  <w:vAlign w:val="center"/>
                </w:tcPr>
                <w:p w14:paraId="3571EFF8">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rPr>
                  </w:pPr>
                </w:p>
              </w:tc>
            </w:tr>
            <w:tr w14:paraId="719B3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833" w:hRule="atLeast"/>
                <w:jc w:val="center"/>
              </w:trPr>
              <w:tc>
                <w:tcPr>
                  <w:tcW w:w="166" w:type="pct"/>
                  <w:vMerge w:val="continue"/>
                  <w:tcBorders>
                    <w:tl2br w:val="nil"/>
                    <w:tr2bl w:val="nil"/>
                  </w:tcBorders>
                  <w:shd w:val="clear" w:color="auto" w:fill="auto"/>
                  <w:vAlign w:val="center"/>
                </w:tcPr>
                <w:p w14:paraId="1192510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91" w:type="pct"/>
                  <w:vMerge w:val="continue"/>
                  <w:tcBorders>
                    <w:tl2br w:val="nil"/>
                    <w:tr2bl w:val="nil"/>
                  </w:tcBorders>
                  <w:shd w:val="clear" w:color="auto" w:fill="auto"/>
                  <w:vAlign w:val="center"/>
                </w:tcPr>
                <w:p w14:paraId="15E758C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75" w:type="pct"/>
                  <w:tcBorders>
                    <w:tl2br w:val="nil"/>
                    <w:tr2bl w:val="nil"/>
                  </w:tcBorders>
                  <w:shd w:val="clear" w:color="auto" w:fill="auto"/>
                  <w:vAlign w:val="center"/>
                </w:tcPr>
                <w:p w14:paraId="6DA922E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VOCs</w:t>
                  </w:r>
                </w:p>
              </w:tc>
              <w:tc>
                <w:tcPr>
                  <w:tcW w:w="400" w:type="pct"/>
                  <w:tcBorders>
                    <w:tl2br w:val="nil"/>
                    <w:tr2bl w:val="nil"/>
                  </w:tcBorders>
                  <w:shd w:val="clear" w:color="auto" w:fill="auto"/>
                  <w:vAlign w:val="center"/>
                </w:tcPr>
                <w:p w14:paraId="199101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cs="Times New Roman"/>
                      <w:b w:val="0"/>
                      <w:bCs/>
                      <w:color w:val="auto"/>
                      <w:spacing w:val="0"/>
                      <w:w w:val="100"/>
                      <w:kern w:val="21"/>
                      <w:position w:val="0"/>
                      <w:sz w:val="21"/>
                      <w:szCs w:val="21"/>
                      <w:highlight w:val="none"/>
                      <w:u w:val="none" w:color="auto"/>
                      <w:lang w:val="en-US" w:eastAsia="zh-CN"/>
                    </w:rPr>
                    <w:t>62.897</w:t>
                  </w:r>
                </w:p>
              </w:tc>
              <w:tc>
                <w:tcPr>
                  <w:tcW w:w="350" w:type="pct"/>
                  <w:tcBorders>
                    <w:tl2br w:val="nil"/>
                    <w:tr2bl w:val="nil"/>
                  </w:tcBorders>
                  <w:shd w:val="clear" w:color="auto" w:fill="auto"/>
                  <w:vAlign w:val="center"/>
                </w:tcPr>
                <w:p w14:paraId="6740F317">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w:t>
                  </w:r>
                  <w:r>
                    <w:rPr>
                      <w:rFonts w:hint="eastAsia" w:ascii="Times New Roman" w:hAnsi="Times New Roman" w:cs="Times New Roman"/>
                      <w:b w:val="0"/>
                      <w:bCs/>
                      <w:color w:val="auto"/>
                      <w:spacing w:val="0"/>
                      <w:w w:val="100"/>
                      <w:kern w:val="21"/>
                      <w:position w:val="0"/>
                      <w:sz w:val="21"/>
                      <w:szCs w:val="21"/>
                      <w:highlight w:val="none"/>
                      <w:u w:val="none" w:color="auto"/>
                      <w:lang w:val="en-US" w:eastAsia="zh-CN"/>
                    </w:rPr>
                    <w:t>966</w:t>
                  </w:r>
                </w:p>
              </w:tc>
              <w:tc>
                <w:tcPr>
                  <w:tcW w:w="247" w:type="pct"/>
                  <w:tcBorders>
                    <w:tl2br w:val="nil"/>
                    <w:tr2bl w:val="nil"/>
                  </w:tcBorders>
                  <w:shd w:val="clear" w:color="auto" w:fill="auto"/>
                  <w:vAlign w:val="center"/>
                </w:tcPr>
                <w:p w14:paraId="7A689798">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b w:val="0"/>
                      <w:bCs/>
                      <w:color w:val="auto"/>
                      <w:spacing w:val="0"/>
                      <w:w w:val="100"/>
                      <w:kern w:val="21"/>
                      <w:position w:val="0"/>
                      <w:sz w:val="21"/>
                      <w:szCs w:val="21"/>
                      <w:highlight w:val="none"/>
                      <w:u w:val="none" w:color="auto"/>
                      <w:lang w:val="en-US" w:eastAsia="zh-CN"/>
                    </w:rPr>
                    <w:t>1.082</w:t>
                  </w:r>
                </w:p>
              </w:tc>
              <w:tc>
                <w:tcPr>
                  <w:tcW w:w="201" w:type="pct"/>
                  <w:vMerge w:val="continue"/>
                  <w:tcBorders>
                    <w:tl2br w:val="nil"/>
                    <w:tr2bl w:val="nil"/>
                  </w:tcBorders>
                  <w:shd w:val="clear" w:color="auto" w:fill="auto"/>
                  <w:vAlign w:val="center"/>
                </w:tcPr>
                <w:p w14:paraId="7A340B1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98" w:type="pct"/>
                  <w:vMerge w:val="continue"/>
                  <w:tcBorders>
                    <w:tl2br w:val="nil"/>
                    <w:tr2bl w:val="nil"/>
                  </w:tcBorders>
                  <w:shd w:val="clear" w:color="auto" w:fill="auto"/>
                  <w:vAlign w:val="center"/>
                </w:tcPr>
                <w:p w14:paraId="79079AB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58" w:type="pct"/>
                  <w:vMerge w:val="continue"/>
                  <w:tcBorders>
                    <w:tl2br w:val="nil"/>
                    <w:tr2bl w:val="nil"/>
                  </w:tcBorders>
                  <w:shd w:val="clear" w:color="auto" w:fill="auto"/>
                  <w:vAlign w:val="center"/>
                </w:tcPr>
                <w:p w14:paraId="09C63CC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98" w:type="pct"/>
                  <w:vMerge w:val="continue"/>
                  <w:tcBorders>
                    <w:tl2br w:val="nil"/>
                    <w:tr2bl w:val="nil"/>
                  </w:tcBorders>
                  <w:shd w:val="clear" w:color="auto" w:fill="auto"/>
                  <w:vAlign w:val="center"/>
                </w:tcPr>
                <w:p w14:paraId="0C58D92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12" w:type="pct"/>
                  <w:vMerge w:val="continue"/>
                  <w:tcBorders>
                    <w:tl2br w:val="nil"/>
                    <w:tr2bl w:val="nil"/>
                  </w:tcBorders>
                  <w:shd w:val="clear" w:color="auto" w:fill="auto"/>
                  <w:vAlign w:val="center"/>
                </w:tcPr>
                <w:p w14:paraId="1379B5C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332" w:type="pct"/>
                  <w:tcBorders>
                    <w:tl2br w:val="nil"/>
                    <w:tr2bl w:val="nil"/>
                  </w:tcBorders>
                  <w:shd w:val="clear" w:color="auto" w:fill="auto"/>
                  <w:vAlign w:val="center"/>
                </w:tcPr>
                <w:p w14:paraId="18C40D4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12.579</w:t>
                  </w:r>
                </w:p>
              </w:tc>
              <w:tc>
                <w:tcPr>
                  <w:tcW w:w="355" w:type="pct"/>
                  <w:tcBorders>
                    <w:tl2br w:val="nil"/>
                    <w:tr2bl w:val="nil"/>
                  </w:tcBorders>
                  <w:shd w:val="clear" w:color="auto" w:fill="auto"/>
                  <w:vAlign w:val="center"/>
                </w:tcPr>
                <w:p w14:paraId="3777C174">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93</w:t>
                  </w:r>
                </w:p>
              </w:tc>
              <w:tc>
                <w:tcPr>
                  <w:tcW w:w="245" w:type="pct"/>
                  <w:tcBorders>
                    <w:tl2br w:val="nil"/>
                    <w:tr2bl w:val="nil"/>
                  </w:tcBorders>
                  <w:shd w:val="clear" w:color="auto" w:fill="auto"/>
                  <w:vAlign w:val="center"/>
                </w:tcPr>
                <w:p w14:paraId="5D7DE5D4">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0.2</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16</w:t>
                  </w:r>
                </w:p>
              </w:tc>
              <w:tc>
                <w:tcPr>
                  <w:tcW w:w="254" w:type="pct"/>
                  <w:vMerge w:val="continue"/>
                  <w:tcBorders>
                    <w:tl2br w:val="nil"/>
                    <w:tr2bl w:val="nil"/>
                  </w:tcBorders>
                  <w:shd w:val="clear" w:color="auto" w:fill="auto"/>
                  <w:vAlign w:val="center"/>
                </w:tcPr>
                <w:p w14:paraId="7FFCD31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25" w:type="pct"/>
                  <w:vMerge w:val="continue"/>
                  <w:tcBorders>
                    <w:tl2br w:val="nil"/>
                    <w:tr2bl w:val="nil"/>
                  </w:tcBorders>
                  <w:shd w:val="clear" w:color="auto" w:fill="auto"/>
                  <w:vAlign w:val="center"/>
                </w:tcPr>
                <w:p w14:paraId="539547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23" w:type="pct"/>
                  <w:vMerge w:val="continue"/>
                  <w:tcBorders>
                    <w:tl2br w:val="nil"/>
                    <w:tr2bl w:val="nil"/>
                  </w:tcBorders>
                  <w:shd w:val="clear" w:color="auto" w:fill="auto"/>
                  <w:vAlign w:val="center"/>
                </w:tcPr>
                <w:p w14:paraId="78A2201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18" w:type="pct"/>
                  <w:vMerge w:val="continue"/>
                  <w:tcBorders>
                    <w:tl2br w:val="nil"/>
                    <w:tr2bl w:val="nil"/>
                  </w:tcBorders>
                  <w:shd w:val="clear" w:color="auto" w:fill="auto"/>
                  <w:vAlign w:val="center"/>
                </w:tcPr>
                <w:p w14:paraId="7A0CDD7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42" w:type="pct"/>
                  <w:vMerge w:val="continue"/>
                  <w:tcBorders>
                    <w:tl2br w:val="nil"/>
                    <w:tr2bl w:val="nil"/>
                  </w:tcBorders>
                  <w:shd w:val="clear" w:color="auto" w:fill="auto"/>
                  <w:vAlign w:val="center"/>
                </w:tcPr>
                <w:p w14:paraId="7A019F2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423" w:type="pct"/>
                  <w:vMerge w:val="continue"/>
                  <w:tcBorders>
                    <w:tl2br w:val="nil"/>
                    <w:tr2bl w:val="nil"/>
                  </w:tcBorders>
                  <w:shd w:val="clear" w:color="auto" w:fill="auto"/>
                  <w:vAlign w:val="center"/>
                </w:tcPr>
                <w:p w14:paraId="0D0B778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71" w:type="pct"/>
                  <w:tcBorders>
                    <w:tl2br w:val="nil"/>
                    <w:tr2bl w:val="nil"/>
                  </w:tcBorders>
                  <w:shd w:val="clear" w:color="auto" w:fill="auto"/>
                  <w:vAlign w:val="center"/>
                </w:tcPr>
                <w:p w14:paraId="34DFBBC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8</w:t>
                  </w:r>
                  <w:r>
                    <w:rPr>
                      <w:rFonts w:hint="eastAsia" w:ascii="Times New Roman" w:hAnsi="Times New Roman" w:eastAsia="宋体" w:cs="Times New Roman"/>
                      <w:bCs/>
                      <w:color w:val="auto"/>
                      <w:sz w:val="21"/>
                      <w:szCs w:val="21"/>
                      <w:highlight w:val="none"/>
                    </w:rPr>
                    <w:t>0</w:t>
                  </w:r>
                </w:p>
              </w:tc>
              <w:tc>
                <w:tcPr>
                  <w:tcW w:w="207" w:type="pct"/>
                  <w:tcBorders>
                    <w:tl2br w:val="nil"/>
                    <w:tr2bl w:val="nil"/>
                  </w:tcBorders>
                  <w:shd w:val="clear" w:color="auto" w:fill="auto"/>
                  <w:vAlign w:val="center"/>
                </w:tcPr>
                <w:p w14:paraId="65879F7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p>
              </w:tc>
            </w:tr>
            <w:tr w14:paraId="700D3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833" w:hRule="atLeast"/>
                <w:jc w:val="center"/>
              </w:trPr>
              <w:tc>
                <w:tcPr>
                  <w:tcW w:w="166" w:type="pct"/>
                  <w:vMerge w:val="continue"/>
                  <w:tcBorders>
                    <w:tl2br w:val="nil"/>
                    <w:tr2bl w:val="nil"/>
                  </w:tcBorders>
                  <w:shd w:val="clear" w:color="auto" w:fill="auto"/>
                  <w:vAlign w:val="center"/>
                </w:tcPr>
                <w:p w14:paraId="0AF05BB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91" w:type="pct"/>
                  <w:vMerge w:val="restart"/>
                  <w:tcBorders>
                    <w:tl2br w:val="nil"/>
                    <w:tr2bl w:val="nil"/>
                  </w:tcBorders>
                  <w:shd w:val="clear" w:color="auto" w:fill="auto"/>
                  <w:vAlign w:val="center"/>
                </w:tcPr>
                <w:p w14:paraId="3D2D038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无组织</w:t>
                  </w:r>
                </w:p>
              </w:tc>
              <w:tc>
                <w:tcPr>
                  <w:tcW w:w="275" w:type="pct"/>
                  <w:tcBorders>
                    <w:tl2br w:val="nil"/>
                    <w:tr2bl w:val="nil"/>
                  </w:tcBorders>
                  <w:shd w:val="clear" w:color="auto" w:fill="auto"/>
                  <w:vAlign w:val="center"/>
                </w:tcPr>
                <w:p w14:paraId="2648E1A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颗粒物</w:t>
                  </w:r>
                </w:p>
              </w:tc>
              <w:tc>
                <w:tcPr>
                  <w:tcW w:w="400" w:type="pct"/>
                  <w:tcBorders>
                    <w:tl2br w:val="nil"/>
                    <w:tr2bl w:val="nil"/>
                  </w:tcBorders>
                  <w:shd w:val="clear" w:color="auto" w:fill="auto"/>
                  <w:vAlign w:val="center"/>
                </w:tcPr>
                <w:p w14:paraId="3F9D269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350" w:type="pct"/>
                  <w:tcBorders>
                    <w:tl2br w:val="nil"/>
                    <w:tr2bl w:val="nil"/>
                  </w:tcBorders>
                  <w:shd w:val="clear" w:color="auto" w:fill="auto"/>
                  <w:vAlign w:val="center"/>
                </w:tcPr>
                <w:p w14:paraId="410B035A">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132</w:t>
                  </w:r>
                </w:p>
              </w:tc>
              <w:tc>
                <w:tcPr>
                  <w:tcW w:w="247" w:type="pct"/>
                  <w:tcBorders>
                    <w:tl2br w:val="nil"/>
                    <w:tr2bl w:val="nil"/>
                  </w:tcBorders>
                  <w:shd w:val="clear" w:color="auto" w:fill="auto"/>
                  <w:vAlign w:val="center"/>
                </w:tcPr>
                <w:p w14:paraId="3FB8F4D5">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48</w:t>
                  </w:r>
                </w:p>
              </w:tc>
              <w:tc>
                <w:tcPr>
                  <w:tcW w:w="201" w:type="pct"/>
                  <w:vMerge w:val="restart"/>
                  <w:tcBorders>
                    <w:tl2br w:val="nil"/>
                    <w:tr2bl w:val="nil"/>
                  </w:tcBorders>
                  <w:shd w:val="clear" w:color="auto" w:fill="auto"/>
                  <w:vAlign w:val="center"/>
                </w:tcPr>
                <w:p w14:paraId="2D1E200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8" w:type="pct"/>
                  <w:vMerge w:val="restart"/>
                  <w:tcBorders>
                    <w:tl2br w:val="nil"/>
                    <w:tr2bl w:val="nil"/>
                  </w:tcBorders>
                  <w:shd w:val="clear" w:color="auto" w:fill="auto"/>
                  <w:vAlign w:val="center"/>
                </w:tcPr>
                <w:p w14:paraId="1059FB8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58" w:type="pct"/>
                  <w:vMerge w:val="restart"/>
                  <w:tcBorders>
                    <w:tl2br w:val="nil"/>
                    <w:tr2bl w:val="nil"/>
                  </w:tcBorders>
                  <w:shd w:val="clear" w:color="auto" w:fill="auto"/>
                  <w:vAlign w:val="center"/>
                </w:tcPr>
                <w:p w14:paraId="0BEF182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8" w:type="pct"/>
                  <w:vMerge w:val="restart"/>
                  <w:tcBorders>
                    <w:tl2br w:val="nil"/>
                    <w:tr2bl w:val="nil"/>
                  </w:tcBorders>
                  <w:shd w:val="clear" w:color="auto" w:fill="auto"/>
                  <w:vAlign w:val="center"/>
                </w:tcPr>
                <w:p w14:paraId="6FA373D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12" w:type="pct"/>
                  <w:vMerge w:val="restart"/>
                  <w:tcBorders>
                    <w:tl2br w:val="nil"/>
                    <w:tr2bl w:val="nil"/>
                  </w:tcBorders>
                  <w:shd w:val="clear" w:color="auto" w:fill="auto"/>
                  <w:vAlign w:val="center"/>
                </w:tcPr>
                <w:p w14:paraId="4B3267A7">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加强通风</w:t>
                  </w:r>
                </w:p>
              </w:tc>
              <w:tc>
                <w:tcPr>
                  <w:tcW w:w="332" w:type="pct"/>
                  <w:tcBorders>
                    <w:tl2br w:val="nil"/>
                    <w:tr2bl w:val="nil"/>
                  </w:tcBorders>
                  <w:shd w:val="clear" w:color="auto" w:fill="auto"/>
                  <w:vAlign w:val="center"/>
                </w:tcPr>
                <w:p w14:paraId="60231C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w:t>
                  </w:r>
                </w:p>
              </w:tc>
              <w:tc>
                <w:tcPr>
                  <w:tcW w:w="355" w:type="pct"/>
                  <w:tcBorders>
                    <w:tl2br w:val="nil"/>
                    <w:tr2bl w:val="nil"/>
                  </w:tcBorders>
                  <w:shd w:val="clear" w:color="auto" w:fill="auto"/>
                  <w:vAlign w:val="center"/>
                </w:tcPr>
                <w:p w14:paraId="4269D01E">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132</w:t>
                  </w:r>
                </w:p>
              </w:tc>
              <w:tc>
                <w:tcPr>
                  <w:tcW w:w="245" w:type="pct"/>
                  <w:tcBorders>
                    <w:tl2br w:val="nil"/>
                    <w:tr2bl w:val="nil"/>
                  </w:tcBorders>
                  <w:shd w:val="clear" w:color="auto" w:fill="auto"/>
                  <w:vAlign w:val="center"/>
                </w:tcPr>
                <w:p w14:paraId="0D4B241F">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48</w:t>
                  </w:r>
                </w:p>
              </w:tc>
              <w:tc>
                <w:tcPr>
                  <w:tcW w:w="254" w:type="pct"/>
                  <w:vMerge w:val="restart"/>
                  <w:tcBorders>
                    <w:tl2br w:val="nil"/>
                    <w:tr2bl w:val="nil"/>
                  </w:tcBorders>
                  <w:shd w:val="clear" w:color="auto" w:fill="auto"/>
                  <w:vAlign w:val="center"/>
                </w:tcPr>
                <w:p w14:paraId="5054202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厂界</w:t>
                  </w:r>
                </w:p>
              </w:tc>
              <w:tc>
                <w:tcPr>
                  <w:tcW w:w="125" w:type="pct"/>
                  <w:vMerge w:val="restart"/>
                  <w:tcBorders>
                    <w:tl2br w:val="nil"/>
                    <w:tr2bl w:val="nil"/>
                  </w:tcBorders>
                  <w:shd w:val="clear" w:color="auto" w:fill="auto"/>
                  <w:vAlign w:val="center"/>
                </w:tcPr>
                <w:p w14:paraId="7893CE0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23" w:type="pct"/>
                  <w:vMerge w:val="restart"/>
                  <w:tcBorders>
                    <w:tl2br w:val="nil"/>
                    <w:tr2bl w:val="nil"/>
                  </w:tcBorders>
                  <w:shd w:val="clear" w:color="auto" w:fill="auto"/>
                  <w:vAlign w:val="center"/>
                </w:tcPr>
                <w:p w14:paraId="020B699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18" w:type="pct"/>
                  <w:vMerge w:val="restart"/>
                  <w:tcBorders>
                    <w:tl2br w:val="nil"/>
                    <w:tr2bl w:val="nil"/>
                  </w:tcBorders>
                  <w:shd w:val="clear" w:color="auto" w:fill="auto"/>
                  <w:vAlign w:val="center"/>
                </w:tcPr>
                <w:p w14:paraId="586A3B2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42" w:type="pct"/>
                  <w:vMerge w:val="restart"/>
                  <w:tcBorders>
                    <w:tl2br w:val="nil"/>
                    <w:tr2bl w:val="nil"/>
                  </w:tcBorders>
                  <w:shd w:val="clear" w:color="auto" w:fill="auto"/>
                  <w:vAlign w:val="center"/>
                </w:tcPr>
                <w:p w14:paraId="59D8D95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423" w:type="pct"/>
                  <w:vMerge w:val="restart"/>
                  <w:tcBorders>
                    <w:tl2br w:val="nil"/>
                    <w:tr2bl w:val="nil"/>
                  </w:tcBorders>
                  <w:shd w:val="clear" w:color="auto" w:fill="auto"/>
                  <w:vAlign w:val="center"/>
                </w:tcPr>
                <w:p w14:paraId="01B095A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271" w:type="pct"/>
                  <w:tcBorders>
                    <w:tl2br w:val="nil"/>
                    <w:tr2bl w:val="nil"/>
                  </w:tcBorders>
                  <w:shd w:val="clear" w:color="auto" w:fill="auto"/>
                  <w:vAlign w:val="center"/>
                </w:tcPr>
                <w:p w14:paraId="624D74E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207" w:type="pct"/>
                  <w:tcBorders>
                    <w:tl2br w:val="nil"/>
                    <w:tr2bl w:val="nil"/>
                  </w:tcBorders>
                  <w:shd w:val="clear" w:color="auto" w:fill="auto"/>
                  <w:vAlign w:val="center"/>
                </w:tcPr>
                <w:p w14:paraId="791784A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1</w:t>
                  </w:r>
                  <w:r>
                    <w:rPr>
                      <w:rFonts w:hint="eastAsia" w:ascii="Times New Roman" w:hAnsi="Times New Roman" w:eastAsia="宋体" w:cs="Times New Roman"/>
                      <w:bCs/>
                      <w:color w:val="auto"/>
                      <w:sz w:val="21"/>
                      <w:szCs w:val="21"/>
                      <w:highlight w:val="none"/>
                    </w:rPr>
                    <w:t>.0</w:t>
                  </w:r>
                </w:p>
              </w:tc>
            </w:tr>
            <w:tr w14:paraId="5E826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833" w:hRule="atLeast"/>
                <w:jc w:val="center"/>
              </w:trPr>
              <w:tc>
                <w:tcPr>
                  <w:tcW w:w="166" w:type="pct"/>
                  <w:vMerge w:val="continue"/>
                  <w:tcBorders>
                    <w:tl2br w:val="nil"/>
                    <w:tr2bl w:val="nil"/>
                  </w:tcBorders>
                  <w:shd w:val="clear" w:color="auto" w:fill="auto"/>
                  <w:vAlign w:val="center"/>
                </w:tcPr>
                <w:p w14:paraId="0A8264E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91" w:type="pct"/>
                  <w:vMerge w:val="continue"/>
                  <w:tcBorders>
                    <w:tl2br w:val="nil"/>
                    <w:tr2bl w:val="nil"/>
                  </w:tcBorders>
                  <w:shd w:val="clear" w:color="auto" w:fill="auto"/>
                  <w:vAlign w:val="center"/>
                </w:tcPr>
                <w:p w14:paraId="3DE16EF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75" w:type="pct"/>
                  <w:tcBorders>
                    <w:tl2br w:val="nil"/>
                    <w:tr2bl w:val="nil"/>
                  </w:tcBorders>
                  <w:shd w:val="clear" w:color="auto" w:fill="auto"/>
                  <w:vAlign w:val="center"/>
                </w:tcPr>
                <w:p w14:paraId="7428D5B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eastAsia="zh-CN"/>
                    </w:rPr>
                    <w:t>二甲苯</w:t>
                  </w:r>
                </w:p>
              </w:tc>
              <w:tc>
                <w:tcPr>
                  <w:tcW w:w="400" w:type="pct"/>
                  <w:tcBorders>
                    <w:tl2br w:val="nil"/>
                    <w:tr2bl w:val="nil"/>
                  </w:tcBorders>
                  <w:shd w:val="clear" w:color="auto" w:fill="auto"/>
                  <w:vAlign w:val="center"/>
                </w:tcPr>
                <w:p w14:paraId="3E44CB8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350" w:type="pct"/>
                  <w:tcBorders>
                    <w:tl2br w:val="nil"/>
                    <w:tr2bl w:val="nil"/>
                  </w:tcBorders>
                  <w:shd w:val="clear" w:color="auto" w:fill="auto"/>
                  <w:vAlign w:val="center"/>
                </w:tcPr>
                <w:p w14:paraId="3E422552">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68</w:t>
                  </w:r>
                </w:p>
              </w:tc>
              <w:tc>
                <w:tcPr>
                  <w:tcW w:w="247" w:type="pct"/>
                  <w:tcBorders>
                    <w:tl2br w:val="nil"/>
                    <w:tr2bl w:val="nil"/>
                  </w:tcBorders>
                  <w:shd w:val="clear" w:color="auto" w:fill="auto"/>
                  <w:vAlign w:val="center"/>
                </w:tcPr>
                <w:p w14:paraId="33BEFA15">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76</w:t>
                  </w:r>
                </w:p>
              </w:tc>
              <w:tc>
                <w:tcPr>
                  <w:tcW w:w="201" w:type="pct"/>
                  <w:vMerge w:val="continue"/>
                  <w:tcBorders>
                    <w:tl2br w:val="nil"/>
                    <w:tr2bl w:val="nil"/>
                  </w:tcBorders>
                  <w:shd w:val="clear" w:color="auto" w:fill="auto"/>
                  <w:vAlign w:val="center"/>
                </w:tcPr>
                <w:p w14:paraId="0A0397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98" w:type="pct"/>
                  <w:vMerge w:val="continue"/>
                  <w:tcBorders>
                    <w:tl2br w:val="nil"/>
                    <w:tr2bl w:val="nil"/>
                  </w:tcBorders>
                  <w:shd w:val="clear" w:color="auto" w:fill="auto"/>
                  <w:vAlign w:val="center"/>
                </w:tcPr>
                <w:p w14:paraId="5D1011A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58" w:type="pct"/>
                  <w:vMerge w:val="continue"/>
                  <w:tcBorders>
                    <w:tl2br w:val="nil"/>
                    <w:tr2bl w:val="nil"/>
                  </w:tcBorders>
                  <w:shd w:val="clear" w:color="auto" w:fill="auto"/>
                  <w:vAlign w:val="center"/>
                </w:tcPr>
                <w:p w14:paraId="2A1B484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98" w:type="pct"/>
                  <w:vMerge w:val="continue"/>
                  <w:tcBorders>
                    <w:tl2br w:val="nil"/>
                    <w:tr2bl w:val="nil"/>
                  </w:tcBorders>
                  <w:shd w:val="clear" w:color="auto" w:fill="auto"/>
                  <w:vAlign w:val="center"/>
                </w:tcPr>
                <w:p w14:paraId="10AD4A1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12" w:type="pct"/>
                  <w:vMerge w:val="continue"/>
                  <w:tcBorders>
                    <w:tl2br w:val="nil"/>
                    <w:tr2bl w:val="nil"/>
                  </w:tcBorders>
                  <w:shd w:val="clear" w:color="auto" w:fill="auto"/>
                  <w:vAlign w:val="center"/>
                </w:tcPr>
                <w:p w14:paraId="2AB089A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332" w:type="pct"/>
                  <w:tcBorders>
                    <w:tl2br w:val="nil"/>
                    <w:tr2bl w:val="nil"/>
                  </w:tcBorders>
                  <w:shd w:val="clear" w:color="auto" w:fill="auto"/>
                  <w:vAlign w:val="center"/>
                </w:tcPr>
                <w:p w14:paraId="5EE75FA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w:t>
                  </w:r>
                </w:p>
              </w:tc>
              <w:tc>
                <w:tcPr>
                  <w:tcW w:w="355" w:type="pct"/>
                  <w:tcBorders>
                    <w:tl2br w:val="nil"/>
                    <w:tr2bl w:val="nil"/>
                  </w:tcBorders>
                  <w:shd w:val="clear" w:color="auto" w:fill="auto"/>
                  <w:vAlign w:val="center"/>
                </w:tcPr>
                <w:p w14:paraId="3CC46677">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68</w:t>
                  </w:r>
                </w:p>
              </w:tc>
              <w:tc>
                <w:tcPr>
                  <w:tcW w:w="245" w:type="pct"/>
                  <w:tcBorders>
                    <w:tl2br w:val="nil"/>
                    <w:tr2bl w:val="nil"/>
                  </w:tcBorders>
                  <w:shd w:val="clear" w:color="auto" w:fill="auto"/>
                  <w:vAlign w:val="center"/>
                </w:tcPr>
                <w:p w14:paraId="086CA60C">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76</w:t>
                  </w:r>
                </w:p>
              </w:tc>
              <w:tc>
                <w:tcPr>
                  <w:tcW w:w="254" w:type="pct"/>
                  <w:vMerge w:val="continue"/>
                  <w:tcBorders>
                    <w:tl2br w:val="nil"/>
                    <w:tr2bl w:val="nil"/>
                  </w:tcBorders>
                  <w:shd w:val="clear" w:color="auto" w:fill="auto"/>
                  <w:vAlign w:val="center"/>
                </w:tcPr>
                <w:p w14:paraId="3EF6D7C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25" w:type="pct"/>
                  <w:vMerge w:val="continue"/>
                  <w:tcBorders>
                    <w:tl2br w:val="nil"/>
                    <w:tr2bl w:val="nil"/>
                  </w:tcBorders>
                  <w:shd w:val="clear" w:color="auto" w:fill="auto"/>
                  <w:vAlign w:val="center"/>
                </w:tcPr>
                <w:p w14:paraId="02E4710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23" w:type="pct"/>
                  <w:vMerge w:val="continue"/>
                  <w:tcBorders>
                    <w:tl2br w:val="nil"/>
                    <w:tr2bl w:val="nil"/>
                  </w:tcBorders>
                  <w:shd w:val="clear" w:color="auto" w:fill="auto"/>
                  <w:vAlign w:val="center"/>
                </w:tcPr>
                <w:p w14:paraId="0DEAFBB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18" w:type="pct"/>
                  <w:vMerge w:val="continue"/>
                  <w:tcBorders>
                    <w:tl2br w:val="nil"/>
                    <w:tr2bl w:val="nil"/>
                  </w:tcBorders>
                  <w:shd w:val="clear" w:color="auto" w:fill="auto"/>
                  <w:vAlign w:val="center"/>
                </w:tcPr>
                <w:p w14:paraId="6525C65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42" w:type="pct"/>
                  <w:vMerge w:val="continue"/>
                  <w:tcBorders>
                    <w:tl2br w:val="nil"/>
                    <w:tr2bl w:val="nil"/>
                  </w:tcBorders>
                  <w:shd w:val="clear" w:color="auto" w:fill="auto"/>
                  <w:vAlign w:val="center"/>
                </w:tcPr>
                <w:p w14:paraId="32DF9BE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423" w:type="pct"/>
                  <w:vMerge w:val="continue"/>
                  <w:tcBorders>
                    <w:tl2br w:val="nil"/>
                    <w:tr2bl w:val="nil"/>
                  </w:tcBorders>
                  <w:shd w:val="clear" w:color="auto" w:fill="auto"/>
                  <w:vAlign w:val="center"/>
                </w:tcPr>
                <w:p w14:paraId="6D9EE47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71" w:type="pct"/>
                  <w:tcBorders>
                    <w:tl2br w:val="nil"/>
                    <w:tr2bl w:val="nil"/>
                  </w:tcBorders>
                  <w:shd w:val="clear" w:color="auto" w:fill="auto"/>
                  <w:vAlign w:val="center"/>
                </w:tcPr>
                <w:p w14:paraId="70202CE4">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w:t>
                  </w:r>
                </w:p>
              </w:tc>
              <w:tc>
                <w:tcPr>
                  <w:tcW w:w="207" w:type="pct"/>
                  <w:tcBorders>
                    <w:tl2br w:val="nil"/>
                    <w:tr2bl w:val="nil"/>
                  </w:tcBorders>
                  <w:shd w:val="clear" w:color="auto" w:fill="auto"/>
                  <w:vAlign w:val="center"/>
                </w:tcPr>
                <w:p w14:paraId="1FFC73C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w:t>
                  </w:r>
                </w:p>
              </w:tc>
            </w:tr>
            <w:tr w14:paraId="4247D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833" w:hRule="atLeast"/>
                <w:jc w:val="center"/>
              </w:trPr>
              <w:tc>
                <w:tcPr>
                  <w:tcW w:w="166" w:type="pct"/>
                  <w:vMerge w:val="continue"/>
                  <w:tcBorders>
                    <w:tl2br w:val="nil"/>
                    <w:tr2bl w:val="nil"/>
                  </w:tcBorders>
                  <w:shd w:val="clear" w:color="auto" w:fill="auto"/>
                  <w:vAlign w:val="center"/>
                </w:tcPr>
                <w:p w14:paraId="581F9AB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91" w:type="pct"/>
                  <w:vMerge w:val="continue"/>
                  <w:tcBorders>
                    <w:tl2br w:val="nil"/>
                    <w:tr2bl w:val="nil"/>
                  </w:tcBorders>
                  <w:shd w:val="clear" w:color="auto" w:fill="auto"/>
                  <w:vAlign w:val="center"/>
                </w:tcPr>
                <w:p w14:paraId="5605526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75" w:type="pct"/>
                  <w:tcBorders>
                    <w:tl2br w:val="nil"/>
                    <w:tr2bl w:val="nil"/>
                  </w:tcBorders>
                  <w:shd w:val="clear" w:color="auto" w:fill="auto"/>
                  <w:vAlign w:val="center"/>
                </w:tcPr>
                <w:p w14:paraId="4AF0A80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VOCs</w:t>
                  </w:r>
                </w:p>
              </w:tc>
              <w:tc>
                <w:tcPr>
                  <w:tcW w:w="400" w:type="pct"/>
                  <w:tcBorders>
                    <w:tl2br w:val="nil"/>
                    <w:tr2bl w:val="nil"/>
                  </w:tcBorders>
                  <w:shd w:val="clear" w:color="auto" w:fill="auto"/>
                  <w:vAlign w:val="center"/>
                </w:tcPr>
                <w:p w14:paraId="144ACF43">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350" w:type="pct"/>
                  <w:tcBorders>
                    <w:tl2br w:val="nil"/>
                    <w:tr2bl w:val="nil"/>
                  </w:tcBorders>
                  <w:shd w:val="clear" w:color="auto" w:fill="auto"/>
                  <w:vAlign w:val="center"/>
                </w:tcPr>
                <w:p w14:paraId="7EC95E8B">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107</w:t>
                  </w:r>
                </w:p>
              </w:tc>
              <w:tc>
                <w:tcPr>
                  <w:tcW w:w="247" w:type="pct"/>
                  <w:tcBorders>
                    <w:tl2br w:val="nil"/>
                    <w:tr2bl w:val="nil"/>
                  </w:tcBorders>
                  <w:shd w:val="clear" w:color="auto" w:fill="auto"/>
                  <w:vAlign w:val="center"/>
                </w:tcPr>
                <w:p w14:paraId="42CB4D83">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0.12</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0</w:t>
                  </w:r>
                </w:p>
              </w:tc>
              <w:tc>
                <w:tcPr>
                  <w:tcW w:w="201" w:type="pct"/>
                  <w:vMerge w:val="continue"/>
                  <w:tcBorders>
                    <w:tl2br w:val="nil"/>
                    <w:tr2bl w:val="nil"/>
                  </w:tcBorders>
                  <w:shd w:val="clear" w:color="auto" w:fill="auto"/>
                  <w:vAlign w:val="center"/>
                </w:tcPr>
                <w:p w14:paraId="6C13350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98" w:type="pct"/>
                  <w:vMerge w:val="continue"/>
                  <w:tcBorders>
                    <w:tl2br w:val="nil"/>
                    <w:tr2bl w:val="nil"/>
                  </w:tcBorders>
                  <w:shd w:val="clear" w:color="auto" w:fill="auto"/>
                  <w:vAlign w:val="center"/>
                </w:tcPr>
                <w:p w14:paraId="76D3118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58" w:type="pct"/>
                  <w:vMerge w:val="continue"/>
                  <w:tcBorders>
                    <w:tl2br w:val="nil"/>
                    <w:tr2bl w:val="nil"/>
                  </w:tcBorders>
                  <w:shd w:val="clear" w:color="auto" w:fill="auto"/>
                  <w:vAlign w:val="center"/>
                </w:tcPr>
                <w:p w14:paraId="05C8D18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98" w:type="pct"/>
                  <w:vMerge w:val="continue"/>
                  <w:tcBorders>
                    <w:tl2br w:val="nil"/>
                    <w:tr2bl w:val="nil"/>
                  </w:tcBorders>
                  <w:shd w:val="clear" w:color="auto" w:fill="auto"/>
                  <w:vAlign w:val="center"/>
                </w:tcPr>
                <w:p w14:paraId="03A6B6F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12" w:type="pct"/>
                  <w:vMerge w:val="continue"/>
                  <w:tcBorders>
                    <w:tl2br w:val="nil"/>
                    <w:tr2bl w:val="nil"/>
                  </w:tcBorders>
                  <w:shd w:val="clear" w:color="auto" w:fill="auto"/>
                  <w:vAlign w:val="center"/>
                </w:tcPr>
                <w:p w14:paraId="074F1F0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332" w:type="pct"/>
                  <w:tcBorders>
                    <w:tl2br w:val="nil"/>
                    <w:tr2bl w:val="nil"/>
                  </w:tcBorders>
                  <w:shd w:val="clear" w:color="auto" w:fill="auto"/>
                  <w:vAlign w:val="center"/>
                </w:tcPr>
                <w:p w14:paraId="0CC1CD6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w:t>
                  </w:r>
                </w:p>
              </w:tc>
              <w:tc>
                <w:tcPr>
                  <w:tcW w:w="355" w:type="pct"/>
                  <w:tcBorders>
                    <w:tl2br w:val="nil"/>
                    <w:tr2bl w:val="nil"/>
                  </w:tcBorders>
                  <w:shd w:val="clear" w:color="auto" w:fill="auto"/>
                  <w:vAlign w:val="center"/>
                </w:tcPr>
                <w:p w14:paraId="02EF73A9">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107</w:t>
                  </w:r>
                </w:p>
              </w:tc>
              <w:tc>
                <w:tcPr>
                  <w:tcW w:w="245" w:type="pct"/>
                  <w:tcBorders>
                    <w:tl2br w:val="nil"/>
                    <w:tr2bl w:val="nil"/>
                  </w:tcBorders>
                  <w:shd w:val="clear" w:color="auto" w:fill="auto"/>
                  <w:vAlign w:val="center"/>
                </w:tcPr>
                <w:p w14:paraId="2CA6DB22">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0.12</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0</w:t>
                  </w:r>
                </w:p>
              </w:tc>
              <w:tc>
                <w:tcPr>
                  <w:tcW w:w="254" w:type="pct"/>
                  <w:vMerge w:val="continue"/>
                  <w:tcBorders>
                    <w:tl2br w:val="nil"/>
                    <w:tr2bl w:val="nil"/>
                  </w:tcBorders>
                  <w:shd w:val="clear" w:color="auto" w:fill="auto"/>
                  <w:vAlign w:val="center"/>
                </w:tcPr>
                <w:p w14:paraId="7F78F8F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25" w:type="pct"/>
                  <w:vMerge w:val="continue"/>
                  <w:tcBorders>
                    <w:tl2br w:val="nil"/>
                    <w:tr2bl w:val="nil"/>
                  </w:tcBorders>
                  <w:shd w:val="clear" w:color="auto" w:fill="auto"/>
                  <w:vAlign w:val="center"/>
                </w:tcPr>
                <w:p w14:paraId="42E688E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23" w:type="pct"/>
                  <w:vMerge w:val="continue"/>
                  <w:tcBorders>
                    <w:tl2br w:val="nil"/>
                    <w:tr2bl w:val="nil"/>
                  </w:tcBorders>
                  <w:shd w:val="clear" w:color="auto" w:fill="auto"/>
                  <w:vAlign w:val="center"/>
                </w:tcPr>
                <w:p w14:paraId="62CE987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118" w:type="pct"/>
                  <w:vMerge w:val="continue"/>
                  <w:tcBorders>
                    <w:tl2br w:val="nil"/>
                    <w:tr2bl w:val="nil"/>
                  </w:tcBorders>
                  <w:shd w:val="clear" w:color="auto" w:fill="auto"/>
                  <w:vAlign w:val="center"/>
                </w:tcPr>
                <w:p w14:paraId="7E7F1ED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42" w:type="pct"/>
                  <w:vMerge w:val="continue"/>
                  <w:tcBorders>
                    <w:tl2br w:val="nil"/>
                    <w:tr2bl w:val="nil"/>
                  </w:tcBorders>
                  <w:shd w:val="clear" w:color="auto" w:fill="auto"/>
                  <w:vAlign w:val="center"/>
                </w:tcPr>
                <w:p w14:paraId="4D6D150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423" w:type="pct"/>
                  <w:vMerge w:val="continue"/>
                  <w:tcBorders>
                    <w:tl2br w:val="nil"/>
                    <w:tr2bl w:val="nil"/>
                  </w:tcBorders>
                  <w:shd w:val="clear" w:color="auto" w:fill="auto"/>
                  <w:vAlign w:val="center"/>
                </w:tcPr>
                <w:p w14:paraId="231D2CF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271" w:type="pct"/>
                  <w:tcBorders>
                    <w:tl2br w:val="nil"/>
                    <w:tr2bl w:val="nil"/>
                  </w:tcBorders>
                  <w:shd w:val="clear" w:color="auto" w:fill="auto"/>
                  <w:vAlign w:val="center"/>
                </w:tcPr>
                <w:p w14:paraId="0662117D">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w:t>
                  </w:r>
                </w:p>
              </w:tc>
              <w:tc>
                <w:tcPr>
                  <w:tcW w:w="207" w:type="pct"/>
                  <w:tcBorders>
                    <w:tl2br w:val="nil"/>
                    <w:tr2bl w:val="nil"/>
                  </w:tcBorders>
                  <w:shd w:val="clear" w:color="auto" w:fill="auto"/>
                  <w:vAlign w:val="center"/>
                </w:tcPr>
                <w:p w14:paraId="44BC0B3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2.0</w:t>
                  </w:r>
                </w:p>
              </w:tc>
            </w:tr>
          </w:tbl>
          <w:p w14:paraId="2F81027A">
            <w:pPr>
              <w:pStyle w:val="7"/>
              <w:suppressLineNumbers w:val="0"/>
              <w:bidi w:val="0"/>
              <w:spacing w:before="0" w:after="0"/>
              <w:ind w:left="0" w:right="0"/>
              <w:jc w:val="both"/>
              <w:outlineLvl w:val="9"/>
              <w:rPr>
                <w:rFonts w:hint="eastAsia" w:ascii="Times New Roman" w:hAnsi="Times New Roman" w:eastAsia="宋体" w:cs="Times New Roman"/>
                <w:color w:val="000000" w:themeColor="text1"/>
                <w:spacing w:val="0"/>
                <w:position w:val="0"/>
                <w:u w:val="none" w:color="auto"/>
                <w:vertAlign w:val="baseline"/>
                <w:lang w:val="en-US" w:eastAsia="zh-CN"/>
                <w14:textFill>
                  <w14:solidFill>
                    <w14:schemeClr w14:val="tx1"/>
                  </w14:solidFill>
                </w14:textFill>
              </w:rPr>
            </w:pPr>
          </w:p>
        </w:tc>
      </w:tr>
    </w:tbl>
    <w:p w14:paraId="740720DD">
      <w:pPr>
        <w:pStyle w:val="7"/>
        <w:bidi w:val="0"/>
        <w:jc w:val="both"/>
        <w:outlineLvl w:val="9"/>
        <w:rPr>
          <w:rFonts w:hint="default" w:ascii="Times New Roman" w:hAnsi="Times New Roman" w:eastAsia="宋体" w:cs="Times New Roman"/>
          <w:color w:val="000000" w:themeColor="text1"/>
          <w:spacing w:val="0"/>
          <w:position w:val="0"/>
          <w:u w:val="none" w:color="auto"/>
          <w14:textFill>
            <w14:solidFill>
              <w14:schemeClr w14:val="tx1"/>
            </w14:solidFill>
          </w14:textFill>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
        <w:gridCol w:w="8892"/>
      </w:tblGrid>
      <w:tr w14:paraId="3E43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0" w:hRule="atLeast"/>
        </w:trPr>
        <w:tc>
          <w:tcPr>
            <w:tcW w:w="350" w:type="dxa"/>
          </w:tcPr>
          <w:p w14:paraId="324F4D97">
            <w:pPr>
              <w:pStyle w:val="7"/>
              <w:suppressLineNumbers w:val="0"/>
              <w:bidi w:val="0"/>
              <w:spacing w:before="0" w:after="0"/>
              <w:ind w:left="0" w:right="0"/>
              <w:jc w:val="both"/>
              <w:outlineLvl w:val="9"/>
              <w:rPr>
                <w:rFonts w:hint="default" w:ascii="Times New Roman" w:hAnsi="Times New Roman" w:eastAsia="宋体" w:cs="Times New Roman"/>
                <w:color w:val="000000" w:themeColor="text1"/>
                <w:spacing w:val="0"/>
                <w:position w:val="0"/>
                <w:u w:val="none" w:color="auto"/>
                <w:vertAlign w:val="baseline"/>
                <w14:textFill>
                  <w14:solidFill>
                    <w14:schemeClr w14:val="tx1"/>
                  </w14:solidFill>
                </w14:textFill>
              </w:rPr>
            </w:pPr>
          </w:p>
        </w:tc>
        <w:tc>
          <w:tcPr>
            <w:tcW w:w="8892" w:type="dxa"/>
          </w:tcPr>
          <w:p w14:paraId="04AA3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1.2废气排放量核算</w:t>
            </w:r>
          </w:p>
          <w:p w14:paraId="1868AC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（1）废气有组织排放量核算表如下：</w:t>
            </w:r>
          </w:p>
          <w:p w14:paraId="4A574E85">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表4-</w:t>
            </w:r>
            <w:r>
              <w:rPr>
                <w:rFonts w:hint="eastAsia"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3</w:t>
            </w: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 xml:space="preserve">   </w:t>
            </w:r>
            <w:r>
              <w:rPr>
                <w:rFonts w:hint="eastAsia" w:ascii="Times New Roman" w:hAnsi="Times New Roman" w:eastAsia="宋体" w:cs="Times New Roman"/>
                <w:color w:val="000000" w:themeColor="text1"/>
                <w:spacing w:val="0"/>
                <w:w w:val="100"/>
                <w:position w:val="0"/>
                <w:sz w:val="24"/>
                <w:szCs w:val="24"/>
                <w:highlight w:val="none"/>
                <w:u w:val="none" w:color="auto"/>
                <w:lang w:eastAsia="zh-CN"/>
                <w14:textFill>
                  <w14:solidFill>
                    <w14:schemeClr w14:val="tx1"/>
                  </w14:solidFill>
                </w14:textFill>
              </w:rPr>
              <w:t>本项目</w:t>
            </w: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大气污染物有组织排放量核算表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83"/>
              <w:gridCol w:w="1496"/>
              <w:gridCol w:w="1843"/>
              <w:gridCol w:w="1579"/>
              <w:gridCol w:w="1615"/>
            </w:tblGrid>
            <w:tr w14:paraId="2415D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noWrap w:val="0"/>
                  <w:vAlign w:val="center"/>
                </w:tcPr>
                <w:p w14:paraId="4A527F84">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序号</w:t>
                  </w:r>
                </w:p>
              </w:tc>
              <w:tc>
                <w:tcPr>
                  <w:tcW w:w="796" w:type="pct"/>
                  <w:tcBorders>
                    <w:tl2br w:val="nil"/>
                    <w:tr2bl w:val="nil"/>
                  </w:tcBorders>
                  <w:noWrap w:val="0"/>
                  <w:vAlign w:val="center"/>
                </w:tcPr>
                <w:p w14:paraId="750E936C">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排放口编号</w:t>
                  </w:r>
                </w:p>
              </w:tc>
              <w:tc>
                <w:tcPr>
                  <w:tcW w:w="862" w:type="pct"/>
                  <w:tcBorders>
                    <w:tl2br w:val="nil"/>
                    <w:tr2bl w:val="nil"/>
                  </w:tcBorders>
                  <w:noWrap w:val="0"/>
                  <w:vAlign w:val="center"/>
                </w:tcPr>
                <w:p w14:paraId="72DF4C6A">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污染物</w:t>
                  </w:r>
                </w:p>
              </w:tc>
              <w:tc>
                <w:tcPr>
                  <w:tcW w:w="1062" w:type="pct"/>
                  <w:tcBorders>
                    <w:tl2br w:val="nil"/>
                    <w:tr2bl w:val="nil"/>
                  </w:tcBorders>
                  <w:noWrap w:val="0"/>
                  <w:vAlign w:val="center"/>
                </w:tcPr>
                <w:p w14:paraId="7FCC43C7">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核算排放浓度（</w:t>
                  </w:r>
                  <w:r>
                    <w:rPr>
                      <w:rFonts w:hint="default" w:ascii="Times New Roman" w:hAnsi="Times New Roman" w:eastAsia="宋体" w:cs="Times New Roman"/>
                      <w:b/>
                      <w:bCs/>
                      <w:color w:val="000000" w:themeColor="text1"/>
                      <w:spacing w:val="0"/>
                      <w:w w:val="100"/>
                      <w:position w:val="0"/>
                      <w:sz w:val="21"/>
                      <w:szCs w:val="21"/>
                      <w:highlight w:val="none"/>
                      <w:u w:val="none" w:color="auto"/>
                      <w:lang w:val="en-US" w:eastAsia="zh-CN"/>
                      <w14:textFill>
                        <w14:solidFill>
                          <w14:schemeClr w14:val="tx1"/>
                        </w14:solidFill>
                      </w14:textFill>
                    </w:rPr>
                    <w:t>m</w:t>
                  </w: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g/m</w:t>
                  </w:r>
                  <w:r>
                    <w:rPr>
                      <w:rFonts w:hint="default" w:ascii="Times New Roman" w:hAnsi="Times New Roman" w:eastAsia="宋体" w:cs="Times New Roman"/>
                      <w:b/>
                      <w:bCs/>
                      <w:color w:val="000000" w:themeColor="text1"/>
                      <w:spacing w:val="0"/>
                      <w:w w:val="100"/>
                      <w:position w:val="0"/>
                      <w:sz w:val="21"/>
                      <w:szCs w:val="21"/>
                      <w:highlight w:val="none"/>
                      <w:u w:val="none" w:color="auto"/>
                      <w:vertAlign w:val="superscript"/>
                      <w14:textFill>
                        <w14:solidFill>
                          <w14:schemeClr w14:val="tx1"/>
                        </w14:solidFill>
                      </w14:textFill>
                    </w:rPr>
                    <w:t>3</w:t>
                  </w: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w:t>
                  </w:r>
                </w:p>
              </w:tc>
              <w:tc>
                <w:tcPr>
                  <w:tcW w:w="908" w:type="pct"/>
                  <w:tcBorders>
                    <w:tl2br w:val="nil"/>
                    <w:tr2bl w:val="nil"/>
                  </w:tcBorders>
                  <w:noWrap w:val="0"/>
                  <w:vAlign w:val="center"/>
                </w:tcPr>
                <w:p w14:paraId="34A0C0AC">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核算排放速率（kg/h）</w:t>
                  </w:r>
                </w:p>
              </w:tc>
              <w:tc>
                <w:tcPr>
                  <w:tcW w:w="930" w:type="pct"/>
                  <w:tcBorders>
                    <w:tl2br w:val="nil"/>
                    <w:tr2bl w:val="nil"/>
                  </w:tcBorders>
                  <w:noWrap w:val="0"/>
                  <w:vAlign w:val="center"/>
                </w:tcPr>
                <w:p w14:paraId="78763AD8">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核算年排放量（t/a）</w:t>
                  </w:r>
                </w:p>
              </w:tc>
            </w:tr>
            <w:tr w14:paraId="34497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center"/>
                </w:tcPr>
                <w:p w14:paraId="3254FCD5">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eastAsia="zh-CN"/>
                      <w14:textFill>
                        <w14:solidFill>
                          <w14:schemeClr w14:val="tx1"/>
                        </w14:solidFill>
                      </w14:textFill>
                    </w:rPr>
                    <w:t>一般</w:t>
                  </w: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排放口</w:t>
                  </w:r>
                </w:p>
              </w:tc>
            </w:tr>
            <w:tr w14:paraId="11EB3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noWrap w:val="0"/>
                  <w:vAlign w:val="center"/>
                </w:tcPr>
                <w:p w14:paraId="615F99F3">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1</w:t>
                  </w:r>
                </w:p>
              </w:tc>
              <w:tc>
                <w:tcPr>
                  <w:tcW w:w="796" w:type="pct"/>
                  <w:vMerge w:val="restart"/>
                  <w:tcBorders>
                    <w:tl2br w:val="nil"/>
                    <w:tr2bl w:val="nil"/>
                  </w:tcBorders>
                  <w:noWrap w:val="0"/>
                  <w:vAlign w:val="center"/>
                </w:tcPr>
                <w:p w14:paraId="7F7D4918">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pacing w:val="0"/>
                      <w:w w:val="100"/>
                      <w:position w:val="0"/>
                      <w:sz w:val="21"/>
                      <w:szCs w:val="21"/>
                      <w:highlight w:val="none"/>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DA00</w:t>
                  </w:r>
                  <w:r>
                    <w:rPr>
                      <w:rFonts w:hint="eastAsia" w:cs="Times New Roman"/>
                      <w:color w:val="000000" w:themeColor="text1"/>
                      <w:spacing w:val="0"/>
                      <w:w w:val="100"/>
                      <w:position w:val="0"/>
                      <w:sz w:val="21"/>
                      <w:szCs w:val="21"/>
                      <w:highlight w:val="none"/>
                      <w:u w:val="none" w:color="auto"/>
                      <w:lang w:val="en-US" w:eastAsia="zh-CN"/>
                      <w14:textFill>
                        <w14:solidFill>
                          <w14:schemeClr w14:val="tx1"/>
                        </w14:solidFill>
                      </w14:textFill>
                    </w:rPr>
                    <w:t>2</w:t>
                  </w:r>
                </w:p>
              </w:tc>
              <w:tc>
                <w:tcPr>
                  <w:tcW w:w="862" w:type="pct"/>
                  <w:tcBorders>
                    <w:tl2br w:val="nil"/>
                    <w:tr2bl w:val="nil"/>
                  </w:tcBorders>
                  <w:noWrap w:val="0"/>
                  <w:vAlign w:val="center"/>
                </w:tcPr>
                <w:p w14:paraId="26619D2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Cs/>
                      <w:color w:val="auto"/>
                      <w:sz w:val="21"/>
                      <w:szCs w:val="21"/>
                      <w:highlight w:val="none"/>
                    </w:rPr>
                    <w:t>颗粒物</w:t>
                  </w:r>
                </w:p>
              </w:tc>
              <w:tc>
                <w:tcPr>
                  <w:tcW w:w="1062" w:type="pct"/>
                  <w:tcBorders>
                    <w:tl2br w:val="nil"/>
                    <w:tr2bl w:val="nil"/>
                  </w:tcBorders>
                  <w:noWrap w:val="0"/>
                  <w:vAlign w:val="center"/>
                </w:tcPr>
                <w:p w14:paraId="5BDE66D9">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spacing w:val="0"/>
                      <w:w w:val="100"/>
                      <w:position w:val="0"/>
                      <w:sz w:val="21"/>
                      <w:szCs w:val="21"/>
                      <w:highlight w:val="none"/>
                      <w:u w:val="none" w:color="auto"/>
                      <w:lang w:val="en-US" w:eastAsia="zh-CN"/>
                    </w:rPr>
                  </w:pPr>
                  <w:r>
                    <w:rPr>
                      <w:rFonts w:hint="eastAsia" w:ascii="Times New Roman" w:hAnsi="Times New Roman" w:cs="Times New Roman"/>
                      <w:b w:val="0"/>
                      <w:bCs/>
                      <w:color w:val="auto"/>
                      <w:spacing w:val="0"/>
                      <w:w w:val="100"/>
                      <w:kern w:val="21"/>
                      <w:position w:val="0"/>
                      <w:sz w:val="21"/>
                      <w:szCs w:val="21"/>
                      <w:highlight w:val="none"/>
                      <w:u w:val="none" w:color="auto"/>
                      <w:lang w:val="en-US" w:eastAsia="zh-CN"/>
                    </w:rPr>
                    <w:t>10.291</w:t>
                  </w:r>
                </w:p>
              </w:tc>
              <w:tc>
                <w:tcPr>
                  <w:tcW w:w="908" w:type="pct"/>
                  <w:tcBorders>
                    <w:tl2br w:val="nil"/>
                    <w:tr2bl w:val="nil"/>
                  </w:tcBorders>
                  <w:noWrap w:val="0"/>
                  <w:vAlign w:val="center"/>
                </w:tcPr>
                <w:p w14:paraId="11CC4008">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u w:val="none" w:color="auto"/>
                      <w:lang w:val="en-US" w:eastAsia="zh-CN" w:bidi="ar"/>
                    </w:rPr>
                  </w:pPr>
                  <w:r>
                    <w:rPr>
                      <w:rFonts w:hint="eastAsia" w:ascii="Times New Roman" w:hAnsi="Times New Roman" w:eastAsia="宋体" w:cs="Times New Roman"/>
                      <w:b w:val="0"/>
                      <w:bCs/>
                      <w:color w:val="auto"/>
                      <w:spacing w:val="0"/>
                      <w:w w:val="100"/>
                      <w:kern w:val="21"/>
                      <w:position w:val="0"/>
                      <w:sz w:val="21"/>
                      <w:szCs w:val="21"/>
                      <w:highlight w:val="none"/>
                      <w:u w:val="none" w:color="auto"/>
                      <w:lang w:val="en-US" w:eastAsia="zh-CN"/>
                    </w:rPr>
                    <w:t>0.158</w:t>
                  </w:r>
                </w:p>
              </w:tc>
              <w:tc>
                <w:tcPr>
                  <w:tcW w:w="930" w:type="pct"/>
                  <w:tcBorders>
                    <w:tl2br w:val="nil"/>
                    <w:tr2bl w:val="nil"/>
                  </w:tcBorders>
                  <w:noWrap w:val="0"/>
                  <w:vAlign w:val="center"/>
                </w:tcPr>
                <w:p w14:paraId="6D6AB4EA">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u w:val="none" w:color="auto"/>
                      <w:lang w:val="en-US" w:eastAsia="zh-CN" w:bidi="ar"/>
                    </w:rPr>
                  </w:pPr>
                  <w:r>
                    <w:rPr>
                      <w:rFonts w:hint="eastAsia" w:ascii="Times New Roman" w:hAnsi="Times New Roman" w:eastAsia="宋体" w:cs="Times New Roman"/>
                      <w:b w:val="0"/>
                      <w:bCs/>
                      <w:color w:val="auto"/>
                      <w:spacing w:val="0"/>
                      <w:w w:val="100"/>
                      <w:kern w:val="21"/>
                      <w:position w:val="0"/>
                      <w:sz w:val="21"/>
                      <w:szCs w:val="21"/>
                      <w:highlight w:val="none"/>
                      <w:u w:val="none" w:color="auto"/>
                      <w:lang w:val="en-US" w:eastAsia="zh-CN"/>
                    </w:rPr>
                    <w:t>0.177</w:t>
                  </w:r>
                </w:p>
              </w:tc>
            </w:tr>
            <w:tr w14:paraId="7A016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noWrap w:val="0"/>
                  <w:vAlign w:val="center"/>
                </w:tcPr>
                <w:p w14:paraId="615907AC">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796" w:type="pct"/>
                  <w:vMerge w:val="continue"/>
                  <w:tcBorders>
                    <w:tl2br w:val="nil"/>
                    <w:tr2bl w:val="nil"/>
                  </w:tcBorders>
                  <w:noWrap w:val="0"/>
                  <w:vAlign w:val="center"/>
                </w:tcPr>
                <w:p w14:paraId="1F21E14E">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862" w:type="pct"/>
                  <w:tcBorders>
                    <w:tl2br w:val="nil"/>
                    <w:tr2bl w:val="nil"/>
                  </w:tcBorders>
                  <w:noWrap w:val="0"/>
                  <w:vAlign w:val="center"/>
                </w:tcPr>
                <w:p w14:paraId="0EDC78A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w w:val="100"/>
                      <w:position w:val="0"/>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bCs/>
                      <w:color w:val="auto"/>
                      <w:sz w:val="21"/>
                      <w:szCs w:val="21"/>
                      <w:highlight w:val="none"/>
                      <w:lang w:eastAsia="zh-CN"/>
                    </w:rPr>
                    <w:t>二甲苯</w:t>
                  </w:r>
                </w:p>
              </w:tc>
              <w:tc>
                <w:tcPr>
                  <w:tcW w:w="1062" w:type="pct"/>
                  <w:tcBorders>
                    <w:tl2br w:val="nil"/>
                    <w:tr2bl w:val="nil"/>
                  </w:tcBorders>
                  <w:noWrap w:val="0"/>
                  <w:vAlign w:val="center"/>
                </w:tcPr>
                <w:p w14:paraId="5FB33999">
                  <w:pPr>
                    <w:keepNext w:val="0"/>
                    <w:keepLines w:val="0"/>
                    <w:suppressLineNumbers w:val="0"/>
                    <w:spacing w:before="0" w:beforeAutospacing="0" w:after="0" w:afterAutospacing="0" w:line="240" w:lineRule="auto"/>
                    <w:ind w:left="0" w:right="0"/>
                    <w:jc w:val="center"/>
                    <w:textAlignment w:val="center"/>
                    <w:rPr>
                      <w:rFonts w:hint="eastAsia" w:cs="Times New Roman"/>
                      <w:i w:val="0"/>
                      <w:iCs w:val="0"/>
                      <w:color w:val="auto"/>
                      <w:kern w:val="0"/>
                      <w:sz w:val="21"/>
                      <w:szCs w:val="21"/>
                      <w:u w:val="none" w:color="auto"/>
                      <w:lang w:val="en-US" w:eastAsia="zh-CN" w:bidi="ar"/>
                    </w:rPr>
                  </w:pP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7.934</w:t>
                  </w:r>
                </w:p>
              </w:tc>
              <w:tc>
                <w:tcPr>
                  <w:tcW w:w="908" w:type="pct"/>
                  <w:tcBorders>
                    <w:tl2br w:val="nil"/>
                    <w:tr2bl w:val="nil"/>
                  </w:tcBorders>
                  <w:noWrap w:val="0"/>
                  <w:vAlign w:val="center"/>
                </w:tcPr>
                <w:p w14:paraId="632BA5BD">
                  <w:pPr>
                    <w:keepNext w:val="0"/>
                    <w:keepLines w:val="0"/>
                    <w:suppressLineNumbers w:val="0"/>
                    <w:spacing w:before="0" w:beforeAutospacing="0" w:after="0" w:afterAutospacing="0" w:line="240" w:lineRule="auto"/>
                    <w:ind w:left="0" w:right="0"/>
                    <w:jc w:val="center"/>
                    <w:textAlignment w:val="center"/>
                    <w:rPr>
                      <w:rFonts w:hint="eastAsia" w:cs="Times New Roman"/>
                      <w:i w:val="0"/>
                      <w:iCs w:val="0"/>
                      <w:color w:val="auto"/>
                      <w:kern w:val="0"/>
                      <w:sz w:val="21"/>
                      <w:szCs w:val="21"/>
                      <w:u w:val="none" w:color="auto"/>
                      <w:lang w:val="en-US" w:eastAsia="zh-CN" w:bidi="ar"/>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122</w:t>
                  </w:r>
                </w:p>
              </w:tc>
              <w:tc>
                <w:tcPr>
                  <w:tcW w:w="930" w:type="pct"/>
                  <w:tcBorders>
                    <w:tl2br w:val="nil"/>
                    <w:tr2bl w:val="nil"/>
                  </w:tcBorders>
                  <w:noWrap w:val="0"/>
                  <w:vAlign w:val="center"/>
                </w:tcPr>
                <w:p w14:paraId="4A9C29B6">
                  <w:pPr>
                    <w:keepNext w:val="0"/>
                    <w:keepLines w:val="0"/>
                    <w:suppressLineNumbers w:val="0"/>
                    <w:spacing w:before="0" w:beforeAutospacing="0" w:after="0" w:afterAutospacing="0" w:line="240" w:lineRule="auto"/>
                    <w:ind w:left="0" w:right="0"/>
                    <w:jc w:val="center"/>
                    <w:textAlignment w:val="center"/>
                    <w:rPr>
                      <w:rFonts w:hint="eastAsia" w:cs="Times New Roman"/>
                      <w:i w:val="0"/>
                      <w:iCs w:val="0"/>
                      <w:color w:val="auto"/>
                      <w:kern w:val="0"/>
                      <w:sz w:val="21"/>
                      <w:szCs w:val="21"/>
                      <w:u w:val="none" w:color="auto"/>
                      <w:lang w:val="en-US" w:eastAsia="zh-CN" w:bidi="ar"/>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36</w:t>
                  </w:r>
                </w:p>
              </w:tc>
            </w:tr>
            <w:tr w14:paraId="2A5C0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noWrap w:val="0"/>
                  <w:vAlign w:val="center"/>
                </w:tcPr>
                <w:p w14:paraId="632EB1A3">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796" w:type="pct"/>
                  <w:vMerge w:val="continue"/>
                  <w:tcBorders>
                    <w:tl2br w:val="nil"/>
                    <w:tr2bl w:val="nil"/>
                  </w:tcBorders>
                  <w:noWrap w:val="0"/>
                  <w:vAlign w:val="center"/>
                </w:tcPr>
                <w:p w14:paraId="2768B951">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862" w:type="pct"/>
                  <w:tcBorders>
                    <w:tl2br w:val="nil"/>
                    <w:tr2bl w:val="nil"/>
                  </w:tcBorders>
                  <w:noWrap w:val="0"/>
                  <w:vAlign w:val="center"/>
                </w:tcPr>
                <w:p w14:paraId="4B963D4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w w:val="100"/>
                      <w:position w:val="0"/>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bCs/>
                      <w:color w:val="auto"/>
                      <w:sz w:val="21"/>
                      <w:szCs w:val="21"/>
                      <w:highlight w:val="none"/>
                    </w:rPr>
                    <w:t>VOCs</w:t>
                  </w:r>
                </w:p>
              </w:tc>
              <w:tc>
                <w:tcPr>
                  <w:tcW w:w="1062" w:type="pct"/>
                  <w:tcBorders>
                    <w:tl2br w:val="nil"/>
                    <w:tr2bl w:val="nil"/>
                  </w:tcBorders>
                  <w:noWrap w:val="0"/>
                  <w:vAlign w:val="center"/>
                </w:tcPr>
                <w:p w14:paraId="57256838">
                  <w:pPr>
                    <w:keepNext w:val="0"/>
                    <w:keepLines w:val="0"/>
                    <w:suppressLineNumbers w:val="0"/>
                    <w:spacing w:before="0" w:beforeAutospacing="0" w:after="0" w:afterAutospacing="0" w:line="240" w:lineRule="auto"/>
                    <w:ind w:left="0" w:right="0"/>
                    <w:jc w:val="center"/>
                    <w:rPr>
                      <w:rFonts w:hint="eastAsia" w:cs="Times New Roman"/>
                      <w:i w:val="0"/>
                      <w:iCs w:val="0"/>
                      <w:color w:val="auto"/>
                      <w:kern w:val="0"/>
                      <w:sz w:val="21"/>
                      <w:szCs w:val="21"/>
                      <w:u w:val="none" w:color="auto"/>
                      <w:lang w:val="en-US" w:eastAsia="zh-CN" w:bidi="ar"/>
                    </w:rPr>
                  </w:pP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12.579</w:t>
                  </w:r>
                </w:p>
              </w:tc>
              <w:tc>
                <w:tcPr>
                  <w:tcW w:w="908" w:type="pct"/>
                  <w:tcBorders>
                    <w:tl2br w:val="nil"/>
                    <w:tr2bl w:val="nil"/>
                  </w:tcBorders>
                  <w:noWrap w:val="0"/>
                  <w:vAlign w:val="center"/>
                </w:tcPr>
                <w:p w14:paraId="3CC072C3">
                  <w:pPr>
                    <w:keepNext w:val="0"/>
                    <w:keepLines w:val="0"/>
                    <w:suppressLineNumbers w:val="0"/>
                    <w:spacing w:before="0" w:beforeAutospacing="0" w:after="0" w:afterAutospacing="0" w:line="240" w:lineRule="auto"/>
                    <w:ind w:left="0" w:right="0"/>
                    <w:jc w:val="center"/>
                    <w:textAlignment w:val="center"/>
                    <w:rPr>
                      <w:rFonts w:hint="eastAsia" w:cs="Times New Roman"/>
                      <w:i w:val="0"/>
                      <w:iCs w:val="0"/>
                      <w:color w:val="auto"/>
                      <w:kern w:val="0"/>
                      <w:sz w:val="21"/>
                      <w:szCs w:val="21"/>
                      <w:u w:val="none" w:color="auto"/>
                      <w:lang w:val="en-US" w:eastAsia="zh-CN" w:bidi="ar"/>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93</w:t>
                  </w:r>
                </w:p>
              </w:tc>
              <w:tc>
                <w:tcPr>
                  <w:tcW w:w="930" w:type="pct"/>
                  <w:tcBorders>
                    <w:tl2br w:val="nil"/>
                    <w:tr2bl w:val="nil"/>
                  </w:tcBorders>
                  <w:noWrap w:val="0"/>
                  <w:vAlign w:val="center"/>
                </w:tcPr>
                <w:p w14:paraId="38B00D5D">
                  <w:pPr>
                    <w:keepNext w:val="0"/>
                    <w:keepLines w:val="0"/>
                    <w:suppressLineNumbers w:val="0"/>
                    <w:spacing w:before="0" w:beforeAutospacing="0" w:after="0" w:afterAutospacing="0" w:line="240" w:lineRule="auto"/>
                    <w:ind w:left="0" w:right="0"/>
                    <w:jc w:val="center"/>
                    <w:textAlignment w:val="center"/>
                    <w:rPr>
                      <w:rFonts w:hint="eastAsia" w:cs="Times New Roman"/>
                      <w:i w:val="0"/>
                      <w:iCs w:val="0"/>
                      <w:color w:val="auto"/>
                      <w:kern w:val="0"/>
                      <w:sz w:val="21"/>
                      <w:szCs w:val="21"/>
                      <w:u w:val="none" w:color="auto"/>
                      <w:lang w:val="en-US" w:eastAsia="zh-CN" w:bidi="ar"/>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0.2</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16</w:t>
                  </w:r>
                </w:p>
              </w:tc>
            </w:tr>
            <w:tr w14:paraId="2DC70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noWrap w:val="0"/>
                  <w:vAlign w:val="center"/>
                </w:tcPr>
                <w:p w14:paraId="737DA6B8">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w:t>
                  </w:r>
                </w:p>
              </w:tc>
              <w:tc>
                <w:tcPr>
                  <w:tcW w:w="796" w:type="pct"/>
                  <w:tcBorders>
                    <w:tl2br w:val="nil"/>
                    <w:tr2bl w:val="nil"/>
                  </w:tcBorders>
                  <w:noWrap w:val="0"/>
                  <w:vAlign w:val="center"/>
                </w:tcPr>
                <w:p w14:paraId="0AACF139">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DA00</w:t>
                  </w:r>
                  <w:r>
                    <w:rPr>
                      <w:rFonts w:hint="eastAsia" w:cs="Times New Roman"/>
                      <w:color w:val="000000" w:themeColor="text1"/>
                      <w:spacing w:val="0"/>
                      <w:w w:val="100"/>
                      <w:position w:val="0"/>
                      <w:sz w:val="21"/>
                      <w:szCs w:val="21"/>
                      <w:highlight w:val="none"/>
                      <w:u w:val="none" w:color="auto"/>
                      <w:lang w:val="en-US" w:eastAsia="zh-CN"/>
                      <w14:textFill>
                        <w14:solidFill>
                          <w14:schemeClr w14:val="tx1"/>
                        </w14:solidFill>
                      </w14:textFill>
                    </w:rPr>
                    <w:t>3</w:t>
                  </w:r>
                </w:p>
              </w:tc>
              <w:tc>
                <w:tcPr>
                  <w:tcW w:w="862" w:type="pct"/>
                  <w:tcBorders>
                    <w:tl2br w:val="nil"/>
                    <w:tr2bl w:val="nil"/>
                  </w:tcBorders>
                  <w:noWrap w:val="0"/>
                  <w:vAlign w:val="center"/>
                </w:tcPr>
                <w:p w14:paraId="4174FF8C">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Cs/>
                      <w:color w:val="auto"/>
                      <w:sz w:val="21"/>
                      <w:szCs w:val="21"/>
                      <w:highlight w:val="none"/>
                    </w:rPr>
                    <w:t>颗粒物</w:t>
                  </w:r>
                </w:p>
              </w:tc>
              <w:tc>
                <w:tcPr>
                  <w:tcW w:w="1062" w:type="pct"/>
                  <w:tcBorders>
                    <w:tl2br w:val="nil"/>
                    <w:tr2bl w:val="nil"/>
                  </w:tcBorders>
                  <w:noWrap w:val="0"/>
                  <w:vAlign w:val="center"/>
                </w:tcPr>
                <w:p w14:paraId="58734592">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spacing w:val="0"/>
                      <w:w w:val="100"/>
                      <w:kern w:val="2"/>
                      <w:position w:val="0"/>
                      <w:sz w:val="21"/>
                      <w:szCs w:val="21"/>
                      <w:highlight w:val="none"/>
                      <w:u w:val="none" w:color="auto"/>
                      <w:lang w:val="en-US" w:eastAsia="zh-CN" w:bidi="ar-SA"/>
                    </w:rPr>
                  </w:pPr>
                  <w:r>
                    <w:rPr>
                      <w:rFonts w:hint="default" w:ascii="Times New Roman" w:hAnsi="Times New Roman" w:cs="Times New Roman"/>
                      <w:color w:val="auto"/>
                      <w:sz w:val="21"/>
                      <w:szCs w:val="21"/>
                      <w:highlight w:val="none"/>
                      <w:lang w:val="en-US" w:eastAsia="zh-CN"/>
                    </w:rPr>
                    <w:t>9.581</w:t>
                  </w:r>
                </w:p>
              </w:tc>
              <w:tc>
                <w:tcPr>
                  <w:tcW w:w="908" w:type="pct"/>
                  <w:tcBorders>
                    <w:tl2br w:val="nil"/>
                    <w:tr2bl w:val="nil"/>
                  </w:tcBorders>
                  <w:noWrap w:val="0"/>
                  <w:vAlign w:val="center"/>
                </w:tcPr>
                <w:p w14:paraId="0A0AC5BD">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u w:val="none" w:color="auto"/>
                      <w:lang w:val="en-US" w:eastAsia="zh-CN" w:bidi="ar"/>
                    </w:rPr>
                  </w:pPr>
                  <w:r>
                    <w:rPr>
                      <w:rFonts w:hint="default" w:ascii="Times New Roman" w:hAnsi="Times New Roman" w:cs="Times New Roman"/>
                      <w:color w:val="auto"/>
                      <w:sz w:val="21"/>
                      <w:szCs w:val="21"/>
                      <w:u w:val="none" w:color="auto"/>
                      <w:lang w:val="en-US" w:eastAsia="zh-CN"/>
                    </w:rPr>
                    <w:t>0.201</w:t>
                  </w:r>
                </w:p>
              </w:tc>
              <w:tc>
                <w:tcPr>
                  <w:tcW w:w="930" w:type="pct"/>
                  <w:tcBorders>
                    <w:tl2br w:val="nil"/>
                    <w:tr2bl w:val="nil"/>
                  </w:tcBorders>
                  <w:noWrap w:val="0"/>
                  <w:vAlign w:val="center"/>
                </w:tcPr>
                <w:p w14:paraId="1E7CA3BF">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u w:val="none" w:color="auto"/>
                      <w:lang w:val="en-US" w:eastAsia="zh-CN" w:bidi="ar"/>
                    </w:rPr>
                  </w:pPr>
                  <w:r>
                    <w:rPr>
                      <w:rFonts w:hint="default" w:ascii="Times New Roman" w:hAnsi="Times New Roman" w:cs="Times New Roman"/>
                      <w:color w:val="auto"/>
                      <w:sz w:val="21"/>
                      <w:szCs w:val="21"/>
                      <w:u w:val="none" w:color="auto"/>
                      <w:lang w:val="en-US" w:eastAsia="zh-CN"/>
                    </w:rPr>
                    <w:t>0.225</w:t>
                  </w:r>
                </w:p>
              </w:tc>
            </w:tr>
            <w:tr w14:paraId="52C7A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pct"/>
                  <w:gridSpan w:val="2"/>
                  <w:vMerge w:val="restart"/>
                  <w:tcBorders>
                    <w:tl2br w:val="nil"/>
                    <w:tr2bl w:val="nil"/>
                  </w:tcBorders>
                  <w:noWrap w:val="0"/>
                  <w:vAlign w:val="center"/>
                </w:tcPr>
                <w:p w14:paraId="559CC658">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position w:val="0"/>
                      <w:sz w:val="21"/>
                      <w:szCs w:val="21"/>
                      <w:highlight w:val="none"/>
                      <w:u w:val="none" w:color="auto"/>
                    </w:rPr>
                  </w:pPr>
                  <w:r>
                    <w:rPr>
                      <w:rFonts w:hint="default" w:ascii="Times New Roman" w:hAnsi="Times New Roman" w:eastAsia="宋体" w:cs="Times New Roman"/>
                      <w:color w:val="auto"/>
                      <w:spacing w:val="0"/>
                      <w:w w:val="100"/>
                      <w:position w:val="0"/>
                      <w:sz w:val="21"/>
                      <w:szCs w:val="21"/>
                      <w:highlight w:val="none"/>
                      <w:u w:val="none" w:color="auto"/>
                    </w:rPr>
                    <w:t>一般排放口合计</w:t>
                  </w:r>
                </w:p>
              </w:tc>
              <w:tc>
                <w:tcPr>
                  <w:tcW w:w="2834" w:type="pct"/>
                  <w:gridSpan w:val="3"/>
                  <w:tcBorders>
                    <w:tl2br w:val="nil"/>
                    <w:tr2bl w:val="nil"/>
                  </w:tcBorders>
                  <w:noWrap w:val="0"/>
                  <w:vAlign w:val="center"/>
                </w:tcPr>
                <w:p w14:paraId="44E96EC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pacing w:val="0"/>
                      <w:w w:val="100"/>
                      <w:position w:val="0"/>
                      <w:sz w:val="21"/>
                      <w:szCs w:val="21"/>
                      <w:highlight w:val="none"/>
                      <w:u w:val="none" w:color="auto"/>
                    </w:rPr>
                  </w:pPr>
                  <w:r>
                    <w:rPr>
                      <w:rFonts w:hint="default" w:ascii="Times New Roman" w:hAnsi="Times New Roman" w:eastAsia="宋体" w:cs="Times New Roman"/>
                      <w:bCs/>
                      <w:color w:val="auto"/>
                      <w:sz w:val="21"/>
                      <w:szCs w:val="21"/>
                      <w:highlight w:val="none"/>
                    </w:rPr>
                    <w:t>颗粒物</w:t>
                  </w:r>
                </w:p>
              </w:tc>
              <w:tc>
                <w:tcPr>
                  <w:tcW w:w="930" w:type="pct"/>
                  <w:tcBorders>
                    <w:tl2br w:val="nil"/>
                    <w:tr2bl w:val="nil"/>
                  </w:tcBorders>
                  <w:noWrap w:val="0"/>
                  <w:vAlign w:val="center"/>
                </w:tcPr>
                <w:p w14:paraId="7B1D3426">
                  <w:pPr>
                    <w:pStyle w:val="84"/>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u w:val="none" w:color="auto"/>
                      <w:lang w:val="en-US" w:eastAsia="zh-CN"/>
                    </w:rPr>
                  </w:pPr>
                  <w:r>
                    <w:rPr>
                      <w:rFonts w:hint="eastAsia" w:ascii="Times New Roman" w:cs="Times New Roman"/>
                      <w:color w:val="auto"/>
                      <w:spacing w:val="0"/>
                      <w:w w:val="100"/>
                      <w:position w:val="0"/>
                      <w:sz w:val="21"/>
                      <w:szCs w:val="21"/>
                      <w:highlight w:val="none"/>
                      <w:u w:val="none" w:color="auto"/>
                      <w:lang w:val="en-US" w:eastAsia="zh-CN"/>
                    </w:rPr>
                    <w:t>0.491</w:t>
                  </w:r>
                </w:p>
              </w:tc>
            </w:tr>
            <w:tr w14:paraId="04B41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pct"/>
                  <w:gridSpan w:val="2"/>
                  <w:vMerge w:val="continue"/>
                  <w:tcBorders>
                    <w:tl2br w:val="nil"/>
                    <w:tr2bl w:val="nil"/>
                  </w:tcBorders>
                  <w:noWrap w:val="0"/>
                  <w:vAlign w:val="center"/>
                </w:tcPr>
                <w:p w14:paraId="5C582B01">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position w:val="0"/>
                      <w:sz w:val="21"/>
                      <w:szCs w:val="21"/>
                      <w:highlight w:val="none"/>
                      <w:u w:val="none" w:color="auto"/>
                    </w:rPr>
                  </w:pPr>
                </w:p>
              </w:tc>
              <w:tc>
                <w:tcPr>
                  <w:tcW w:w="2834" w:type="pct"/>
                  <w:gridSpan w:val="3"/>
                  <w:tcBorders>
                    <w:tl2br w:val="nil"/>
                    <w:tr2bl w:val="nil"/>
                  </w:tcBorders>
                  <w:noWrap w:val="0"/>
                  <w:vAlign w:val="center"/>
                </w:tcPr>
                <w:p w14:paraId="093EF70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pacing w:val="0"/>
                      <w:w w:val="100"/>
                      <w:position w:val="0"/>
                      <w:sz w:val="21"/>
                      <w:szCs w:val="21"/>
                      <w:highlight w:val="none"/>
                      <w:u w:val="none" w:color="auto"/>
                      <w:lang w:eastAsia="zh-CN"/>
                    </w:rPr>
                  </w:pPr>
                  <w:r>
                    <w:rPr>
                      <w:rFonts w:hint="eastAsia" w:ascii="Times New Roman" w:hAnsi="Times New Roman" w:eastAsia="宋体" w:cs="Times New Roman"/>
                      <w:bCs/>
                      <w:color w:val="auto"/>
                      <w:sz w:val="21"/>
                      <w:szCs w:val="21"/>
                      <w:highlight w:val="none"/>
                      <w:lang w:eastAsia="zh-CN"/>
                    </w:rPr>
                    <w:t>二甲苯</w:t>
                  </w:r>
                </w:p>
              </w:tc>
              <w:tc>
                <w:tcPr>
                  <w:tcW w:w="930" w:type="pct"/>
                  <w:tcBorders>
                    <w:tl2br w:val="nil"/>
                    <w:tr2bl w:val="nil"/>
                  </w:tcBorders>
                  <w:shd w:val="clear" w:color="auto" w:fill="auto"/>
                  <w:noWrap w:val="0"/>
                  <w:vAlign w:val="center"/>
                </w:tcPr>
                <w:p w14:paraId="02A572E9">
                  <w:pPr>
                    <w:keepNext w:val="0"/>
                    <w:keepLines w:val="0"/>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36</w:t>
                  </w:r>
                </w:p>
              </w:tc>
            </w:tr>
            <w:tr w14:paraId="71649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5" w:type="pct"/>
                  <w:gridSpan w:val="2"/>
                  <w:vMerge w:val="continue"/>
                  <w:tcBorders>
                    <w:tl2br w:val="nil"/>
                    <w:tr2bl w:val="nil"/>
                  </w:tcBorders>
                  <w:noWrap w:val="0"/>
                  <w:vAlign w:val="center"/>
                </w:tcPr>
                <w:p w14:paraId="4929A9F8">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pacing w:val="0"/>
                      <w:w w:val="100"/>
                      <w:position w:val="0"/>
                      <w:sz w:val="21"/>
                      <w:szCs w:val="21"/>
                      <w:highlight w:val="none"/>
                      <w:u w:val="none" w:color="auto"/>
                    </w:rPr>
                  </w:pPr>
                </w:p>
              </w:tc>
              <w:tc>
                <w:tcPr>
                  <w:tcW w:w="2834" w:type="pct"/>
                  <w:gridSpan w:val="3"/>
                  <w:tcBorders>
                    <w:tl2br w:val="nil"/>
                    <w:tr2bl w:val="nil"/>
                  </w:tcBorders>
                  <w:noWrap w:val="0"/>
                  <w:vAlign w:val="center"/>
                </w:tcPr>
                <w:p w14:paraId="0C18BD0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pacing w:val="0"/>
                      <w:w w:val="100"/>
                      <w:position w:val="0"/>
                      <w:sz w:val="21"/>
                      <w:szCs w:val="21"/>
                      <w:highlight w:val="none"/>
                      <w:u w:val="none" w:color="auto"/>
                    </w:rPr>
                  </w:pPr>
                  <w:r>
                    <w:rPr>
                      <w:rFonts w:hint="eastAsia" w:ascii="Times New Roman" w:hAnsi="Times New Roman" w:eastAsia="宋体" w:cs="Times New Roman"/>
                      <w:bCs/>
                      <w:color w:val="auto"/>
                      <w:sz w:val="21"/>
                      <w:szCs w:val="21"/>
                      <w:highlight w:val="none"/>
                    </w:rPr>
                    <w:t>VOCs</w:t>
                  </w:r>
                </w:p>
              </w:tc>
              <w:tc>
                <w:tcPr>
                  <w:tcW w:w="930" w:type="pct"/>
                  <w:tcBorders>
                    <w:tl2br w:val="nil"/>
                    <w:tr2bl w:val="nil"/>
                  </w:tcBorders>
                  <w:shd w:val="clear" w:color="auto" w:fill="auto"/>
                  <w:noWrap w:val="0"/>
                  <w:vAlign w:val="center"/>
                </w:tcPr>
                <w:p w14:paraId="46CBC85B">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0.2</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16</w:t>
                  </w:r>
                </w:p>
              </w:tc>
            </w:tr>
          </w:tbl>
          <w:p w14:paraId="053EF6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w:t>
            </w:r>
            <w:r>
              <w:rPr>
                <w:rFonts w:hint="eastAsia" w:cs="Times New Roman"/>
                <w:color w:val="000000" w:themeColor="text1"/>
                <w:spacing w:val="0"/>
                <w:w w:val="100"/>
                <w:position w:val="0"/>
                <w:sz w:val="24"/>
                <w:szCs w:val="24"/>
                <w:highlight w:val="none"/>
                <w:u w:val="none" w:color="auto"/>
                <w:lang w:val="en-US" w:eastAsia="zh-CN"/>
                <w14:textFill>
                  <w14:solidFill>
                    <w14:schemeClr w14:val="tx1"/>
                  </w14:solidFill>
                </w14:textFill>
              </w:rPr>
              <w:t>2</w:t>
            </w: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）废气无组织排放量核算表如下：</w:t>
            </w:r>
          </w:p>
          <w:p w14:paraId="205D652F">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表4-</w:t>
            </w:r>
            <w:r>
              <w:rPr>
                <w:rFonts w:hint="eastAsia"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4</w:t>
            </w: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本项目大气污染物无组织排放量核算表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1"/>
              <w:gridCol w:w="656"/>
              <w:gridCol w:w="750"/>
              <w:gridCol w:w="961"/>
              <w:gridCol w:w="1130"/>
              <w:gridCol w:w="2714"/>
              <w:gridCol w:w="1036"/>
              <w:gridCol w:w="1005"/>
            </w:tblGrid>
            <w:tr w14:paraId="2C3C7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 w:type="pct"/>
                  <w:vMerge w:val="restart"/>
                  <w:tcBorders>
                    <w:tl2br w:val="nil"/>
                    <w:tr2bl w:val="nil"/>
                  </w:tcBorders>
                  <w:noWrap w:val="0"/>
                  <w:vAlign w:val="center"/>
                </w:tcPr>
                <w:p w14:paraId="3BF22AE6">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序号</w:t>
                  </w:r>
                </w:p>
              </w:tc>
              <w:tc>
                <w:tcPr>
                  <w:tcW w:w="378" w:type="pct"/>
                  <w:vMerge w:val="restart"/>
                  <w:tcBorders>
                    <w:tl2br w:val="nil"/>
                    <w:tr2bl w:val="nil"/>
                  </w:tcBorders>
                  <w:noWrap w:val="0"/>
                  <w:vAlign w:val="center"/>
                </w:tcPr>
                <w:p w14:paraId="273DB754">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排放口编号</w:t>
                  </w:r>
                </w:p>
              </w:tc>
              <w:tc>
                <w:tcPr>
                  <w:tcW w:w="432" w:type="pct"/>
                  <w:vMerge w:val="restart"/>
                  <w:tcBorders>
                    <w:tl2br w:val="nil"/>
                    <w:tr2bl w:val="nil"/>
                  </w:tcBorders>
                  <w:noWrap w:val="0"/>
                  <w:vAlign w:val="center"/>
                </w:tcPr>
                <w:p w14:paraId="7380A637">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产污环节</w:t>
                  </w:r>
                </w:p>
              </w:tc>
              <w:tc>
                <w:tcPr>
                  <w:tcW w:w="553" w:type="pct"/>
                  <w:vMerge w:val="restart"/>
                  <w:tcBorders>
                    <w:tl2br w:val="nil"/>
                    <w:tr2bl w:val="nil"/>
                  </w:tcBorders>
                  <w:noWrap w:val="0"/>
                  <w:vAlign w:val="center"/>
                </w:tcPr>
                <w:p w14:paraId="425999A5">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污染物</w:t>
                  </w:r>
                </w:p>
              </w:tc>
              <w:tc>
                <w:tcPr>
                  <w:tcW w:w="651" w:type="pct"/>
                  <w:vMerge w:val="restart"/>
                  <w:tcBorders>
                    <w:tl2br w:val="nil"/>
                    <w:tr2bl w:val="nil"/>
                  </w:tcBorders>
                  <w:noWrap w:val="0"/>
                  <w:vAlign w:val="center"/>
                </w:tcPr>
                <w:p w14:paraId="3D10CED8">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主要污染防治措施</w:t>
                  </w:r>
                </w:p>
              </w:tc>
              <w:tc>
                <w:tcPr>
                  <w:tcW w:w="2161" w:type="pct"/>
                  <w:gridSpan w:val="2"/>
                  <w:tcBorders>
                    <w:tl2br w:val="nil"/>
                    <w:tr2bl w:val="nil"/>
                  </w:tcBorders>
                  <w:noWrap w:val="0"/>
                  <w:vAlign w:val="center"/>
                </w:tcPr>
                <w:p w14:paraId="117CE700">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国家或地方污染物排放标准</w:t>
                  </w:r>
                </w:p>
              </w:tc>
              <w:tc>
                <w:tcPr>
                  <w:tcW w:w="579" w:type="pct"/>
                  <w:vMerge w:val="restart"/>
                  <w:tcBorders>
                    <w:tl2br w:val="nil"/>
                    <w:tr2bl w:val="nil"/>
                  </w:tcBorders>
                  <w:noWrap w:val="0"/>
                  <w:vAlign w:val="center"/>
                </w:tcPr>
                <w:p w14:paraId="7571DBC8">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年排放量（t/a）</w:t>
                  </w:r>
                </w:p>
              </w:tc>
            </w:tr>
            <w:tr w14:paraId="2918E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 w:type="pct"/>
                  <w:vMerge w:val="continue"/>
                  <w:tcBorders>
                    <w:tl2br w:val="nil"/>
                    <w:tr2bl w:val="nil"/>
                  </w:tcBorders>
                  <w:noWrap w:val="0"/>
                  <w:vAlign w:val="center"/>
                </w:tcPr>
                <w:p w14:paraId="557114F0">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p>
              </w:tc>
              <w:tc>
                <w:tcPr>
                  <w:tcW w:w="378" w:type="pct"/>
                  <w:vMerge w:val="continue"/>
                  <w:tcBorders>
                    <w:tl2br w:val="nil"/>
                    <w:tr2bl w:val="nil"/>
                  </w:tcBorders>
                  <w:noWrap w:val="0"/>
                  <w:vAlign w:val="center"/>
                </w:tcPr>
                <w:p w14:paraId="3ADA8BEF">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p>
              </w:tc>
              <w:tc>
                <w:tcPr>
                  <w:tcW w:w="432" w:type="pct"/>
                  <w:vMerge w:val="continue"/>
                  <w:tcBorders>
                    <w:tl2br w:val="nil"/>
                    <w:tr2bl w:val="nil"/>
                  </w:tcBorders>
                  <w:noWrap w:val="0"/>
                  <w:vAlign w:val="center"/>
                </w:tcPr>
                <w:p w14:paraId="2F18214F">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p>
              </w:tc>
              <w:tc>
                <w:tcPr>
                  <w:tcW w:w="553" w:type="pct"/>
                  <w:vMerge w:val="continue"/>
                  <w:tcBorders>
                    <w:tl2br w:val="nil"/>
                    <w:tr2bl w:val="nil"/>
                  </w:tcBorders>
                  <w:noWrap w:val="0"/>
                  <w:vAlign w:val="center"/>
                </w:tcPr>
                <w:p w14:paraId="484C8D94">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p>
              </w:tc>
              <w:tc>
                <w:tcPr>
                  <w:tcW w:w="651" w:type="pct"/>
                  <w:vMerge w:val="continue"/>
                  <w:tcBorders>
                    <w:tl2br w:val="nil"/>
                    <w:tr2bl w:val="nil"/>
                  </w:tcBorders>
                  <w:noWrap w:val="0"/>
                  <w:vAlign w:val="center"/>
                </w:tcPr>
                <w:p w14:paraId="3C8CD1D7">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p>
              </w:tc>
              <w:tc>
                <w:tcPr>
                  <w:tcW w:w="1564" w:type="pct"/>
                  <w:tcBorders>
                    <w:tl2br w:val="nil"/>
                    <w:tr2bl w:val="nil"/>
                  </w:tcBorders>
                  <w:noWrap w:val="0"/>
                  <w:vAlign w:val="center"/>
                </w:tcPr>
                <w:p w14:paraId="3BCE6CD8">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标准名称</w:t>
                  </w:r>
                </w:p>
              </w:tc>
              <w:tc>
                <w:tcPr>
                  <w:tcW w:w="597" w:type="pct"/>
                  <w:tcBorders>
                    <w:tl2br w:val="nil"/>
                    <w:tr2bl w:val="nil"/>
                  </w:tcBorders>
                  <w:noWrap w:val="0"/>
                  <w:vAlign w:val="center"/>
                </w:tcPr>
                <w:p w14:paraId="29FB8E9D">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浓度</w:t>
                  </w:r>
                </w:p>
                <w:p w14:paraId="75B382F0">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限值</w:t>
                  </w:r>
                </w:p>
                <w:p w14:paraId="25F670C5">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mg/m</w:t>
                  </w:r>
                  <w:r>
                    <w:rPr>
                      <w:rFonts w:hint="default" w:ascii="Times New Roman" w:hAnsi="Times New Roman" w:eastAsia="宋体" w:cs="Times New Roman"/>
                      <w:b/>
                      <w:bCs/>
                      <w:color w:val="000000" w:themeColor="text1"/>
                      <w:spacing w:val="0"/>
                      <w:w w:val="100"/>
                      <w:position w:val="0"/>
                      <w:sz w:val="21"/>
                      <w:szCs w:val="21"/>
                      <w:highlight w:val="none"/>
                      <w:u w:val="none" w:color="auto"/>
                      <w:vertAlign w:val="superscript"/>
                      <w14:textFill>
                        <w14:solidFill>
                          <w14:schemeClr w14:val="tx1"/>
                        </w14:solidFill>
                      </w14:textFill>
                    </w:rPr>
                    <w:t>3</w:t>
                  </w:r>
                </w:p>
              </w:tc>
              <w:tc>
                <w:tcPr>
                  <w:tcW w:w="579" w:type="pct"/>
                  <w:vMerge w:val="continue"/>
                  <w:tcBorders>
                    <w:tl2br w:val="nil"/>
                    <w:tr2bl w:val="nil"/>
                  </w:tcBorders>
                  <w:noWrap w:val="0"/>
                  <w:vAlign w:val="center"/>
                </w:tcPr>
                <w:p w14:paraId="6A510D9B">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p>
              </w:tc>
            </w:tr>
            <w:tr w14:paraId="1A12D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43" w:type="pct"/>
                  <w:tcBorders>
                    <w:tl2br w:val="nil"/>
                    <w:tr2bl w:val="nil"/>
                  </w:tcBorders>
                  <w:noWrap w:val="0"/>
                  <w:vAlign w:val="center"/>
                </w:tcPr>
                <w:p w14:paraId="5C688E96">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378" w:type="pct"/>
                  <w:tcBorders>
                    <w:tl2br w:val="nil"/>
                    <w:tr2bl w:val="nil"/>
                  </w:tcBorders>
                  <w:noWrap w:val="0"/>
                  <w:vAlign w:val="center"/>
                </w:tcPr>
                <w:p w14:paraId="2C8090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spacing w:val="0"/>
                      <w:w w:val="100"/>
                      <w:position w:val="0"/>
                      <w:sz w:val="21"/>
                      <w:szCs w:val="21"/>
                      <w:highlight w:val="none"/>
                      <w:u w:val="none" w:color="auto"/>
                      <w:lang w:eastAsia="zh-CN"/>
                      <w14:textFill>
                        <w14:solidFill>
                          <w14:schemeClr w14:val="tx1"/>
                        </w14:solidFill>
                      </w14:textFill>
                    </w:rPr>
                  </w:pPr>
                  <w:r>
                    <w:rPr>
                      <w:rFonts w:hint="eastAsia" w:cs="Times New Roman"/>
                      <w:color w:val="000000" w:themeColor="text1"/>
                      <w:spacing w:val="0"/>
                      <w:w w:val="100"/>
                      <w:position w:val="0"/>
                      <w:sz w:val="21"/>
                      <w:szCs w:val="21"/>
                      <w:highlight w:val="none"/>
                      <w:u w:val="none" w:color="auto"/>
                      <w:lang w:eastAsia="zh-CN"/>
                      <w14:textFill>
                        <w14:solidFill>
                          <w14:schemeClr w14:val="tx1"/>
                        </w14:solidFill>
                      </w14:textFill>
                    </w:rPr>
                    <w:t>厂界</w:t>
                  </w:r>
                </w:p>
              </w:tc>
              <w:tc>
                <w:tcPr>
                  <w:tcW w:w="432" w:type="pct"/>
                  <w:tcBorders>
                    <w:tl2br w:val="nil"/>
                    <w:tr2bl w:val="nil"/>
                  </w:tcBorders>
                  <w:noWrap w:val="0"/>
                  <w:vAlign w:val="center"/>
                </w:tcPr>
                <w:p w14:paraId="45AA09FA">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bCs/>
                      <w:color w:val="auto"/>
                      <w:sz w:val="21"/>
                      <w:szCs w:val="21"/>
                      <w:highlight w:val="none"/>
                      <w:lang w:val="en-US" w:eastAsia="zh-CN"/>
                    </w:rPr>
                    <w:t>下料</w:t>
                  </w:r>
                </w:p>
              </w:tc>
              <w:tc>
                <w:tcPr>
                  <w:tcW w:w="553" w:type="pct"/>
                  <w:tcBorders>
                    <w:tl2br w:val="nil"/>
                    <w:tr2bl w:val="nil"/>
                  </w:tcBorders>
                  <w:noWrap w:val="0"/>
                  <w:vAlign w:val="center"/>
                </w:tcPr>
                <w:p w14:paraId="54E624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auto"/>
                      <w:sz w:val="21"/>
                      <w:szCs w:val="21"/>
                      <w:highlight w:val="none"/>
                      <w:lang w:eastAsia="zh-CN"/>
                    </w:rPr>
                    <w:t>颗粒物</w:t>
                  </w:r>
                </w:p>
              </w:tc>
              <w:tc>
                <w:tcPr>
                  <w:tcW w:w="651" w:type="pct"/>
                  <w:tcBorders>
                    <w:tl2br w:val="nil"/>
                    <w:tr2bl w:val="nil"/>
                  </w:tcBorders>
                  <w:noWrap w:val="0"/>
                  <w:vAlign w:val="center"/>
                </w:tcPr>
                <w:p w14:paraId="03336AC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bCs/>
                      <w:color w:val="auto"/>
                      <w:sz w:val="21"/>
                      <w:szCs w:val="21"/>
                      <w:highlight w:val="none"/>
                    </w:rPr>
                    <w:t>重力沉降</w:t>
                  </w:r>
                </w:p>
              </w:tc>
              <w:tc>
                <w:tcPr>
                  <w:tcW w:w="1564" w:type="pct"/>
                  <w:tcBorders>
                    <w:tl2br w:val="nil"/>
                    <w:tr2bl w:val="nil"/>
                  </w:tcBorders>
                  <w:noWrap w:val="0"/>
                  <w:vAlign w:val="center"/>
                </w:tcPr>
                <w:p w14:paraId="571FFA21">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color w:val="auto"/>
                      <w:highlight w:val="none"/>
                      <w:u w:val="none" w:color="auto"/>
                    </w:rPr>
                    <w:t>《</w:t>
                  </w:r>
                  <w:r>
                    <w:rPr>
                      <w:rFonts w:hint="eastAsia"/>
                      <w:color w:val="auto"/>
                      <w:highlight w:val="none"/>
                      <w:u w:val="none" w:color="auto"/>
                      <w:lang w:eastAsia="zh-CN"/>
                    </w:rPr>
                    <w:t>大气污染物综合排放标准</w:t>
                  </w:r>
                  <w:r>
                    <w:rPr>
                      <w:rFonts w:hint="default"/>
                      <w:color w:val="auto"/>
                      <w:highlight w:val="none"/>
                      <w:u w:val="none" w:color="auto"/>
                    </w:rPr>
                    <w:t>》（GB</w:t>
                  </w:r>
                  <w:r>
                    <w:rPr>
                      <w:rFonts w:hint="eastAsia"/>
                      <w:color w:val="auto"/>
                      <w:highlight w:val="none"/>
                      <w:u w:val="none" w:color="auto"/>
                    </w:rPr>
                    <w:t xml:space="preserve"> 16297-</w:t>
                  </w:r>
                  <w:r>
                    <w:rPr>
                      <w:rFonts w:hint="eastAsia"/>
                      <w:color w:val="auto"/>
                      <w:highlight w:val="none"/>
                      <w:u w:val="none" w:color="auto"/>
                      <w:lang w:val="en-US" w:eastAsia="zh-CN"/>
                    </w:rPr>
                    <w:t>1996</w:t>
                  </w:r>
                  <w:r>
                    <w:rPr>
                      <w:rFonts w:hint="default"/>
                      <w:color w:val="auto"/>
                      <w:highlight w:val="none"/>
                      <w:u w:val="none" w:color="auto"/>
                    </w:rPr>
                    <w:t>）</w:t>
                  </w:r>
                  <w:r>
                    <w:rPr>
                      <w:rFonts w:hint="eastAsia"/>
                      <w:color w:val="auto"/>
                      <w:highlight w:val="none"/>
                      <w:u w:val="none" w:color="auto"/>
                      <w:lang w:eastAsia="zh-CN"/>
                    </w:rPr>
                    <w:t>中表</w:t>
                  </w:r>
                  <w:r>
                    <w:rPr>
                      <w:rFonts w:hint="eastAsia"/>
                      <w:color w:val="auto"/>
                      <w:highlight w:val="none"/>
                      <w:u w:val="none" w:color="auto"/>
                      <w:lang w:val="en-US" w:eastAsia="zh-CN"/>
                    </w:rPr>
                    <w:t>2无组织排放限值</w:t>
                  </w:r>
                </w:p>
              </w:tc>
              <w:tc>
                <w:tcPr>
                  <w:tcW w:w="597" w:type="pct"/>
                  <w:tcBorders>
                    <w:tl2br w:val="nil"/>
                    <w:tr2bl w:val="nil"/>
                  </w:tcBorders>
                  <w:noWrap w:val="0"/>
                  <w:vAlign w:val="center"/>
                </w:tcPr>
                <w:p w14:paraId="2AFFE980">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t>.0</w:t>
                  </w:r>
                </w:p>
              </w:tc>
              <w:tc>
                <w:tcPr>
                  <w:tcW w:w="579" w:type="pct"/>
                  <w:tcBorders>
                    <w:tl2br w:val="nil"/>
                    <w:tr2bl w:val="nil"/>
                  </w:tcBorders>
                  <w:noWrap w:val="0"/>
                  <w:vAlign w:val="center"/>
                </w:tcPr>
                <w:p w14:paraId="4D8B7A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strike w:val="0"/>
                      <w:dstrike w:val="0"/>
                      <w:color w:val="auto"/>
                      <w:sz w:val="21"/>
                      <w:szCs w:val="21"/>
                      <w:u w:val="none"/>
                      <w:lang w:val="en-US" w:eastAsia="zh-CN"/>
                    </w:rPr>
                    <w:t>0.245</w:t>
                  </w:r>
                </w:p>
              </w:tc>
            </w:tr>
            <w:tr w14:paraId="1B2A6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 w:type="pct"/>
                  <w:tcBorders>
                    <w:tl2br w:val="nil"/>
                    <w:tr2bl w:val="nil"/>
                  </w:tcBorders>
                  <w:noWrap w:val="0"/>
                  <w:vAlign w:val="center"/>
                </w:tcPr>
                <w:p w14:paraId="20081237">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w:t>
                  </w:r>
                </w:p>
              </w:tc>
              <w:tc>
                <w:tcPr>
                  <w:tcW w:w="378" w:type="pct"/>
                  <w:tcBorders>
                    <w:tl2br w:val="nil"/>
                    <w:tr2bl w:val="nil"/>
                  </w:tcBorders>
                  <w:noWrap w:val="0"/>
                  <w:vAlign w:val="center"/>
                </w:tcPr>
                <w:p w14:paraId="646897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cs="Times New Roman"/>
                      <w:color w:val="000000" w:themeColor="text1"/>
                      <w:spacing w:val="0"/>
                      <w:w w:val="100"/>
                      <w:position w:val="0"/>
                      <w:sz w:val="21"/>
                      <w:szCs w:val="21"/>
                      <w:highlight w:val="none"/>
                      <w:u w:val="none" w:color="auto"/>
                      <w:lang w:eastAsia="zh-CN"/>
                      <w14:textFill>
                        <w14:solidFill>
                          <w14:schemeClr w14:val="tx1"/>
                        </w14:solidFill>
                      </w14:textFill>
                    </w:rPr>
                    <w:t>厂界</w:t>
                  </w:r>
                </w:p>
              </w:tc>
              <w:tc>
                <w:tcPr>
                  <w:tcW w:w="432" w:type="pct"/>
                  <w:tcBorders>
                    <w:tl2br w:val="nil"/>
                    <w:tr2bl w:val="nil"/>
                  </w:tcBorders>
                  <w:noWrap w:val="0"/>
                  <w:vAlign w:val="center"/>
                </w:tcPr>
                <w:p w14:paraId="2D5EE09F">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bCs/>
                      <w:color w:val="auto"/>
                      <w:sz w:val="21"/>
                      <w:szCs w:val="21"/>
                      <w:highlight w:val="none"/>
                    </w:rPr>
                    <w:t>焊接</w:t>
                  </w:r>
                </w:p>
              </w:tc>
              <w:tc>
                <w:tcPr>
                  <w:tcW w:w="553" w:type="pct"/>
                  <w:tcBorders>
                    <w:tl2br w:val="nil"/>
                    <w:tr2bl w:val="nil"/>
                  </w:tcBorders>
                  <w:noWrap w:val="0"/>
                  <w:vAlign w:val="center"/>
                </w:tcPr>
                <w:p w14:paraId="1F112D84">
                  <w:pPr>
                    <w:pStyle w:val="6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auto"/>
                      <w:sz w:val="21"/>
                      <w:szCs w:val="21"/>
                      <w:highlight w:val="none"/>
                      <w:lang w:eastAsia="zh-CN"/>
                    </w:rPr>
                    <w:t>颗粒物</w:t>
                  </w:r>
                </w:p>
              </w:tc>
              <w:tc>
                <w:tcPr>
                  <w:tcW w:w="651" w:type="pct"/>
                  <w:tcBorders>
                    <w:tl2br w:val="nil"/>
                    <w:tr2bl w:val="nil"/>
                  </w:tcBorders>
                  <w:noWrap w:val="0"/>
                  <w:vAlign w:val="center"/>
                </w:tcPr>
                <w:p w14:paraId="3E3F8BE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bCs/>
                      <w:color w:val="auto"/>
                      <w:sz w:val="21"/>
                      <w:szCs w:val="21"/>
                      <w:highlight w:val="none"/>
                    </w:rPr>
                    <w:t>移动式焊烟净化器</w:t>
                  </w:r>
                </w:p>
              </w:tc>
              <w:tc>
                <w:tcPr>
                  <w:tcW w:w="1564" w:type="pct"/>
                  <w:tcBorders>
                    <w:tl2br w:val="nil"/>
                    <w:tr2bl w:val="nil"/>
                  </w:tcBorders>
                  <w:noWrap w:val="0"/>
                  <w:vAlign w:val="center"/>
                </w:tcPr>
                <w:p w14:paraId="21F8AE44">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color w:val="auto"/>
                      <w:highlight w:val="none"/>
                      <w:u w:val="none" w:color="auto"/>
                    </w:rPr>
                    <w:t>《</w:t>
                  </w:r>
                  <w:r>
                    <w:rPr>
                      <w:rFonts w:hint="eastAsia"/>
                      <w:color w:val="auto"/>
                      <w:highlight w:val="none"/>
                      <w:u w:val="none" w:color="auto"/>
                      <w:lang w:eastAsia="zh-CN"/>
                    </w:rPr>
                    <w:t>大气污染物综合排放标准</w:t>
                  </w:r>
                  <w:r>
                    <w:rPr>
                      <w:rFonts w:hint="default"/>
                      <w:color w:val="auto"/>
                      <w:highlight w:val="none"/>
                      <w:u w:val="none" w:color="auto"/>
                    </w:rPr>
                    <w:t>》（GB</w:t>
                  </w:r>
                  <w:r>
                    <w:rPr>
                      <w:rFonts w:hint="eastAsia"/>
                      <w:color w:val="auto"/>
                      <w:highlight w:val="none"/>
                      <w:u w:val="none" w:color="auto"/>
                    </w:rPr>
                    <w:t xml:space="preserve"> 16297-</w:t>
                  </w:r>
                  <w:r>
                    <w:rPr>
                      <w:rFonts w:hint="eastAsia"/>
                      <w:color w:val="auto"/>
                      <w:highlight w:val="none"/>
                      <w:u w:val="none" w:color="auto"/>
                      <w:lang w:val="en-US" w:eastAsia="zh-CN"/>
                    </w:rPr>
                    <w:t>1996</w:t>
                  </w:r>
                  <w:r>
                    <w:rPr>
                      <w:rFonts w:hint="default"/>
                      <w:color w:val="auto"/>
                      <w:highlight w:val="none"/>
                      <w:u w:val="none" w:color="auto"/>
                    </w:rPr>
                    <w:t>）</w:t>
                  </w:r>
                  <w:r>
                    <w:rPr>
                      <w:rFonts w:hint="eastAsia"/>
                      <w:color w:val="auto"/>
                      <w:highlight w:val="none"/>
                      <w:u w:val="none" w:color="auto"/>
                      <w:lang w:eastAsia="zh-CN"/>
                    </w:rPr>
                    <w:t>中表</w:t>
                  </w:r>
                  <w:r>
                    <w:rPr>
                      <w:rFonts w:hint="eastAsia"/>
                      <w:color w:val="auto"/>
                      <w:highlight w:val="none"/>
                      <w:u w:val="none" w:color="auto"/>
                      <w:lang w:val="en-US" w:eastAsia="zh-CN"/>
                    </w:rPr>
                    <w:t>2无组织排放限值</w:t>
                  </w:r>
                </w:p>
              </w:tc>
              <w:tc>
                <w:tcPr>
                  <w:tcW w:w="597" w:type="pct"/>
                  <w:tcBorders>
                    <w:tl2br w:val="nil"/>
                    <w:tr2bl w:val="nil"/>
                  </w:tcBorders>
                  <w:noWrap w:val="0"/>
                  <w:vAlign w:val="center"/>
                </w:tcPr>
                <w:p w14:paraId="53A3EE74">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t>.0</w:t>
                  </w:r>
                </w:p>
              </w:tc>
              <w:tc>
                <w:tcPr>
                  <w:tcW w:w="579" w:type="pct"/>
                  <w:tcBorders>
                    <w:tl2br w:val="nil"/>
                    <w:tr2bl w:val="nil"/>
                  </w:tcBorders>
                  <w:noWrap w:val="0"/>
                  <w:vAlign w:val="center"/>
                </w:tcPr>
                <w:p w14:paraId="045943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069</w:t>
                  </w:r>
                </w:p>
              </w:tc>
            </w:tr>
            <w:tr w14:paraId="4D72C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 w:type="pct"/>
                  <w:tcBorders>
                    <w:tl2br w:val="nil"/>
                    <w:tr2bl w:val="nil"/>
                  </w:tcBorders>
                  <w:noWrap w:val="0"/>
                  <w:vAlign w:val="center"/>
                </w:tcPr>
                <w:p w14:paraId="77D2BA91">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w:t>
                  </w:r>
                </w:p>
              </w:tc>
              <w:tc>
                <w:tcPr>
                  <w:tcW w:w="378" w:type="pct"/>
                  <w:tcBorders>
                    <w:tl2br w:val="nil"/>
                    <w:tr2bl w:val="nil"/>
                  </w:tcBorders>
                  <w:noWrap w:val="0"/>
                  <w:vAlign w:val="center"/>
                </w:tcPr>
                <w:p w14:paraId="3B83C3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cs="Times New Roman"/>
                      <w:color w:val="000000" w:themeColor="text1"/>
                      <w:spacing w:val="0"/>
                      <w:w w:val="100"/>
                      <w:position w:val="0"/>
                      <w:sz w:val="21"/>
                      <w:szCs w:val="21"/>
                      <w:highlight w:val="none"/>
                      <w:u w:val="none" w:color="auto"/>
                      <w:lang w:eastAsia="zh-CN"/>
                      <w14:textFill>
                        <w14:solidFill>
                          <w14:schemeClr w14:val="tx1"/>
                        </w14:solidFill>
                      </w14:textFill>
                    </w:rPr>
                    <w:t>厂界</w:t>
                  </w:r>
                </w:p>
              </w:tc>
              <w:tc>
                <w:tcPr>
                  <w:tcW w:w="432" w:type="pct"/>
                  <w:tcBorders>
                    <w:tl2br w:val="nil"/>
                    <w:tr2bl w:val="nil"/>
                  </w:tcBorders>
                  <w:noWrap w:val="0"/>
                  <w:vAlign w:val="center"/>
                </w:tcPr>
                <w:p w14:paraId="384AA35A">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抛丸</w:t>
                  </w:r>
                </w:p>
              </w:tc>
              <w:tc>
                <w:tcPr>
                  <w:tcW w:w="553" w:type="pct"/>
                  <w:tcBorders>
                    <w:tl2br w:val="nil"/>
                    <w:tr2bl w:val="nil"/>
                  </w:tcBorders>
                  <w:noWrap w:val="0"/>
                  <w:vAlign w:val="center"/>
                </w:tcPr>
                <w:p w14:paraId="4FA37A7F">
                  <w:pPr>
                    <w:pStyle w:val="6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颗粒物</w:t>
                  </w:r>
                </w:p>
              </w:tc>
              <w:tc>
                <w:tcPr>
                  <w:tcW w:w="651" w:type="pct"/>
                  <w:tcBorders>
                    <w:tl2br w:val="nil"/>
                    <w:tr2bl w:val="nil"/>
                  </w:tcBorders>
                  <w:noWrap w:val="0"/>
                  <w:vAlign w:val="center"/>
                </w:tcPr>
                <w:p w14:paraId="72C7FDD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自然沉降</w:t>
                  </w:r>
                </w:p>
              </w:tc>
              <w:tc>
                <w:tcPr>
                  <w:tcW w:w="1564" w:type="pct"/>
                  <w:tcBorders>
                    <w:tl2br w:val="nil"/>
                    <w:tr2bl w:val="nil"/>
                  </w:tcBorders>
                  <w:noWrap w:val="0"/>
                  <w:vAlign w:val="center"/>
                </w:tcPr>
                <w:p w14:paraId="0D074483">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auto"/>
                      <w:highlight w:val="none"/>
                      <w:u w:val="none" w:color="auto"/>
                    </w:rPr>
                  </w:pPr>
                  <w:r>
                    <w:rPr>
                      <w:rFonts w:hint="default"/>
                      <w:color w:val="auto"/>
                      <w:highlight w:val="none"/>
                      <w:u w:val="none" w:color="auto"/>
                    </w:rPr>
                    <w:t>《</w:t>
                  </w:r>
                  <w:r>
                    <w:rPr>
                      <w:rFonts w:hint="eastAsia"/>
                      <w:color w:val="auto"/>
                      <w:highlight w:val="none"/>
                      <w:u w:val="none" w:color="auto"/>
                      <w:lang w:eastAsia="zh-CN"/>
                    </w:rPr>
                    <w:t>大气污染物综合排放标准</w:t>
                  </w:r>
                  <w:r>
                    <w:rPr>
                      <w:rFonts w:hint="default"/>
                      <w:color w:val="auto"/>
                      <w:highlight w:val="none"/>
                      <w:u w:val="none" w:color="auto"/>
                    </w:rPr>
                    <w:t>》（GB</w:t>
                  </w:r>
                  <w:r>
                    <w:rPr>
                      <w:rFonts w:hint="eastAsia"/>
                      <w:color w:val="auto"/>
                      <w:highlight w:val="none"/>
                      <w:u w:val="none" w:color="auto"/>
                    </w:rPr>
                    <w:t xml:space="preserve"> 16297-</w:t>
                  </w:r>
                  <w:r>
                    <w:rPr>
                      <w:rFonts w:hint="eastAsia"/>
                      <w:color w:val="auto"/>
                      <w:highlight w:val="none"/>
                      <w:u w:val="none" w:color="auto"/>
                      <w:lang w:val="en-US" w:eastAsia="zh-CN"/>
                    </w:rPr>
                    <w:t>1996</w:t>
                  </w:r>
                  <w:r>
                    <w:rPr>
                      <w:rFonts w:hint="default"/>
                      <w:color w:val="auto"/>
                      <w:highlight w:val="none"/>
                      <w:u w:val="none" w:color="auto"/>
                    </w:rPr>
                    <w:t>）</w:t>
                  </w:r>
                  <w:r>
                    <w:rPr>
                      <w:rFonts w:hint="eastAsia"/>
                      <w:color w:val="auto"/>
                      <w:highlight w:val="none"/>
                      <w:u w:val="none" w:color="auto"/>
                      <w:lang w:eastAsia="zh-CN"/>
                    </w:rPr>
                    <w:t>中表</w:t>
                  </w:r>
                  <w:r>
                    <w:rPr>
                      <w:rFonts w:hint="eastAsia"/>
                      <w:color w:val="auto"/>
                      <w:highlight w:val="none"/>
                      <w:u w:val="none" w:color="auto"/>
                      <w:lang w:val="en-US" w:eastAsia="zh-CN"/>
                    </w:rPr>
                    <w:t>2无组织排放限值</w:t>
                  </w:r>
                </w:p>
              </w:tc>
              <w:tc>
                <w:tcPr>
                  <w:tcW w:w="597" w:type="pct"/>
                  <w:tcBorders>
                    <w:tl2br w:val="nil"/>
                    <w:tr2bl w:val="nil"/>
                  </w:tcBorders>
                  <w:noWrap w:val="0"/>
                  <w:vAlign w:val="center"/>
                </w:tcPr>
                <w:p w14:paraId="53749BC7">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t>.0</w:t>
                  </w:r>
                </w:p>
              </w:tc>
              <w:tc>
                <w:tcPr>
                  <w:tcW w:w="579" w:type="pct"/>
                  <w:tcBorders>
                    <w:tl2br w:val="nil"/>
                    <w:tr2bl w:val="nil"/>
                  </w:tcBorders>
                  <w:noWrap w:val="0"/>
                  <w:vAlign w:val="center"/>
                </w:tcPr>
                <w:p w14:paraId="5B37AA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u w:val="none" w:color="auto"/>
                      <w:lang w:val="en-US" w:eastAsia="zh-CN"/>
                    </w:rPr>
                    <w:t>0.</w:t>
                  </w:r>
                  <w:r>
                    <w:rPr>
                      <w:rFonts w:hint="default" w:ascii="Times New Roman" w:hAnsi="Times New Roman" w:cs="Times New Roman"/>
                      <w:color w:val="auto"/>
                      <w:sz w:val="21"/>
                      <w:szCs w:val="21"/>
                      <w:u w:val="none" w:color="auto"/>
                      <w:lang w:val="en-US" w:eastAsia="zh-CN"/>
                    </w:rPr>
                    <w:t>092</w:t>
                  </w:r>
                </w:p>
              </w:tc>
            </w:tr>
            <w:tr w14:paraId="0DD52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 w:type="pct"/>
                  <w:vMerge w:val="restart"/>
                  <w:tcBorders>
                    <w:tl2br w:val="nil"/>
                    <w:tr2bl w:val="nil"/>
                  </w:tcBorders>
                  <w:noWrap w:val="0"/>
                  <w:vAlign w:val="center"/>
                </w:tcPr>
                <w:p w14:paraId="58F2D247">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4</w:t>
                  </w:r>
                </w:p>
              </w:tc>
              <w:tc>
                <w:tcPr>
                  <w:tcW w:w="378" w:type="pct"/>
                  <w:vMerge w:val="restart"/>
                  <w:tcBorders>
                    <w:tl2br w:val="nil"/>
                    <w:tr2bl w:val="nil"/>
                  </w:tcBorders>
                  <w:noWrap w:val="0"/>
                  <w:vAlign w:val="center"/>
                </w:tcPr>
                <w:p w14:paraId="6E52AC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color w:val="000000" w:themeColor="text1"/>
                      <w:spacing w:val="0"/>
                      <w:w w:val="100"/>
                      <w:position w:val="0"/>
                      <w:sz w:val="21"/>
                      <w:szCs w:val="21"/>
                      <w:highlight w:val="none"/>
                      <w:u w:val="none" w:color="auto"/>
                      <w:lang w:eastAsia="zh-CN"/>
                      <w14:textFill>
                        <w14:solidFill>
                          <w14:schemeClr w14:val="tx1"/>
                        </w14:solidFill>
                      </w14:textFill>
                    </w:rPr>
                  </w:pPr>
                  <w:r>
                    <w:rPr>
                      <w:rFonts w:hint="eastAsia" w:cs="Times New Roman"/>
                      <w:color w:val="000000" w:themeColor="text1"/>
                      <w:spacing w:val="0"/>
                      <w:w w:val="100"/>
                      <w:position w:val="0"/>
                      <w:sz w:val="21"/>
                      <w:szCs w:val="21"/>
                      <w:highlight w:val="none"/>
                      <w:u w:val="none" w:color="auto"/>
                      <w:lang w:eastAsia="zh-CN"/>
                      <w14:textFill>
                        <w14:solidFill>
                          <w14:schemeClr w14:val="tx1"/>
                        </w14:solidFill>
                      </w14:textFill>
                    </w:rPr>
                    <w:t>厂界</w:t>
                  </w:r>
                </w:p>
              </w:tc>
              <w:tc>
                <w:tcPr>
                  <w:tcW w:w="432" w:type="pct"/>
                  <w:vMerge w:val="restart"/>
                  <w:tcBorders>
                    <w:tl2br w:val="nil"/>
                    <w:tr2bl w:val="nil"/>
                  </w:tcBorders>
                  <w:noWrap w:val="0"/>
                  <w:vAlign w:val="center"/>
                </w:tcPr>
                <w:p w14:paraId="39068E47">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eastAsia="zh-CN"/>
                    </w:rPr>
                    <w:t>调</w:t>
                  </w:r>
                  <w:r>
                    <w:rPr>
                      <w:rFonts w:hint="eastAsia" w:ascii="Times New Roman" w:hAnsi="Times New Roman" w:eastAsia="宋体" w:cs="Times New Roman"/>
                      <w:bCs/>
                      <w:color w:val="auto"/>
                      <w:sz w:val="21"/>
                      <w:szCs w:val="21"/>
                      <w:highlight w:val="none"/>
                      <w:lang w:val="en-US" w:eastAsia="zh-CN"/>
                    </w:rPr>
                    <w:t>漆、</w:t>
                  </w:r>
                  <w:r>
                    <w:rPr>
                      <w:rFonts w:hint="eastAsia" w:ascii="Times New Roman" w:hAnsi="Times New Roman" w:eastAsia="宋体" w:cs="Times New Roman"/>
                      <w:bCs/>
                      <w:color w:val="auto"/>
                      <w:sz w:val="21"/>
                      <w:szCs w:val="21"/>
                      <w:highlight w:val="none"/>
                    </w:rPr>
                    <w:t>喷漆、晾干</w:t>
                  </w:r>
                </w:p>
              </w:tc>
              <w:tc>
                <w:tcPr>
                  <w:tcW w:w="553" w:type="pct"/>
                  <w:tcBorders>
                    <w:tl2br w:val="nil"/>
                    <w:tr2bl w:val="nil"/>
                  </w:tcBorders>
                  <w:shd w:val="clear" w:color="auto" w:fill="auto"/>
                  <w:noWrap w:val="0"/>
                  <w:vAlign w:val="center"/>
                </w:tcPr>
                <w:p w14:paraId="66D08140">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颗粒物</w:t>
                  </w:r>
                </w:p>
              </w:tc>
              <w:tc>
                <w:tcPr>
                  <w:tcW w:w="651" w:type="pct"/>
                  <w:vMerge w:val="restart"/>
                  <w:tcBorders>
                    <w:tl2br w:val="nil"/>
                    <w:tr2bl w:val="nil"/>
                  </w:tcBorders>
                  <w:noWrap w:val="0"/>
                  <w:vAlign w:val="center"/>
                </w:tcPr>
                <w:p w14:paraId="0B51C5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eastAsia="zh-CN"/>
                    </w:rPr>
                    <w:t>加强通风</w:t>
                  </w:r>
                </w:p>
              </w:tc>
              <w:tc>
                <w:tcPr>
                  <w:tcW w:w="1564" w:type="pct"/>
                  <w:tcBorders>
                    <w:tl2br w:val="nil"/>
                    <w:tr2bl w:val="nil"/>
                  </w:tcBorders>
                  <w:shd w:val="clear" w:color="auto" w:fill="auto"/>
                  <w:noWrap w:val="0"/>
                  <w:vAlign w:val="center"/>
                </w:tcPr>
                <w:p w14:paraId="2990890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4"/>
                      <w:highlight w:val="none"/>
                      <w:u w:val="none" w:color="auto"/>
                      <w:lang w:val="en-US" w:eastAsia="zh-CN" w:bidi="ar-SA"/>
                    </w:rPr>
                  </w:pPr>
                  <w:r>
                    <w:rPr>
                      <w:rFonts w:hint="default"/>
                      <w:color w:val="auto"/>
                      <w:highlight w:val="none"/>
                      <w:u w:val="none" w:color="auto"/>
                    </w:rPr>
                    <w:t>《</w:t>
                  </w:r>
                  <w:r>
                    <w:rPr>
                      <w:rFonts w:hint="eastAsia"/>
                      <w:color w:val="auto"/>
                      <w:highlight w:val="none"/>
                      <w:u w:val="none" w:color="auto"/>
                      <w:lang w:eastAsia="zh-CN"/>
                    </w:rPr>
                    <w:t>大气污染物综合排放标准</w:t>
                  </w:r>
                  <w:r>
                    <w:rPr>
                      <w:rFonts w:hint="default"/>
                      <w:color w:val="auto"/>
                      <w:highlight w:val="none"/>
                      <w:u w:val="none" w:color="auto"/>
                    </w:rPr>
                    <w:t>》（GB</w:t>
                  </w:r>
                  <w:r>
                    <w:rPr>
                      <w:rFonts w:hint="eastAsia"/>
                      <w:color w:val="auto"/>
                      <w:highlight w:val="none"/>
                      <w:u w:val="none" w:color="auto"/>
                    </w:rPr>
                    <w:t xml:space="preserve"> 16297-</w:t>
                  </w:r>
                  <w:r>
                    <w:rPr>
                      <w:rFonts w:hint="eastAsia"/>
                      <w:color w:val="auto"/>
                      <w:highlight w:val="none"/>
                      <w:u w:val="none" w:color="auto"/>
                      <w:lang w:val="en-US" w:eastAsia="zh-CN"/>
                    </w:rPr>
                    <w:t>1996</w:t>
                  </w:r>
                  <w:r>
                    <w:rPr>
                      <w:rFonts w:hint="default"/>
                      <w:color w:val="auto"/>
                      <w:highlight w:val="none"/>
                      <w:u w:val="none" w:color="auto"/>
                    </w:rPr>
                    <w:t>）</w:t>
                  </w:r>
                  <w:r>
                    <w:rPr>
                      <w:rFonts w:hint="eastAsia"/>
                      <w:color w:val="auto"/>
                      <w:highlight w:val="none"/>
                      <w:u w:val="none" w:color="auto"/>
                      <w:lang w:eastAsia="zh-CN"/>
                    </w:rPr>
                    <w:t>中表</w:t>
                  </w:r>
                  <w:r>
                    <w:rPr>
                      <w:rFonts w:hint="eastAsia"/>
                      <w:color w:val="auto"/>
                      <w:highlight w:val="none"/>
                      <w:u w:val="none" w:color="auto"/>
                      <w:lang w:val="en-US" w:eastAsia="zh-CN"/>
                    </w:rPr>
                    <w:t>2无组织排放限值</w:t>
                  </w:r>
                </w:p>
              </w:tc>
              <w:tc>
                <w:tcPr>
                  <w:tcW w:w="597" w:type="pct"/>
                  <w:tcBorders>
                    <w:tl2br w:val="nil"/>
                    <w:tr2bl w:val="nil"/>
                  </w:tcBorders>
                  <w:shd w:val="clear" w:color="auto" w:fill="auto"/>
                  <w:noWrap w:val="0"/>
                  <w:vAlign w:val="center"/>
                </w:tcPr>
                <w:p w14:paraId="0CC9746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u w:val="none" w:color="auto"/>
                      <w:lang w:val="en-US" w:eastAsia="zh-CN" w:bidi="ar-SA"/>
                    </w:rPr>
                  </w:pPr>
                  <w:r>
                    <w:rPr>
                      <w:rFonts w:hint="eastAsia"/>
                      <w:color w:val="auto"/>
                      <w:highlight w:val="none"/>
                      <w:u w:val="none" w:color="auto"/>
                      <w:lang w:val="en-US" w:eastAsia="zh-CN"/>
                    </w:rPr>
                    <w:t>1.0</w:t>
                  </w:r>
                </w:p>
              </w:tc>
              <w:tc>
                <w:tcPr>
                  <w:tcW w:w="579" w:type="pct"/>
                  <w:tcBorders>
                    <w:tl2br w:val="nil"/>
                    <w:tr2bl w:val="nil"/>
                  </w:tcBorders>
                  <w:shd w:val="clear" w:color="auto" w:fill="auto"/>
                  <w:noWrap w:val="0"/>
                  <w:vAlign w:val="center"/>
                </w:tcPr>
                <w:p w14:paraId="32C6D54F">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48</w:t>
                  </w:r>
                </w:p>
              </w:tc>
            </w:tr>
            <w:tr w14:paraId="5EE33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 w:type="pct"/>
                  <w:vMerge w:val="continue"/>
                  <w:tcBorders>
                    <w:tl2br w:val="nil"/>
                    <w:tr2bl w:val="nil"/>
                  </w:tcBorders>
                  <w:noWrap w:val="0"/>
                  <w:vAlign w:val="center"/>
                </w:tcPr>
                <w:p w14:paraId="1585D549">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p>
              </w:tc>
              <w:tc>
                <w:tcPr>
                  <w:tcW w:w="378" w:type="pct"/>
                  <w:vMerge w:val="continue"/>
                  <w:tcBorders>
                    <w:tl2br w:val="nil"/>
                    <w:tr2bl w:val="nil"/>
                  </w:tcBorders>
                  <w:noWrap w:val="0"/>
                  <w:vAlign w:val="center"/>
                </w:tcPr>
                <w:p w14:paraId="47C58C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color w:val="000000" w:themeColor="text1"/>
                      <w:spacing w:val="0"/>
                      <w:w w:val="100"/>
                      <w:position w:val="0"/>
                      <w:sz w:val="21"/>
                      <w:szCs w:val="21"/>
                      <w:highlight w:val="none"/>
                      <w:u w:val="none" w:color="auto"/>
                      <w:lang w:eastAsia="zh-CN"/>
                      <w14:textFill>
                        <w14:solidFill>
                          <w14:schemeClr w14:val="tx1"/>
                        </w14:solidFill>
                      </w14:textFill>
                    </w:rPr>
                  </w:pPr>
                </w:p>
              </w:tc>
              <w:tc>
                <w:tcPr>
                  <w:tcW w:w="432" w:type="pct"/>
                  <w:vMerge w:val="continue"/>
                  <w:tcBorders>
                    <w:tl2br w:val="nil"/>
                    <w:tr2bl w:val="nil"/>
                  </w:tcBorders>
                  <w:noWrap w:val="0"/>
                  <w:vAlign w:val="center"/>
                </w:tcPr>
                <w:p w14:paraId="15C7F4CF">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highlight w:val="none"/>
                      <w:lang w:eastAsia="zh-CN"/>
                    </w:rPr>
                  </w:pPr>
                </w:p>
              </w:tc>
              <w:tc>
                <w:tcPr>
                  <w:tcW w:w="553" w:type="pct"/>
                  <w:tcBorders>
                    <w:tl2br w:val="nil"/>
                    <w:tr2bl w:val="nil"/>
                  </w:tcBorders>
                  <w:shd w:val="clear" w:color="auto" w:fill="auto"/>
                  <w:noWrap w:val="0"/>
                  <w:vAlign w:val="center"/>
                </w:tcPr>
                <w:p w14:paraId="0B90571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eastAsia="zh-CN"/>
                    </w:rPr>
                    <w:t>二甲苯</w:t>
                  </w:r>
                </w:p>
              </w:tc>
              <w:tc>
                <w:tcPr>
                  <w:tcW w:w="651" w:type="pct"/>
                  <w:vMerge w:val="continue"/>
                  <w:tcBorders>
                    <w:tl2br w:val="nil"/>
                    <w:tr2bl w:val="nil"/>
                  </w:tcBorders>
                  <w:noWrap w:val="0"/>
                  <w:vAlign w:val="center"/>
                </w:tcPr>
                <w:p w14:paraId="65431BD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1564" w:type="pct"/>
                  <w:vMerge w:val="restart"/>
                  <w:tcBorders>
                    <w:tl2br w:val="nil"/>
                    <w:tr2bl w:val="nil"/>
                  </w:tcBorders>
                  <w:noWrap w:val="0"/>
                  <w:vAlign w:val="center"/>
                </w:tcPr>
                <w:p w14:paraId="797FB3FE">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auto"/>
                      <w:highlight w:val="none"/>
                      <w:u w:val="none" w:color="auto"/>
                    </w:rPr>
                  </w:pPr>
                  <w:r>
                    <w:rPr>
                      <w:rFonts w:hint="eastAsia" w:ascii="Times New Roman" w:hAnsi="Times New Roman" w:eastAsia="宋体" w:cs="Times New Roman"/>
                      <w:color w:val="auto"/>
                      <w:highlight w:val="none"/>
                      <w:u w:val="none" w:color="auto"/>
                    </w:rPr>
                    <w:t>《表面涂装（汽车制造及维修）挥发性有机物、镍排放标准》（DB43/1356-2017）表</w:t>
                  </w:r>
                  <w:r>
                    <w:rPr>
                      <w:rFonts w:hint="eastAsia" w:ascii="Times New Roman" w:hAnsi="Times New Roman" w:eastAsia="宋体" w:cs="Times New Roman"/>
                      <w:color w:val="auto"/>
                      <w:highlight w:val="none"/>
                      <w:u w:val="none" w:color="auto"/>
                      <w:lang w:val="en-US" w:eastAsia="zh-CN"/>
                    </w:rPr>
                    <w:t>3</w:t>
                  </w:r>
                  <w:r>
                    <w:rPr>
                      <w:rFonts w:hint="eastAsia" w:ascii="Times New Roman" w:hAnsi="Times New Roman" w:eastAsia="宋体" w:cs="Times New Roman"/>
                      <w:color w:val="auto"/>
                      <w:highlight w:val="none"/>
                      <w:u w:val="none" w:color="auto"/>
                    </w:rPr>
                    <w:t>限值</w:t>
                  </w:r>
                </w:p>
              </w:tc>
              <w:tc>
                <w:tcPr>
                  <w:tcW w:w="597" w:type="pct"/>
                  <w:tcBorders>
                    <w:tl2br w:val="nil"/>
                    <w:tr2bl w:val="nil"/>
                  </w:tcBorders>
                  <w:noWrap w:val="0"/>
                  <w:vAlign w:val="center"/>
                </w:tcPr>
                <w:p w14:paraId="605CD26F">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t>1.0</w:t>
                  </w:r>
                  <w:r>
                    <w:rPr>
                      <w:rFonts w:hint="eastAsia" w:ascii="微软雅黑" w:hAnsi="微软雅黑" w:eastAsia="微软雅黑" w:cs="微软雅黑"/>
                      <w:b w:val="0"/>
                      <w:bCs w:val="0"/>
                      <w:color w:val="000000" w:themeColor="text1"/>
                      <w:spacing w:val="0"/>
                      <w:w w:val="100"/>
                      <w:position w:val="0"/>
                      <w:sz w:val="21"/>
                      <w:szCs w:val="21"/>
                      <w:highlight w:val="none"/>
                      <w:u w:val="none" w:color="auto"/>
                      <w:lang w:val="en-US" w:eastAsia="zh-CN"/>
                      <w14:textFill>
                        <w14:solidFill>
                          <w14:schemeClr w14:val="tx1"/>
                        </w14:solidFill>
                      </w14:textFill>
                    </w:rPr>
                    <w:t>➊</w:t>
                  </w:r>
                </w:p>
              </w:tc>
              <w:tc>
                <w:tcPr>
                  <w:tcW w:w="579" w:type="pct"/>
                  <w:tcBorders>
                    <w:tl2br w:val="nil"/>
                    <w:tr2bl w:val="nil"/>
                  </w:tcBorders>
                  <w:shd w:val="clear" w:color="auto" w:fill="auto"/>
                  <w:noWrap w:val="0"/>
                  <w:vAlign w:val="center"/>
                </w:tcPr>
                <w:p w14:paraId="14DBF9B7">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76</w:t>
                  </w:r>
                </w:p>
              </w:tc>
            </w:tr>
            <w:tr w14:paraId="46AAA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 w:type="pct"/>
                  <w:vMerge w:val="continue"/>
                  <w:tcBorders>
                    <w:tl2br w:val="nil"/>
                    <w:tr2bl w:val="nil"/>
                  </w:tcBorders>
                  <w:noWrap w:val="0"/>
                  <w:vAlign w:val="center"/>
                </w:tcPr>
                <w:p w14:paraId="1AEDA654">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p>
              </w:tc>
              <w:tc>
                <w:tcPr>
                  <w:tcW w:w="378" w:type="pct"/>
                  <w:vMerge w:val="continue"/>
                  <w:tcBorders>
                    <w:tl2br w:val="nil"/>
                    <w:tr2bl w:val="nil"/>
                  </w:tcBorders>
                  <w:noWrap w:val="0"/>
                  <w:vAlign w:val="center"/>
                </w:tcPr>
                <w:p w14:paraId="4CA91B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color w:val="000000" w:themeColor="text1"/>
                      <w:spacing w:val="0"/>
                      <w:w w:val="100"/>
                      <w:position w:val="0"/>
                      <w:sz w:val="21"/>
                      <w:szCs w:val="21"/>
                      <w:highlight w:val="none"/>
                      <w:u w:val="none" w:color="auto"/>
                      <w:lang w:eastAsia="zh-CN"/>
                      <w14:textFill>
                        <w14:solidFill>
                          <w14:schemeClr w14:val="tx1"/>
                        </w14:solidFill>
                      </w14:textFill>
                    </w:rPr>
                  </w:pPr>
                </w:p>
              </w:tc>
              <w:tc>
                <w:tcPr>
                  <w:tcW w:w="432" w:type="pct"/>
                  <w:vMerge w:val="continue"/>
                  <w:tcBorders>
                    <w:tl2br w:val="nil"/>
                    <w:tr2bl w:val="nil"/>
                  </w:tcBorders>
                  <w:noWrap w:val="0"/>
                  <w:vAlign w:val="center"/>
                </w:tcPr>
                <w:p w14:paraId="7CB9BC2F">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z w:val="21"/>
                      <w:szCs w:val="21"/>
                      <w:highlight w:val="none"/>
                      <w:lang w:eastAsia="zh-CN"/>
                    </w:rPr>
                  </w:pPr>
                </w:p>
              </w:tc>
              <w:tc>
                <w:tcPr>
                  <w:tcW w:w="553" w:type="pct"/>
                  <w:tcBorders>
                    <w:tl2br w:val="nil"/>
                    <w:tr2bl w:val="nil"/>
                  </w:tcBorders>
                  <w:shd w:val="clear" w:color="auto" w:fill="auto"/>
                  <w:noWrap w:val="0"/>
                  <w:vAlign w:val="center"/>
                </w:tcPr>
                <w:p w14:paraId="3EFA4579">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VOCs</w:t>
                  </w:r>
                </w:p>
              </w:tc>
              <w:tc>
                <w:tcPr>
                  <w:tcW w:w="651" w:type="pct"/>
                  <w:vMerge w:val="continue"/>
                  <w:tcBorders>
                    <w:tl2br w:val="nil"/>
                    <w:tr2bl w:val="nil"/>
                  </w:tcBorders>
                  <w:noWrap w:val="0"/>
                  <w:vAlign w:val="center"/>
                </w:tcPr>
                <w:p w14:paraId="5DB279C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1564" w:type="pct"/>
                  <w:vMerge w:val="continue"/>
                  <w:tcBorders>
                    <w:tl2br w:val="nil"/>
                    <w:tr2bl w:val="nil"/>
                  </w:tcBorders>
                  <w:noWrap w:val="0"/>
                  <w:vAlign w:val="center"/>
                </w:tcPr>
                <w:p w14:paraId="142764A5">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auto"/>
                      <w:highlight w:val="none"/>
                      <w:u w:val="none" w:color="auto"/>
                    </w:rPr>
                  </w:pPr>
                </w:p>
              </w:tc>
              <w:tc>
                <w:tcPr>
                  <w:tcW w:w="597" w:type="pct"/>
                  <w:tcBorders>
                    <w:tl2br w:val="nil"/>
                    <w:tr2bl w:val="nil"/>
                  </w:tcBorders>
                  <w:noWrap w:val="0"/>
                  <w:vAlign w:val="center"/>
                </w:tcPr>
                <w:p w14:paraId="3E753857">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cs="Times New Roman"/>
                      <w:b w:val="0"/>
                      <w:bCs w:val="0"/>
                      <w:color w:val="000000" w:themeColor="text1"/>
                      <w:spacing w:val="0"/>
                      <w:w w:val="100"/>
                      <w:position w:val="0"/>
                      <w:sz w:val="21"/>
                      <w:szCs w:val="21"/>
                      <w:highlight w:val="none"/>
                      <w:u w:val="none" w:color="auto"/>
                      <w:lang w:val="en-US" w:eastAsia="zh-CN"/>
                      <w14:textFill>
                        <w14:solidFill>
                          <w14:schemeClr w14:val="tx1"/>
                        </w14:solidFill>
                      </w14:textFill>
                    </w:rPr>
                    <w:t>2.0</w:t>
                  </w:r>
                  <w:r>
                    <w:rPr>
                      <w:rFonts w:hint="eastAsia" w:ascii="微软雅黑" w:hAnsi="微软雅黑" w:eastAsia="微软雅黑" w:cs="微软雅黑"/>
                      <w:b w:val="0"/>
                      <w:bCs w:val="0"/>
                      <w:color w:val="000000" w:themeColor="text1"/>
                      <w:spacing w:val="0"/>
                      <w:w w:val="100"/>
                      <w:position w:val="0"/>
                      <w:sz w:val="21"/>
                      <w:szCs w:val="21"/>
                      <w:highlight w:val="none"/>
                      <w:u w:val="none" w:color="auto"/>
                      <w:lang w:val="en-US" w:eastAsia="zh-CN"/>
                      <w14:textFill>
                        <w14:solidFill>
                          <w14:schemeClr w14:val="tx1"/>
                        </w14:solidFill>
                      </w14:textFill>
                    </w:rPr>
                    <w:t>➋</w:t>
                  </w:r>
                </w:p>
              </w:tc>
              <w:tc>
                <w:tcPr>
                  <w:tcW w:w="579" w:type="pct"/>
                  <w:tcBorders>
                    <w:tl2br w:val="nil"/>
                    <w:tr2bl w:val="nil"/>
                  </w:tcBorders>
                  <w:shd w:val="clear" w:color="auto" w:fill="auto"/>
                  <w:noWrap w:val="0"/>
                  <w:vAlign w:val="center"/>
                </w:tcPr>
                <w:p w14:paraId="7D7A48B8">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0.12</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0</w:t>
                  </w:r>
                </w:p>
              </w:tc>
            </w:tr>
            <w:tr w14:paraId="6081B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gridSpan w:val="4"/>
                  <w:vMerge w:val="restart"/>
                  <w:tcBorders>
                    <w:tl2br w:val="nil"/>
                    <w:tr2bl w:val="nil"/>
                  </w:tcBorders>
                  <w:noWrap w:val="0"/>
                  <w:vAlign w:val="center"/>
                </w:tcPr>
                <w:p w14:paraId="18120610">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无组织排放总计</w:t>
                  </w:r>
                </w:p>
              </w:tc>
              <w:tc>
                <w:tcPr>
                  <w:tcW w:w="2812" w:type="pct"/>
                  <w:gridSpan w:val="3"/>
                  <w:tcBorders>
                    <w:tl2br w:val="nil"/>
                    <w:tr2bl w:val="nil"/>
                  </w:tcBorders>
                  <w:noWrap w:val="0"/>
                  <w:vAlign w:val="center"/>
                </w:tcPr>
                <w:p w14:paraId="0E463E2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Cs/>
                      <w:color w:val="auto"/>
                      <w:sz w:val="21"/>
                      <w:szCs w:val="21"/>
                      <w:highlight w:val="none"/>
                    </w:rPr>
                    <w:t>颗粒物</w:t>
                  </w:r>
                </w:p>
              </w:tc>
              <w:tc>
                <w:tcPr>
                  <w:tcW w:w="579" w:type="pct"/>
                  <w:tcBorders>
                    <w:tl2br w:val="nil"/>
                    <w:tr2bl w:val="nil"/>
                  </w:tcBorders>
                  <w:noWrap w:val="0"/>
                  <w:vAlign w:val="center"/>
                </w:tcPr>
                <w:p w14:paraId="41CC358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t>0.554</w:t>
                  </w:r>
                </w:p>
              </w:tc>
            </w:tr>
            <w:tr w14:paraId="5C1B3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gridSpan w:val="4"/>
                  <w:vMerge w:val="continue"/>
                  <w:tcBorders>
                    <w:tl2br w:val="nil"/>
                    <w:tr2bl w:val="nil"/>
                  </w:tcBorders>
                  <w:noWrap w:val="0"/>
                  <w:vAlign w:val="center"/>
                </w:tcPr>
                <w:p w14:paraId="0AE18DDC">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2812" w:type="pct"/>
                  <w:gridSpan w:val="3"/>
                  <w:tcBorders>
                    <w:tl2br w:val="nil"/>
                    <w:tr2bl w:val="nil"/>
                  </w:tcBorders>
                  <w:noWrap w:val="0"/>
                  <w:vAlign w:val="center"/>
                </w:tcPr>
                <w:p w14:paraId="02DDA53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bCs/>
                      <w:color w:val="auto"/>
                      <w:sz w:val="21"/>
                      <w:szCs w:val="21"/>
                      <w:highlight w:val="none"/>
                      <w:lang w:eastAsia="zh-CN"/>
                    </w:rPr>
                    <w:t>二甲苯</w:t>
                  </w:r>
                </w:p>
              </w:tc>
              <w:tc>
                <w:tcPr>
                  <w:tcW w:w="579" w:type="pct"/>
                  <w:tcBorders>
                    <w:tl2br w:val="nil"/>
                    <w:tr2bl w:val="nil"/>
                  </w:tcBorders>
                  <w:noWrap w:val="0"/>
                  <w:vAlign w:val="center"/>
                </w:tcPr>
                <w:p w14:paraId="42ABC0A0">
                  <w:pPr>
                    <w:keepNext w:val="0"/>
                    <w:keepLines w:val="0"/>
                    <w:suppressLineNumbers w:val="0"/>
                    <w:spacing w:before="0" w:beforeAutospacing="0" w:after="0" w:afterAutospacing="0" w:line="240" w:lineRule="auto"/>
                    <w:ind w:left="0" w:right="0"/>
                    <w:jc w:val="center"/>
                    <w:textAlignment w:val="center"/>
                    <w:rPr>
                      <w:rFonts w:hint="eastAsia"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0.0</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76</w:t>
                  </w:r>
                </w:p>
              </w:tc>
            </w:tr>
            <w:tr w14:paraId="55861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7" w:type="pct"/>
                  <w:gridSpan w:val="4"/>
                  <w:vMerge w:val="continue"/>
                  <w:tcBorders>
                    <w:tl2br w:val="nil"/>
                    <w:tr2bl w:val="nil"/>
                  </w:tcBorders>
                  <w:noWrap w:val="0"/>
                  <w:vAlign w:val="center"/>
                </w:tcPr>
                <w:p w14:paraId="578C199D">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2812" w:type="pct"/>
                  <w:gridSpan w:val="3"/>
                  <w:tcBorders>
                    <w:tl2br w:val="nil"/>
                    <w:tr2bl w:val="nil"/>
                  </w:tcBorders>
                  <w:noWrap w:val="0"/>
                  <w:vAlign w:val="center"/>
                </w:tcPr>
                <w:p w14:paraId="2D9D621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w w:val="100"/>
                      <w:position w:val="0"/>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bCs/>
                      <w:color w:val="auto"/>
                      <w:sz w:val="21"/>
                      <w:szCs w:val="21"/>
                      <w:highlight w:val="none"/>
                    </w:rPr>
                    <w:t>VOCs</w:t>
                  </w:r>
                </w:p>
              </w:tc>
              <w:tc>
                <w:tcPr>
                  <w:tcW w:w="579" w:type="pct"/>
                  <w:tcBorders>
                    <w:tl2br w:val="nil"/>
                    <w:tr2bl w:val="nil"/>
                  </w:tcBorders>
                  <w:noWrap w:val="0"/>
                  <w:vAlign w:val="center"/>
                </w:tcPr>
                <w:p w14:paraId="36A58B3E">
                  <w:pPr>
                    <w:keepNext w:val="0"/>
                    <w:keepLines w:val="0"/>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0.12</w:t>
                  </w:r>
                  <w:r>
                    <w:rPr>
                      <w:rFonts w:hint="default" w:ascii="Times New Roman" w:hAnsi="Times New Roman" w:cs="Times New Roman"/>
                      <w:b w:val="0"/>
                      <w:bCs/>
                      <w:color w:val="auto"/>
                      <w:spacing w:val="0"/>
                      <w:w w:val="100"/>
                      <w:kern w:val="21"/>
                      <w:position w:val="0"/>
                      <w:sz w:val="21"/>
                      <w:szCs w:val="21"/>
                      <w:highlight w:val="none"/>
                      <w:u w:val="none" w:color="auto"/>
                      <w:lang w:val="en-US" w:eastAsia="zh-CN"/>
                    </w:rPr>
                    <w:t>0</w:t>
                  </w:r>
                </w:p>
              </w:tc>
            </w:tr>
          </w:tbl>
          <w:p w14:paraId="6567F6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rightChars="0"/>
              <w:textAlignment w:val="auto"/>
              <w:rPr>
                <w:rFonts w:hint="eastAsia"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pPr>
            <w:r>
              <w:rPr>
                <w:rFonts w:hint="eastAsia" w:cs="Times New Roman"/>
                <w:color w:val="000000" w:themeColor="text1"/>
                <w:spacing w:val="0"/>
                <w:w w:val="100"/>
                <w:position w:val="0"/>
                <w:sz w:val="24"/>
                <w:szCs w:val="24"/>
                <w:highlight w:val="none"/>
                <w:u w:val="none" w:color="auto"/>
                <w:lang w:val="en-US" w:eastAsia="zh-CN"/>
                <w14:textFill>
                  <w14:solidFill>
                    <w14:schemeClr w14:val="tx1"/>
                  </w14:solidFill>
                </w14:textFill>
              </w:rPr>
              <w:t>注：</w:t>
            </w:r>
            <w:r>
              <w:rPr>
                <w:rFonts w:hint="eastAsia" w:ascii="微软雅黑" w:hAnsi="微软雅黑" w:eastAsia="微软雅黑" w:cs="微软雅黑"/>
                <w:b w:val="0"/>
                <w:bCs w:val="0"/>
                <w:color w:val="000000" w:themeColor="text1"/>
                <w:spacing w:val="0"/>
                <w:w w:val="100"/>
                <w:position w:val="0"/>
                <w:sz w:val="21"/>
                <w:szCs w:val="21"/>
                <w:highlight w:val="none"/>
                <w:u w:val="none" w:color="auto"/>
                <w:lang w:val="en-US" w:eastAsia="zh-CN"/>
                <w14:textFill>
                  <w14:solidFill>
                    <w14:schemeClr w14:val="tx1"/>
                  </w14:solidFill>
                </w14:textFill>
              </w:rPr>
              <w:t>➊</w:t>
            </w:r>
            <w:r>
              <w:rPr>
                <w:rFonts w:hint="eastAsia"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二甲苯参照苯系物标准；</w:t>
            </w:r>
            <w:r>
              <w:rPr>
                <w:rFonts w:hint="eastAsia" w:ascii="微软雅黑" w:hAnsi="微软雅黑" w:eastAsia="微软雅黑" w:cs="微软雅黑"/>
                <w:b w:val="0"/>
                <w:bCs w:val="0"/>
                <w:color w:val="000000" w:themeColor="text1"/>
                <w:spacing w:val="0"/>
                <w:w w:val="100"/>
                <w:position w:val="0"/>
                <w:sz w:val="21"/>
                <w:szCs w:val="21"/>
                <w:highlight w:val="none"/>
                <w:u w:val="none" w:color="auto"/>
                <w:lang w:val="en-US" w:eastAsia="zh-CN"/>
                <w14:textFill>
                  <w14:solidFill>
                    <w14:schemeClr w14:val="tx1"/>
                  </w14:solidFill>
                </w14:textFill>
              </w:rPr>
              <w:t>➋</w:t>
            </w:r>
            <w:r>
              <w:rPr>
                <w:rFonts w:hint="eastAsia"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VOCs参照非甲烷总烃标准。</w:t>
            </w:r>
          </w:p>
          <w:p w14:paraId="311AE422">
            <w:pPr>
              <w:keepNext w:val="0"/>
              <w:keepLines w:val="0"/>
              <w:pageBreakBefore w:val="0"/>
              <w:widowControl w:val="0"/>
              <w:numPr>
                <w:ilvl w:val="0"/>
                <w:numId w:val="9"/>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项目大气污染物年排放量核算表如下：</w:t>
            </w:r>
          </w:p>
          <w:p w14:paraId="5305DE13">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表4-</w:t>
            </w:r>
            <w:r>
              <w:rPr>
                <w:rFonts w:hint="eastAsia"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5</w:t>
            </w: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大气污染物年排放量核算表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2765"/>
              <w:gridCol w:w="3874"/>
            </w:tblGrid>
            <w:tr w14:paraId="1CC58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tcBorders>
                    <w:tl2br w:val="nil"/>
                    <w:tr2bl w:val="nil"/>
                  </w:tcBorders>
                  <w:noWrap w:val="0"/>
                  <w:vAlign w:val="center"/>
                </w:tcPr>
                <w:p w14:paraId="0D0F298F">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序号</w:t>
                  </w:r>
                </w:p>
              </w:tc>
              <w:tc>
                <w:tcPr>
                  <w:tcW w:w="1593" w:type="pct"/>
                  <w:tcBorders>
                    <w:tl2br w:val="nil"/>
                    <w:tr2bl w:val="nil"/>
                  </w:tcBorders>
                  <w:noWrap w:val="0"/>
                  <w:vAlign w:val="center"/>
                </w:tcPr>
                <w:p w14:paraId="7682F7C2">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污染物</w:t>
                  </w:r>
                </w:p>
              </w:tc>
              <w:tc>
                <w:tcPr>
                  <w:tcW w:w="2232" w:type="pct"/>
                  <w:tcBorders>
                    <w:tl2br w:val="nil"/>
                    <w:tr2bl w:val="nil"/>
                  </w:tcBorders>
                  <w:noWrap w:val="0"/>
                  <w:vAlign w:val="center"/>
                </w:tcPr>
                <w:p w14:paraId="61D63EE0">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年排放量（t/a）</w:t>
                  </w:r>
                </w:p>
              </w:tc>
            </w:tr>
            <w:tr w14:paraId="250B1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tcBorders>
                    <w:tl2br w:val="nil"/>
                    <w:tr2bl w:val="nil"/>
                  </w:tcBorders>
                  <w:noWrap w:val="0"/>
                  <w:vAlign w:val="center"/>
                </w:tcPr>
                <w:p w14:paraId="0B3E7020">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1</w:t>
                  </w:r>
                </w:p>
              </w:tc>
              <w:tc>
                <w:tcPr>
                  <w:tcW w:w="1593" w:type="pct"/>
                  <w:tcBorders>
                    <w:tl2br w:val="nil"/>
                    <w:tr2bl w:val="nil"/>
                  </w:tcBorders>
                  <w:noWrap w:val="0"/>
                  <w:vAlign w:val="center"/>
                </w:tcPr>
                <w:p w14:paraId="371376FF">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颗粒物</w:t>
                  </w:r>
                </w:p>
              </w:tc>
              <w:tc>
                <w:tcPr>
                  <w:tcW w:w="2232" w:type="pct"/>
                  <w:tcBorders>
                    <w:tl2br w:val="nil"/>
                    <w:tr2bl w:val="nil"/>
                  </w:tcBorders>
                  <w:noWrap w:val="0"/>
                  <w:vAlign w:val="center"/>
                </w:tcPr>
                <w:p w14:paraId="3210C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cs="Times New Roman"/>
                      <w:color w:val="000000" w:themeColor="text1"/>
                      <w:spacing w:val="0"/>
                      <w:w w:val="100"/>
                      <w:position w:val="0"/>
                      <w:sz w:val="21"/>
                      <w:szCs w:val="21"/>
                      <w:highlight w:val="none"/>
                      <w:u w:val="none" w:color="auto"/>
                      <w:lang w:val="en-US" w:eastAsia="zh-CN"/>
                      <w14:textFill>
                        <w14:solidFill>
                          <w14:schemeClr w14:val="tx1"/>
                        </w14:solidFill>
                      </w14:textFill>
                    </w:rPr>
                    <w:t>1.045</w:t>
                  </w:r>
                </w:p>
              </w:tc>
            </w:tr>
            <w:tr w14:paraId="4180A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tcBorders>
                    <w:tl2br w:val="nil"/>
                    <w:tr2bl w:val="nil"/>
                  </w:tcBorders>
                  <w:noWrap w:val="0"/>
                  <w:vAlign w:val="center"/>
                </w:tcPr>
                <w:p w14:paraId="0E122D0C">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w:t>
                  </w:r>
                </w:p>
              </w:tc>
              <w:tc>
                <w:tcPr>
                  <w:tcW w:w="2765" w:type="dxa"/>
                  <w:tcBorders>
                    <w:tl2br w:val="nil"/>
                    <w:tr2bl w:val="nil"/>
                  </w:tcBorders>
                  <w:noWrap w:val="0"/>
                  <w:vAlign w:val="center"/>
                </w:tcPr>
                <w:p w14:paraId="2895D3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bCs/>
                      <w:color w:val="auto"/>
                      <w:sz w:val="21"/>
                      <w:szCs w:val="21"/>
                      <w:highlight w:val="none"/>
                      <w:lang w:eastAsia="zh-CN"/>
                    </w:rPr>
                    <w:t>二甲苯</w:t>
                  </w:r>
                </w:p>
              </w:tc>
              <w:tc>
                <w:tcPr>
                  <w:tcW w:w="2232" w:type="pct"/>
                  <w:tcBorders>
                    <w:tl2br w:val="nil"/>
                    <w:tr2bl w:val="nil"/>
                  </w:tcBorders>
                  <w:noWrap w:val="0"/>
                  <w:vAlign w:val="center"/>
                </w:tcPr>
                <w:p w14:paraId="2929BF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cs="Times New Roman"/>
                      <w:color w:val="000000" w:themeColor="text1"/>
                      <w:spacing w:val="0"/>
                      <w:w w:val="100"/>
                      <w:position w:val="0"/>
                      <w:sz w:val="21"/>
                      <w:szCs w:val="21"/>
                      <w:highlight w:val="none"/>
                      <w:u w:val="none" w:color="auto"/>
                      <w:lang w:val="en-US" w:eastAsia="zh-CN"/>
                      <w14:textFill>
                        <w14:solidFill>
                          <w14:schemeClr w14:val="tx1"/>
                        </w14:solidFill>
                      </w14:textFill>
                    </w:rPr>
                    <w:t>0.212</w:t>
                  </w:r>
                </w:p>
              </w:tc>
            </w:tr>
            <w:tr w14:paraId="1F11A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tcBorders>
                    <w:tl2br w:val="nil"/>
                    <w:tr2bl w:val="nil"/>
                  </w:tcBorders>
                  <w:noWrap w:val="0"/>
                  <w:vAlign w:val="center"/>
                </w:tcPr>
                <w:p w14:paraId="5F7D0124">
                  <w:pPr>
                    <w:pStyle w:val="6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cs="Times New Roman"/>
                      <w:color w:val="000000" w:themeColor="text1"/>
                      <w:spacing w:val="0"/>
                      <w:w w:val="100"/>
                      <w:position w:val="0"/>
                      <w:sz w:val="21"/>
                      <w:szCs w:val="21"/>
                      <w:highlight w:val="none"/>
                      <w:u w:val="none" w:color="auto"/>
                      <w:lang w:val="en-US" w:eastAsia="zh-CN"/>
                      <w14:textFill>
                        <w14:solidFill>
                          <w14:schemeClr w14:val="tx1"/>
                        </w14:solidFill>
                      </w14:textFill>
                    </w:rPr>
                    <w:t>3</w:t>
                  </w:r>
                </w:p>
              </w:tc>
              <w:tc>
                <w:tcPr>
                  <w:tcW w:w="2765" w:type="dxa"/>
                  <w:tcBorders>
                    <w:tl2br w:val="nil"/>
                    <w:tr2bl w:val="nil"/>
                  </w:tcBorders>
                  <w:noWrap w:val="0"/>
                  <w:vAlign w:val="center"/>
                </w:tcPr>
                <w:p w14:paraId="18018E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w w:val="100"/>
                      <w:position w:val="0"/>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bCs/>
                      <w:color w:val="auto"/>
                      <w:sz w:val="21"/>
                      <w:szCs w:val="21"/>
                      <w:highlight w:val="none"/>
                    </w:rPr>
                    <w:t>VOCs</w:t>
                  </w:r>
                </w:p>
              </w:tc>
              <w:tc>
                <w:tcPr>
                  <w:tcW w:w="2232" w:type="pct"/>
                  <w:tcBorders>
                    <w:tl2br w:val="nil"/>
                    <w:tr2bl w:val="nil"/>
                  </w:tcBorders>
                  <w:noWrap w:val="0"/>
                  <w:vAlign w:val="center"/>
                </w:tcPr>
                <w:p w14:paraId="39D406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14:textFill>
                        <w14:solidFill>
                          <w14:schemeClr w14:val="tx1"/>
                        </w14:solidFill>
                      </w14:textFill>
                    </w:rPr>
                  </w:pPr>
                  <w:r>
                    <w:rPr>
                      <w:rFonts w:hint="eastAsia" w:cs="Times New Roman"/>
                      <w:color w:val="000000" w:themeColor="text1"/>
                      <w:spacing w:val="0"/>
                      <w:w w:val="100"/>
                      <w:kern w:val="2"/>
                      <w:position w:val="0"/>
                      <w:sz w:val="21"/>
                      <w:szCs w:val="21"/>
                      <w:highlight w:val="none"/>
                      <w:u w:val="none" w:color="auto"/>
                      <w:lang w:val="en-US" w:eastAsia="zh-CN"/>
                      <w14:textFill>
                        <w14:solidFill>
                          <w14:schemeClr w14:val="tx1"/>
                        </w14:solidFill>
                      </w14:textFill>
                    </w:rPr>
                    <w:t>0.336</w:t>
                  </w:r>
                </w:p>
              </w:tc>
            </w:tr>
          </w:tbl>
          <w:p w14:paraId="3153F61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val="0"/>
                <w:color w:val="000000" w:themeColor="text1"/>
                <w:spacing w:val="0"/>
                <w:w w:val="10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b/>
                <w:bCs w:val="0"/>
                <w:color w:val="000000" w:themeColor="text1"/>
                <w:spacing w:val="0"/>
                <w:w w:val="100"/>
                <w:kern w:val="21"/>
                <w:position w:val="0"/>
                <w:sz w:val="24"/>
                <w:szCs w:val="24"/>
                <w:highlight w:val="none"/>
                <w:u w:val="none" w:color="auto"/>
                <w:lang w:val="en-US" w:eastAsia="zh-CN"/>
                <w14:textFill>
                  <w14:solidFill>
                    <w14:schemeClr w14:val="tx1"/>
                  </w14:solidFill>
                </w14:textFill>
              </w:rPr>
              <w:t>1.</w:t>
            </w:r>
            <w:r>
              <w:rPr>
                <w:rFonts w:hint="eastAsia" w:ascii="Times New Roman" w:hAnsi="Times New Roman" w:eastAsia="宋体" w:cs="Times New Roman"/>
                <w:b/>
                <w:bCs w:val="0"/>
                <w:color w:val="000000" w:themeColor="text1"/>
                <w:spacing w:val="0"/>
                <w:w w:val="100"/>
                <w:kern w:val="21"/>
                <w:position w:val="0"/>
                <w:sz w:val="24"/>
                <w:szCs w:val="24"/>
                <w:highlight w:val="none"/>
                <w:u w:val="none" w:color="auto"/>
                <w:lang w:val="en-US" w:eastAsia="zh-CN"/>
                <w14:textFill>
                  <w14:solidFill>
                    <w14:schemeClr w14:val="tx1"/>
                  </w14:solidFill>
                </w14:textFill>
              </w:rPr>
              <w:t>3</w:t>
            </w:r>
            <w:r>
              <w:rPr>
                <w:rFonts w:hint="default" w:ascii="Times New Roman" w:hAnsi="Times New Roman" w:eastAsia="宋体" w:cs="Times New Roman"/>
                <w:b/>
                <w:bCs w:val="0"/>
                <w:color w:val="000000" w:themeColor="text1"/>
                <w:spacing w:val="0"/>
                <w:w w:val="100"/>
                <w:kern w:val="21"/>
                <w:position w:val="0"/>
                <w:sz w:val="24"/>
                <w:szCs w:val="24"/>
                <w:highlight w:val="none"/>
                <w:u w:val="none" w:color="auto"/>
                <w14:textFill>
                  <w14:solidFill>
                    <w14:schemeClr w14:val="tx1"/>
                  </w14:solidFill>
                </w14:textFill>
              </w:rPr>
              <w:t>非正常工况分析</w:t>
            </w:r>
          </w:p>
          <w:p w14:paraId="01BD192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color w:val="000000" w:themeColor="text1"/>
                <w:spacing w:val="0"/>
                <w:w w:val="100"/>
                <w:kern w:val="21"/>
                <w:position w:val="0"/>
                <w:sz w:val="24"/>
                <w:szCs w:val="24"/>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w w:val="100"/>
                <w:kern w:val="21"/>
                <w:position w:val="0"/>
                <w:sz w:val="24"/>
                <w:szCs w:val="24"/>
                <w:highlight w:val="none"/>
                <w:u w:val="none" w:color="auto"/>
                <w14:textFill>
                  <w14:solidFill>
                    <w14:schemeClr w14:val="tx1"/>
                  </w14:solidFill>
                </w14:textFill>
              </w:rPr>
              <w:t>非正常排放指生产中开停车（工、炉）、设备检修、工艺设备运转异常等非正常工况下的污染物排放，以及污染排放控制措施达不到应有效率等情况下的排放。</w:t>
            </w:r>
            <w:r>
              <w:rPr>
                <w:rFonts w:hint="eastAsia" w:cs="Times New Roman"/>
                <w:color w:val="auto"/>
                <w:kern w:val="2"/>
                <w:sz w:val="24"/>
                <w:szCs w:val="24"/>
                <w:u w:val="none"/>
                <w:lang w:val="en-US" w:eastAsia="zh-CN" w:bidi="ar-SA"/>
              </w:rPr>
              <w:t>本项目</w:t>
            </w:r>
            <w:r>
              <w:rPr>
                <w:rFonts w:hint="default" w:ascii="Times New Roman" w:hAnsi="Times New Roman" w:eastAsia="宋体" w:cs="Times New Roman"/>
                <w:color w:val="auto"/>
                <w:kern w:val="2"/>
                <w:sz w:val="24"/>
                <w:szCs w:val="24"/>
                <w:u w:val="none"/>
                <w:lang w:val="en-US" w:eastAsia="zh-CN" w:bidi="ar-SA"/>
              </w:rPr>
              <w:t>非正常工况</w:t>
            </w:r>
            <w:r>
              <w:rPr>
                <w:rFonts w:hint="eastAsia" w:ascii="Times New Roman" w:hAnsi="Times New Roman" w:eastAsia="宋体" w:cs="Times New Roman"/>
                <w:color w:val="auto"/>
                <w:kern w:val="2"/>
                <w:sz w:val="24"/>
                <w:szCs w:val="24"/>
                <w:u w:val="none"/>
                <w:lang w:val="en-US" w:eastAsia="zh-CN" w:bidi="ar-SA"/>
              </w:rPr>
              <w:t>主要考虑废气处理装置失效，非正常排放情况见下表</w:t>
            </w:r>
            <w:r>
              <w:rPr>
                <w:rFonts w:hint="eastAsia" w:cs="Times New Roman"/>
                <w:color w:val="auto"/>
                <w:kern w:val="2"/>
                <w:sz w:val="24"/>
                <w:szCs w:val="24"/>
                <w:u w:val="none"/>
                <w:lang w:val="en-US" w:eastAsia="zh-CN" w:bidi="ar-SA"/>
              </w:rPr>
              <w:t>：</w:t>
            </w:r>
          </w:p>
          <w:p w14:paraId="37CD88F9">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b/>
                <w:color w:val="000000" w:themeColor="text1"/>
                <w:spacing w:val="0"/>
                <w:w w:val="100"/>
                <w:position w:val="0"/>
                <w:sz w:val="24"/>
                <w:szCs w:val="24"/>
                <w:highlight w:val="none"/>
                <w:u w:val="none" w:color="auto"/>
                <w14:textFill>
                  <w14:solidFill>
                    <w14:schemeClr w14:val="tx1"/>
                  </w14:solidFill>
                </w14:textFill>
              </w:rPr>
              <w:t>表4-</w:t>
            </w:r>
            <w:r>
              <w:rPr>
                <w:rFonts w:hint="eastAsia" w:ascii="Times New Roman" w:hAnsi="Times New Roman" w:cs="Times New Roman"/>
                <w:b/>
                <w:color w:val="000000" w:themeColor="text1"/>
                <w:spacing w:val="0"/>
                <w:w w:val="100"/>
                <w:position w:val="0"/>
                <w:sz w:val="24"/>
                <w:szCs w:val="24"/>
                <w:highlight w:val="none"/>
                <w:u w:val="none" w:color="auto"/>
                <w:lang w:val="en-US" w:eastAsia="zh-CN"/>
                <w14:textFill>
                  <w14:solidFill>
                    <w14:schemeClr w14:val="tx1"/>
                  </w14:solidFill>
                </w14:textFill>
              </w:rPr>
              <w:t>6</w:t>
            </w:r>
            <w:r>
              <w:rPr>
                <w:rFonts w:hint="default" w:ascii="Times New Roman" w:hAnsi="Times New Roman" w:cs="Times New Roman"/>
                <w:b/>
                <w:color w:val="000000" w:themeColor="text1"/>
                <w:spacing w:val="0"/>
                <w:w w:val="100"/>
                <w:position w:val="0"/>
                <w:sz w:val="24"/>
                <w:szCs w:val="24"/>
                <w:highlight w:val="none"/>
                <w:u w:val="none" w:color="auto"/>
                <w:lang w:val="en-US" w:eastAsia="zh-CN"/>
                <w14:textFill>
                  <w14:solidFill>
                    <w14:schemeClr w14:val="tx1"/>
                  </w14:solidFill>
                </w14:textFill>
              </w:rPr>
              <w:t xml:space="preserve">   </w:t>
            </w:r>
            <w:r>
              <w:rPr>
                <w:rFonts w:hint="eastAsia" w:ascii="Times New Roman" w:hAnsi="Times New Roman" w:cs="Times New Roman"/>
                <w:b/>
                <w:color w:val="000000" w:themeColor="text1"/>
                <w:spacing w:val="0"/>
                <w:w w:val="100"/>
                <w:position w:val="0"/>
                <w:sz w:val="24"/>
                <w:szCs w:val="24"/>
                <w:highlight w:val="none"/>
                <w:u w:val="none" w:color="auto"/>
                <w:lang w:val="en-US" w:eastAsia="zh-CN"/>
                <w14:textFill>
                  <w14:solidFill>
                    <w14:schemeClr w14:val="tx1"/>
                  </w14:solidFill>
                </w14:textFill>
              </w:rPr>
              <w:t>本</w:t>
            </w:r>
            <w:r>
              <w:rPr>
                <w:rFonts w:hint="default" w:ascii="Times New Roman" w:hAnsi="Times New Roman" w:eastAsia="宋体" w:cs="Times New Roman"/>
                <w:b/>
                <w:color w:val="000000" w:themeColor="text1"/>
                <w:spacing w:val="0"/>
                <w:w w:val="100"/>
                <w:position w:val="0"/>
                <w:sz w:val="24"/>
                <w:szCs w:val="24"/>
                <w:highlight w:val="none"/>
                <w:u w:val="none" w:color="auto"/>
                <w14:textFill>
                  <w14:solidFill>
                    <w14:schemeClr w14:val="tx1"/>
                  </w14:solidFill>
                </w14:textFill>
              </w:rPr>
              <w:t>项目非正常</w:t>
            </w:r>
            <w:r>
              <w:rPr>
                <w:rFonts w:hint="default" w:ascii="Times New Roman" w:hAnsi="Times New Roman" w:eastAsia="宋体" w:cs="Times New Roman"/>
                <w:b/>
                <w:color w:val="000000" w:themeColor="text1"/>
                <w:spacing w:val="0"/>
                <w:w w:val="100"/>
                <w:position w:val="0"/>
                <w:sz w:val="24"/>
                <w:szCs w:val="24"/>
                <w:highlight w:val="none"/>
                <w:u w:val="none" w:color="auto"/>
                <w:lang w:eastAsia="zh-CN"/>
                <w14:textFill>
                  <w14:solidFill>
                    <w14:schemeClr w14:val="tx1"/>
                  </w14:solidFill>
                </w14:textFill>
              </w:rPr>
              <w:t>工况</w:t>
            </w:r>
            <w:r>
              <w:rPr>
                <w:rFonts w:hint="default" w:ascii="Times New Roman" w:hAnsi="Times New Roman" w:eastAsia="宋体" w:cs="Times New Roman"/>
                <w:b/>
                <w:color w:val="000000" w:themeColor="text1"/>
                <w:spacing w:val="0"/>
                <w:w w:val="100"/>
                <w:position w:val="0"/>
                <w:sz w:val="24"/>
                <w:szCs w:val="24"/>
                <w:highlight w:val="none"/>
                <w:u w:val="none" w:color="auto"/>
                <w14:textFill>
                  <w14:solidFill>
                    <w14:schemeClr w14:val="tx1"/>
                  </w14:solidFill>
                </w14:textFill>
              </w:rPr>
              <w:t>排放量核算</w:t>
            </w:r>
          </w:p>
          <w:tbl>
            <w:tblPr>
              <w:tblStyle w:val="37"/>
              <w:tblW w:w="5000"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352"/>
              <w:gridCol w:w="985"/>
              <w:gridCol w:w="1287"/>
              <w:gridCol w:w="1209"/>
              <w:gridCol w:w="874"/>
              <w:gridCol w:w="907"/>
              <w:gridCol w:w="1113"/>
            </w:tblGrid>
            <w:tr w14:paraId="49441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tcBorders>
                    <w:tl2br w:val="nil"/>
                    <w:tr2bl w:val="nil"/>
                  </w:tcBorders>
                  <w:noWrap w:val="0"/>
                  <w:vAlign w:val="center"/>
                </w:tcPr>
                <w:p w14:paraId="0F588CD7">
                  <w:pPr>
                    <w:keepNext w:val="0"/>
                    <w:keepLines w:val="0"/>
                    <w:suppressLineNumbers w:val="0"/>
                    <w:spacing w:before="0" w:beforeAutospacing="0" w:after="0" w:afterAutospacing="0"/>
                    <w:ind w:left="0" w:right="0"/>
                    <w:jc w:val="center"/>
                    <w:rPr>
                      <w:rFonts w:hint="default"/>
                      <w:b/>
                      <w:bCs/>
                      <w:color w:val="auto"/>
                      <w:szCs w:val="21"/>
                      <w:highlight w:val="none"/>
                      <w:u w:val="none"/>
                    </w:rPr>
                  </w:pPr>
                  <w:r>
                    <w:rPr>
                      <w:rFonts w:hint="default"/>
                      <w:b/>
                      <w:bCs/>
                      <w:color w:val="auto"/>
                      <w:szCs w:val="21"/>
                      <w:highlight w:val="none"/>
                      <w:u w:val="none"/>
                    </w:rPr>
                    <w:t>污染源</w:t>
                  </w:r>
                </w:p>
              </w:tc>
              <w:tc>
                <w:tcPr>
                  <w:tcW w:w="779" w:type="pct"/>
                  <w:tcBorders>
                    <w:tl2br w:val="nil"/>
                    <w:tr2bl w:val="nil"/>
                  </w:tcBorders>
                  <w:noWrap w:val="0"/>
                  <w:vAlign w:val="center"/>
                </w:tcPr>
                <w:p w14:paraId="0CC5E1C5">
                  <w:pPr>
                    <w:keepNext w:val="0"/>
                    <w:keepLines w:val="0"/>
                    <w:suppressLineNumbers w:val="0"/>
                    <w:spacing w:before="0" w:beforeAutospacing="0" w:after="0" w:afterAutospacing="0"/>
                    <w:ind w:left="0" w:right="0"/>
                    <w:jc w:val="center"/>
                    <w:rPr>
                      <w:rFonts w:hint="default" w:eastAsia="宋体"/>
                      <w:b/>
                      <w:bCs/>
                      <w:color w:val="auto"/>
                      <w:szCs w:val="21"/>
                      <w:highlight w:val="none"/>
                      <w:u w:val="none"/>
                      <w:lang w:val="en-US" w:eastAsia="zh-CN"/>
                    </w:rPr>
                  </w:pPr>
                  <w:r>
                    <w:rPr>
                      <w:rFonts w:hint="eastAsia"/>
                      <w:b/>
                      <w:bCs/>
                      <w:color w:val="auto"/>
                      <w:szCs w:val="21"/>
                      <w:highlight w:val="none"/>
                      <w:u w:val="none"/>
                      <w:lang w:val="en-US" w:eastAsia="zh-CN"/>
                    </w:rPr>
                    <w:t>污染物</w:t>
                  </w:r>
                </w:p>
              </w:tc>
              <w:tc>
                <w:tcPr>
                  <w:tcW w:w="567" w:type="pct"/>
                  <w:tcBorders>
                    <w:tl2br w:val="nil"/>
                    <w:tr2bl w:val="nil"/>
                  </w:tcBorders>
                  <w:noWrap w:val="0"/>
                  <w:vAlign w:val="center"/>
                </w:tcPr>
                <w:p w14:paraId="60FF12A4">
                  <w:pPr>
                    <w:keepNext w:val="0"/>
                    <w:keepLines w:val="0"/>
                    <w:suppressLineNumbers w:val="0"/>
                    <w:spacing w:before="0" w:beforeAutospacing="0" w:after="0" w:afterAutospacing="0"/>
                    <w:ind w:left="0" w:right="0"/>
                    <w:jc w:val="center"/>
                    <w:rPr>
                      <w:rFonts w:hint="default"/>
                      <w:b/>
                      <w:bCs/>
                      <w:color w:val="auto"/>
                      <w:szCs w:val="21"/>
                      <w:highlight w:val="none"/>
                      <w:u w:val="none"/>
                    </w:rPr>
                  </w:pPr>
                  <w:r>
                    <w:rPr>
                      <w:rFonts w:hint="default"/>
                      <w:b/>
                      <w:bCs/>
                      <w:color w:val="auto"/>
                      <w:szCs w:val="21"/>
                      <w:highlight w:val="none"/>
                      <w:u w:val="none"/>
                    </w:rPr>
                    <w:t>非正常排放原因</w:t>
                  </w:r>
                </w:p>
              </w:tc>
              <w:tc>
                <w:tcPr>
                  <w:tcW w:w="741" w:type="pct"/>
                  <w:tcBorders>
                    <w:tl2br w:val="nil"/>
                    <w:tr2bl w:val="nil"/>
                  </w:tcBorders>
                  <w:noWrap w:val="0"/>
                  <w:vAlign w:val="center"/>
                </w:tcPr>
                <w:p w14:paraId="332B3DD6">
                  <w:pPr>
                    <w:keepNext w:val="0"/>
                    <w:keepLines w:val="0"/>
                    <w:suppressLineNumbers w:val="0"/>
                    <w:spacing w:before="0" w:beforeAutospacing="0" w:after="0" w:afterAutospacing="0"/>
                    <w:ind w:left="0" w:right="0"/>
                    <w:jc w:val="center"/>
                    <w:rPr>
                      <w:rFonts w:hint="default"/>
                      <w:b/>
                      <w:bCs/>
                      <w:color w:val="auto"/>
                      <w:szCs w:val="21"/>
                      <w:highlight w:val="none"/>
                      <w:u w:val="none"/>
                    </w:rPr>
                  </w:pPr>
                  <w:r>
                    <w:rPr>
                      <w:rFonts w:hint="default"/>
                      <w:b/>
                      <w:bCs/>
                      <w:color w:val="auto"/>
                      <w:szCs w:val="21"/>
                      <w:highlight w:val="none"/>
                      <w:u w:val="none"/>
                    </w:rPr>
                    <w:t>非正常排放浓度/（mg/m</w:t>
                  </w:r>
                  <w:r>
                    <w:rPr>
                      <w:rFonts w:hint="default"/>
                      <w:b/>
                      <w:bCs/>
                      <w:color w:val="auto"/>
                      <w:szCs w:val="21"/>
                      <w:highlight w:val="none"/>
                      <w:u w:val="none"/>
                      <w:vertAlign w:val="superscript"/>
                    </w:rPr>
                    <w:t>3</w:t>
                  </w:r>
                  <w:r>
                    <w:rPr>
                      <w:rFonts w:hint="default"/>
                      <w:b/>
                      <w:bCs/>
                      <w:color w:val="auto"/>
                      <w:szCs w:val="21"/>
                      <w:highlight w:val="none"/>
                      <w:u w:val="none"/>
                    </w:rPr>
                    <w:t>）</w:t>
                  </w:r>
                </w:p>
              </w:tc>
              <w:tc>
                <w:tcPr>
                  <w:tcW w:w="696" w:type="pct"/>
                  <w:tcBorders>
                    <w:tl2br w:val="nil"/>
                    <w:tr2bl w:val="nil"/>
                  </w:tcBorders>
                  <w:noWrap w:val="0"/>
                  <w:vAlign w:val="center"/>
                </w:tcPr>
                <w:p w14:paraId="77BBD446">
                  <w:pPr>
                    <w:keepNext w:val="0"/>
                    <w:keepLines w:val="0"/>
                    <w:suppressLineNumbers w:val="0"/>
                    <w:spacing w:before="0" w:beforeAutospacing="0" w:after="0" w:afterAutospacing="0"/>
                    <w:ind w:left="0" w:right="0"/>
                    <w:jc w:val="center"/>
                    <w:rPr>
                      <w:rFonts w:hint="default"/>
                      <w:b/>
                      <w:bCs/>
                      <w:color w:val="auto"/>
                      <w:szCs w:val="21"/>
                      <w:highlight w:val="none"/>
                      <w:u w:val="none"/>
                    </w:rPr>
                  </w:pPr>
                  <w:r>
                    <w:rPr>
                      <w:rFonts w:hint="default"/>
                      <w:b/>
                      <w:bCs/>
                      <w:color w:val="auto"/>
                      <w:szCs w:val="21"/>
                      <w:highlight w:val="none"/>
                      <w:u w:val="none"/>
                    </w:rPr>
                    <w:t>非正常排放速率/（kg/h）</w:t>
                  </w:r>
                </w:p>
              </w:tc>
              <w:tc>
                <w:tcPr>
                  <w:tcW w:w="503" w:type="pct"/>
                  <w:tcBorders>
                    <w:tl2br w:val="nil"/>
                    <w:tr2bl w:val="nil"/>
                  </w:tcBorders>
                  <w:noWrap w:val="0"/>
                  <w:vAlign w:val="center"/>
                </w:tcPr>
                <w:p w14:paraId="5931D630">
                  <w:pPr>
                    <w:keepNext w:val="0"/>
                    <w:keepLines w:val="0"/>
                    <w:suppressLineNumbers w:val="0"/>
                    <w:spacing w:before="0" w:beforeAutospacing="0" w:after="0" w:afterAutospacing="0"/>
                    <w:ind w:left="0" w:right="0"/>
                    <w:jc w:val="center"/>
                    <w:rPr>
                      <w:rFonts w:hint="default"/>
                      <w:b/>
                      <w:bCs/>
                      <w:color w:val="auto"/>
                      <w:szCs w:val="21"/>
                      <w:highlight w:val="none"/>
                      <w:u w:val="none"/>
                    </w:rPr>
                  </w:pPr>
                  <w:r>
                    <w:rPr>
                      <w:rFonts w:hint="default"/>
                      <w:b/>
                      <w:bCs/>
                      <w:color w:val="auto"/>
                      <w:szCs w:val="21"/>
                      <w:highlight w:val="none"/>
                      <w:u w:val="none"/>
                    </w:rPr>
                    <w:t>单次持续时间/h</w:t>
                  </w:r>
                </w:p>
              </w:tc>
              <w:tc>
                <w:tcPr>
                  <w:tcW w:w="522" w:type="pct"/>
                  <w:tcBorders>
                    <w:tl2br w:val="nil"/>
                    <w:tr2bl w:val="nil"/>
                  </w:tcBorders>
                  <w:noWrap w:val="0"/>
                  <w:vAlign w:val="center"/>
                </w:tcPr>
                <w:p w14:paraId="7027FCF6">
                  <w:pPr>
                    <w:keepNext w:val="0"/>
                    <w:keepLines w:val="0"/>
                    <w:suppressLineNumbers w:val="0"/>
                    <w:spacing w:before="0" w:beforeAutospacing="0" w:after="0" w:afterAutospacing="0"/>
                    <w:ind w:left="0" w:right="0"/>
                    <w:jc w:val="center"/>
                    <w:rPr>
                      <w:rFonts w:hint="default"/>
                      <w:b/>
                      <w:bCs/>
                      <w:color w:val="auto"/>
                      <w:szCs w:val="21"/>
                      <w:highlight w:val="none"/>
                      <w:u w:val="none"/>
                    </w:rPr>
                  </w:pPr>
                  <w:r>
                    <w:rPr>
                      <w:rFonts w:hint="default"/>
                      <w:b/>
                      <w:bCs/>
                      <w:color w:val="auto"/>
                      <w:szCs w:val="21"/>
                      <w:highlight w:val="none"/>
                      <w:u w:val="none"/>
                    </w:rPr>
                    <w:t>年发生频次/次</w:t>
                  </w:r>
                </w:p>
              </w:tc>
              <w:tc>
                <w:tcPr>
                  <w:tcW w:w="641" w:type="pct"/>
                  <w:tcBorders>
                    <w:tl2br w:val="nil"/>
                    <w:tr2bl w:val="nil"/>
                  </w:tcBorders>
                  <w:noWrap w:val="0"/>
                  <w:vAlign w:val="center"/>
                </w:tcPr>
                <w:p w14:paraId="143AD145">
                  <w:pPr>
                    <w:keepNext w:val="0"/>
                    <w:keepLines w:val="0"/>
                    <w:suppressLineNumbers w:val="0"/>
                    <w:spacing w:before="0" w:beforeAutospacing="0" w:after="0" w:afterAutospacing="0"/>
                    <w:ind w:left="0" w:right="0"/>
                    <w:jc w:val="center"/>
                    <w:rPr>
                      <w:rFonts w:hint="default"/>
                      <w:b/>
                      <w:bCs/>
                      <w:color w:val="auto"/>
                      <w:szCs w:val="21"/>
                      <w:highlight w:val="none"/>
                      <w:u w:val="none"/>
                    </w:rPr>
                  </w:pPr>
                  <w:r>
                    <w:rPr>
                      <w:rFonts w:hint="default"/>
                      <w:b/>
                      <w:bCs/>
                      <w:color w:val="auto"/>
                      <w:szCs w:val="21"/>
                      <w:highlight w:val="none"/>
                      <w:u w:val="none"/>
                    </w:rPr>
                    <w:t>应对措施</w:t>
                  </w:r>
                </w:p>
              </w:tc>
            </w:tr>
            <w:tr w14:paraId="08851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tcBorders>
                    <w:tl2br w:val="nil"/>
                    <w:tr2bl w:val="nil"/>
                  </w:tcBorders>
                  <w:noWrap w:val="0"/>
                  <w:vAlign w:val="center"/>
                </w:tcPr>
                <w:p w14:paraId="7A88B4AB">
                  <w:pPr>
                    <w:keepNext w:val="0"/>
                    <w:keepLines w:val="0"/>
                    <w:suppressLineNumbers w:val="0"/>
                    <w:spacing w:before="0" w:beforeAutospacing="0" w:after="0" w:afterAutospacing="0"/>
                    <w:ind w:left="0" w:right="0"/>
                    <w:jc w:val="center"/>
                    <w:rPr>
                      <w:rFonts w:hint="default"/>
                      <w:color w:val="auto"/>
                      <w:szCs w:val="21"/>
                      <w:highlight w:val="none"/>
                      <w:u w:val="none"/>
                    </w:rPr>
                  </w:pPr>
                  <w:r>
                    <w:rPr>
                      <w:rFonts w:hint="eastAsia"/>
                      <w:color w:val="auto"/>
                      <w:szCs w:val="21"/>
                      <w:highlight w:val="none"/>
                      <w:u w:val="none"/>
                      <w:lang w:val="en-US" w:eastAsia="zh-CN"/>
                    </w:rPr>
                    <w:t>DA003</w:t>
                  </w:r>
                </w:p>
              </w:tc>
              <w:tc>
                <w:tcPr>
                  <w:tcW w:w="779" w:type="pct"/>
                  <w:tcBorders>
                    <w:tl2br w:val="nil"/>
                    <w:tr2bl w:val="nil"/>
                  </w:tcBorders>
                  <w:noWrap w:val="0"/>
                  <w:vAlign w:val="center"/>
                </w:tcPr>
                <w:p w14:paraId="597B3FCE">
                  <w:pPr>
                    <w:keepNext w:val="0"/>
                    <w:keepLines w:val="0"/>
                    <w:suppressLineNumbers w:val="0"/>
                    <w:spacing w:before="0" w:beforeAutospacing="0" w:after="0" w:afterAutospacing="0"/>
                    <w:ind w:left="-105" w:leftChars="-50" w:right="-105" w:rightChars="-50"/>
                    <w:jc w:val="center"/>
                    <w:rPr>
                      <w:rFonts w:hint="eastAsia" w:eastAsia="宋体"/>
                      <w:color w:val="auto"/>
                      <w:szCs w:val="21"/>
                      <w:highlight w:val="none"/>
                      <w:u w:val="single"/>
                      <w:lang w:eastAsia="zh-CN"/>
                    </w:rPr>
                  </w:pPr>
                  <w:r>
                    <w:rPr>
                      <w:rFonts w:hint="eastAsia"/>
                      <w:strike w:val="0"/>
                      <w:dstrike w:val="0"/>
                      <w:color w:val="auto"/>
                      <w:sz w:val="21"/>
                      <w:szCs w:val="21"/>
                      <w:u w:val="none"/>
                      <w:lang w:val="en-US" w:eastAsia="zh-CN"/>
                    </w:rPr>
                    <w:t>颗粒物</w:t>
                  </w:r>
                </w:p>
              </w:tc>
              <w:tc>
                <w:tcPr>
                  <w:tcW w:w="567" w:type="pct"/>
                  <w:vMerge w:val="restart"/>
                  <w:tcBorders>
                    <w:tl2br w:val="nil"/>
                    <w:tr2bl w:val="nil"/>
                  </w:tcBorders>
                  <w:noWrap w:val="0"/>
                  <w:vAlign w:val="center"/>
                </w:tcPr>
                <w:p w14:paraId="07DB72AC">
                  <w:pPr>
                    <w:keepNext w:val="0"/>
                    <w:keepLines w:val="0"/>
                    <w:suppressLineNumbers w:val="0"/>
                    <w:spacing w:before="0" w:beforeAutospacing="0" w:after="0" w:afterAutospacing="0"/>
                    <w:ind w:left="0" w:right="0"/>
                    <w:jc w:val="center"/>
                    <w:rPr>
                      <w:rFonts w:hint="eastAsia" w:eastAsia="宋体"/>
                      <w:color w:val="auto"/>
                      <w:szCs w:val="21"/>
                      <w:highlight w:val="none"/>
                      <w:u w:val="none"/>
                      <w:lang w:eastAsia="zh-CN"/>
                    </w:rPr>
                  </w:pPr>
                  <w:r>
                    <w:rPr>
                      <w:rFonts w:hint="eastAsia"/>
                      <w:color w:val="auto"/>
                      <w:szCs w:val="21"/>
                      <w:highlight w:val="none"/>
                      <w:u w:val="none"/>
                      <w:lang w:eastAsia="zh-CN"/>
                    </w:rPr>
                    <w:t>废气处理设备故障</w:t>
                  </w:r>
                  <w:r>
                    <w:rPr>
                      <w:rFonts w:hint="default" w:ascii="Times New Roman" w:hAnsi="Times New Roman" w:eastAsia="宋体" w:cs="Times New Roman"/>
                      <w:b w:val="0"/>
                      <w:bCs w:val="0"/>
                      <w:color w:val="000000" w:themeColor="text1"/>
                      <w:spacing w:val="0"/>
                      <w:w w:val="100"/>
                      <w:position w:val="0"/>
                      <w:sz w:val="21"/>
                      <w:szCs w:val="21"/>
                      <w:highlight w:val="none"/>
                      <w:u w:val="none" w:color="auto"/>
                      <w:lang w:eastAsia="zh-CN"/>
                      <w14:textFill>
                        <w14:solidFill>
                          <w14:schemeClr w14:val="tx1"/>
                        </w14:solidFill>
                      </w14:textFill>
                    </w:rPr>
                    <w:t>、失效</w:t>
                  </w:r>
                </w:p>
              </w:tc>
              <w:tc>
                <w:tcPr>
                  <w:tcW w:w="741" w:type="pct"/>
                  <w:tcBorders>
                    <w:tl2br w:val="nil"/>
                    <w:tr2bl w:val="nil"/>
                  </w:tcBorders>
                  <w:noWrap w:val="0"/>
                  <w:vAlign w:val="center"/>
                </w:tcPr>
                <w:p w14:paraId="00E93A33">
                  <w:pPr>
                    <w:keepNext w:val="0"/>
                    <w:keepLines w:val="0"/>
                    <w:suppressLineNumbers w:val="0"/>
                    <w:spacing w:before="0" w:beforeAutospacing="0" w:after="0" w:afterAutospacing="0" w:line="240" w:lineRule="auto"/>
                    <w:ind w:left="0" w:right="0"/>
                    <w:jc w:val="center"/>
                    <w:textAlignment w:val="center"/>
                    <w:rPr>
                      <w:rFonts w:hint="default" w:eastAsia="宋体"/>
                      <w:color w:val="auto"/>
                      <w:szCs w:val="21"/>
                      <w:highlight w:val="none"/>
                      <w:u w:val="none"/>
                      <w:lang w:val="en-US" w:eastAsia="zh-CN"/>
                    </w:rPr>
                  </w:pPr>
                  <w:r>
                    <w:rPr>
                      <w:rFonts w:hint="default" w:ascii="Times New Roman" w:hAnsi="Times New Roman" w:cs="Times New Roman"/>
                      <w:color w:val="auto"/>
                      <w:sz w:val="21"/>
                      <w:szCs w:val="21"/>
                      <w:highlight w:val="none"/>
                      <w:lang w:val="en-US" w:eastAsia="zh-CN"/>
                    </w:rPr>
                    <w:t>191.625</w:t>
                  </w:r>
                </w:p>
              </w:tc>
              <w:tc>
                <w:tcPr>
                  <w:tcW w:w="696" w:type="pct"/>
                  <w:tcBorders>
                    <w:tl2br w:val="nil"/>
                    <w:tr2bl w:val="nil"/>
                  </w:tcBorders>
                  <w:noWrap w:val="0"/>
                  <w:vAlign w:val="center"/>
                </w:tcPr>
                <w:p w14:paraId="7F84E164">
                  <w:pPr>
                    <w:keepNext w:val="0"/>
                    <w:keepLines w:val="0"/>
                    <w:suppressLineNumbers w:val="0"/>
                    <w:spacing w:before="0" w:beforeAutospacing="0" w:after="0" w:afterAutospacing="0" w:line="240" w:lineRule="auto"/>
                    <w:ind w:left="0" w:right="0"/>
                    <w:jc w:val="center"/>
                    <w:textAlignment w:val="center"/>
                    <w:rPr>
                      <w:rFonts w:hint="default" w:eastAsia="宋体"/>
                      <w:color w:val="auto"/>
                      <w:szCs w:val="21"/>
                      <w:highlight w:val="none"/>
                      <w:u w:val="none"/>
                      <w:lang w:val="en-US" w:eastAsia="zh-CN"/>
                    </w:rPr>
                  </w:pPr>
                  <w:r>
                    <w:rPr>
                      <w:rFonts w:hint="default" w:ascii="Times New Roman" w:hAnsi="Times New Roman" w:eastAsia="宋体" w:cs="Times New Roman"/>
                      <w:color w:val="auto"/>
                      <w:sz w:val="21"/>
                      <w:szCs w:val="21"/>
                      <w:u w:val="none" w:color="auto"/>
                      <w:lang w:val="en-US" w:eastAsia="zh-CN"/>
                    </w:rPr>
                    <w:t>4.</w:t>
                  </w:r>
                  <w:r>
                    <w:rPr>
                      <w:rFonts w:hint="default" w:ascii="Times New Roman" w:hAnsi="Times New Roman" w:cs="Times New Roman"/>
                      <w:color w:val="auto"/>
                      <w:sz w:val="21"/>
                      <w:szCs w:val="21"/>
                      <w:u w:val="none" w:color="auto"/>
                      <w:lang w:val="en-US" w:eastAsia="zh-CN"/>
                    </w:rPr>
                    <w:t>024</w:t>
                  </w:r>
                </w:p>
              </w:tc>
              <w:tc>
                <w:tcPr>
                  <w:tcW w:w="503" w:type="pct"/>
                  <w:tcBorders>
                    <w:tl2br w:val="nil"/>
                    <w:tr2bl w:val="nil"/>
                  </w:tcBorders>
                  <w:noWrap w:val="0"/>
                  <w:vAlign w:val="center"/>
                </w:tcPr>
                <w:p w14:paraId="2EEBEE7B">
                  <w:pPr>
                    <w:keepNext w:val="0"/>
                    <w:keepLines w:val="0"/>
                    <w:suppressLineNumbers w:val="0"/>
                    <w:spacing w:before="0" w:beforeAutospacing="0" w:after="0" w:afterAutospacing="0" w:line="240" w:lineRule="auto"/>
                    <w:ind w:left="0" w:right="0"/>
                    <w:jc w:val="center"/>
                    <w:textAlignment w:val="center"/>
                    <w:rPr>
                      <w:rFonts w:hint="eastAsia"/>
                      <w:color w:val="auto"/>
                      <w:szCs w:val="21"/>
                      <w:highlight w:val="none"/>
                      <w:u w:val="none"/>
                      <w:lang w:val="en-US" w:eastAsia="zh-CN"/>
                    </w:rPr>
                  </w:pPr>
                  <w:r>
                    <w:rPr>
                      <w:rFonts w:hint="eastAsia" w:ascii="Times New Roman" w:hAnsi="Times New Roman" w:eastAsia="宋体" w:cs="Times New Roman"/>
                      <w:color w:val="auto"/>
                      <w:sz w:val="21"/>
                      <w:szCs w:val="21"/>
                      <w:u w:val="none" w:color="auto"/>
                      <w:lang w:val="en-US" w:eastAsia="zh-CN"/>
                    </w:rPr>
                    <w:t>1</w:t>
                  </w:r>
                </w:p>
              </w:tc>
              <w:tc>
                <w:tcPr>
                  <w:tcW w:w="522" w:type="pct"/>
                  <w:tcBorders>
                    <w:tl2br w:val="nil"/>
                    <w:tr2bl w:val="nil"/>
                  </w:tcBorders>
                  <w:noWrap w:val="0"/>
                  <w:vAlign w:val="center"/>
                </w:tcPr>
                <w:p w14:paraId="1111910D">
                  <w:pPr>
                    <w:keepNext w:val="0"/>
                    <w:keepLines w:val="0"/>
                    <w:suppressLineNumbers w:val="0"/>
                    <w:spacing w:before="0" w:beforeAutospacing="0" w:after="0" w:afterAutospacing="0"/>
                    <w:ind w:left="0" w:right="0"/>
                    <w:jc w:val="center"/>
                    <w:rPr>
                      <w:rFonts w:hint="eastAsia" w:eastAsia="宋体"/>
                      <w:color w:val="auto"/>
                      <w:szCs w:val="21"/>
                      <w:highlight w:val="none"/>
                      <w:u w:val="none"/>
                      <w:lang w:eastAsia="zh-CN"/>
                    </w:rPr>
                  </w:pPr>
                  <w:r>
                    <w:rPr>
                      <w:rFonts w:hint="eastAsia"/>
                      <w:color w:val="auto"/>
                      <w:szCs w:val="21"/>
                      <w:highlight w:val="none"/>
                      <w:u w:val="none"/>
                      <w:lang w:val="en-US" w:eastAsia="zh-CN"/>
                    </w:rPr>
                    <w:t>2</w:t>
                  </w:r>
                </w:p>
              </w:tc>
              <w:tc>
                <w:tcPr>
                  <w:tcW w:w="641" w:type="pct"/>
                  <w:vMerge w:val="restart"/>
                  <w:tcBorders>
                    <w:tl2br w:val="nil"/>
                    <w:tr2bl w:val="nil"/>
                  </w:tcBorders>
                  <w:noWrap w:val="0"/>
                  <w:vAlign w:val="center"/>
                </w:tcPr>
                <w:p w14:paraId="159E8FBB">
                  <w:pPr>
                    <w:keepNext w:val="0"/>
                    <w:keepLines w:val="0"/>
                    <w:suppressLineNumbers w:val="0"/>
                    <w:spacing w:before="0" w:beforeAutospacing="0" w:after="0" w:afterAutospacing="0"/>
                    <w:ind w:left="0" w:right="0"/>
                    <w:jc w:val="center"/>
                    <w:rPr>
                      <w:rFonts w:hint="eastAsia" w:eastAsia="宋体"/>
                      <w:color w:val="auto"/>
                      <w:szCs w:val="21"/>
                      <w:highlight w:val="none"/>
                      <w:u w:val="none"/>
                      <w:lang w:eastAsia="zh-CN"/>
                    </w:rPr>
                  </w:pPr>
                  <w:r>
                    <w:rPr>
                      <w:rFonts w:hint="eastAsia"/>
                      <w:color w:val="auto"/>
                      <w:szCs w:val="21"/>
                      <w:highlight w:val="none"/>
                      <w:u w:val="none"/>
                      <w:lang w:eastAsia="zh-CN"/>
                    </w:rPr>
                    <w:t>立刻</w:t>
                  </w:r>
                  <w:r>
                    <w:rPr>
                      <w:rFonts w:hint="default"/>
                      <w:color w:val="auto"/>
                      <w:szCs w:val="21"/>
                      <w:highlight w:val="none"/>
                      <w:u w:val="none"/>
                    </w:rPr>
                    <w:t>停止作业，</w:t>
                  </w:r>
                  <w:r>
                    <w:rPr>
                      <w:rFonts w:hint="eastAsia"/>
                      <w:color w:val="auto"/>
                      <w:szCs w:val="21"/>
                      <w:highlight w:val="none"/>
                      <w:u w:val="none"/>
                      <w:lang w:eastAsia="zh-CN"/>
                    </w:rPr>
                    <w:t>对设备进行检修</w:t>
                  </w:r>
                </w:p>
              </w:tc>
            </w:tr>
            <w:tr w14:paraId="393C1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restart"/>
                  <w:tcBorders>
                    <w:tl2br w:val="nil"/>
                    <w:tr2bl w:val="nil"/>
                  </w:tcBorders>
                  <w:noWrap w:val="0"/>
                  <w:vAlign w:val="center"/>
                </w:tcPr>
                <w:p w14:paraId="13C29D4C">
                  <w:pPr>
                    <w:keepNext w:val="0"/>
                    <w:keepLines w:val="0"/>
                    <w:suppressLineNumbers w:val="0"/>
                    <w:spacing w:before="0" w:beforeAutospacing="0" w:after="0" w:afterAutospacing="0"/>
                    <w:ind w:left="0" w:right="0"/>
                    <w:jc w:val="center"/>
                    <w:rPr>
                      <w:rFonts w:hint="default"/>
                      <w:color w:val="auto"/>
                      <w:szCs w:val="21"/>
                      <w:highlight w:val="none"/>
                      <w:u w:val="none"/>
                      <w:lang w:val="en-US" w:eastAsia="zh-CN"/>
                    </w:rPr>
                  </w:pPr>
                  <w:r>
                    <w:rPr>
                      <w:rFonts w:hint="eastAsia"/>
                      <w:color w:val="auto"/>
                      <w:szCs w:val="21"/>
                      <w:highlight w:val="none"/>
                      <w:u w:val="none"/>
                      <w:lang w:val="en-US" w:eastAsia="zh-CN"/>
                    </w:rPr>
                    <w:t>DA002</w:t>
                  </w:r>
                </w:p>
              </w:tc>
              <w:tc>
                <w:tcPr>
                  <w:tcW w:w="779" w:type="pct"/>
                  <w:tcBorders>
                    <w:tl2br w:val="nil"/>
                    <w:tr2bl w:val="nil"/>
                  </w:tcBorders>
                  <w:noWrap w:val="0"/>
                  <w:vAlign w:val="center"/>
                </w:tcPr>
                <w:p w14:paraId="1A9DB902">
                  <w:pPr>
                    <w:keepNext w:val="0"/>
                    <w:keepLines w:val="0"/>
                    <w:suppressLineNumbers w:val="0"/>
                    <w:adjustRightInd w:val="0"/>
                    <w:snapToGrid w:val="0"/>
                    <w:spacing w:before="0" w:beforeAutospacing="0" w:after="0" w:afterAutospacing="0" w:line="240" w:lineRule="auto"/>
                    <w:ind w:left="0" w:right="0"/>
                    <w:jc w:val="center"/>
                    <w:rPr>
                      <w:rFonts w:hint="eastAsia"/>
                      <w:color w:val="auto"/>
                      <w:szCs w:val="21"/>
                      <w:highlight w:val="none"/>
                      <w:u w:val="single"/>
                      <w:lang w:eastAsia="zh-CN"/>
                    </w:rPr>
                  </w:pPr>
                  <w:r>
                    <w:rPr>
                      <w:rFonts w:hint="default" w:ascii="Times New Roman" w:hAnsi="Times New Roman" w:eastAsia="宋体" w:cs="Times New Roman"/>
                      <w:bCs/>
                      <w:color w:val="auto"/>
                      <w:sz w:val="21"/>
                      <w:szCs w:val="21"/>
                      <w:highlight w:val="none"/>
                    </w:rPr>
                    <w:t>颗粒物</w:t>
                  </w:r>
                </w:p>
              </w:tc>
              <w:tc>
                <w:tcPr>
                  <w:tcW w:w="567" w:type="pct"/>
                  <w:vMerge w:val="continue"/>
                  <w:tcBorders>
                    <w:tl2br w:val="nil"/>
                    <w:tr2bl w:val="nil"/>
                  </w:tcBorders>
                  <w:noWrap w:val="0"/>
                  <w:vAlign w:val="center"/>
                </w:tcPr>
                <w:p w14:paraId="44CF2C8E">
                  <w:pPr>
                    <w:keepNext w:val="0"/>
                    <w:keepLines w:val="0"/>
                    <w:suppressLineNumbers w:val="0"/>
                    <w:spacing w:before="0" w:beforeAutospacing="0" w:after="0" w:afterAutospacing="0"/>
                    <w:ind w:left="0" w:right="0"/>
                    <w:jc w:val="center"/>
                    <w:rPr>
                      <w:rFonts w:hint="default"/>
                      <w:color w:val="auto"/>
                      <w:szCs w:val="21"/>
                      <w:highlight w:val="none"/>
                      <w:u w:val="none"/>
                    </w:rPr>
                  </w:pPr>
                </w:p>
              </w:tc>
              <w:tc>
                <w:tcPr>
                  <w:tcW w:w="741" w:type="pct"/>
                  <w:tcBorders>
                    <w:tl2br w:val="nil"/>
                    <w:tr2bl w:val="nil"/>
                  </w:tcBorders>
                  <w:noWrap w:val="0"/>
                  <w:vAlign w:val="center"/>
                </w:tcPr>
                <w:p w14:paraId="1563A1DF">
                  <w:pPr>
                    <w:keepNext w:val="0"/>
                    <w:keepLines w:val="0"/>
                    <w:suppressLineNumbers w:val="0"/>
                    <w:spacing w:before="0" w:beforeAutospacing="0" w:after="0" w:afterAutospacing="0" w:line="240" w:lineRule="auto"/>
                    <w:ind w:left="0" w:right="0"/>
                    <w:jc w:val="center"/>
                    <w:textAlignment w:val="center"/>
                    <w:rPr>
                      <w:rFonts w:hint="default"/>
                      <w:color w:val="auto"/>
                      <w:u w:val="none"/>
                      <w:lang w:val="en-US" w:eastAsia="zh-CN"/>
                    </w:rPr>
                  </w:pPr>
                  <w:r>
                    <w:rPr>
                      <w:rFonts w:hint="eastAsia" w:ascii="Times New Roman" w:hAnsi="Times New Roman" w:cs="Times New Roman"/>
                      <w:b w:val="0"/>
                      <w:bCs/>
                      <w:color w:val="auto"/>
                      <w:spacing w:val="0"/>
                      <w:w w:val="100"/>
                      <w:kern w:val="21"/>
                      <w:position w:val="0"/>
                      <w:sz w:val="21"/>
                      <w:szCs w:val="21"/>
                      <w:highlight w:val="none"/>
                      <w:u w:val="none" w:color="auto"/>
                      <w:lang w:val="en-US" w:eastAsia="zh-CN"/>
                    </w:rPr>
                    <w:t>51.455</w:t>
                  </w:r>
                </w:p>
              </w:tc>
              <w:tc>
                <w:tcPr>
                  <w:tcW w:w="696" w:type="pct"/>
                  <w:tcBorders>
                    <w:tl2br w:val="nil"/>
                    <w:tr2bl w:val="nil"/>
                  </w:tcBorders>
                  <w:noWrap w:val="0"/>
                  <w:vAlign w:val="center"/>
                </w:tcPr>
                <w:p w14:paraId="6DCA9655">
                  <w:pPr>
                    <w:keepNext w:val="0"/>
                    <w:keepLines w:val="0"/>
                    <w:suppressLineNumbers w:val="0"/>
                    <w:spacing w:before="0" w:beforeAutospacing="0" w:after="0" w:afterAutospacing="0" w:line="240" w:lineRule="auto"/>
                    <w:ind w:left="0" w:right="0"/>
                    <w:jc w:val="center"/>
                    <w:textAlignment w:val="center"/>
                    <w:rPr>
                      <w:rFonts w:hint="default" w:eastAsia="宋体"/>
                      <w:color w:val="auto"/>
                      <w:u w:val="none"/>
                      <w:lang w:val="en-US" w:eastAsia="zh-CN"/>
                    </w:rPr>
                  </w:pPr>
                  <w:r>
                    <w:rPr>
                      <w:rFonts w:hint="eastAsia" w:ascii="Times New Roman" w:hAnsi="Times New Roman" w:eastAsia="宋体" w:cs="Times New Roman"/>
                      <w:b w:val="0"/>
                      <w:bCs/>
                      <w:color w:val="auto"/>
                      <w:spacing w:val="0"/>
                      <w:w w:val="100"/>
                      <w:kern w:val="21"/>
                      <w:position w:val="0"/>
                      <w:sz w:val="21"/>
                      <w:szCs w:val="21"/>
                      <w:highlight w:val="none"/>
                      <w:u w:val="none" w:color="auto"/>
                      <w:lang w:val="en-US" w:eastAsia="zh-CN"/>
                    </w:rPr>
                    <w:t>0.790</w:t>
                  </w:r>
                </w:p>
              </w:tc>
              <w:tc>
                <w:tcPr>
                  <w:tcW w:w="503" w:type="pct"/>
                  <w:tcBorders>
                    <w:tl2br w:val="nil"/>
                    <w:tr2bl w:val="nil"/>
                  </w:tcBorders>
                  <w:noWrap w:val="0"/>
                  <w:vAlign w:val="center"/>
                </w:tcPr>
                <w:p w14:paraId="5CBB8CC2">
                  <w:pPr>
                    <w:keepNext w:val="0"/>
                    <w:keepLines w:val="0"/>
                    <w:suppressLineNumbers w:val="0"/>
                    <w:spacing w:before="0" w:beforeAutospacing="0" w:after="0" w:afterAutospacing="0"/>
                    <w:ind w:left="0" w:right="0"/>
                    <w:jc w:val="center"/>
                    <w:rPr>
                      <w:rFonts w:hint="eastAsia"/>
                      <w:color w:val="auto"/>
                      <w:szCs w:val="21"/>
                      <w:highlight w:val="none"/>
                      <w:u w:val="none"/>
                      <w:lang w:val="en-US" w:eastAsia="zh-CN"/>
                    </w:rPr>
                  </w:pPr>
                  <w:r>
                    <w:rPr>
                      <w:rFonts w:hint="eastAsia"/>
                      <w:color w:val="auto"/>
                      <w:szCs w:val="21"/>
                      <w:highlight w:val="none"/>
                      <w:u w:val="none"/>
                      <w:lang w:val="en-US" w:eastAsia="zh-CN"/>
                    </w:rPr>
                    <w:t>1</w:t>
                  </w:r>
                </w:p>
              </w:tc>
              <w:tc>
                <w:tcPr>
                  <w:tcW w:w="522" w:type="pct"/>
                  <w:tcBorders>
                    <w:tl2br w:val="nil"/>
                    <w:tr2bl w:val="nil"/>
                  </w:tcBorders>
                  <w:noWrap w:val="0"/>
                  <w:vAlign w:val="center"/>
                </w:tcPr>
                <w:p w14:paraId="6146199F">
                  <w:pPr>
                    <w:keepNext w:val="0"/>
                    <w:keepLines w:val="0"/>
                    <w:suppressLineNumbers w:val="0"/>
                    <w:spacing w:before="0" w:beforeAutospacing="0" w:after="0" w:afterAutospacing="0"/>
                    <w:ind w:left="0" w:right="0"/>
                    <w:jc w:val="center"/>
                    <w:rPr>
                      <w:rFonts w:hint="eastAsia"/>
                      <w:color w:val="auto"/>
                      <w:szCs w:val="21"/>
                      <w:highlight w:val="none"/>
                      <w:u w:val="none"/>
                      <w:lang w:val="en-US" w:eastAsia="zh-CN"/>
                    </w:rPr>
                  </w:pPr>
                  <w:r>
                    <w:rPr>
                      <w:rFonts w:hint="eastAsia"/>
                      <w:color w:val="auto"/>
                      <w:szCs w:val="21"/>
                      <w:highlight w:val="none"/>
                      <w:u w:val="none"/>
                      <w:lang w:val="en-US" w:eastAsia="zh-CN"/>
                    </w:rPr>
                    <w:t>2</w:t>
                  </w:r>
                </w:p>
              </w:tc>
              <w:tc>
                <w:tcPr>
                  <w:tcW w:w="641" w:type="pct"/>
                  <w:vMerge w:val="continue"/>
                  <w:tcBorders>
                    <w:tl2br w:val="nil"/>
                    <w:tr2bl w:val="nil"/>
                  </w:tcBorders>
                  <w:noWrap w:val="0"/>
                  <w:vAlign w:val="center"/>
                </w:tcPr>
                <w:p w14:paraId="6C404B6E">
                  <w:pPr>
                    <w:keepNext w:val="0"/>
                    <w:keepLines w:val="0"/>
                    <w:suppressLineNumbers w:val="0"/>
                    <w:spacing w:before="0" w:beforeAutospacing="0" w:after="0" w:afterAutospacing="0"/>
                    <w:ind w:left="0" w:right="0"/>
                    <w:jc w:val="center"/>
                    <w:rPr>
                      <w:rFonts w:hint="default"/>
                      <w:color w:val="auto"/>
                      <w:szCs w:val="21"/>
                      <w:highlight w:val="none"/>
                      <w:u w:val="none"/>
                    </w:rPr>
                  </w:pPr>
                </w:p>
              </w:tc>
            </w:tr>
            <w:tr w14:paraId="01748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continue"/>
                  <w:tcBorders>
                    <w:tl2br w:val="nil"/>
                    <w:tr2bl w:val="nil"/>
                  </w:tcBorders>
                  <w:noWrap w:val="0"/>
                  <w:vAlign w:val="center"/>
                </w:tcPr>
                <w:p w14:paraId="16010DE1">
                  <w:pPr>
                    <w:keepNext w:val="0"/>
                    <w:keepLines w:val="0"/>
                    <w:suppressLineNumbers w:val="0"/>
                    <w:spacing w:before="0" w:beforeAutospacing="0" w:after="0" w:afterAutospacing="0"/>
                    <w:ind w:left="0" w:right="0"/>
                    <w:jc w:val="center"/>
                    <w:rPr>
                      <w:rFonts w:hint="default"/>
                      <w:color w:val="auto"/>
                      <w:szCs w:val="21"/>
                      <w:highlight w:val="none"/>
                      <w:u w:val="none"/>
                      <w:lang w:val="en-US" w:eastAsia="zh-CN"/>
                    </w:rPr>
                  </w:pPr>
                </w:p>
              </w:tc>
              <w:tc>
                <w:tcPr>
                  <w:tcW w:w="779" w:type="pct"/>
                  <w:tcBorders>
                    <w:tl2br w:val="nil"/>
                    <w:tr2bl w:val="nil"/>
                  </w:tcBorders>
                  <w:noWrap w:val="0"/>
                  <w:vAlign w:val="center"/>
                </w:tcPr>
                <w:p w14:paraId="2AE74E03">
                  <w:pPr>
                    <w:keepNext w:val="0"/>
                    <w:keepLines w:val="0"/>
                    <w:suppressLineNumbers w:val="0"/>
                    <w:adjustRightInd w:val="0"/>
                    <w:snapToGrid w:val="0"/>
                    <w:spacing w:before="0" w:beforeAutospacing="0" w:after="0" w:afterAutospacing="0" w:line="240" w:lineRule="auto"/>
                    <w:ind w:left="0" w:right="0"/>
                    <w:jc w:val="center"/>
                    <w:rPr>
                      <w:rFonts w:hint="default"/>
                      <w:color w:val="auto"/>
                      <w:szCs w:val="21"/>
                      <w:highlight w:val="none"/>
                      <w:u w:val="none"/>
                    </w:rPr>
                  </w:pPr>
                  <w:r>
                    <w:rPr>
                      <w:rFonts w:hint="eastAsia" w:ascii="Times New Roman" w:hAnsi="Times New Roman" w:eastAsia="宋体" w:cs="Times New Roman"/>
                      <w:bCs/>
                      <w:color w:val="auto"/>
                      <w:sz w:val="21"/>
                      <w:szCs w:val="21"/>
                      <w:highlight w:val="none"/>
                      <w:lang w:eastAsia="zh-CN"/>
                    </w:rPr>
                    <w:t>二甲苯</w:t>
                  </w:r>
                </w:p>
              </w:tc>
              <w:tc>
                <w:tcPr>
                  <w:tcW w:w="567" w:type="pct"/>
                  <w:vMerge w:val="continue"/>
                  <w:tcBorders>
                    <w:tl2br w:val="nil"/>
                    <w:tr2bl w:val="nil"/>
                  </w:tcBorders>
                  <w:noWrap w:val="0"/>
                  <w:vAlign w:val="center"/>
                </w:tcPr>
                <w:p w14:paraId="5540533E">
                  <w:pPr>
                    <w:keepNext w:val="0"/>
                    <w:keepLines w:val="0"/>
                    <w:suppressLineNumbers w:val="0"/>
                    <w:spacing w:before="0" w:beforeAutospacing="0" w:after="0" w:afterAutospacing="0"/>
                    <w:ind w:left="0" w:right="0"/>
                    <w:jc w:val="center"/>
                    <w:rPr>
                      <w:rFonts w:hint="default"/>
                      <w:color w:val="auto"/>
                      <w:szCs w:val="21"/>
                      <w:highlight w:val="none"/>
                      <w:u w:val="none"/>
                    </w:rPr>
                  </w:pPr>
                </w:p>
              </w:tc>
              <w:tc>
                <w:tcPr>
                  <w:tcW w:w="741" w:type="pct"/>
                  <w:tcBorders>
                    <w:tl2br w:val="nil"/>
                    <w:tr2bl w:val="nil"/>
                  </w:tcBorders>
                  <w:noWrap w:val="0"/>
                  <w:vAlign w:val="center"/>
                </w:tcPr>
                <w:p w14:paraId="387F57B2">
                  <w:pPr>
                    <w:keepNext w:val="0"/>
                    <w:keepLines w:val="0"/>
                    <w:suppressLineNumbers w:val="0"/>
                    <w:spacing w:before="0" w:beforeAutospacing="0" w:after="0" w:afterAutospacing="0" w:line="240" w:lineRule="auto"/>
                    <w:ind w:left="0" w:right="0"/>
                    <w:jc w:val="center"/>
                    <w:textAlignment w:val="center"/>
                    <w:rPr>
                      <w:rFonts w:hint="default"/>
                      <w:color w:val="auto"/>
                      <w:szCs w:val="21"/>
                      <w:highlight w:val="none"/>
                      <w:u w:val="none"/>
                      <w:lang w:val="en-US" w:eastAsia="zh-CN"/>
                    </w:rPr>
                  </w:pPr>
                  <w:r>
                    <w:rPr>
                      <w:rFonts w:hint="eastAsia" w:ascii="Times New Roman" w:hAnsi="Times New Roman" w:cs="Times New Roman"/>
                      <w:b w:val="0"/>
                      <w:bCs/>
                      <w:color w:val="auto"/>
                      <w:spacing w:val="0"/>
                      <w:w w:val="100"/>
                      <w:kern w:val="21"/>
                      <w:position w:val="0"/>
                      <w:sz w:val="21"/>
                      <w:szCs w:val="21"/>
                      <w:highlight w:val="none"/>
                      <w:u w:val="none" w:color="auto"/>
                      <w:lang w:val="en-US" w:eastAsia="zh-CN"/>
                    </w:rPr>
                    <w:t>39.668</w:t>
                  </w:r>
                </w:p>
              </w:tc>
              <w:tc>
                <w:tcPr>
                  <w:tcW w:w="696" w:type="pct"/>
                  <w:tcBorders>
                    <w:tl2br w:val="nil"/>
                    <w:tr2bl w:val="nil"/>
                  </w:tcBorders>
                  <w:noWrap w:val="0"/>
                  <w:vAlign w:val="center"/>
                </w:tcPr>
                <w:p w14:paraId="2F53FA86">
                  <w:pPr>
                    <w:keepNext w:val="0"/>
                    <w:keepLines w:val="0"/>
                    <w:suppressLineNumbers w:val="0"/>
                    <w:spacing w:before="0" w:beforeAutospacing="0" w:after="0" w:afterAutospacing="0" w:line="240" w:lineRule="auto"/>
                    <w:ind w:left="0" w:right="0"/>
                    <w:jc w:val="center"/>
                    <w:textAlignment w:val="center"/>
                    <w:rPr>
                      <w:rFonts w:hint="default" w:eastAsia="宋体"/>
                      <w:color w:val="auto"/>
                      <w:szCs w:val="21"/>
                      <w:highlight w:val="none"/>
                      <w:u w:val="none"/>
                      <w:lang w:val="en-US" w:eastAsia="zh-CN"/>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w:t>
                  </w:r>
                  <w:r>
                    <w:rPr>
                      <w:rFonts w:hint="eastAsia" w:ascii="Times New Roman" w:hAnsi="Times New Roman" w:eastAsia="宋体" w:cs="Times New Roman"/>
                      <w:b w:val="0"/>
                      <w:bCs/>
                      <w:color w:val="auto"/>
                      <w:spacing w:val="0"/>
                      <w:w w:val="100"/>
                      <w:kern w:val="21"/>
                      <w:position w:val="0"/>
                      <w:sz w:val="21"/>
                      <w:szCs w:val="21"/>
                      <w:highlight w:val="none"/>
                      <w:u w:val="none" w:color="auto"/>
                      <w:lang w:val="en-US" w:eastAsia="zh-CN"/>
                    </w:rPr>
                    <w:t>.609</w:t>
                  </w:r>
                </w:p>
              </w:tc>
              <w:tc>
                <w:tcPr>
                  <w:tcW w:w="503" w:type="pct"/>
                  <w:tcBorders>
                    <w:tl2br w:val="nil"/>
                    <w:tr2bl w:val="nil"/>
                  </w:tcBorders>
                  <w:noWrap w:val="0"/>
                  <w:vAlign w:val="center"/>
                </w:tcPr>
                <w:p w14:paraId="126E632D">
                  <w:pPr>
                    <w:keepNext w:val="0"/>
                    <w:keepLines w:val="0"/>
                    <w:suppressLineNumbers w:val="0"/>
                    <w:spacing w:before="0" w:beforeAutospacing="0" w:after="0" w:afterAutospacing="0"/>
                    <w:ind w:left="0" w:right="0"/>
                    <w:jc w:val="center"/>
                    <w:rPr>
                      <w:rFonts w:hint="eastAsia"/>
                      <w:color w:val="auto"/>
                      <w:szCs w:val="21"/>
                      <w:highlight w:val="none"/>
                      <w:u w:val="none"/>
                      <w:lang w:val="en-US" w:eastAsia="zh-CN"/>
                    </w:rPr>
                  </w:pPr>
                  <w:r>
                    <w:rPr>
                      <w:rFonts w:hint="eastAsia"/>
                      <w:color w:val="auto"/>
                      <w:szCs w:val="21"/>
                      <w:highlight w:val="none"/>
                      <w:u w:val="none"/>
                      <w:lang w:val="en-US" w:eastAsia="zh-CN"/>
                    </w:rPr>
                    <w:t>1</w:t>
                  </w:r>
                </w:p>
              </w:tc>
              <w:tc>
                <w:tcPr>
                  <w:tcW w:w="522" w:type="pct"/>
                  <w:tcBorders>
                    <w:tl2br w:val="nil"/>
                    <w:tr2bl w:val="nil"/>
                  </w:tcBorders>
                  <w:noWrap w:val="0"/>
                  <w:vAlign w:val="center"/>
                </w:tcPr>
                <w:p w14:paraId="140D9FD6">
                  <w:pPr>
                    <w:keepNext w:val="0"/>
                    <w:keepLines w:val="0"/>
                    <w:suppressLineNumbers w:val="0"/>
                    <w:spacing w:before="0" w:beforeAutospacing="0" w:after="0" w:afterAutospacing="0"/>
                    <w:ind w:left="0" w:right="0"/>
                    <w:jc w:val="center"/>
                    <w:rPr>
                      <w:rFonts w:hint="eastAsia" w:eastAsia="宋体"/>
                      <w:color w:val="auto"/>
                      <w:szCs w:val="21"/>
                      <w:highlight w:val="none"/>
                      <w:u w:val="none"/>
                      <w:lang w:val="en-US" w:eastAsia="zh-CN"/>
                    </w:rPr>
                  </w:pPr>
                  <w:r>
                    <w:rPr>
                      <w:rFonts w:hint="eastAsia"/>
                      <w:color w:val="auto"/>
                      <w:szCs w:val="21"/>
                      <w:highlight w:val="none"/>
                      <w:u w:val="none"/>
                      <w:lang w:val="en-US" w:eastAsia="zh-CN"/>
                    </w:rPr>
                    <w:t>2</w:t>
                  </w:r>
                </w:p>
              </w:tc>
              <w:tc>
                <w:tcPr>
                  <w:tcW w:w="641" w:type="pct"/>
                  <w:vMerge w:val="continue"/>
                  <w:tcBorders>
                    <w:tl2br w:val="nil"/>
                    <w:tr2bl w:val="nil"/>
                  </w:tcBorders>
                  <w:noWrap w:val="0"/>
                  <w:vAlign w:val="center"/>
                </w:tcPr>
                <w:p w14:paraId="49A0668E">
                  <w:pPr>
                    <w:keepNext w:val="0"/>
                    <w:keepLines w:val="0"/>
                    <w:suppressLineNumbers w:val="0"/>
                    <w:spacing w:before="0" w:beforeAutospacing="0" w:after="0" w:afterAutospacing="0"/>
                    <w:ind w:left="0" w:right="0"/>
                    <w:jc w:val="center"/>
                    <w:rPr>
                      <w:rFonts w:hint="default"/>
                      <w:color w:val="auto"/>
                      <w:szCs w:val="21"/>
                      <w:highlight w:val="none"/>
                      <w:u w:val="none"/>
                    </w:rPr>
                  </w:pPr>
                </w:p>
              </w:tc>
            </w:tr>
            <w:tr w14:paraId="0AA15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continue"/>
                  <w:tcBorders>
                    <w:tl2br w:val="nil"/>
                    <w:tr2bl w:val="nil"/>
                  </w:tcBorders>
                  <w:noWrap w:val="0"/>
                  <w:vAlign w:val="center"/>
                </w:tcPr>
                <w:p w14:paraId="7B5EBF6E">
                  <w:pPr>
                    <w:keepNext w:val="0"/>
                    <w:keepLines w:val="0"/>
                    <w:suppressLineNumbers w:val="0"/>
                    <w:spacing w:before="0" w:beforeAutospacing="0" w:after="0" w:afterAutospacing="0"/>
                    <w:ind w:left="0" w:right="0"/>
                    <w:jc w:val="center"/>
                    <w:rPr>
                      <w:rFonts w:hint="eastAsia"/>
                      <w:color w:val="auto"/>
                      <w:szCs w:val="21"/>
                      <w:highlight w:val="none"/>
                      <w:u w:val="none"/>
                      <w:lang w:val="en-US" w:eastAsia="zh-CN"/>
                    </w:rPr>
                  </w:pPr>
                </w:p>
              </w:tc>
              <w:tc>
                <w:tcPr>
                  <w:tcW w:w="779" w:type="pct"/>
                  <w:tcBorders>
                    <w:tl2br w:val="nil"/>
                    <w:tr2bl w:val="nil"/>
                  </w:tcBorders>
                  <w:noWrap w:val="0"/>
                  <w:vAlign w:val="center"/>
                </w:tcPr>
                <w:p w14:paraId="4EA4F78B">
                  <w:pPr>
                    <w:keepNext w:val="0"/>
                    <w:keepLines w:val="0"/>
                    <w:suppressLineNumbers w:val="0"/>
                    <w:adjustRightInd w:val="0"/>
                    <w:snapToGrid w:val="0"/>
                    <w:spacing w:before="0" w:beforeAutospacing="0" w:after="0" w:afterAutospacing="0" w:line="240" w:lineRule="auto"/>
                    <w:ind w:left="0" w:right="0"/>
                    <w:jc w:val="center"/>
                    <w:rPr>
                      <w:rFonts w:hint="default"/>
                      <w:color w:val="auto"/>
                      <w:szCs w:val="21"/>
                      <w:highlight w:val="none"/>
                      <w:u w:val="none"/>
                    </w:rPr>
                  </w:pPr>
                  <w:r>
                    <w:rPr>
                      <w:rFonts w:hint="eastAsia" w:ascii="Times New Roman" w:hAnsi="Times New Roman" w:eastAsia="宋体" w:cs="Times New Roman"/>
                      <w:bCs/>
                      <w:color w:val="auto"/>
                      <w:sz w:val="21"/>
                      <w:szCs w:val="21"/>
                      <w:highlight w:val="none"/>
                    </w:rPr>
                    <w:t>VOCs</w:t>
                  </w:r>
                </w:p>
              </w:tc>
              <w:tc>
                <w:tcPr>
                  <w:tcW w:w="567" w:type="pct"/>
                  <w:vMerge w:val="continue"/>
                  <w:tcBorders>
                    <w:tl2br w:val="nil"/>
                    <w:tr2bl w:val="nil"/>
                  </w:tcBorders>
                  <w:noWrap w:val="0"/>
                  <w:vAlign w:val="center"/>
                </w:tcPr>
                <w:p w14:paraId="15A5F195">
                  <w:pPr>
                    <w:keepNext w:val="0"/>
                    <w:keepLines w:val="0"/>
                    <w:suppressLineNumbers w:val="0"/>
                    <w:spacing w:before="0" w:beforeAutospacing="0" w:after="0" w:afterAutospacing="0"/>
                    <w:ind w:left="0" w:right="0"/>
                    <w:jc w:val="center"/>
                    <w:rPr>
                      <w:rFonts w:hint="default"/>
                      <w:color w:val="auto"/>
                      <w:szCs w:val="21"/>
                      <w:highlight w:val="none"/>
                      <w:u w:val="none"/>
                    </w:rPr>
                  </w:pPr>
                </w:p>
              </w:tc>
              <w:tc>
                <w:tcPr>
                  <w:tcW w:w="741" w:type="pct"/>
                  <w:tcBorders>
                    <w:tl2br w:val="nil"/>
                    <w:tr2bl w:val="nil"/>
                  </w:tcBorders>
                  <w:noWrap w:val="0"/>
                  <w:vAlign w:val="center"/>
                </w:tcPr>
                <w:p w14:paraId="1D5FA9B3">
                  <w:pPr>
                    <w:keepNext w:val="0"/>
                    <w:keepLines w:val="0"/>
                    <w:suppressLineNumbers w:val="0"/>
                    <w:spacing w:before="0" w:beforeAutospacing="0" w:after="0" w:afterAutospacing="0" w:line="240" w:lineRule="auto"/>
                    <w:ind w:left="0" w:right="0"/>
                    <w:jc w:val="center"/>
                    <w:rPr>
                      <w:rFonts w:hint="default"/>
                      <w:color w:val="auto"/>
                      <w:szCs w:val="21"/>
                      <w:highlight w:val="none"/>
                      <w:u w:val="none"/>
                      <w:lang w:val="en-US" w:eastAsia="zh-CN"/>
                    </w:rPr>
                  </w:pPr>
                  <w:r>
                    <w:rPr>
                      <w:rFonts w:hint="eastAsia" w:ascii="Times New Roman" w:hAnsi="Times New Roman" w:cs="Times New Roman"/>
                      <w:b w:val="0"/>
                      <w:bCs/>
                      <w:color w:val="auto"/>
                      <w:spacing w:val="0"/>
                      <w:w w:val="100"/>
                      <w:kern w:val="21"/>
                      <w:position w:val="0"/>
                      <w:sz w:val="21"/>
                      <w:szCs w:val="21"/>
                      <w:highlight w:val="none"/>
                      <w:u w:val="none" w:color="auto"/>
                      <w:lang w:val="en-US" w:eastAsia="zh-CN"/>
                    </w:rPr>
                    <w:t>62.897</w:t>
                  </w:r>
                </w:p>
              </w:tc>
              <w:tc>
                <w:tcPr>
                  <w:tcW w:w="696" w:type="pct"/>
                  <w:tcBorders>
                    <w:tl2br w:val="nil"/>
                    <w:tr2bl w:val="nil"/>
                  </w:tcBorders>
                  <w:noWrap w:val="0"/>
                  <w:vAlign w:val="center"/>
                </w:tcPr>
                <w:p w14:paraId="013B8DAE">
                  <w:pPr>
                    <w:keepNext w:val="0"/>
                    <w:keepLines w:val="0"/>
                    <w:suppressLineNumbers w:val="0"/>
                    <w:spacing w:before="0" w:beforeAutospacing="0" w:after="0" w:afterAutospacing="0" w:line="240" w:lineRule="auto"/>
                    <w:ind w:left="0" w:right="0"/>
                    <w:jc w:val="center"/>
                    <w:textAlignment w:val="center"/>
                    <w:rPr>
                      <w:rFonts w:hint="default" w:eastAsia="宋体"/>
                      <w:color w:val="auto"/>
                      <w:szCs w:val="21"/>
                      <w:highlight w:val="none"/>
                      <w:u w:val="none"/>
                      <w:lang w:val="en-US" w:eastAsia="zh-CN"/>
                    </w:rPr>
                  </w:pPr>
                  <w:r>
                    <w:rPr>
                      <w:rFonts w:hint="default" w:ascii="Times New Roman" w:hAnsi="Times New Roman" w:eastAsia="宋体" w:cs="Times New Roman"/>
                      <w:b w:val="0"/>
                      <w:bCs/>
                      <w:color w:val="auto"/>
                      <w:spacing w:val="0"/>
                      <w:w w:val="100"/>
                      <w:kern w:val="21"/>
                      <w:position w:val="0"/>
                      <w:sz w:val="21"/>
                      <w:szCs w:val="21"/>
                      <w:highlight w:val="none"/>
                      <w:u w:val="none" w:color="auto"/>
                      <w:lang w:val="en-US" w:eastAsia="zh-CN"/>
                    </w:rPr>
                    <w:t>0.</w:t>
                  </w:r>
                  <w:r>
                    <w:rPr>
                      <w:rFonts w:hint="eastAsia" w:ascii="Times New Roman" w:hAnsi="Times New Roman" w:cs="Times New Roman"/>
                      <w:b w:val="0"/>
                      <w:bCs/>
                      <w:color w:val="auto"/>
                      <w:spacing w:val="0"/>
                      <w:w w:val="100"/>
                      <w:kern w:val="21"/>
                      <w:position w:val="0"/>
                      <w:sz w:val="21"/>
                      <w:szCs w:val="21"/>
                      <w:highlight w:val="none"/>
                      <w:u w:val="none" w:color="auto"/>
                      <w:lang w:val="en-US" w:eastAsia="zh-CN"/>
                    </w:rPr>
                    <w:t>966</w:t>
                  </w:r>
                </w:p>
              </w:tc>
              <w:tc>
                <w:tcPr>
                  <w:tcW w:w="503" w:type="pct"/>
                  <w:tcBorders>
                    <w:tl2br w:val="nil"/>
                    <w:tr2bl w:val="nil"/>
                  </w:tcBorders>
                  <w:noWrap w:val="0"/>
                  <w:vAlign w:val="center"/>
                </w:tcPr>
                <w:p w14:paraId="364268F3">
                  <w:pPr>
                    <w:keepNext w:val="0"/>
                    <w:keepLines w:val="0"/>
                    <w:suppressLineNumbers w:val="0"/>
                    <w:spacing w:before="0" w:beforeAutospacing="0" w:after="0" w:afterAutospacing="0"/>
                    <w:ind w:left="0" w:right="0"/>
                    <w:jc w:val="center"/>
                    <w:rPr>
                      <w:rFonts w:hint="eastAsia"/>
                      <w:color w:val="auto"/>
                      <w:szCs w:val="21"/>
                      <w:highlight w:val="none"/>
                      <w:u w:val="none"/>
                      <w:lang w:val="en-US" w:eastAsia="zh-CN"/>
                    </w:rPr>
                  </w:pPr>
                  <w:r>
                    <w:rPr>
                      <w:rFonts w:hint="eastAsia"/>
                      <w:color w:val="auto"/>
                      <w:szCs w:val="21"/>
                      <w:highlight w:val="none"/>
                      <w:u w:val="none"/>
                      <w:lang w:val="en-US" w:eastAsia="zh-CN"/>
                    </w:rPr>
                    <w:t>1</w:t>
                  </w:r>
                </w:p>
              </w:tc>
              <w:tc>
                <w:tcPr>
                  <w:tcW w:w="522" w:type="pct"/>
                  <w:tcBorders>
                    <w:tl2br w:val="nil"/>
                    <w:tr2bl w:val="nil"/>
                  </w:tcBorders>
                  <w:noWrap w:val="0"/>
                  <w:vAlign w:val="center"/>
                </w:tcPr>
                <w:p w14:paraId="0163F567">
                  <w:pPr>
                    <w:keepNext w:val="0"/>
                    <w:keepLines w:val="0"/>
                    <w:suppressLineNumbers w:val="0"/>
                    <w:spacing w:before="0" w:beforeAutospacing="0" w:after="0" w:afterAutospacing="0"/>
                    <w:ind w:left="0" w:right="0"/>
                    <w:jc w:val="center"/>
                    <w:rPr>
                      <w:rFonts w:hint="eastAsia"/>
                      <w:color w:val="auto"/>
                      <w:szCs w:val="21"/>
                      <w:highlight w:val="none"/>
                      <w:u w:val="none"/>
                      <w:lang w:val="en-US" w:eastAsia="zh-CN"/>
                    </w:rPr>
                  </w:pPr>
                  <w:r>
                    <w:rPr>
                      <w:rFonts w:hint="eastAsia"/>
                      <w:color w:val="auto"/>
                      <w:szCs w:val="21"/>
                      <w:highlight w:val="none"/>
                      <w:u w:val="none"/>
                      <w:lang w:val="en-US" w:eastAsia="zh-CN"/>
                    </w:rPr>
                    <w:t>2</w:t>
                  </w:r>
                </w:p>
              </w:tc>
              <w:tc>
                <w:tcPr>
                  <w:tcW w:w="641" w:type="pct"/>
                  <w:vMerge w:val="continue"/>
                  <w:tcBorders>
                    <w:tl2br w:val="nil"/>
                    <w:tr2bl w:val="nil"/>
                  </w:tcBorders>
                  <w:noWrap w:val="0"/>
                  <w:vAlign w:val="center"/>
                </w:tcPr>
                <w:p w14:paraId="63639D23">
                  <w:pPr>
                    <w:keepNext w:val="0"/>
                    <w:keepLines w:val="0"/>
                    <w:suppressLineNumbers w:val="0"/>
                    <w:spacing w:before="0" w:beforeAutospacing="0" w:after="0" w:afterAutospacing="0"/>
                    <w:ind w:left="0" w:right="0"/>
                    <w:jc w:val="center"/>
                    <w:rPr>
                      <w:rFonts w:hint="default"/>
                      <w:color w:val="auto"/>
                      <w:szCs w:val="21"/>
                      <w:highlight w:val="none"/>
                      <w:u w:val="none"/>
                    </w:rPr>
                  </w:pPr>
                </w:p>
              </w:tc>
            </w:tr>
          </w:tbl>
          <w:p w14:paraId="6BE88C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pacing w:val="0"/>
                <w:w w:val="100"/>
                <w:kern w:val="21"/>
                <w:position w:val="0"/>
                <w:sz w:val="24"/>
                <w:highlight w:val="none"/>
                <w:u w:val="none" w:color="auto"/>
                <w:lang w:eastAsia="zh-CN"/>
                <w14:textFill>
                  <w14:solidFill>
                    <w14:schemeClr w14:val="tx1"/>
                  </w14:solidFill>
                </w14:textFill>
              </w:rPr>
            </w:pPr>
            <w:r>
              <w:rPr>
                <w:rFonts w:hint="default" w:ascii="Times New Roman" w:hAnsi="Times New Roman" w:eastAsia="宋体" w:cs="Times New Roman"/>
                <w:b w:val="0"/>
                <w:bCs/>
                <w:color w:val="000000" w:themeColor="text1"/>
                <w:spacing w:val="0"/>
                <w:w w:val="100"/>
                <w:kern w:val="21"/>
                <w:position w:val="0"/>
                <w:sz w:val="24"/>
                <w:highlight w:val="none"/>
                <w:u w:val="none" w:color="auto"/>
                <w:lang w:eastAsia="zh-CN"/>
                <w14:textFill>
                  <w14:solidFill>
                    <w14:schemeClr w14:val="tx1"/>
                  </w14:solidFill>
                </w14:textFill>
              </w:rPr>
              <w:t>建设单位应严格控制废气非正常排放，并采取以下措施：</w:t>
            </w:r>
          </w:p>
          <w:p w14:paraId="343268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pacing w:val="0"/>
                <w:w w:val="100"/>
                <w:kern w:val="21"/>
                <w:position w:val="0"/>
                <w:sz w:val="24"/>
                <w:highlight w:val="none"/>
                <w:u w:val="none" w:color="auto"/>
                <w:lang w:eastAsia="zh-CN"/>
                <w14:textFill>
                  <w14:solidFill>
                    <w14:schemeClr w14:val="tx1"/>
                  </w14:solidFill>
                </w14:textFill>
              </w:rPr>
            </w:pPr>
            <w:r>
              <w:rPr>
                <w:rFonts w:hint="default" w:ascii="Times New Roman" w:hAnsi="Times New Roman" w:eastAsia="宋体" w:cs="Times New Roman"/>
                <w:b w:val="0"/>
                <w:bCs/>
                <w:color w:val="000000" w:themeColor="text1"/>
                <w:spacing w:val="0"/>
                <w:w w:val="100"/>
                <w:kern w:val="21"/>
                <w:position w:val="0"/>
                <w:sz w:val="24"/>
                <w:highlight w:val="none"/>
                <w:u w:val="none" w:color="auto"/>
                <w:lang w:eastAsia="zh-CN"/>
                <w14:textFill>
                  <w14:solidFill>
                    <w14:schemeClr w14:val="tx1"/>
                  </w14:solidFill>
                </w14:textFill>
              </w:rPr>
              <w:t>①制定环保设备例行检查制度，加强定期维护保养，发现风机故障、损坏或排风管道破损时，应立即停止生产活动，对设备或管道进行维修，待恢复正常后方正常运行。</w:t>
            </w:r>
          </w:p>
          <w:p w14:paraId="419476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pacing w:val="0"/>
                <w:w w:val="100"/>
                <w:kern w:val="21"/>
                <w:position w:val="0"/>
                <w:sz w:val="24"/>
                <w:highlight w:val="none"/>
                <w:u w:val="none" w:color="auto"/>
                <w:lang w:eastAsia="zh-CN"/>
                <w14:textFill>
                  <w14:solidFill>
                    <w14:schemeClr w14:val="tx1"/>
                  </w14:solidFill>
                </w14:textFill>
              </w:rPr>
            </w:pPr>
            <w:r>
              <w:rPr>
                <w:rFonts w:hint="default" w:ascii="Times New Roman" w:hAnsi="Times New Roman" w:eastAsia="宋体" w:cs="Times New Roman"/>
                <w:b w:val="0"/>
                <w:bCs/>
                <w:color w:val="000000" w:themeColor="text1"/>
                <w:spacing w:val="0"/>
                <w:w w:val="100"/>
                <w:kern w:val="21"/>
                <w:position w:val="0"/>
                <w:sz w:val="24"/>
                <w:highlight w:val="none"/>
                <w:u w:val="none" w:color="auto"/>
                <w:lang w:eastAsia="zh-CN"/>
                <w14:textFill>
                  <w14:solidFill>
                    <w14:schemeClr w14:val="tx1"/>
                  </w14:solidFill>
                </w14:textFill>
              </w:rPr>
              <w:t>②定期更新</w:t>
            </w:r>
            <w:r>
              <w:rPr>
                <w:rFonts w:hint="eastAsia" w:cs="Times New Roman"/>
                <w:b w:val="0"/>
                <w:bCs/>
                <w:color w:val="000000" w:themeColor="text1"/>
                <w:spacing w:val="0"/>
                <w:w w:val="100"/>
                <w:kern w:val="21"/>
                <w:position w:val="0"/>
                <w:sz w:val="24"/>
                <w:highlight w:val="none"/>
                <w:u w:val="none" w:color="auto"/>
                <w:lang w:eastAsia="zh-CN"/>
                <w14:textFill>
                  <w14:solidFill>
                    <w14:schemeClr w14:val="tx1"/>
                  </w14:solidFill>
                </w14:textFill>
              </w:rPr>
              <w:t>滤筒和吸附过滤棉、活性炭</w:t>
            </w:r>
            <w:r>
              <w:rPr>
                <w:rFonts w:hint="default" w:ascii="Times New Roman" w:hAnsi="Times New Roman" w:eastAsia="宋体" w:cs="Times New Roman"/>
                <w:b w:val="0"/>
                <w:bCs/>
                <w:color w:val="000000" w:themeColor="text1"/>
                <w:spacing w:val="0"/>
                <w:w w:val="100"/>
                <w:kern w:val="21"/>
                <w:position w:val="0"/>
                <w:sz w:val="24"/>
                <w:highlight w:val="none"/>
                <w:u w:val="none" w:color="auto"/>
                <w:lang w:eastAsia="zh-CN"/>
                <w14:textFill>
                  <w14:solidFill>
                    <w14:schemeClr w14:val="tx1"/>
                  </w14:solidFill>
                </w14:textFill>
              </w:rPr>
              <w:t>，确保净化效率符合要求；更换时应停止生产活动运行，杜绝废气未经处理直接排放。</w:t>
            </w:r>
          </w:p>
          <w:p w14:paraId="5613B8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pacing w:val="0"/>
                <w:w w:val="100"/>
                <w:kern w:val="21"/>
                <w:position w:val="0"/>
                <w:sz w:val="24"/>
                <w:highlight w:val="none"/>
                <w:u w:val="none" w:color="auto"/>
                <w:lang w:eastAsia="zh-CN"/>
                <w14:textFill>
                  <w14:solidFill>
                    <w14:schemeClr w14:val="tx1"/>
                  </w14:solidFill>
                </w14:textFill>
              </w:rPr>
            </w:pPr>
            <w:r>
              <w:rPr>
                <w:rFonts w:hint="default" w:ascii="Times New Roman" w:hAnsi="Times New Roman" w:eastAsia="宋体" w:cs="Times New Roman"/>
                <w:b w:val="0"/>
                <w:bCs/>
                <w:color w:val="000000" w:themeColor="text1"/>
                <w:spacing w:val="0"/>
                <w:w w:val="100"/>
                <w:kern w:val="21"/>
                <w:position w:val="0"/>
                <w:sz w:val="24"/>
                <w:highlight w:val="none"/>
                <w:u w:val="none" w:color="auto"/>
                <w:lang w:eastAsia="zh-CN"/>
                <w14:textFill>
                  <w14:solidFill>
                    <w14:schemeClr w14:val="tx1"/>
                  </w14:solidFill>
                </w14:textFill>
              </w:rPr>
              <w:t>③设环保管理专员，对环保管理人员及技术人员进行岗位培训，委托具有专业资质的环境检测单位对项目排放的各类废气污染物进行定期监测。</w:t>
            </w:r>
          </w:p>
          <w:p w14:paraId="72193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1.</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废气处理措施可行性分析</w:t>
            </w:r>
          </w:p>
          <w:p w14:paraId="2FAEA64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baseline"/>
              <w:rPr>
                <w:rFonts w:hint="eastAsia" w:ascii="Times New Roman" w:hAnsi="Times New Roman" w:eastAsia="宋体" w:cs="Times New Roman"/>
                <w:b/>
                <w:bCs/>
                <w:color w:val="auto"/>
                <w:sz w:val="24"/>
                <w:szCs w:val="32"/>
                <w:highlight w:val="none"/>
                <w:u w:val="none" w:color="auto"/>
                <w:lang w:eastAsia="zh-CN"/>
              </w:rPr>
            </w:pPr>
            <w:r>
              <w:rPr>
                <w:rFonts w:hint="default" w:ascii="Times New Roman" w:hAnsi="Times New Roman" w:eastAsia="宋体" w:cs="Times New Roman"/>
                <w:b/>
                <w:bCs/>
                <w:color w:val="auto"/>
                <w:sz w:val="24"/>
                <w:szCs w:val="32"/>
                <w:highlight w:val="none"/>
                <w:u w:val="none" w:color="auto"/>
              </w:rPr>
              <w:fldChar w:fldCharType="begin"/>
            </w:r>
            <w:r>
              <w:rPr>
                <w:rFonts w:hint="default" w:ascii="Times New Roman" w:hAnsi="Times New Roman" w:eastAsia="宋体" w:cs="Times New Roman"/>
                <w:b/>
                <w:bCs/>
                <w:color w:val="auto"/>
                <w:sz w:val="24"/>
                <w:szCs w:val="32"/>
                <w:highlight w:val="none"/>
                <w:u w:val="none" w:color="auto"/>
              </w:rPr>
              <w:instrText xml:space="preserve"> = 1 \* GB3 \* MERGEFORMAT </w:instrText>
            </w:r>
            <w:r>
              <w:rPr>
                <w:rFonts w:hint="default" w:ascii="Times New Roman" w:hAnsi="Times New Roman" w:eastAsia="宋体" w:cs="Times New Roman"/>
                <w:b/>
                <w:bCs/>
                <w:color w:val="auto"/>
                <w:sz w:val="24"/>
                <w:szCs w:val="32"/>
                <w:highlight w:val="none"/>
                <w:u w:val="none" w:color="auto"/>
              </w:rPr>
              <w:fldChar w:fldCharType="separate"/>
            </w:r>
            <w:r>
              <w:rPr>
                <w:rFonts w:hint="default"/>
                <w:b/>
                <w:bCs/>
              </w:rPr>
              <w:t>①</w:t>
            </w:r>
            <w:r>
              <w:rPr>
                <w:rFonts w:hint="default" w:ascii="Times New Roman" w:hAnsi="Times New Roman" w:eastAsia="宋体" w:cs="Times New Roman"/>
                <w:b/>
                <w:bCs/>
                <w:color w:val="auto"/>
                <w:sz w:val="24"/>
                <w:szCs w:val="32"/>
                <w:highlight w:val="none"/>
                <w:u w:val="none" w:color="auto"/>
              </w:rPr>
              <w:fldChar w:fldCharType="end"/>
            </w:r>
            <w:r>
              <w:rPr>
                <w:rFonts w:hint="eastAsia" w:cs="Times New Roman"/>
                <w:b/>
                <w:bCs/>
                <w:color w:val="auto"/>
                <w:sz w:val="24"/>
                <w:szCs w:val="32"/>
                <w:highlight w:val="none"/>
                <w:u w:val="none" w:color="auto"/>
                <w:lang w:eastAsia="zh-CN"/>
              </w:rPr>
              <w:t>可行技术</w:t>
            </w:r>
          </w:p>
          <w:p w14:paraId="5DE32DF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FF0000"/>
                <w:sz w:val="24"/>
                <w:szCs w:val="24"/>
                <w:u w:val="none" w:color="auto"/>
                <w:lang w:val="en-US" w:eastAsia="zh-CN"/>
              </w:rPr>
            </w:pPr>
            <w:r>
              <w:rPr>
                <w:rFonts w:hint="eastAsia" w:ascii="Times New Roman" w:hAnsi="Times New Roman" w:eastAsia="宋体" w:cs="Times New Roman"/>
                <w:b w:val="0"/>
                <w:bCs/>
                <w:color w:val="000000" w:themeColor="text1"/>
                <w:spacing w:val="0"/>
                <w:w w:val="100"/>
                <w:kern w:val="21"/>
                <w:position w:val="0"/>
                <w:sz w:val="24"/>
                <w:highlight w:val="none"/>
                <w:u w:val="none" w:color="auto"/>
                <w:lang w:val="en-US" w:eastAsia="zh-CN"/>
                <w14:textFill>
                  <w14:solidFill>
                    <w14:schemeClr w14:val="tx1"/>
                  </w14:solidFill>
                </w14:textFill>
              </w:rPr>
              <w:t>本</w:t>
            </w:r>
            <w:r>
              <w:rPr>
                <w:rFonts w:hint="default" w:ascii="Times New Roman" w:hAnsi="Times New Roman" w:eastAsia="宋体" w:cs="Times New Roman"/>
                <w:b w:val="0"/>
                <w:bCs/>
                <w:color w:val="000000" w:themeColor="text1"/>
                <w:spacing w:val="0"/>
                <w:w w:val="100"/>
                <w:kern w:val="21"/>
                <w:position w:val="0"/>
                <w:sz w:val="24"/>
                <w:highlight w:val="none"/>
                <w:u w:val="none" w:color="auto"/>
                <w:lang w:val="en-US" w:eastAsia="zh-CN"/>
                <w14:textFill>
                  <w14:solidFill>
                    <w14:schemeClr w14:val="tx1"/>
                  </w14:solidFill>
                </w14:textFill>
              </w:rPr>
              <w:t>项目行业类别为</w:t>
            </w:r>
            <w:r>
              <w:rPr>
                <w:rFonts w:hint="eastAsia" w:ascii="Times New Roman" w:hAnsi="Times New Roman" w:eastAsia="宋体" w:cs="Times New Roman"/>
                <w:b w:val="0"/>
                <w:bCs/>
                <w:color w:val="000000" w:themeColor="text1"/>
                <w:spacing w:val="0"/>
                <w:w w:val="100"/>
                <w:kern w:val="21"/>
                <w:position w:val="0"/>
                <w:sz w:val="24"/>
                <w:highlight w:val="none"/>
                <w:u w:val="none" w:color="auto"/>
                <w:lang w:val="en-US" w:eastAsia="zh-CN"/>
                <w14:textFill>
                  <w14:solidFill>
                    <w14:schemeClr w14:val="tx1"/>
                  </w14:solidFill>
                </w14:textFill>
              </w:rPr>
              <w:t>C3311金属结构制造、C3464制冷、空调设备制造，涉及下料、焊接、抛丸、喷漆等工序，该行业尚无相应的可行技术指南或排污许可证申请与核发技术规范。本次评价参照《湖南省制造业（工业涂装）VOCs排放量测算技术指南（试行）》、</w:t>
            </w:r>
            <w:r>
              <w:rPr>
                <w:rFonts w:hint="eastAsia"/>
                <w:color w:val="auto"/>
                <w:sz w:val="24"/>
                <w:szCs w:val="24"/>
                <w:highlight w:val="none"/>
              </w:rPr>
              <w:t>《排污许可证申请与核发技术规范 总则》</w:t>
            </w:r>
            <w:r>
              <w:rPr>
                <w:rFonts w:hint="eastAsia"/>
                <w:color w:val="auto"/>
                <w:sz w:val="24"/>
                <w:szCs w:val="24"/>
                <w:highlight w:val="none"/>
                <w:lang w:eastAsia="zh-CN"/>
              </w:rPr>
              <w:t>、</w:t>
            </w:r>
            <w:r>
              <w:rPr>
                <w:rFonts w:hint="eastAsia" w:ascii="Times New Roman" w:hAnsi="Times New Roman" w:eastAsia="宋体" w:cs="Times New Roman"/>
                <w:b w:val="0"/>
                <w:bCs/>
                <w:color w:val="000000" w:themeColor="text1"/>
                <w:spacing w:val="0"/>
                <w:w w:val="100"/>
                <w:kern w:val="21"/>
                <w:position w:val="0"/>
                <w:sz w:val="24"/>
                <w:highlight w:val="none"/>
                <w:u w:val="none" w:color="auto"/>
                <w:lang w:val="en-US" w:eastAsia="zh-CN"/>
                <w14:textFill>
                  <w14:solidFill>
                    <w14:schemeClr w14:val="tx1"/>
                  </w14:solidFill>
                </w14:textFill>
              </w:rPr>
              <w:t>《排污许可证申请与核发技术规范 铁路、船舶、航空航天和其他运输设备制造业》（</w:t>
            </w:r>
            <w:r>
              <w:rPr>
                <w:rFonts w:hint="default" w:ascii="Times New Roman" w:hAnsi="Times New Roman" w:eastAsia="宋体" w:cs="Times New Roman"/>
                <w:b w:val="0"/>
                <w:bCs/>
                <w:color w:val="000000" w:themeColor="text1"/>
                <w:spacing w:val="0"/>
                <w:w w:val="100"/>
                <w:kern w:val="21"/>
                <w:position w:val="0"/>
                <w:sz w:val="24"/>
                <w:highlight w:val="none"/>
                <w:u w:val="none" w:color="auto"/>
                <w:lang w:val="en-US" w:eastAsia="zh-CN"/>
                <w14:textFill>
                  <w14:solidFill>
                    <w14:schemeClr w14:val="tx1"/>
                  </w14:solidFill>
                </w14:textFill>
              </w:rPr>
              <w:t>HJ1124-2020</w:t>
            </w:r>
            <w:r>
              <w:rPr>
                <w:rFonts w:hint="eastAsia" w:ascii="Times New Roman" w:hAnsi="Times New Roman" w:eastAsia="宋体" w:cs="Times New Roman"/>
                <w:b w:val="0"/>
                <w:bCs/>
                <w:color w:val="000000" w:themeColor="text1"/>
                <w:spacing w:val="0"/>
                <w:w w:val="100"/>
                <w:kern w:val="21"/>
                <w:position w:val="0"/>
                <w:sz w:val="24"/>
                <w:highlight w:val="none"/>
                <w:u w:val="none" w:color="auto"/>
                <w:lang w:val="en-US" w:eastAsia="zh-CN"/>
                <w14:textFill>
                  <w14:solidFill>
                    <w14:schemeClr w14:val="tx1"/>
                  </w14:solidFill>
                </w14:textFill>
              </w:rPr>
              <w:t>）中“表面处理（涂装）排污单位废气污染防治推荐可行技术”，本项目废气治理措施符合表中废气污染治理推荐可行技术清单要求，具体如下所示。</w:t>
            </w:r>
          </w:p>
          <w:p w14:paraId="105BE7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u w:val="none" w:color="auto"/>
                <w:lang w:val="en-US" w:eastAsia="zh-CN"/>
              </w:rPr>
            </w:pPr>
            <w:r>
              <w:rPr>
                <w:rFonts w:hint="eastAsia" w:ascii="Times New Roman" w:hAnsi="Times New Roman" w:eastAsia="宋体" w:cs="Times New Roman"/>
                <w:b/>
                <w:bCs/>
                <w:color w:val="auto"/>
                <w:sz w:val="24"/>
                <w:szCs w:val="24"/>
                <w:u w:val="none" w:color="auto"/>
                <w:lang w:val="en-US" w:eastAsia="zh-CN"/>
              </w:rPr>
              <w:t xml:space="preserve">表4-7  </w:t>
            </w:r>
            <w:r>
              <w:rPr>
                <w:rFonts w:hint="default" w:ascii="Times New Roman" w:hAnsi="Times New Roman" w:eastAsia="宋体" w:cs="Times New Roman"/>
                <w:b/>
                <w:bCs/>
                <w:color w:val="auto"/>
                <w:kern w:val="24"/>
                <w:sz w:val="24"/>
                <w:szCs w:val="24"/>
                <w:highlight w:val="none"/>
                <w:u w:val="none" w:color="auto"/>
              </w:rPr>
              <w:t>本项目废气</w:t>
            </w:r>
            <w:r>
              <w:rPr>
                <w:rFonts w:hint="eastAsia" w:ascii="Times New Roman" w:hAnsi="Times New Roman" w:eastAsia="宋体" w:cs="Times New Roman"/>
                <w:b/>
                <w:bCs/>
                <w:color w:val="auto"/>
                <w:kern w:val="24"/>
                <w:sz w:val="24"/>
                <w:szCs w:val="24"/>
                <w:highlight w:val="none"/>
                <w:u w:val="none" w:color="auto"/>
                <w:lang w:eastAsia="zh-CN"/>
              </w:rPr>
              <w:t>控制</w:t>
            </w:r>
            <w:r>
              <w:rPr>
                <w:rFonts w:hint="default" w:ascii="Times New Roman" w:hAnsi="Times New Roman" w:eastAsia="宋体" w:cs="Times New Roman"/>
                <w:b/>
                <w:bCs/>
                <w:color w:val="auto"/>
                <w:kern w:val="24"/>
                <w:sz w:val="24"/>
                <w:szCs w:val="24"/>
                <w:highlight w:val="none"/>
                <w:u w:val="none" w:color="auto"/>
              </w:rPr>
              <w:t>措施可行性分析一览表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965"/>
              <w:gridCol w:w="1380"/>
              <w:gridCol w:w="1909"/>
              <w:gridCol w:w="1675"/>
              <w:gridCol w:w="1006"/>
            </w:tblGrid>
            <w:tr w14:paraId="766C4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noWrap w:val="0"/>
                  <w:vAlign w:val="center"/>
                </w:tcPr>
                <w:p w14:paraId="15F5EF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24"/>
                      <w:sz w:val="21"/>
                      <w:szCs w:val="21"/>
                      <w:highlight w:val="none"/>
                      <w:u w:val="none" w:color="auto"/>
                      <w:lang w:val="en-US" w:eastAsia="zh-CN"/>
                    </w:rPr>
                  </w:pPr>
                  <w:r>
                    <w:rPr>
                      <w:rFonts w:hint="eastAsia" w:cs="Times New Roman"/>
                      <w:b/>
                      <w:bCs w:val="0"/>
                      <w:color w:val="auto"/>
                      <w:kern w:val="24"/>
                      <w:sz w:val="21"/>
                      <w:szCs w:val="21"/>
                      <w:highlight w:val="none"/>
                      <w:u w:val="none" w:color="auto"/>
                      <w:lang w:eastAsia="zh-CN"/>
                    </w:rPr>
                    <w:t>生产单元</w:t>
                  </w:r>
                </w:p>
              </w:tc>
              <w:tc>
                <w:tcPr>
                  <w:tcW w:w="1132" w:type="pct"/>
                  <w:tcBorders>
                    <w:tl2br w:val="nil"/>
                    <w:tr2bl w:val="nil"/>
                  </w:tcBorders>
                  <w:noWrap w:val="0"/>
                  <w:vAlign w:val="center"/>
                </w:tcPr>
                <w:p w14:paraId="73008B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val="0"/>
                      <w:color w:val="auto"/>
                      <w:kern w:val="24"/>
                      <w:sz w:val="21"/>
                      <w:szCs w:val="21"/>
                      <w:highlight w:val="none"/>
                      <w:u w:val="none" w:color="auto"/>
                      <w:lang w:eastAsia="zh-CN"/>
                    </w:rPr>
                  </w:pPr>
                  <w:r>
                    <w:rPr>
                      <w:rFonts w:hint="eastAsia" w:ascii="Times New Roman" w:hAnsi="Times New Roman" w:eastAsia="宋体" w:cs="Times New Roman"/>
                      <w:b/>
                      <w:bCs w:val="0"/>
                      <w:color w:val="auto"/>
                      <w:kern w:val="24"/>
                      <w:sz w:val="21"/>
                      <w:szCs w:val="21"/>
                      <w:highlight w:val="none"/>
                      <w:u w:val="none" w:color="auto"/>
                      <w:lang w:eastAsia="zh-CN"/>
                    </w:rPr>
                    <w:t>主要生产设施</w:t>
                  </w:r>
                </w:p>
              </w:tc>
              <w:tc>
                <w:tcPr>
                  <w:tcW w:w="795" w:type="pct"/>
                  <w:tcBorders>
                    <w:tl2br w:val="nil"/>
                    <w:tr2bl w:val="nil"/>
                  </w:tcBorders>
                  <w:noWrap w:val="0"/>
                  <w:vAlign w:val="center"/>
                </w:tcPr>
                <w:p w14:paraId="5FB03D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24"/>
                      <w:sz w:val="21"/>
                      <w:szCs w:val="21"/>
                      <w:highlight w:val="none"/>
                      <w:u w:val="none" w:color="auto"/>
                    </w:rPr>
                  </w:pPr>
                  <w:r>
                    <w:rPr>
                      <w:rFonts w:hint="eastAsia" w:cs="Times New Roman"/>
                      <w:b/>
                      <w:bCs w:val="0"/>
                      <w:color w:val="auto"/>
                      <w:kern w:val="24"/>
                      <w:sz w:val="21"/>
                      <w:szCs w:val="21"/>
                      <w:highlight w:val="none"/>
                      <w:u w:val="none" w:color="auto"/>
                      <w:lang w:eastAsia="zh-CN"/>
                    </w:rPr>
                    <w:t>大气污染物</w:t>
                  </w:r>
                </w:p>
              </w:tc>
              <w:tc>
                <w:tcPr>
                  <w:tcW w:w="1100" w:type="pct"/>
                  <w:tcBorders>
                    <w:tl2br w:val="nil"/>
                    <w:tr2bl w:val="nil"/>
                  </w:tcBorders>
                  <w:noWrap w:val="0"/>
                  <w:vAlign w:val="center"/>
                </w:tcPr>
                <w:p w14:paraId="472A06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color w:val="auto"/>
                      <w:kern w:val="24"/>
                      <w:sz w:val="21"/>
                      <w:szCs w:val="21"/>
                      <w:highlight w:val="none"/>
                      <w:u w:val="none" w:color="auto"/>
                    </w:rPr>
                  </w:pPr>
                  <w:r>
                    <w:rPr>
                      <w:rFonts w:hint="eastAsia" w:ascii="Times New Roman" w:hAnsi="Times New Roman" w:eastAsia="宋体" w:cs="Times New Roman"/>
                      <w:b/>
                      <w:bCs w:val="0"/>
                      <w:color w:val="auto"/>
                      <w:kern w:val="24"/>
                      <w:sz w:val="21"/>
                      <w:szCs w:val="21"/>
                      <w:highlight w:val="none"/>
                      <w:u w:val="none" w:color="auto"/>
                      <w:lang w:eastAsia="zh-CN"/>
                    </w:rPr>
                    <w:t>推荐</w:t>
                  </w:r>
                  <w:r>
                    <w:rPr>
                      <w:rFonts w:hint="default" w:ascii="Times New Roman" w:hAnsi="Times New Roman" w:eastAsia="宋体" w:cs="Times New Roman"/>
                      <w:b/>
                      <w:bCs w:val="0"/>
                      <w:color w:val="auto"/>
                      <w:kern w:val="24"/>
                      <w:sz w:val="21"/>
                      <w:szCs w:val="21"/>
                      <w:highlight w:val="none"/>
                      <w:u w:val="none" w:color="auto"/>
                    </w:rPr>
                    <w:t>可行技术</w:t>
                  </w:r>
                </w:p>
              </w:tc>
              <w:tc>
                <w:tcPr>
                  <w:tcW w:w="965" w:type="pct"/>
                  <w:tcBorders>
                    <w:tl2br w:val="nil"/>
                    <w:tr2bl w:val="nil"/>
                  </w:tcBorders>
                  <w:noWrap w:val="0"/>
                  <w:vAlign w:val="center"/>
                </w:tcPr>
                <w:p w14:paraId="0F20A149">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本项目</w:t>
                  </w:r>
                  <w:r>
                    <w:rPr>
                      <w:rFonts w:hint="eastAsia" w:ascii="Times New Roman" w:hAnsi="Times New Roman" w:eastAsia="宋体" w:cs="Times New Roman"/>
                      <w:b/>
                      <w:bCs w:val="0"/>
                      <w:color w:val="auto"/>
                      <w:sz w:val="21"/>
                      <w:szCs w:val="21"/>
                      <w:highlight w:val="none"/>
                      <w:u w:val="none" w:color="auto"/>
                      <w:lang w:eastAsia="zh-CN"/>
                    </w:rPr>
                    <w:t>拟</w:t>
                  </w:r>
                  <w:r>
                    <w:rPr>
                      <w:rFonts w:hint="default" w:ascii="Times New Roman" w:hAnsi="Times New Roman" w:eastAsia="宋体" w:cs="Times New Roman"/>
                      <w:b/>
                      <w:bCs w:val="0"/>
                      <w:color w:val="auto"/>
                      <w:sz w:val="21"/>
                      <w:szCs w:val="21"/>
                      <w:highlight w:val="none"/>
                      <w:u w:val="none" w:color="auto"/>
                    </w:rPr>
                    <w:t>采</w:t>
                  </w:r>
                  <w:r>
                    <w:rPr>
                      <w:rFonts w:hint="eastAsia" w:ascii="Times New Roman" w:hAnsi="Times New Roman" w:eastAsia="宋体" w:cs="Times New Roman"/>
                      <w:b/>
                      <w:bCs w:val="0"/>
                      <w:color w:val="auto"/>
                      <w:sz w:val="21"/>
                      <w:szCs w:val="21"/>
                      <w:highlight w:val="none"/>
                      <w:u w:val="none" w:color="auto"/>
                      <w:lang w:eastAsia="zh-CN"/>
                    </w:rPr>
                    <w:t>取</w:t>
                  </w:r>
                  <w:r>
                    <w:rPr>
                      <w:rFonts w:hint="default" w:ascii="Times New Roman" w:hAnsi="Times New Roman" w:eastAsia="宋体" w:cs="Times New Roman"/>
                      <w:b/>
                      <w:bCs w:val="0"/>
                      <w:color w:val="auto"/>
                      <w:sz w:val="21"/>
                      <w:szCs w:val="21"/>
                      <w:highlight w:val="none"/>
                      <w:u w:val="none" w:color="auto"/>
                    </w:rPr>
                    <w:t>污染防治技术</w:t>
                  </w:r>
                </w:p>
              </w:tc>
              <w:tc>
                <w:tcPr>
                  <w:tcW w:w="579" w:type="pct"/>
                  <w:tcBorders>
                    <w:tl2br w:val="nil"/>
                    <w:tr2bl w:val="nil"/>
                  </w:tcBorders>
                  <w:noWrap w:val="0"/>
                  <w:vAlign w:val="center"/>
                </w:tcPr>
                <w:p w14:paraId="7B91978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是否</w:t>
                  </w:r>
                </w:p>
                <w:p w14:paraId="3D7A9678">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可行</w:t>
                  </w:r>
                </w:p>
              </w:tc>
            </w:tr>
            <w:tr w14:paraId="5B0B2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noWrap w:val="0"/>
                  <w:vAlign w:val="center"/>
                </w:tcPr>
                <w:p w14:paraId="5365AB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4"/>
                      <w:sz w:val="21"/>
                      <w:szCs w:val="21"/>
                      <w:highlight w:val="none"/>
                      <w:u w:val="none" w:color="auto"/>
                    </w:rPr>
                  </w:pPr>
                  <w:r>
                    <w:rPr>
                      <w:rFonts w:hint="eastAsia" w:ascii="宋体" w:hAnsi="宋体" w:eastAsia="宋体" w:cs="宋体"/>
                      <w:color w:val="000000"/>
                      <w:kern w:val="0"/>
                      <w:sz w:val="21"/>
                      <w:szCs w:val="21"/>
                      <w:u w:val="none" w:color="auto"/>
                      <w:lang w:val="en-US" w:eastAsia="zh-CN" w:bidi="ar"/>
                    </w:rPr>
                    <w:t>焊接</w:t>
                  </w:r>
                </w:p>
              </w:tc>
              <w:tc>
                <w:tcPr>
                  <w:tcW w:w="1132" w:type="pct"/>
                  <w:tcBorders>
                    <w:tl2br w:val="nil"/>
                    <w:tr2bl w:val="nil"/>
                  </w:tcBorders>
                  <w:noWrap w:val="0"/>
                  <w:vAlign w:val="center"/>
                </w:tcPr>
                <w:p w14:paraId="4B3D3A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4"/>
                      <w:sz w:val="21"/>
                      <w:szCs w:val="21"/>
                      <w:highlight w:val="none"/>
                      <w:u w:val="none" w:color="auto"/>
                    </w:rPr>
                  </w:pPr>
                  <w:r>
                    <w:rPr>
                      <w:rFonts w:hint="eastAsia" w:ascii="宋体" w:hAnsi="宋体" w:eastAsia="宋体" w:cs="宋体"/>
                      <w:color w:val="000000"/>
                      <w:kern w:val="0"/>
                      <w:sz w:val="21"/>
                      <w:szCs w:val="21"/>
                      <w:u w:val="none" w:color="auto"/>
                      <w:lang w:val="en-US" w:eastAsia="zh-CN" w:bidi="ar"/>
                    </w:rPr>
                    <w:t>弧焊机、气焊机、钎焊机、激光焊机、等离子焊机等</w:t>
                  </w:r>
                </w:p>
              </w:tc>
              <w:tc>
                <w:tcPr>
                  <w:tcW w:w="795" w:type="pct"/>
                  <w:tcBorders>
                    <w:tl2br w:val="nil"/>
                    <w:tr2bl w:val="nil"/>
                  </w:tcBorders>
                  <w:noWrap w:val="0"/>
                  <w:vAlign w:val="center"/>
                </w:tcPr>
                <w:p w14:paraId="7915E0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Cs/>
                      <w:color w:val="auto"/>
                      <w:kern w:val="24"/>
                      <w:sz w:val="21"/>
                      <w:szCs w:val="21"/>
                      <w:highlight w:val="none"/>
                      <w:u w:val="none" w:color="auto"/>
                      <w:lang w:eastAsia="zh-CN"/>
                    </w:rPr>
                  </w:pPr>
                  <w:r>
                    <w:rPr>
                      <w:rFonts w:hint="eastAsia" w:ascii="Times New Roman" w:hAnsi="Times New Roman" w:eastAsia="宋体" w:cs="Times New Roman"/>
                      <w:bCs/>
                      <w:color w:val="auto"/>
                      <w:kern w:val="24"/>
                      <w:sz w:val="21"/>
                      <w:szCs w:val="21"/>
                      <w:highlight w:val="none"/>
                      <w:u w:val="none" w:color="auto"/>
                      <w:lang w:eastAsia="zh-CN"/>
                    </w:rPr>
                    <w:t>颗粒物</w:t>
                  </w:r>
                </w:p>
              </w:tc>
              <w:tc>
                <w:tcPr>
                  <w:tcW w:w="1100" w:type="pct"/>
                  <w:tcBorders>
                    <w:tl2br w:val="nil"/>
                    <w:tr2bl w:val="nil"/>
                  </w:tcBorders>
                  <w:noWrap w:val="0"/>
                  <w:vAlign w:val="center"/>
                </w:tcPr>
                <w:p w14:paraId="39D0171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24"/>
                      <w:sz w:val="21"/>
                      <w:szCs w:val="21"/>
                      <w:highlight w:val="none"/>
                      <w:u w:val="none" w:color="auto"/>
                      <w:lang w:eastAsia="zh-CN"/>
                    </w:rPr>
                  </w:pPr>
                  <w:r>
                    <w:rPr>
                      <w:rFonts w:hint="eastAsia" w:ascii="宋体" w:hAnsi="宋体" w:eastAsia="宋体" w:cs="宋体"/>
                      <w:color w:val="000000"/>
                      <w:kern w:val="0"/>
                      <w:sz w:val="21"/>
                      <w:szCs w:val="21"/>
                      <w:u w:val="none" w:color="auto"/>
                      <w:lang w:val="en-US" w:eastAsia="zh-CN" w:bidi="ar"/>
                    </w:rPr>
                    <w:t>袋式除尘</w:t>
                  </w:r>
                </w:p>
              </w:tc>
              <w:tc>
                <w:tcPr>
                  <w:tcW w:w="965" w:type="pct"/>
                  <w:tcBorders>
                    <w:tl2br w:val="nil"/>
                    <w:tr2bl w:val="nil"/>
                  </w:tcBorders>
                  <w:noWrap w:val="0"/>
                  <w:vAlign w:val="center"/>
                </w:tcPr>
                <w:p w14:paraId="0D2A341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24"/>
                      <w:sz w:val="21"/>
                      <w:szCs w:val="21"/>
                      <w:highlight w:val="none"/>
                      <w:u w:val="none" w:color="auto"/>
                      <w:lang w:eastAsia="zh-CN"/>
                    </w:rPr>
                  </w:pPr>
                  <w:r>
                    <w:rPr>
                      <w:rFonts w:hint="eastAsia" w:ascii="宋体" w:hAnsi="宋体" w:eastAsia="宋体" w:cs="宋体"/>
                      <w:color w:val="000000"/>
                      <w:kern w:val="0"/>
                      <w:sz w:val="21"/>
                      <w:szCs w:val="21"/>
                      <w:u w:val="none" w:color="auto"/>
                      <w:lang w:val="en-US" w:eastAsia="zh-CN" w:bidi="ar"/>
                    </w:rPr>
                    <w:t>移动式焊接烟尘净化器</w:t>
                  </w:r>
                </w:p>
              </w:tc>
              <w:tc>
                <w:tcPr>
                  <w:tcW w:w="579" w:type="pct"/>
                  <w:tcBorders>
                    <w:tl2br w:val="nil"/>
                    <w:tr2bl w:val="nil"/>
                  </w:tcBorders>
                  <w:noWrap w:val="0"/>
                  <w:vAlign w:val="center"/>
                </w:tcPr>
                <w:p w14:paraId="29617A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Cs/>
                      <w:color w:val="auto"/>
                      <w:kern w:val="24"/>
                      <w:sz w:val="21"/>
                      <w:szCs w:val="21"/>
                      <w:highlight w:val="none"/>
                      <w:u w:val="none" w:color="auto"/>
                      <w:lang w:eastAsia="zh-CN"/>
                    </w:rPr>
                  </w:pPr>
                  <w:r>
                    <w:rPr>
                      <w:rFonts w:hint="eastAsia" w:ascii="Times New Roman" w:hAnsi="Times New Roman" w:eastAsia="宋体" w:cs="Times New Roman"/>
                      <w:bCs/>
                      <w:color w:val="auto"/>
                      <w:kern w:val="24"/>
                      <w:sz w:val="21"/>
                      <w:szCs w:val="21"/>
                      <w:highlight w:val="none"/>
                      <w:u w:val="none" w:color="auto"/>
                      <w:lang w:eastAsia="zh-CN"/>
                    </w:rPr>
                    <w:t>可行</w:t>
                  </w:r>
                </w:p>
              </w:tc>
            </w:tr>
            <w:tr w14:paraId="12A01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noWrap w:val="0"/>
                  <w:vAlign w:val="center"/>
                </w:tcPr>
                <w:p w14:paraId="055A60F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4"/>
                      <w:sz w:val="21"/>
                      <w:szCs w:val="21"/>
                      <w:highlight w:val="none"/>
                      <w:u w:val="none" w:color="auto"/>
                    </w:rPr>
                  </w:pPr>
                  <w:r>
                    <w:rPr>
                      <w:rFonts w:hint="eastAsia" w:ascii="宋体" w:hAnsi="宋体" w:eastAsia="宋体" w:cs="宋体"/>
                      <w:color w:val="000000"/>
                      <w:kern w:val="0"/>
                      <w:sz w:val="21"/>
                      <w:szCs w:val="21"/>
                      <w:u w:val="none" w:color="auto"/>
                      <w:lang w:val="en-US" w:eastAsia="zh-CN" w:bidi="ar"/>
                    </w:rPr>
                    <w:t>预处理</w:t>
                  </w:r>
                </w:p>
              </w:tc>
              <w:tc>
                <w:tcPr>
                  <w:tcW w:w="1132" w:type="pct"/>
                  <w:tcBorders>
                    <w:tl2br w:val="nil"/>
                    <w:tr2bl w:val="nil"/>
                  </w:tcBorders>
                  <w:noWrap w:val="0"/>
                  <w:vAlign w:val="center"/>
                </w:tcPr>
                <w:p w14:paraId="3793DA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4"/>
                      <w:sz w:val="21"/>
                      <w:szCs w:val="21"/>
                      <w:highlight w:val="none"/>
                      <w:u w:val="none" w:color="auto"/>
                    </w:rPr>
                  </w:pPr>
                  <w:r>
                    <w:rPr>
                      <w:rFonts w:hint="eastAsia" w:ascii="宋体" w:hAnsi="宋体" w:eastAsia="宋体" w:cs="宋体"/>
                      <w:color w:val="000000"/>
                      <w:kern w:val="0"/>
                      <w:sz w:val="21"/>
                      <w:szCs w:val="21"/>
                      <w:u w:val="none" w:color="auto"/>
                      <w:lang w:val="en-US" w:eastAsia="zh-CN" w:bidi="ar"/>
                    </w:rPr>
                    <w:t>打磨设备、抛丸设备、喷砂设备</w:t>
                  </w:r>
                </w:p>
              </w:tc>
              <w:tc>
                <w:tcPr>
                  <w:tcW w:w="795" w:type="pct"/>
                  <w:tcBorders>
                    <w:tl2br w:val="nil"/>
                    <w:tr2bl w:val="nil"/>
                  </w:tcBorders>
                  <w:noWrap w:val="0"/>
                  <w:vAlign w:val="center"/>
                </w:tcPr>
                <w:p w14:paraId="39DA43A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24"/>
                      <w:sz w:val="21"/>
                      <w:szCs w:val="21"/>
                      <w:highlight w:val="none"/>
                      <w:u w:val="none" w:color="auto"/>
                      <w:lang w:eastAsia="zh-CN"/>
                    </w:rPr>
                  </w:pPr>
                  <w:r>
                    <w:rPr>
                      <w:rFonts w:hint="eastAsia" w:ascii="宋体" w:hAnsi="宋体" w:eastAsia="宋体" w:cs="宋体"/>
                      <w:color w:val="000000"/>
                      <w:kern w:val="0"/>
                      <w:sz w:val="21"/>
                      <w:szCs w:val="21"/>
                      <w:u w:val="none" w:color="auto"/>
                      <w:lang w:val="en-US" w:eastAsia="zh-CN" w:bidi="ar"/>
                    </w:rPr>
                    <w:t>颗粒物</w:t>
                  </w:r>
                </w:p>
              </w:tc>
              <w:tc>
                <w:tcPr>
                  <w:tcW w:w="1100" w:type="pct"/>
                  <w:tcBorders>
                    <w:tl2br w:val="nil"/>
                    <w:tr2bl w:val="nil"/>
                  </w:tcBorders>
                  <w:noWrap w:val="0"/>
                  <w:vAlign w:val="center"/>
                </w:tcPr>
                <w:p w14:paraId="7AD236C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24"/>
                      <w:sz w:val="21"/>
                      <w:szCs w:val="21"/>
                      <w:highlight w:val="none"/>
                      <w:u w:val="none" w:color="auto"/>
                      <w:lang w:eastAsia="zh-CN"/>
                    </w:rPr>
                  </w:pPr>
                  <w:r>
                    <w:rPr>
                      <w:rFonts w:hint="eastAsia" w:ascii="宋体" w:hAnsi="宋体" w:eastAsia="宋体" w:cs="宋体"/>
                      <w:color w:val="000000"/>
                      <w:kern w:val="0"/>
                      <w:sz w:val="21"/>
                      <w:szCs w:val="21"/>
                      <w:u w:val="none" w:color="auto"/>
                      <w:lang w:val="en-US" w:eastAsia="zh-CN" w:bidi="ar"/>
                    </w:rPr>
                    <w:t>袋式除尘、湿式除尘</w:t>
                  </w:r>
                </w:p>
              </w:tc>
              <w:tc>
                <w:tcPr>
                  <w:tcW w:w="965" w:type="pct"/>
                  <w:tcBorders>
                    <w:tl2br w:val="nil"/>
                    <w:tr2bl w:val="nil"/>
                  </w:tcBorders>
                  <w:noWrap w:val="0"/>
                  <w:vAlign w:val="center"/>
                </w:tcPr>
                <w:p w14:paraId="2CEBE00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24"/>
                      <w:sz w:val="21"/>
                      <w:szCs w:val="21"/>
                      <w:highlight w:val="none"/>
                      <w:u w:val="none" w:color="auto"/>
                      <w:lang w:eastAsia="zh-CN"/>
                    </w:rPr>
                  </w:pPr>
                  <w:r>
                    <w:rPr>
                      <w:rFonts w:hint="eastAsia" w:ascii="Times New Roman" w:hAnsi="Times New Roman" w:eastAsia="宋体" w:cs="Times New Roman"/>
                      <w:bCs/>
                      <w:color w:val="auto"/>
                      <w:kern w:val="24"/>
                      <w:sz w:val="21"/>
                      <w:szCs w:val="21"/>
                      <w:highlight w:val="none"/>
                      <w:u w:val="none" w:color="auto"/>
                      <w:lang w:eastAsia="zh-CN"/>
                    </w:rPr>
                    <w:t>抛丸粉尘经密闭收集后，通过布袋除尘器处理</w:t>
                  </w:r>
                </w:p>
              </w:tc>
              <w:tc>
                <w:tcPr>
                  <w:tcW w:w="579" w:type="pct"/>
                  <w:tcBorders>
                    <w:tl2br w:val="nil"/>
                    <w:tr2bl w:val="nil"/>
                  </w:tcBorders>
                  <w:noWrap w:val="0"/>
                  <w:vAlign w:val="center"/>
                </w:tcPr>
                <w:p w14:paraId="6136E2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Cs/>
                      <w:color w:val="auto"/>
                      <w:kern w:val="24"/>
                      <w:sz w:val="21"/>
                      <w:szCs w:val="21"/>
                      <w:highlight w:val="none"/>
                      <w:u w:val="none" w:color="auto"/>
                      <w:lang w:eastAsia="zh-CN"/>
                    </w:rPr>
                  </w:pPr>
                  <w:r>
                    <w:rPr>
                      <w:rFonts w:hint="eastAsia" w:ascii="Times New Roman" w:hAnsi="Times New Roman" w:eastAsia="宋体" w:cs="Times New Roman"/>
                      <w:bCs/>
                      <w:color w:val="auto"/>
                      <w:kern w:val="24"/>
                      <w:sz w:val="21"/>
                      <w:szCs w:val="21"/>
                      <w:highlight w:val="none"/>
                      <w:u w:val="none" w:color="auto"/>
                      <w:lang w:eastAsia="zh-CN"/>
                    </w:rPr>
                    <w:t>可行</w:t>
                  </w:r>
                </w:p>
              </w:tc>
            </w:tr>
            <w:tr w14:paraId="49865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27" w:type="pct"/>
                  <w:vMerge w:val="restart"/>
                  <w:tcBorders>
                    <w:tl2br w:val="nil"/>
                    <w:tr2bl w:val="nil"/>
                  </w:tcBorders>
                  <w:noWrap w:val="0"/>
                  <w:vAlign w:val="center"/>
                </w:tcPr>
                <w:p w14:paraId="0F2B3C2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4"/>
                      <w:sz w:val="21"/>
                      <w:szCs w:val="21"/>
                      <w:highlight w:val="none"/>
                      <w:u w:val="none" w:color="auto"/>
                    </w:rPr>
                  </w:pPr>
                  <w:r>
                    <w:rPr>
                      <w:rFonts w:hint="eastAsia" w:ascii="宋体" w:hAnsi="宋体" w:eastAsia="宋体" w:cs="宋体"/>
                      <w:color w:val="auto"/>
                      <w:kern w:val="0"/>
                      <w:sz w:val="21"/>
                      <w:szCs w:val="21"/>
                      <w:u w:val="none" w:color="auto"/>
                      <w:lang w:val="en-US" w:eastAsia="zh-CN" w:bidi="ar"/>
                    </w:rPr>
                    <w:t>涂装</w:t>
                  </w:r>
                </w:p>
              </w:tc>
              <w:tc>
                <w:tcPr>
                  <w:tcW w:w="1132" w:type="pct"/>
                  <w:vMerge w:val="restart"/>
                  <w:tcBorders>
                    <w:tl2br w:val="nil"/>
                    <w:tr2bl w:val="nil"/>
                  </w:tcBorders>
                  <w:noWrap w:val="0"/>
                  <w:vAlign w:val="center"/>
                </w:tcPr>
                <w:p w14:paraId="2DADD1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4"/>
                      <w:sz w:val="21"/>
                      <w:szCs w:val="21"/>
                      <w:highlight w:val="none"/>
                      <w:u w:val="none" w:color="auto"/>
                    </w:rPr>
                  </w:pPr>
                  <w:r>
                    <w:rPr>
                      <w:rFonts w:hint="eastAsia" w:ascii="宋体" w:hAnsi="宋体" w:eastAsia="宋体" w:cs="宋体"/>
                      <w:color w:val="auto"/>
                      <w:kern w:val="0"/>
                      <w:sz w:val="21"/>
                      <w:szCs w:val="21"/>
                      <w:u w:val="none" w:color="auto"/>
                      <w:lang w:val="en-US" w:eastAsia="zh-CN" w:bidi="ar"/>
                    </w:rPr>
                    <w:t>刷涂室（作业区）</w:t>
                  </w:r>
                </w:p>
              </w:tc>
              <w:tc>
                <w:tcPr>
                  <w:tcW w:w="795" w:type="pct"/>
                  <w:tcBorders>
                    <w:tl2br w:val="nil"/>
                    <w:tr2bl w:val="nil"/>
                  </w:tcBorders>
                  <w:noWrap w:val="0"/>
                  <w:vAlign w:val="center"/>
                </w:tcPr>
                <w:p w14:paraId="6C0C461E">
                  <w:pPr>
                    <w:keepNext w:val="0"/>
                    <w:keepLines w:val="0"/>
                    <w:widowControl/>
                    <w:suppressLineNumbers w:val="0"/>
                    <w:spacing w:before="0" w:beforeAutospacing="0" w:after="0" w:afterAutospacing="0"/>
                    <w:ind w:left="0" w:right="0"/>
                    <w:jc w:val="center"/>
                    <w:rPr>
                      <w:rFonts w:hint="default"/>
                      <w:color w:val="auto"/>
                      <w:sz w:val="21"/>
                      <w:szCs w:val="21"/>
                      <w:u w:val="none" w:color="auto"/>
                    </w:rPr>
                  </w:pPr>
                  <w:r>
                    <w:rPr>
                      <w:rFonts w:hint="eastAsia" w:ascii="宋体" w:hAnsi="宋体" w:eastAsia="宋体" w:cs="宋体"/>
                      <w:color w:val="auto"/>
                      <w:kern w:val="0"/>
                      <w:sz w:val="21"/>
                      <w:szCs w:val="21"/>
                      <w:u w:val="none" w:color="auto"/>
                      <w:lang w:val="en-US" w:eastAsia="zh-CN" w:bidi="ar"/>
                    </w:rPr>
                    <w:t>颗粒物</w:t>
                  </w:r>
                </w:p>
                <w:p w14:paraId="2B33C8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Cs/>
                      <w:color w:val="auto"/>
                      <w:kern w:val="24"/>
                      <w:sz w:val="21"/>
                      <w:szCs w:val="21"/>
                      <w:highlight w:val="none"/>
                      <w:u w:val="none" w:color="auto"/>
                      <w:lang w:eastAsia="zh-CN"/>
                    </w:rPr>
                  </w:pPr>
                </w:p>
              </w:tc>
              <w:tc>
                <w:tcPr>
                  <w:tcW w:w="1100" w:type="pct"/>
                  <w:tcBorders>
                    <w:tl2br w:val="nil"/>
                    <w:tr2bl w:val="nil"/>
                  </w:tcBorders>
                  <w:noWrap w:val="0"/>
                  <w:vAlign w:val="center"/>
                </w:tcPr>
                <w:p w14:paraId="0DED32F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24"/>
                      <w:sz w:val="21"/>
                      <w:szCs w:val="21"/>
                      <w:highlight w:val="none"/>
                      <w:u w:val="none" w:color="auto"/>
                      <w:lang w:eastAsia="zh-CN"/>
                    </w:rPr>
                  </w:pPr>
                  <w:r>
                    <w:rPr>
                      <w:rFonts w:hint="eastAsia" w:ascii="宋体" w:hAnsi="宋体" w:eastAsia="宋体" w:cs="宋体"/>
                      <w:color w:val="auto"/>
                      <w:kern w:val="0"/>
                      <w:sz w:val="21"/>
                      <w:szCs w:val="21"/>
                      <w:u w:val="none" w:color="auto"/>
                      <w:lang w:val="en-US" w:eastAsia="zh-CN" w:bidi="ar"/>
                    </w:rPr>
                    <w:t>文丘里</w:t>
                  </w:r>
                  <w:r>
                    <w:rPr>
                      <w:rFonts w:hint="default" w:ascii="Times New Roman" w:hAnsi="Times New Roman" w:eastAsia="宋体" w:cs="Times New Roman"/>
                      <w:color w:val="auto"/>
                      <w:kern w:val="0"/>
                      <w:sz w:val="21"/>
                      <w:szCs w:val="21"/>
                      <w:u w:val="none" w:color="auto"/>
                      <w:lang w:val="en-US" w:eastAsia="zh-CN" w:bidi="ar"/>
                    </w:rPr>
                    <w:t>/</w:t>
                  </w:r>
                  <w:r>
                    <w:rPr>
                      <w:rFonts w:hint="eastAsia" w:ascii="宋体" w:hAnsi="宋体" w:eastAsia="宋体" w:cs="宋体"/>
                      <w:color w:val="auto"/>
                      <w:kern w:val="0"/>
                      <w:sz w:val="21"/>
                      <w:szCs w:val="21"/>
                      <w:u w:val="none" w:color="auto"/>
                      <w:lang w:val="en-US" w:eastAsia="zh-CN" w:bidi="ar"/>
                    </w:rPr>
                    <w:t>水旋</w:t>
                  </w:r>
                  <w:r>
                    <w:rPr>
                      <w:rFonts w:hint="default" w:ascii="Times New Roman" w:hAnsi="Times New Roman" w:eastAsia="宋体" w:cs="Times New Roman"/>
                      <w:color w:val="auto"/>
                      <w:kern w:val="0"/>
                      <w:sz w:val="21"/>
                      <w:szCs w:val="21"/>
                      <w:u w:val="none" w:color="auto"/>
                      <w:lang w:val="en-US" w:eastAsia="zh-CN" w:bidi="ar"/>
                    </w:rPr>
                    <w:t>/</w:t>
                  </w:r>
                  <w:r>
                    <w:rPr>
                      <w:rFonts w:hint="eastAsia" w:ascii="宋体" w:hAnsi="宋体" w:eastAsia="宋体" w:cs="宋体"/>
                      <w:color w:val="auto"/>
                      <w:kern w:val="0"/>
                      <w:sz w:val="21"/>
                      <w:szCs w:val="21"/>
                      <w:u w:val="none" w:color="auto"/>
                      <w:lang w:val="en-US" w:eastAsia="zh-CN" w:bidi="ar"/>
                    </w:rPr>
                    <w:t>水帘、石灰粉吸附、纸盒过滤、化学纤维过滤</w:t>
                  </w:r>
                </w:p>
              </w:tc>
              <w:tc>
                <w:tcPr>
                  <w:tcW w:w="965" w:type="pct"/>
                  <w:vMerge w:val="restart"/>
                  <w:tcBorders>
                    <w:tl2br w:val="nil"/>
                    <w:tr2bl w:val="nil"/>
                  </w:tcBorders>
                  <w:noWrap w:val="0"/>
                  <w:vAlign w:val="center"/>
                </w:tcPr>
                <w:p w14:paraId="228C02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Cs/>
                      <w:color w:val="auto"/>
                      <w:kern w:val="24"/>
                      <w:sz w:val="21"/>
                      <w:szCs w:val="21"/>
                      <w:highlight w:val="none"/>
                      <w:u w:val="none" w:color="auto"/>
                      <w:lang w:eastAsia="zh-CN"/>
                    </w:rPr>
                  </w:pPr>
                  <w:r>
                    <w:rPr>
                      <w:rFonts w:hint="eastAsia"/>
                      <w:strike w:val="0"/>
                      <w:dstrike w:val="0"/>
                      <w:color w:val="auto"/>
                      <w:sz w:val="21"/>
                      <w:szCs w:val="21"/>
                      <w:u w:val="none" w:color="auto"/>
                      <w:lang w:val="en-US" w:eastAsia="zh-CN"/>
                    </w:rPr>
                    <w:t>干式过滤器+二级活性炭吸附装置</w:t>
                  </w:r>
                </w:p>
              </w:tc>
              <w:tc>
                <w:tcPr>
                  <w:tcW w:w="579" w:type="pct"/>
                  <w:vMerge w:val="restart"/>
                  <w:tcBorders>
                    <w:tl2br w:val="nil"/>
                    <w:tr2bl w:val="nil"/>
                  </w:tcBorders>
                  <w:noWrap w:val="0"/>
                  <w:vAlign w:val="center"/>
                </w:tcPr>
                <w:p w14:paraId="10C2FC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Cs/>
                      <w:color w:val="auto"/>
                      <w:kern w:val="24"/>
                      <w:sz w:val="21"/>
                      <w:szCs w:val="21"/>
                      <w:highlight w:val="none"/>
                      <w:u w:val="none" w:color="auto"/>
                      <w:lang w:eastAsia="zh-CN"/>
                    </w:rPr>
                  </w:pPr>
                  <w:r>
                    <w:rPr>
                      <w:rFonts w:hint="eastAsia" w:ascii="Times New Roman" w:hAnsi="Times New Roman" w:eastAsia="宋体" w:cs="Times New Roman"/>
                      <w:bCs/>
                      <w:color w:val="auto"/>
                      <w:kern w:val="24"/>
                      <w:sz w:val="21"/>
                      <w:szCs w:val="21"/>
                      <w:highlight w:val="none"/>
                      <w:u w:val="none" w:color="auto"/>
                      <w:lang w:eastAsia="zh-CN"/>
                    </w:rPr>
                    <w:t>可行</w:t>
                  </w:r>
                </w:p>
              </w:tc>
            </w:tr>
            <w:tr w14:paraId="54CFC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pct"/>
                  <w:vMerge w:val="continue"/>
                  <w:tcBorders>
                    <w:tl2br w:val="nil"/>
                    <w:tr2bl w:val="nil"/>
                  </w:tcBorders>
                  <w:noWrap w:val="0"/>
                  <w:vAlign w:val="center"/>
                </w:tcPr>
                <w:p w14:paraId="7A67BA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4"/>
                      <w:sz w:val="21"/>
                      <w:szCs w:val="21"/>
                      <w:highlight w:val="none"/>
                      <w:u w:val="none" w:color="auto"/>
                    </w:rPr>
                  </w:pPr>
                </w:p>
              </w:tc>
              <w:tc>
                <w:tcPr>
                  <w:tcW w:w="1132" w:type="pct"/>
                  <w:vMerge w:val="continue"/>
                  <w:tcBorders>
                    <w:tl2br w:val="nil"/>
                    <w:tr2bl w:val="nil"/>
                  </w:tcBorders>
                  <w:noWrap w:val="0"/>
                  <w:vAlign w:val="center"/>
                </w:tcPr>
                <w:p w14:paraId="1D28A3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24"/>
                      <w:sz w:val="21"/>
                      <w:szCs w:val="21"/>
                      <w:highlight w:val="none"/>
                      <w:u w:val="none" w:color="auto"/>
                    </w:rPr>
                  </w:pPr>
                </w:p>
              </w:tc>
              <w:tc>
                <w:tcPr>
                  <w:tcW w:w="795" w:type="pct"/>
                  <w:tcBorders>
                    <w:tl2br w:val="nil"/>
                    <w:tr2bl w:val="nil"/>
                  </w:tcBorders>
                  <w:noWrap w:val="0"/>
                  <w:vAlign w:val="center"/>
                </w:tcPr>
                <w:p w14:paraId="763DE16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24"/>
                      <w:sz w:val="21"/>
                      <w:szCs w:val="21"/>
                      <w:highlight w:val="none"/>
                      <w:u w:val="none" w:color="auto"/>
                      <w:lang w:eastAsia="zh-CN"/>
                    </w:rPr>
                  </w:pPr>
                  <w:r>
                    <w:rPr>
                      <w:rFonts w:hint="eastAsia" w:ascii="宋体" w:hAnsi="宋体" w:eastAsia="宋体" w:cs="宋体"/>
                      <w:color w:val="auto"/>
                      <w:kern w:val="0"/>
                      <w:sz w:val="21"/>
                      <w:szCs w:val="21"/>
                      <w:u w:val="none" w:color="auto"/>
                      <w:lang w:val="en-US" w:eastAsia="zh-CN" w:bidi="ar"/>
                    </w:rPr>
                    <w:t>非甲烷总烃、甲苯、二甲苯</w:t>
                  </w:r>
                </w:p>
              </w:tc>
              <w:tc>
                <w:tcPr>
                  <w:tcW w:w="1100" w:type="pct"/>
                  <w:tcBorders>
                    <w:tl2br w:val="nil"/>
                    <w:tr2bl w:val="nil"/>
                  </w:tcBorders>
                  <w:noWrap w:val="0"/>
                  <w:vAlign w:val="center"/>
                </w:tcPr>
                <w:p w14:paraId="60D8688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24"/>
                      <w:sz w:val="21"/>
                      <w:szCs w:val="21"/>
                      <w:highlight w:val="none"/>
                      <w:u w:val="none" w:color="auto"/>
                      <w:lang w:eastAsia="zh-CN"/>
                    </w:rPr>
                  </w:pPr>
                  <w:r>
                    <w:rPr>
                      <w:rFonts w:hint="eastAsia" w:ascii="宋体" w:hAnsi="宋体" w:eastAsia="宋体" w:cs="宋体"/>
                      <w:color w:val="auto"/>
                      <w:kern w:val="0"/>
                      <w:sz w:val="21"/>
                      <w:szCs w:val="21"/>
                      <w:u w:val="none" w:color="auto"/>
                      <w:lang w:val="en-US" w:eastAsia="zh-CN" w:bidi="ar"/>
                    </w:rPr>
                    <w:t>活性炭吸附、吸附</w:t>
                  </w:r>
                  <w:r>
                    <w:rPr>
                      <w:rFonts w:hint="default" w:ascii="宋体" w:hAnsi="宋体" w:eastAsia="宋体" w:cs="宋体"/>
                      <w:color w:val="auto"/>
                      <w:kern w:val="0"/>
                      <w:sz w:val="21"/>
                      <w:szCs w:val="21"/>
                      <w:u w:val="none" w:color="auto"/>
                      <w:lang w:val="en-US" w:eastAsia="zh-CN" w:bidi="ar"/>
                    </w:rPr>
                    <w:t>/</w:t>
                  </w:r>
                  <w:r>
                    <w:rPr>
                      <w:rFonts w:hint="eastAsia" w:ascii="宋体" w:hAnsi="宋体" w:eastAsia="宋体" w:cs="宋体"/>
                      <w:color w:val="auto"/>
                      <w:kern w:val="0"/>
                      <w:sz w:val="21"/>
                      <w:szCs w:val="21"/>
                      <w:u w:val="none" w:color="auto"/>
                      <w:lang w:val="en-US" w:eastAsia="zh-CN" w:bidi="ar"/>
                    </w:rPr>
                    <w:t>浓缩</w:t>
                  </w:r>
                  <w:r>
                    <w:rPr>
                      <w:rFonts w:hint="default" w:ascii="宋体" w:hAnsi="宋体" w:eastAsia="宋体" w:cs="宋体"/>
                      <w:color w:val="auto"/>
                      <w:kern w:val="0"/>
                      <w:sz w:val="21"/>
                      <w:szCs w:val="21"/>
                      <w:u w:val="none" w:color="auto"/>
                      <w:lang w:val="en-US" w:eastAsia="zh-CN" w:bidi="ar"/>
                    </w:rPr>
                    <w:t>+</w:t>
                  </w:r>
                  <w:r>
                    <w:rPr>
                      <w:rFonts w:hint="eastAsia" w:ascii="宋体" w:hAnsi="宋体" w:eastAsia="宋体" w:cs="宋体"/>
                      <w:color w:val="auto"/>
                      <w:kern w:val="0"/>
                      <w:sz w:val="21"/>
                      <w:szCs w:val="21"/>
                      <w:u w:val="none" w:color="auto"/>
                      <w:lang w:val="en-US" w:eastAsia="zh-CN" w:bidi="ar"/>
                    </w:rPr>
                    <w:t>热力燃烧</w:t>
                  </w:r>
                  <w:r>
                    <w:rPr>
                      <w:rFonts w:hint="default" w:ascii="宋体" w:hAnsi="宋体" w:eastAsia="宋体" w:cs="宋体"/>
                      <w:color w:val="auto"/>
                      <w:kern w:val="0"/>
                      <w:sz w:val="21"/>
                      <w:szCs w:val="21"/>
                      <w:u w:val="none" w:color="auto"/>
                      <w:lang w:val="en-US" w:eastAsia="zh-CN" w:bidi="ar"/>
                    </w:rPr>
                    <w:t>/</w:t>
                  </w:r>
                  <w:r>
                    <w:rPr>
                      <w:rFonts w:hint="eastAsia" w:ascii="宋体" w:hAnsi="宋体" w:eastAsia="宋体" w:cs="宋体"/>
                      <w:color w:val="auto"/>
                      <w:kern w:val="0"/>
                      <w:sz w:val="21"/>
                      <w:szCs w:val="21"/>
                      <w:u w:val="none" w:color="auto"/>
                      <w:lang w:val="en-US" w:eastAsia="zh-CN" w:bidi="ar"/>
                    </w:rPr>
                    <w:t>催化氧化装置</w:t>
                  </w:r>
                </w:p>
              </w:tc>
              <w:tc>
                <w:tcPr>
                  <w:tcW w:w="965" w:type="pct"/>
                  <w:vMerge w:val="continue"/>
                  <w:tcBorders>
                    <w:tl2br w:val="nil"/>
                    <w:tr2bl w:val="nil"/>
                  </w:tcBorders>
                  <w:noWrap w:val="0"/>
                  <w:vAlign w:val="center"/>
                </w:tcPr>
                <w:p w14:paraId="18E752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Cs/>
                      <w:color w:val="auto"/>
                      <w:kern w:val="24"/>
                      <w:sz w:val="21"/>
                      <w:szCs w:val="21"/>
                      <w:highlight w:val="none"/>
                      <w:u w:val="none" w:color="auto"/>
                      <w:lang w:eastAsia="zh-CN"/>
                    </w:rPr>
                  </w:pPr>
                </w:p>
              </w:tc>
              <w:tc>
                <w:tcPr>
                  <w:tcW w:w="579" w:type="pct"/>
                  <w:vMerge w:val="continue"/>
                  <w:tcBorders>
                    <w:tl2br w:val="nil"/>
                    <w:tr2bl w:val="nil"/>
                  </w:tcBorders>
                  <w:noWrap w:val="0"/>
                  <w:vAlign w:val="center"/>
                </w:tcPr>
                <w:p w14:paraId="2BEF5E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Cs/>
                      <w:color w:val="auto"/>
                      <w:kern w:val="24"/>
                      <w:sz w:val="21"/>
                      <w:szCs w:val="21"/>
                      <w:highlight w:val="none"/>
                      <w:u w:val="none" w:color="auto"/>
                      <w:lang w:eastAsia="zh-CN"/>
                    </w:rPr>
                  </w:pPr>
                </w:p>
              </w:tc>
            </w:tr>
          </w:tbl>
          <w:p w14:paraId="7448D714">
            <w:pPr>
              <w:keepNext w:val="0"/>
              <w:keepLines w:val="0"/>
              <w:widowControl/>
              <w:suppressLineNumbers w:val="0"/>
              <w:spacing w:before="0" w:beforeAutospacing="0" w:after="0" w:afterAutospacing="0"/>
              <w:ind w:left="0" w:right="0" w:firstLine="480" w:firstLineChars="200"/>
              <w:jc w:val="left"/>
              <w:rPr>
                <w:rFonts w:hint="default"/>
                <w:color w:val="auto"/>
                <w:u w:val="none" w:color="auto"/>
              </w:rPr>
            </w:pPr>
            <w:r>
              <w:rPr>
                <w:rFonts w:hint="eastAsia" w:ascii="宋体" w:hAnsi="宋体" w:eastAsia="宋体" w:cs="宋体"/>
                <w:color w:val="auto"/>
                <w:kern w:val="0"/>
                <w:sz w:val="24"/>
                <w:szCs w:val="24"/>
                <w:u w:val="none" w:color="auto"/>
                <w:lang w:val="en-US" w:eastAsia="zh-CN" w:bidi="ar"/>
              </w:rPr>
              <w:t>综上，</w:t>
            </w:r>
            <w:r>
              <w:rPr>
                <w:rFonts w:hint="eastAsia" w:ascii="Times New Roman" w:hAnsi="Times New Roman" w:eastAsia="宋体" w:cs="Times New Roman"/>
                <w:color w:val="auto"/>
                <w:sz w:val="24"/>
                <w:szCs w:val="24"/>
                <w:u w:val="none" w:color="auto"/>
                <w:lang w:val="en-US" w:eastAsia="zh-CN"/>
              </w:rPr>
              <w:t>结合本项目废气产生特点，</w:t>
            </w:r>
            <w:r>
              <w:rPr>
                <w:rFonts w:hint="eastAsia" w:ascii="宋体" w:hAnsi="宋体" w:eastAsia="宋体" w:cs="宋体"/>
                <w:color w:val="auto"/>
                <w:kern w:val="0"/>
                <w:sz w:val="24"/>
                <w:szCs w:val="24"/>
                <w:u w:val="none" w:color="auto"/>
                <w:lang w:val="en-US" w:eastAsia="zh-CN" w:bidi="ar"/>
              </w:rPr>
              <w:t>本项目采取的废气污染治理措施可行。</w:t>
            </w:r>
          </w:p>
          <w:p w14:paraId="2092735B">
            <w:pPr>
              <w:keepNext w:val="0"/>
              <w:keepLines w:val="0"/>
              <w:suppressLineNumbers w:val="0"/>
              <w:adjustRightInd w:val="0"/>
              <w:spacing w:before="0" w:beforeAutospacing="0" w:after="0" w:afterAutospacing="0" w:line="500" w:lineRule="exact"/>
              <w:ind w:left="0" w:right="0" w:firstLine="482" w:firstLineChars="200"/>
              <w:rPr>
                <w:rFonts w:hint="eastAsia" w:eastAsia="宋体" w:cs="宋体"/>
                <w:color w:val="auto"/>
                <w:kern w:val="0"/>
                <w:sz w:val="24"/>
                <w:szCs w:val="24"/>
                <w:lang w:val="en-US" w:eastAsia="zh-CN"/>
              </w:rPr>
            </w:pPr>
            <w:r>
              <w:rPr>
                <w:rFonts w:hint="eastAsia" w:cs="宋体"/>
                <w:b/>
                <w:bCs/>
                <w:color w:val="auto"/>
                <w:kern w:val="0"/>
                <w:sz w:val="24"/>
                <w:szCs w:val="24"/>
              </w:rPr>
              <w:fldChar w:fldCharType="begin"/>
            </w:r>
            <w:r>
              <w:rPr>
                <w:rFonts w:hint="eastAsia" w:cs="宋体"/>
                <w:b/>
                <w:bCs/>
                <w:color w:val="auto"/>
                <w:kern w:val="0"/>
                <w:sz w:val="24"/>
                <w:szCs w:val="24"/>
              </w:rPr>
              <w:instrText xml:space="preserve"> = 2 \* GB3 \* MERGEFORMAT </w:instrText>
            </w:r>
            <w:r>
              <w:rPr>
                <w:rFonts w:hint="eastAsia" w:cs="宋体"/>
                <w:b/>
                <w:bCs/>
                <w:color w:val="auto"/>
                <w:kern w:val="0"/>
                <w:sz w:val="24"/>
                <w:szCs w:val="24"/>
              </w:rPr>
              <w:fldChar w:fldCharType="separate"/>
            </w:r>
            <w:r>
              <w:rPr>
                <w:rFonts w:hint="default"/>
                <w:b/>
                <w:bCs/>
                <w:color w:val="auto"/>
              </w:rPr>
              <w:t>②</w:t>
            </w:r>
            <w:r>
              <w:rPr>
                <w:rFonts w:hint="eastAsia" w:cs="宋体"/>
                <w:b/>
                <w:bCs/>
                <w:color w:val="auto"/>
                <w:kern w:val="0"/>
                <w:sz w:val="24"/>
                <w:szCs w:val="24"/>
              </w:rPr>
              <w:fldChar w:fldCharType="end"/>
            </w:r>
            <w:r>
              <w:rPr>
                <w:rFonts w:hint="eastAsia" w:cs="宋体"/>
                <w:b/>
                <w:bCs/>
                <w:color w:val="auto"/>
                <w:kern w:val="0"/>
                <w:sz w:val="24"/>
                <w:szCs w:val="24"/>
                <w:lang w:eastAsia="zh-CN"/>
              </w:rPr>
              <w:t>达标排放可行性</w:t>
            </w:r>
          </w:p>
          <w:p w14:paraId="57D837F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lang w:val="en-US" w:eastAsia="zh-CN"/>
              </w:rPr>
              <w:t>经表4-2核算结果可知，本项目抛丸颗粒物排放速率为</w:t>
            </w:r>
            <w:r>
              <w:rPr>
                <w:rFonts w:hint="default" w:ascii="Times New Roman" w:hAnsi="Times New Roman" w:cs="Times New Roman"/>
                <w:b w:val="0"/>
                <w:bCs w:val="0"/>
                <w:color w:val="auto"/>
                <w:sz w:val="24"/>
                <w:szCs w:val="24"/>
                <w:u w:val="none" w:color="auto"/>
                <w:lang w:val="en-US" w:eastAsia="zh-CN"/>
              </w:rPr>
              <w:t>0.201</w:t>
            </w:r>
            <w:r>
              <w:rPr>
                <w:rFonts w:hint="default"/>
                <w:b w:val="0"/>
                <w:bCs w:val="0"/>
                <w:color w:val="auto"/>
                <w:sz w:val="24"/>
                <w:szCs w:val="24"/>
                <w:highlight w:val="none"/>
                <w:u w:val="none"/>
              </w:rPr>
              <w:t>kg/h</w:t>
            </w:r>
            <w:r>
              <w:rPr>
                <w:rFonts w:hint="eastAsia"/>
                <w:b w:val="0"/>
                <w:bCs w:val="0"/>
                <w:color w:val="auto"/>
                <w:sz w:val="24"/>
                <w:szCs w:val="24"/>
                <w:highlight w:val="none"/>
                <w:u w:val="none"/>
                <w:lang w:eastAsia="zh-CN"/>
              </w:rPr>
              <w:t>，排放浓度为</w:t>
            </w:r>
            <w:r>
              <w:rPr>
                <w:rFonts w:hint="default" w:ascii="Times New Roman" w:hAnsi="Times New Roman" w:cs="Times New Roman"/>
                <w:b w:val="0"/>
                <w:bCs w:val="0"/>
                <w:color w:val="auto"/>
                <w:sz w:val="24"/>
                <w:szCs w:val="24"/>
                <w:highlight w:val="none"/>
                <w:lang w:val="en-US" w:eastAsia="zh-CN"/>
              </w:rPr>
              <w:t>9.581</w:t>
            </w:r>
            <w:r>
              <w:rPr>
                <w:rFonts w:hint="default"/>
                <w:b w:val="0"/>
                <w:bCs w:val="0"/>
                <w:color w:val="auto"/>
                <w:sz w:val="24"/>
                <w:szCs w:val="24"/>
                <w:highlight w:val="none"/>
                <w:u w:val="none"/>
              </w:rPr>
              <w:t>mg/m</w:t>
            </w:r>
            <w:r>
              <w:rPr>
                <w:rFonts w:hint="default"/>
                <w:b w:val="0"/>
                <w:bCs w:val="0"/>
                <w:color w:val="auto"/>
                <w:sz w:val="24"/>
                <w:szCs w:val="24"/>
                <w:highlight w:val="none"/>
                <w:u w:val="none"/>
                <w:vertAlign w:val="superscript"/>
              </w:rPr>
              <w:t>3</w:t>
            </w:r>
            <w:r>
              <w:rPr>
                <w:rFonts w:hint="eastAsia" w:cs="Times New Roman"/>
                <w:b w:val="0"/>
                <w:bCs w:val="0"/>
                <w:color w:val="auto"/>
                <w:sz w:val="24"/>
                <w:szCs w:val="24"/>
                <w:highlight w:val="none"/>
                <w:lang w:val="en-US" w:eastAsia="zh-CN"/>
              </w:rPr>
              <w:t>，可达到</w:t>
            </w:r>
            <w:r>
              <w:rPr>
                <w:rFonts w:hint="default"/>
                <w:color w:val="auto"/>
                <w:sz w:val="24"/>
                <w:szCs w:val="24"/>
                <w:highlight w:val="none"/>
                <w:u w:val="none" w:color="auto"/>
              </w:rPr>
              <w:t>《</w:t>
            </w:r>
            <w:r>
              <w:rPr>
                <w:rFonts w:hint="eastAsia"/>
                <w:color w:val="auto"/>
                <w:sz w:val="24"/>
                <w:szCs w:val="24"/>
                <w:highlight w:val="none"/>
                <w:u w:val="none" w:color="auto"/>
                <w:lang w:eastAsia="zh-CN"/>
              </w:rPr>
              <w:t>大气污染物综合排放标准</w:t>
            </w:r>
            <w:r>
              <w:rPr>
                <w:rFonts w:hint="default"/>
                <w:color w:val="auto"/>
                <w:sz w:val="24"/>
                <w:szCs w:val="24"/>
                <w:highlight w:val="none"/>
                <w:u w:val="none" w:color="auto"/>
              </w:rPr>
              <w:t>》（GB</w:t>
            </w:r>
            <w:r>
              <w:rPr>
                <w:rFonts w:hint="eastAsia"/>
                <w:color w:val="auto"/>
                <w:sz w:val="24"/>
                <w:szCs w:val="24"/>
                <w:highlight w:val="none"/>
                <w:u w:val="none" w:color="auto"/>
              </w:rPr>
              <w:t xml:space="preserve"> 16297-</w:t>
            </w:r>
            <w:r>
              <w:rPr>
                <w:rFonts w:hint="eastAsia"/>
                <w:color w:val="auto"/>
                <w:sz w:val="24"/>
                <w:szCs w:val="24"/>
                <w:highlight w:val="none"/>
                <w:u w:val="none" w:color="auto"/>
                <w:lang w:val="en-US" w:eastAsia="zh-CN"/>
              </w:rPr>
              <w:t>1996</w:t>
            </w:r>
            <w:r>
              <w:rPr>
                <w:rFonts w:hint="default"/>
                <w:color w:val="auto"/>
                <w:sz w:val="24"/>
                <w:szCs w:val="24"/>
                <w:highlight w:val="none"/>
                <w:u w:val="none" w:color="auto"/>
              </w:rPr>
              <w:t>）</w:t>
            </w:r>
            <w:r>
              <w:rPr>
                <w:rFonts w:hint="eastAsia"/>
                <w:color w:val="auto"/>
                <w:sz w:val="24"/>
                <w:szCs w:val="24"/>
                <w:highlight w:val="none"/>
                <w:u w:val="none" w:color="auto"/>
                <w:lang w:eastAsia="zh-CN"/>
              </w:rPr>
              <w:t>中表</w:t>
            </w:r>
            <w:r>
              <w:rPr>
                <w:rFonts w:hint="eastAsia"/>
                <w:color w:val="auto"/>
                <w:sz w:val="24"/>
                <w:szCs w:val="24"/>
                <w:highlight w:val="none"/>
                <w:u w:val="none" w:color="auto"/>
                <w:lang w:val="en-US" w:eastAsia="zh-CN"/>
              </w:rPr>
              <w:t>2相关标准限值要求（</w:t>
            </w:r>
            <w:r>
              <w:rPr>
                <w:rFonts w:hint="default" w:ascii="Times New Roman" w:hAnsi="Times New Roman" w:eastAsia="宋体" w:cs="Times New Roman"/>
                <w:b w:val="0"/>
                <w:bCs w:val="0"/>
                <w:color w:val="auto"/>
                <w:spacing w:val="0"/>
                <w:w w:val="100"/>
                <w:sz w:val="24"/>
                <w:szCs w:val="24"/>
                <w:u w:val="none" w:color="auto"/>
                <w:lang w:eastAsia="zh-CN"/>
              </w:rPr>
              <w:t>最高允许排放浓度</w:t>
            </w:r>
            <w:r>
              <w:rPr>
                <w:rFonts w:hint="eastAsia" w:ascii="Times New Roman" w:hAnsi="Times New Roman" w:eastAsia="宋体" w:cs="Times New Roman"/>
                <w:b w:val="0"/>
                <w:bCs w:val="0"/>
                <w:color w:val="auto"/>
                <w:spacing w:val="0"/>
                <w:w w:val="100"/>
                <w:sz w:val="24"/>
                <w:szCs w:val="24"/>
                <w:u w:val="none" w:color="auto"/>
                <w:lang w:val="en-US" w:eastAsia="zh-CN"/>
              </w:rPr>
              <w:t>120</w:t>
            </w:r>
            <w:r>
              <w:rPr>
                <w:rFonts w:hint="default"/>
                <w:b w:val="0"/>
                <w:bCs w:val="0"/>
                <w:color w:val="auto"/>
                <w:sz w:val="24"/>
                <w:szCs w:val="24"/>
                <w:highlight w:val="none"/>
                <w:u w:val="none"/>
              </w:rPr>
              <w:t>mg/m</w:t>
            </w:r>
            <w:r>
              <w:rPr>
                <w:rFonts w:hint="default"/>
                <w:b w:val="0"/>
                <w:bCs w:val="0"/>
                <w:color w:val="auto"/>
                <w:sz w:val="24"/>
                <w:szCs w:val="24"/>
                <w:highlight w:val="none"/>
                <w:u w:val="none"/>
                <w:vertAlign w:val="superscript"/>
              </w:rPr>
              <w:t>3</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pacing w:val="0"/>
                <w:w w:val="100"/>
                <w:sz w:val="24"/>
                <w:szCs w:val="24"/>
                <w:u w:val="none" w:color="auto"/>
                <w:lang w:eastAsia="zh-CN"/>
              </w:rPr>
              <w:t>最高允许排放速率</w:t>
            </w:r>
            <w:r>
              <w:rPr>
                <w:rFonts w:hint="eastAsia" w:ascii="Times New Roman" w:hAnsi="Times New Roman" w:eastAsia="宋体" w:cs="Times New Roman"/>
                <w:b w:val="0"/>
                <w:bCs w:val="0"/>
                <w:color w:val="auto"/>
                <w:spacing w:val="0"/>
                <w:w w:val="100"/>
                <w:sz w:val="24"/>
                <w:szCs w:val="24"/>
                <w:u w:val="none" w:color="auto"/>
                <w:lang w:val="en-US" w:eastAsia="zh-CN"/>
              </w:rPr>
              <w:t>1.75</w:t>
            </w:r>
            <w:r>
              <w:rPr>
                <w:rFonts w:hint="default" w:ascii="Times New Roman" w:hAnsi="Times New Roman" w:eastAsia="宋体" w:cs="Times New Roman"/>
                <w:b w:val="0"/>
                <w:bCs w:val="0"/>
                <w:color w:val="auto"/>
                <w:spacing w:val="0"/>
                <w:w w:val="100"/>
                <w:sz w:val="24"/>
                <w:szCs w:val="24"/>
                <w:u w:val="none" w:color="auto"/>
                <w:lang w:eastAsia="zh-CN"/>
              </w:rPr>
              <w:t>kg/h</w:t>
            </w:r>
            <w:r>
              <w:rPr>
                <w:rFonts w:hint="eastAsia"/>
                <w:color w:val="auto"/>
                <w:sz w:val="24"/>
                <w:szCs w:val="24"/>
                <w:highlight w:val="none"/>
                <w:u w:val="none" w:color="auto"/>
                <w:lang w:val="en-US" w:eastAsia="zh-CN"/>
              </w:rPr>
              <w:t>）。本项目抛丸机、抛丸粉尘</w:t>
            </w:r>
            <w:r>
              <w:rPr>
                <w:rFonts w:hint="eastAsia" w:ascii="Times New Roman" w:hAnsi="Times New Roman" w:eastAsia="宋体" w:cs="Times New Roman"/>
                <w:color w:val="auto"/>
                <w:sz w:val="24"/>
                <w:szCs w:val="24"/>
                <w:u w:val="none"/>
                <w:lang w:val="en-US" w:eastAsia="zh-CN"/>
              </w:rPr>
              <w:t>布袋除尘器TA003、排气筒DA003</w:t>
            </w:r>
            <w:r>
              <w:rPr>
                <w:rFonts w:hint="eastAsia"/>
                <w:color w:val="auto"/>
                <w:sz w:val="24"/>
                <w:szCs w:val="24"/>
                <w:highlight w:val="none"/>
                <w:u w:val="none" w:color="auto"/>
                <w:lang w:val="en-US" w:eastAsia="zh-CN"/>
              </w:rPr>
              <w:t>均与现有</w:t>
            </w:r>
            <w:r>
              <w:rPr>
                <w:rFonts w:hint="eastAsia" w:ascii="Times New Roman" w:hAnsi="Times New Roman" w:eastAsia="宋体" w:cs="Times New Roman"/>
                <w:color w:val="auto"/>
                <w:sz w:val="24"/>
                <w:szCs w:val="24"/>
                <w:u w:val="none" w:color="auto"/>
                <w:lang w:eastAsia="zh-CN"/>
              </w:rPr>
              <w:t>工程共用。</w:t>
            </w:r>
            <w:r>
              <w:rPr>
                <w:rFonts w:hint="eastAsia" w:cs="Times New Roman"/>
                <w:b w:val="0"/>
                <w:bCs w:val="0"/>
                <w:color w:val="auto"/>
                <w:sz w:val="24"/>
                <w:szCs w:val="24"/>
                <w:highlight w:val="none"/>
                <w:lang w:val="en-US" w:eastAsia="zh-CN"/>
              </w:rPr>
              <w:t>原环评计算现有工程抛丸粉尘收集量为5.580t/a，</w:t>
            </w:r>
            <w:r>
              <w:rPr>
                <w:rFonts w:hint="eastAsia" w:ascii="Times New Roman" w:hAnsi="Times New Roman" w:eastAsia="宋体" w:cs="Times New Roman"/>
                <w:color w:val="auto"/>
                <w:sz w:val="24"/>
                <w:szCs w:val="24"/>
                <w:u w:val="none" w:color="auto"/>
                <w:lang w:eastAsia="zh-CN"/>
              </w:rPr>
              <w:t>经计算本项目及已批复工程全部投产的情况下，抛丸粉尘排气筒</w:t>
            </w:r>
            <w:r>
              <w:rPr>
                <w:rFonts w:hint="eastAsia" w:ascii="Times New Roman" w:hAnsi="Times New Roman" w:eastAsia="宋体" w:cs="Times New Roman"/>
                <w:color w:val="auto"/>
                <w:sz w:val="24"/>
                <w:szCs w:val="24"/>
                <w:u w:val="none" w:color="auto"/>
                <w:lang w:val="en-US" w:eastAsia="zh-CN"/>
              </w:rPr>
              <w:t>DA003</w:t>
            </w:r>
            <w:r>
              <w:rPr>
                <w:rFonts w:hint="eastAsia" w:ascii="Times New Roman" w:hAnsi="Times New Roman" w:eastAsia="宋体" w:cs="Times New Roman"/>
                <w:color w:val="auto"/>
                <w:sz w:val="24"/>
                <w:szCs w:val="24"/>
                <w:u w:val="none"/>
                <w:lang w:val="en-US" w:eastAsia="zh-CN"/>
              </w:rPr>
              <w:t>颗粒物排放速率为</w:t>
            </w:r>
            <w:r>
              <w:rPr>
                <w:rFonts w:hint="default" w:ascii="Times New Roman" w:hAnsi="Times New Roman" w:cs="Times New Roman"/>
                <w:b w:val="0"/>
                <w:bCs w:val="0"/>
                <w:color w:val="auto"/>
                <w:sz w:val="24"/>
                <w:szCs w:val="24"/>
                <w:u w:val="none" w:color="auto"/>
                <w:lang w:val="en-US" w:eastAsia="zh-CN"/>
              </w:rPr>
              <w:t>0.2</w:t>
            </w:r>
            <w:r>
              <w:rPr>
                <w:rFonts w:hint="eastAsia" w:ascii="Times New Roman" w:hAnsi="Times New Roman" w:cs="Times New Roman"/>
                <w:b w:val="0"/>
                <w:bCs w:val="0"/>
                <w:color w:val="auto"/>
                <w:sz w:val="24"/>
                <w:szCs w:val="24"/>
                <w:u w:val="none" w:color="auto"/>
                <w:lang w:val="en-US" w:eastAsia="zh-CN"/>
              </w:rPr>
              <w:t>25</w:t>
            </w:r>
            <w:r>
              <w:rPr>
                <w:rFonts w:hint="default"/>
                <w:b w:val="0"/>
                <w:bCs w:val="0"/>
                <w:color w:val="auto"/>
                <w:sz w:val="24"/>
                <w:szCs w:val="24"/>
                <w:highlight w:val="none"/>
                <w:u w:val="none"/>
              </w:rPr>
              <w:t>kg/h</w:t>
            </w:r>
            <w:r>
              <w:rPr>
                <w:rFonts w:hint="eastAsia"/>
                <w:b w:val="0"/>
                <w:bCs w:val="0"/>
                <w:color w:val="auto"/>
                <w:sz w:val="24"/>
                <w:szCs w:val="24"/>
                <w:highlight w:val="none"/>
                <w:u w:val="none"/>
                <w:lang w:eastAsia="zh-CN"/>
              </w:rPr>
              <w:t>，排放浓度为</w:t>
            </w:r>
            <w:r>
              <w:rPr>
                <w:rFonts w:hint="eastAsia"/>
                <w:b w:val="0"/>
                <w:bCs w:val="0"/>
                <w:color w:val="auto"/>
                <w:sz w:val="24"/>
                <w:szCs w:val="24"/>
                <w:highlight w:val="none"/>
                <w:u w:val="none"/>
                <w:lang w:val="en-US" w:eastAsia="zh-CN"/>
              </w:rPr>
              <w:t>10.722</w:t>
            </w:r>
            <w:r>
              <w:rPr>
                <w:rFonts w:hint="default"/>
                <w:b w:val="0"/>
                <w:bCs w:val="0"/>
                <w:color w:val="auto"/>
                <w:sz w:val="24"/>
                <w:szCs w:val="24"/>
                <w:highlight w:val="none"/>
                <w:u w:val="none"/>
              </w:rPr>
              <w:t>mg/m</w:t>
            </w:r>
            <w:r>
              <w:rPr>
                <w:rFonts w:hint="default"/>
                <w:b w:val="0"/>
                <w:bCs w:val="0"/>
                <w:color w:val="auto"/>
                <w:sz w:val="24"/>
                <w:szCs w:val="24"/>
                <w:highlight w:val="none"/>
                <w:u w:val="none"/>
                <w:vertAlign w:val="superscript"/>
              </w:rPr>
              <w:t>3</w:t>
            </w:r>
            <w:r>
              <w:rPr>
                <w:rFonts w:hint="eastAsia" w:cs="Times New Roman"/>
                <w:b w:val="0"/>
                <w:bCs w:val="0"/>
                <w:color w:val="auto"/>
                <w:sz w:val="24"/>
                <w:szCs w:val="24"/>
                <w:highlight w:val="none"/>
                <w:lang w:val="en-US" w:eastAsia="zh-CN"/>
              </w:rPr>
              <w:t>，预测仍可做到达标排放。</w:t>
            </w:r>
          </w:p>
          <w:p w14:paraId="168C027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lang w:val="en-US" w:eastAsia="zh-CN"/>
              </w:rPr>
              <w:t>经表4-2核算结果可知，本项目刷漆工序</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漆雾颗粒物排放浓度</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10.291</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mg/m</w:t>
            </w:r>
            <w:r>
              <w:rPr>
                <w:rFonts w:hint="default" w:ascii="Times New Roman" w:hAnsi="Times New Roman" w:eastAsia="宋体" w:cs="Times New Roman"/>
                <w:b w:val="0"/>
                <w:bCs/>
                <w:color w:val="auto"/>
                <w:spacing w:val="0"/>
                <w:w w:val="100"/>
                <w:kern w:val="21"/>
                <w:position w:val="0"/>
                <w:sz w:val="24"/>
                <w:szCs w:val="24"/>
                <w:highlight w:val="none"/>
                <w:u w:val="none" w:color="auto"/>
                <w:vertAlign w:val="superscript"/>
                <w:lang w:val="en-US" w:eastAsia="zh-CN"/>
              </w:rPr>
              <w:t>3</w:t>
            </w:r>
            <w:r>
              <w:rPr>
                <w:rFonts w:hint="eastAsia" w:ascii="Times New Roman" w:hAnsi="Times New Roman" w:eastAsia="宋体" w:cs="Times New Roman"/>
                <w:b w:val="0"/>
                <w:bCs/>
                <w:color w:val="auto"/>
                <w:spacing w:val="0"/>
                <w:w w:val="100"/>
                <w:kern w:val="21"/>
                <w:position w:val="0"/>
                <w:sz w:val="24"/>
                <w:szCs w:val="24"/>
                <w:highlight w:val="none"/>
                <w:u w:val="none" w:color="auto"/>
                <w:vertAlign w:val="baseline"/>
                <w:lang w:val="en-US" w:eastAsia="zh-CN"/>
              </w:rPr>
              <w:t>，</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排放速率</w:t>
            </w:r>
            <w:r>
              <w:rPr>
                <w:rFonts w:hint="eastAsia" w:ascii="Times New Roman" w:hAnsi="Times New Roman" w:cs="Times New Roman"/>
                <w:b w:val="0"/>
                <w:bCs/>
                <w:color w:val="auto"/>
                <w:spacing w:val="0"/>
                <w:w w:val="100"/>
                <w:kern w:val="21"/>
                <w:position w:val="0"/>
                <w:sz w:val="24"/>
                <w:szCs w:val="24"/>
                <w:highlight w:val="none"/>
                <w:u w:val="none" w:color="auto"/>
                <w:lang w:val="en-US" w:eastAsia="zh-CN"/>
              </w:rPr>
              <w:t>0.158</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kg/h，</w:t>
            </w:r>
            <w:r>
              <w:rPr>
                <w:rFonts w:hint="eastAsia" w:cs="Times New Roman"/>
                <w:b w:val="0"/>
                <w:bCs w:val="0"/>
                <w:color w:val="auto"/>
                <w:sz w:val="24"/>
                <w:szCs w:val="24"/>
                <w:highlight w:val="none"/>
                <w:lang w:val="en-US" w:eastAsia="zh-CN"/>
              </w:rPr>
              <w:t>可达到</w:t>
            </w:r>
            <w:r>
              <w:rPr>
                <w:rFonts w:hint="default"/>
                <w:color w:val="auto"/>
                <w:sz w:val="24"/>
                <w:szCs w:val="24"/>
                <w:highlight w:val="none"/>
                <w:u w:val="none" w:color="auto"/>
              </w:rPr>
              <w:t>《</w:t>
            </w:r>
            <w:r>
              <w:rPr>
                <w:rFonts w:hint="eastAsia"/>
                <w:color w:val="auto"/>
                <w:sz w:val="24"/>
                <w:szCs w:val="24"/>
                <w:highlight w:val="none"/>
                <w:u w:val="none" w:color="auto"/>
                <w:lang w:eastAsia="zh-CN"/>
              </w:rPr>
              <w:t>大气污染物综合排放标准</w:t>
            </w:r>
            <w:r>
              <w:rPr>
                <w:rFonts w:hint="default"/>
                <w:color w:val="auto"/>
                <w:sz w:val="24"/>
                <w:szCs w:val="24"/>
                <w:highlight w:val="none"/>
                <w:u w:val="none" w:color="auto"/>
              </w:rPr>
              <w:t>》（GB</w:t>
            </w:r>
            <w:r>
              <w:rPr>
                <w:rFonts w:hint="eastAsia"/>
                <w:color w:val="auto"/>
                <w:sz w:val="24"/>
                <w:szCs w:val="24"/>
                <w:highlight w:val="none"/>
                <w:u w:val="none" w:color="auto"/>
              </w:rPr>
              <w:t xml:space="preserve"> 16297-</w:t>
            </w:r>
            <w:r>
              <w:rPr>
                <w:rFonts w:hint="eastAsia"/>
                <w:color w:val="auto"/>
                <w:sz w:val="24"/>
                <w:szCs w:val="24"/>
                <w:highlight w:val="none"/>
                <w:u w:val="none" w:color="auto"/>
                <w:lang w:val="en-US" w:eastAsia="zh-CN"/>
              </w:rPr>
              <w:t>1996</w:t>
            </w:r>
            <w:r>
              <w:rPr>
                <w:rFonts w:hint="default"/>
                <w:color w:val="auto"/>
                <w:sz w:val="24"/>
                <w:szCs w:val="24"/>
                <w:highlight w:val="none"/>
                <w:u w:val="none" w:color="auto"/>
              </w:rPr>
              <w:t>）</w:t>
            </w:r>
            <w:r>
              <w:rPr>
                <w:rFonts w:hint="eastAsia"/>
                <w:color w:val="auto"/>
                <w:sz w:val="24"/>
                <w:szCs w:val="24"/>
                <w:highlight w:val="none"/>
                <w:u w:val="none" w:color="auto"/>
                <w:lang w:eastAsia="zh-CN"/>
              </w:rPr>
              <w:t>中表</w:t>
            </w:r>
            <w:r>
              <w:rPr>
                <w:rFonts w:hint="eastAsia"/>
                <w:color w:val="auto"/>
                <w:sz w:val="24"/>
                <w:szCs w:val="24"/>
                <w:highlight w:val="none"/>
                <w:u w:val="none" w:color="auto"/>
                <w:lang w:val="en-US" w:eastAsia="zh-CN"/>
              </w:rPr>
              <w:t>2相关标准限值要求（</w:t>
            </w:r>
            <w:r>
              <w:rPr>
                <w:rFonts w:hint="default" w:ascii="Times New Roman" w:hAnsi="Times New Roman" w:eastAsia="宋体" w:cs="Times New Roman"/>
                <w:b w:val="0"/>
                <w:bCs w:val="0"/>
                <w:color w:val="auto"/>
                <w:spacing w:val="0"/>
                <w:w w:val="100"/>
                <w:sz w:val="24"/>
                <w:szCs w:val="24"/>
                <w:u w:val="none" w:color="auto"/>
                <w:lang w:eastAsia="zh-CN"/>
              </w:rPr>
              <w:t>最高允许排放浓度</w:t>
            </w:r>
            <w:r>
              <w:rPr>
                <w:rFonts w:hint="eastAsia" w:ascii="Times New Roman" w:hAnsi="Times New Roman" w:eastAsia="宋体" w:cs="Times New Roman"/>
                <w:b w:val="0"/>
                <w:bCs w:val="0"/>
                <w:color w:val="auto"/>
                <w:spacing w:val="0"/>
                <w:w w:val="100"/>
                <w:sz w:val="24"/>
                <w:szCs w:val="24"/>
                <w:u w:val="none" w:color="auto"/>
                <w:lang w:val="en-US" w:eastAsia="zh-CN"/>
              </w:rPr>
              <w:t>120</w:t>
            </w:r>
            <w:r>
              <w:rPr>
                <w:rFonts w:hint="default"/>
                <w:b w:val="0"/>
                <w:bCs w:val="0"/>
                <w:color w:val="auto"/>
                <w:sz w:val="24"/>
                <w:szCs w:val="24"/>
                <w:highlight w:val="none"/>
                <w:u w:val="none"/>
              </w:rPr>
              <w:t>mg/m</w:t>
            </w:r>
            <w:r>
              <w:rPr>
                <w:rFonts w:hint="default"/>
                <w:b w:val="0"/>
                <w:bCs w:val="0"/>
                <w:color w:val="auto"/>
                <w:sz w:val="24"/>
                <w:szCs w:val="24"/>
                <w:highlight w:val="none"/>
                <w:u w:val="none"/>
                <w:vertAlign w:val="superscript"/>
              </w:rPr>
              <w:t>3</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pacing w:val="0"/>
                <w:w w:val="100"/>
                <w:sz w:val="24"/>
                <w:szCs w:val="24"/>
                <w:u w:val="none" w:color="auto"/>
                <w:lang w:eastAsia="zh-CN"/>
              </w:rPr>
              <w:t>最高允许排放速率</w:t>
            </w:r>
            <w:r>
              <w:rPr>
                <w:rFonts w:hint="eastAsia" w:ascii="Times New Roman" w:hAnsi="Times New Roman" w:eastAsia="宋体" w:cs="Times New Roman"/>
                <w:b w:val="0"/>
                <w:bCs w:val="0"/>
                <w:color w:val="auto"/>
                <w:spacing w:val="0"/>
                <w:w w:val="100"/>
                <w:sz w:val="24"/>
                <w:szCs w:val="24"/>
                <w:u w:val="none" w:color="auto"/>
                <w:lang w:val="en-US" w:eastAsia="zh-CN"/>
              </w:rPr>
              <w:t>1.75</w:t>
            </w:r>
            <w:r>
              <w:rPr>
                <w:rFonts w:hint="default" w:ascii="Times New Roman" w:hAnsi="Times New Roman" w:eastAsia="宋体" w:cs="Times New Roman"/>
                <w:b w:val="0"/>
                <w:bCs w:val="0"/>
                <w:color w:val="auto"/>
                <w:spacing w:val="0"/>
                <w:w w:val="100"/>
                <w:sz w:val="24"/>
                <w:szCs w:val="24"/>
                <w:u w:val="none" w:color="auto"/>
                <w:lang w:eastAsia="zh-CN"/>
              </w:rPr>
              <w:t>kg/h</w:t>
            </w:r>
            <w:r>
              <w:rPr>
                <w:rFonts w:hint="eastAsia"/>
                <w:color w:val="auto"/>
                <w:sz w:val="24"/>
                <w:szCs w:val="24"/>
                <w:highlight w:val="none"/>
                <w:u w:val="none" w:color="auto"/>
                <w:lang w:val="en-US" w:eastAsia="zh-CN"/>
              </w:rPr>
              <w:t>）；</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二甲苯排放浓度</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7.934</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mg/m</w:t>
            </w:r>
            <w:r>
              <w:rPr>
                <w:rFonts w:hint="default" w:ascii="Times New Roman" w:hAnsi="Times New Roman" w:eastAsia="宋体" w:cs="Times New Roman"/>
                <w:b w:val="0"/>
                <w:bCs/>
                <w:color w:val="auto"/>
                <w:spacing w:val="0"/>
                <w:w w:val="100"/>
                <w:kern w:val="21"/>
                <w:position w:val="0"/>
                <w:sz w:val="24"/>
                <w:szCs w:val="24"/>
                <w:highlight w:val="none"/>
                <w:u w:val="none" w:color="auto"/>
                <w:vertAlign w:val="superscript"/>
                <w:lang w:val="en-US" w:eastAsia="zh-CN"/>
              </w:rPr>
              <w:t>3</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VOC</w:t>
            </w:r>
            <w:r>
              <w:rPr>
                <w:rFonts w:hint="default" w:ascii="Times New Roman" w:hAnsi="Times New Roman" w:eastAsia="宋体" w:cs="Times New Roman"/>
                <w:color w:val="auto"/>
                <w:u w:val="none" w:color="auto"/>
                <w:vertAlign w:val="subscript"/>
                <w:lang w:val="en-US" w:eastAsia="zh-CN"/>
              </w:rPr>
              <w:t>S</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排放浓度</w:t>
            </w:r>
            <w:r>
              <w:rPr>
                <w:rFonts w:hint="default" w:ascii="Times New Roman" w:hAnsi="Times New Roman" w:cs="Times New Roman"/>
                <w:b w:val="0"/>
                <w:bCs/>
                <w:color w:val="auto"/>
                <w:spacing w:val="0"/>
                <w:w w:val="100"/>
                <w:kern w:val="21"/>
                <w:position w:val="0"/>
                <w:sz w:val="24"/>
                <w:szCs w:val="24"/>
                <w:highlight w:val="none"/>
                <w:u w:val="none" w:color="auto"/>
                <w:lang w:val="en-US" w:eastAsia="zh-CN"/>
              </w:rPr>
              <w:t>12.579</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mg/m</w:t>
            </w:r>
            <w:r>
              <w:rPr>
                <w:rFonts w:hint="default" w:ascii="Times New Roman" w:hAnsi="Times New Roman" w:eastAsia="宋体" w:cs="Times New Roman"/>
                <w:b w:val="0"/>
                <w:bCs/>
                <w:color w:val="auto"/>
                <w:spacing w:val="0"/>
                <w:w w:val="100"/>
                <w:kern w:val="21"/>
                <w:position w:val="0"/>
                <w:sz w:val="24"/>
                <w:szCs w:val="24"/>
                <w:highlight w:val="none"/>
                <w:u w:val="none" w:color="auto"/>
                <w:vertAlign w:val="superscript"/>
                <w:lang w:val="en-US" w:eastAsia="zh-CN"/>
              </w:rPr>
              <w:t>3</w:t>
            </w:r>
            <w:r>
              <w:rPr>
                <w:rFonts w:hint="eastAsia" w:cs="Times New Roman"/>
                <w:b w:val="0"/>
                <w:bCs w:val="0"/>
                <w:color w:val="auto"/>
                <w:sz w:val="24"/>
                <w:szCs w:val="24"/>
                <w:highlight w:val="none"/>
                <w:lang w:val="en-US" w:eastAsia="zh-CN"/>
              </w:rPr>
              <w:t>，可达到</w:t>
            </w:r>
            <w:r>
              <w:rPr>
                <w:rFonts w:hint="eastAsia" w:ascii="Times New Roman" w:hAnsi="Times New Roman" w:eastAsia="宋体" w:cs="Times New Roman"/>
                <w:color w:val="auto"/>
                <w:sz w:val="24"/>
                <w:highlight w:val="none"/>
                <w:u w:val="none"/>
                <w:lang w:val="en-US" w:eastAsia="zh-CN"/>
              </w:rPr>
              <w:t>《表面涂装（汽车制造及维修）挥发性有机物、镍排放标准》（DB43/1356-2017）表1</w:t>
            </w:r>
            <w:r>
              <w:rPr>
                <w:rFonts w:hint="eastAsia"/>
                <w:color w:val="auto"/>
                <w:sz w:val="24"/>
                <w:szCs w:val="24"/>
                <w:highlight w:val="none"/>
                <w:u w:val="none" w:color="auto"/>
                <w:lang w:val="en-US" w:eastAsia="zh-CN"/>
              </w:rPr>
              <w:t>相关标准限值要求（</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二甲苯</w:t>
            </w:r>
            <w:r>
              <w:rPr>
                <w:rFonts w:hint="default" w:ascii="Times New Roman" w:hAnsi="Times New Roman" w:eastAsia="宋体" w:cs="Times New Roman"/>
                <w:b w:val="0"/>
                <w:bCs w:val="0"/>
                <w:color w:val="auto"/>
                <w:spacing w:val="0"/>
                <w:w w:val="100"/>
                <w:sz w:val="24"/>
                <w:szCs w:val="24"/>
                <w:u w:val="none" w:color="auto"/>
                <w:lang w:eastAsia="zh-CN"/>
              </w:rPr>
              <w:t>最高允许排放浓度</w:t>
            </w:r>
            <w:r>
              <w:rPr>
                <w:rFonts w:hint="eastAsia" w:ascii="Times New Roman" w:hAnsi="Times New Roman" w:eastAsia="宋体" w:cs="Times New Roman"/>
                <w:b w:val="0"/>
                <w:bCs w:val="0"/>
                <w:color w:val="auto"/>
                <w:spacing w:val="0"/>
                <w:w w:val="100"/>
                <w:sz w:val="24"/>
                <w:szCs w:val="24"/>
                <w:u w:val="none" w:color="auto"/>
                <w:lang w:val="en-US" w:eastAsia="zh-CN"/>
              </w:rPr>
              <w:t>17</w:t>
            </w:r>
            <w:r>
              <w:rPr>
                <w:rFonts w:hint="default"/>
                <w:b w:val="0"/>
                <w:bCs w:val="0"/>
                <w:color w:val="auto"/>
                <w:sz w:val="24"/>
                <w:szCs w:val="24"/>
                <w:highlight w:val="none"/>
                <w:u w:val="none"/>
              </w:rPr>
              <w:t>mg/m</w:t>
            </w:r>
            <w:r>
              <w:rPr>
                <w:rFonts w:hint="default"/>
                <w:b w:val="0"/>
                <w:bCs w:val="0"/>
                <w:color w:val="auto"/>
                <w:sz w:val="24"/>
                <w:szCs w:val="24"/>
                <w:highlight w:val="none"/>
                <w:u w:val="none"/>
                <w:vertAlign w:val="superscript"/>
              </w:rPr>
              <w:t>3</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color w:val="auto"/>
                <w:spacing w:val="0"/>
                <w:w w:val="100"/>
                <w:kern w:val="21"/>
                <w:position w:val="0"/>
                <w:sz w:val="24"/>
                <w:szCs w:val="24"/>
                <w:highlight w:val="none"/>
                <w:u w:val="none" w:color="auto"/>
                <w:lang w:val="en-US" w:eastAsia="zh-CN"/>
              </w:rPr>
              <w:t>VOC</w:t>
            </w:r>
            <w:r>
              <w:rPr>
                <w:rFonts w:hint="default" w:ascii="Times New Roman" w:hAnsi="Times New Roman" w:eastAsia="宋体" w:cs="Times New Roman"/>
                <w:color w:val="auto"/>
                <w:u w:val="none" w:color="auto"/>
                <w:vertAlign w:val="subscript"/>
                <w:lang w:val="en-US" w:eastAsia="zh-CN"/>
              </w:rPr>
              <w:t>S</w:t>
            </w:r>
            <w:r>
              <w:rPr>
                <w:rFonts w:hint="default" w:ascii="Times New Roman" w:hAnsi="Times New Roman" w:eastAsia="宋体" w:cs="Times New Roman"/>
                <w:b w:val="0"/>
                <w:bCs w:val="0"/>
                <w:color w:val="auto"/>
                <w:spacing w:val="0"/>
                <w:w w:val="100"/>
                <w:sz w:val="24"/>
                <w:szCs w:val="24"/>
                <w:u w:val="none" w:color="auto"/>
                <w:lang w:eastAsia="zh-CN"/>
              </w:rPr>
              <w:t>最高允许排放浓度</w:t>
            </w:r>
            <w:r>
              <w:rPr>
                <w:rFonts w:hint="eastAsia" w:ascii="Times New Roman" w:hAnsi="Times New Roman" w:eastAsia="宋体" w:cs="Times New Roman"/>
                <w:b w:val="0"/>
                <w:bCs w:val="0"/>
                <w:color w:val="auto"/>
                <w:spacing w:val="0"/>
                <w:w w:val="100"/>
                <w:sz w:val="24"/>
                <w:szCs w:val="24"/>
                <w:u w:val="none" w:color="auto"/>
                <w:lang w:val="en-US" w:eastAsia="zh-CN"/>
              </w:rPr>
              <w:t>80</w:t>
            </w:r>
            <w:r>
              <w:rPr>
                <w:rFonts w:hint="default"/>
                <w:b w:val="0"/>
                <w:bCs w:val="0"/>
                <w:color w:val="auto"/>
                <w:sz w:val="24"/>
                <w:szCs w:val="24"/>
                <w:highlight w:val="none"/>
                <w:u w:val="none"/>
              </w:rPr>
              <w:t>mg/m</w:t>
            </w:r>
            <w:r>
              <w:rPr>
                <w:rFonts w:hint="default"/>
                <w:b w:val="0"/>
                <w:bCs w:val="0"/>
                <w:color w:val="auto"/>
                <w:sz w:val="24"/>
                <w:szCs w:val="24"/>
                <w:highlight w:val="none"/>
                <w:u w:val="none"/>
                <w:vertAlign w:val="superscript"/>
              </w:rPr>
              <w:t>3</w:t>
            </w:r>
            <w:r>
              <w:rPr>
                <w:rFonts w:hint="eastAsia"/>
                <w:color w:val="auto"/>
                <w:sz w:val="24"/>
                <w:szCs w:val="24"/>
                <w:highlight w:val="none"/>
                <w:u w:val="none" w:color="auto"/>
                <w:lang w:val="en-US" w:eastAsia="zh-CN"/>
              </w:rPr>
              <w:t>）。本项目油漆房、油漆废气处理设施</w:t>
            </w:r>
            <w:r>
              <w:rPr>
                <w:rFonts w:hint="eastAsia" w:ascii="Times New Roman" w:hAnsi="Times New Roman" w:eastAsia="宋体" w:cs="Times New Roman"/>
                <w:color w:val="auto"/>
                <w:sz w:val="24"/>
                <w:szCs w:val="24"/>
                <w:u w:val="none"/>
                <w:lang w:val="en-US" w:eastAsia="zh-CN"/>
              </w:rPr>
              <w:t>TA002、排气筒DA002</w:t>
            </w:r>
            <w:r>
              <w:rPr>
                <w:rFonts w:hint="eastAsia"/>
                <w:color w:val="auto"/>
                <w:sz w:val="24"/>
                <w:szCs w:val="24"/>
                <w:highlight w:val="none"/>
                <w:u w:val="none" w:color="auto"/>
                <w:lang w:val="en-US" w:eastAsia="zh-CN"/>
              </w:rPr>
              <w:t>均与</w:t>
            </w:r>
            <w:r>
              <w:rPr>
                <w:rFonts w:hint="eastAsia" w:ascii="Times New Roman" w:hAnsi="Times New Roman" w:eastAsia="宋体" w:cs="Times New Roman"/>
                <w:color w:val="auto"/>
                <w:sz w:val="24"/>
                <w:szCs w:val="24"/>
                <w:u w:val="none" w:color="auto"/>
                <w:lang w:eastAsia="zh-CN"/>
              </w:rPr>
              <w:t>现有工程共用。</w:t>
            </w:r>
            <w:r>
              <w:rPr>
                <w:rFonts w:hint="eastAsia" w:cs="Times New Roman"/>
                <w:b w:val="0"/>
                <w:bCs w:val="0"/>
                <w:color w:val="auto"/>
                <w:sz w:val="24"/>
                <w:szCs w:val="24"/>
                <w:highlight w:val="none"/>
                <w:lang w:val="en-US" w:eastAsia="zh-CN"/>
              </w:rPr>
              <w:t>原环评计算现有工程</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漆雾颗粒物收集量为</w:t>
            </w:r>
            <w:r>
              <w:rPr>
                <w:rFonts w:hint="eastAsia" w:ascii="Times New Roman" w:hAnsi="Times New Roman" w:eastAsia="宋体" w:cs="Times New Roman"/>
                <w:strike w:val="0"/>
                <w:dstrike w:val="0"/>
                <w:color w:val="auto"/>
                <w:sz w:val="24"/>
                <w:szCs w:val="24"/>
                <w:u w:val="none" w:color="auto"/>
                <w:lang w:val="en-US" w:eastAsia="zh-CN"/>
              </w:rPr>
              <w:t>0.933</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t/a，二甲苯收集量为</w:t>
            </w:r>
            <w:r>
              <w:rPr>
                <w:rFonts w:hint="eastAsia" w:ascii="Times New Roman" w:hAnsi="Times New Roman" w:eastAsia="宋体" w:cs="Times New Roman"/>
                <w:strike w:val="0"/>
                <w:dstrike w:val="0"/>
                <w:color w:val="auto"/>
                <w:sz w:val="24"/>
                <w:szCs w:val="24"/>
                <w:u w:val="none" w:color="auto"/>
                <w:lang w:val="en-US" w:eastAsia="zh-CN"/>
              </w:rPr>
              <w:t>0.574</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t/a，VOC</w:t>
            </w:r>
            <w:r>
              <w:rPr>
                <w:rFonts w:hint="eastAsia" w:ascii="Times New Roman" w:hAnsi="Times New Roman" w:eastAsia="宋体" w:cs="Times New Roman"/>
                <w:color w:val="auto"/>
                <w:sz w:val="24"/>
                <w:szCs w:val="24"/>
                <w:u w:val="none" w:color="auto"/>
                <w:vertAlign w:val="subscript"/>
                <w:lang w:val="en-US" w:eastAsia="zh-CN"/>
              </w:rPr>
              <w:t>S</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收集量为</w:t>
            </w:r>
            <w:r>
              <w:rPr>
                <w:rFonts w:hint="eastAsia" w:ascii="Times New Roman" w:hAnsi="Times New Roman" w:eastAsia="宋体" w:cs="Times New Roman"/>
                <w:strike w:val="0"/>
                <w:dstrike w:val="0"/>
                <w:color w:val="auto"/>
                <w:sz w:val="24"/>
                <w:szCs w:val="24"/>
                <w:u w:val="none" w:color="auto"/>
                <w:lang w:val="en-US" w:eastAsia="zh-CN"/>
              </w:rPr>
              <w:t>1.101</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t/a。</w:t>
            </w:r>
            <w:r>
              <w:rPr>
                <w:rFonts w:hint="eastAsia" w:ascii="Times New Roman" w:hAnsi="Times New Roman" w:eastAsia="宋体" w:cs="Times New Roman"/>
                <w:color w:val="auto"/>
                <w:sz w:val="24"/>
                <w:szCs w:val="24"/>
                <w:u w:val="none" w:color="auto"/>
                <w:lang w:eastAsia="zh-CN"/>
              </w:rPr>
              <w:t>经计算本项目及已批复工程全部投产的情况下：油漆房排气筒</w:t>
            </w:r>
            <w:r>
              <w:rPr>
                <w:rFonts w:hint="eastAsia" w:ascii="Times New Roman" w:hAnsi="Times New Roman" w:eastAsia="宋体" w:cs="Times New Roman"/>
                <w:color w:val="auto"/>
                <w:sz w:val="24"/>
                <w:szCs w:val="24"/>
                <w:u w:val="none" w:color="auto"/>
                <w:lang w:val="en-US" w:eastAsia="zh-CN"/>
              </w:rPr>
              <w:t>DA002</w:t>
            </w:r>
            <w:r>
              <w:rPr>
                <w:rFonts w:hint="eastAsia" w:ascii="Times New Roman" w:hAnsi="Times New Roman" w:eastAsia="宋体" w:cs="Times New Roman"/>
                <w:color w:val="auto"/>
                <w:sz w:val="24"/>
                <w:szCs w:val="24"/>
                <w:u w:val="none"/>
                <w:lang w:val="en-US" w:eastAsia="zh-CN"/>
              </w:rPr>
              <w:t>颗粒物排放速率为</w:t>
            </w:r>
            <w:r>
              <w:rPr>
                <w:rFonts w:hint="eastAsia" w:ascii="Times New Roman" w:hAnsi="Times New Roman" w:cs="Times New Roman"/>
                <w:b w:val="0"/>
                <w:bCs w:val="0"/>
                <w:color w:val="auto"/>
                <w:sz w:val="24"/>
                <w:szCs w:val="24"/>
                <w:u w:val="none" w:color="auto"/>
                <w:lang w:val="en-US" w:eastAsia="zh-CN"/>
              </w:rPr>
              <w:t>0.325</w:t>
            </w:r>
            <w:r>
              <w:rPr>
                <w:rFonts w:hint="default"/>
                <w:b w:val="0"/>
                <w:bCs w:val="0"/>
                <w:color w:val="auto"/>
                <w:sz w:val="24"/>
                <w:szCs w:val="24"/>
                <w:highlight w:val="none"/>
                <w:u w:val="none"/>
              </w:rPr>
              <w:t>kg/h</w:t>
            </w:r>
            <w:r>
              <w:rPr>
                <w:rFonts w:hint="eastAsia"/>
                <w:b w:val="0"/>
                <w:bCs w:val="0"/>
                <w:color w:val="auto"/>
                <w:sz w:val="24"/>
                <w:szCs w:val="24"/>
                <w:highlight w:val="none"/>
                <w:u w:val="none"/>
                <w:lang w:eastAsia="zh-CN"/>
              </w:rPr>
              <w:t>，排放浓度为</w:t>
            </w:r>
            <w:r>
              <w:rPr>
                <w:rFonts w:hint="eastAsia"/>
                <w:b w:val="0"/>
                <w:bCs w:val="0"/>
                <w:color w:val="auto"/>
                <w:sz w:val="24"/>
                <w:szCs w:val="24"/>
                <w:highlight w:val="none"/>
                <w:u w:val="none"/>
                <w:lang w:val="en-US" w:eastAsia="zh-CN"/>
              </w:rPr>
              <w:t>21.136</w:t>
            </w:r>
            <w:r>
              <w:rPr>
                <w:rFonts w:hint="default"/>
                <w:b w:val="0"/>
                <w:bCs w:val="0"/>
                <w:color w:val="auto"/>
                <w:sz w:val="24"/>
                <w:szCs w:val="24"/>
                <w:highlight w:val="none"/>
                <w:u w:val="none"/>
              </w:rPr>
              <w:t>mg/m</w:t>
            </w:r>
            <w:r>
              <w:rPr>
                <w:rFonts w:hint="default"/>
                <w:b w:val="0"/>
                <w:bCs w:val="0"/>
                <w:color w:val="auto"/>
                <w:sz w:val="24"/>
                <w:szCs w:val="24"/>
                <w:highlight w:val="none"/>
                <w:u w:val="none"/>
                <w:vertAlign w:val="superscript"/>
              </w:rPr>
              <w:t>3</w:t>
            </w:r>
            <w:r>
              <w:rPr>
                <w:rFonts w:hint="eastAsia" w:cs="Times New Roman"/>
                <w:b w:val="0"/>
                <w:bCs w:val="0"/>
                <w:color w:val="auto"/>
                <w:sz w:val="24"/>
                <w:szCs w:val="24"/>
                <w:highlight w:val="none"/>
                <w:lang w:val="en-US" w:eastAsia="zh-CN"/>
              </w:rPr>
              <w:t>，预测颗粒物仍可达到</w:t>
            </w:r>
            <w:r>
              <w:rPr>
                <w:rFonts w:hint="default"/>
                <w:color w:val="auto"/>
                <w:sz w:val="24"/>
                <w:szCs w:val="24"/>
                <w:highlight w:val="none"/>
                <w:u w:val="none" w:color="auto"/>
              </w:rPr>
              <w:t>《</w:t>
            </w:r>
            <w:r>
              <w:rPr>
                <w:rFonts w:hint="eastAsia"/>
                <w:color w:val="auto"/>
                <w:sz w:val="24"/>
                <w:szCs w:val="24"/>
                <w:highlight w:val="none"/>
                <w:u w:val="none" w:color="auto"/>
                <w:lang w:eastAsia="zh-CN"/>
              </w:rPr>
              <w:t>大气污染物综合排放标准</w:t>
            </w:r>
            <w:r>
              <w:rPr>
                <w:rFonts w:hint="default"/>
                <w:color w:val="auto"/>
                <w:sz w:val="24"/>
                <w:szCs w:val="24"/>
                <w:highlight w:val="none"/>
                <w:u w:val="none" w:color="auto"/>
              </w:rPr>
              <w:t>》（GB</w:t>
            </w:r>
            <w:r>
              <w:rPr>
                <w:rFonts w:hint="eastAsia"/>
                <w:color w:val="auto"/>
                <w:sz w:val="24"/>
                <w:szCs w:val="24"/>
                <w:highlight w:val="none"/>
                <w:u w:val="none" w:color="auto"/>
              </w:rPr>
              <w:t xml:space="preserve"> 16297-</w:t>
            </w:r>
            <w:r>
              <w:rPr>
                <w:rFonts w:hint="eastAsia"/>
                <w:color w:val="auto"/>
                <w:sz w:val="24"/>
                <w:szCs w:val="24"/>
                <w:highlight w:val="none"/>
                <w:u w:val="none" w:color="auto"/>
                <w:lang w:val="en-US" w:eastAsia="zh-CN"/>
              </w:rPr>
              <w:t>1996</w:t>
            </w:r>
            <w:r>
              <w:rPr>
                <w:rFonts w:hint="default"/>
                <w:color w:val="auto"/>
                <w:sz w:val="24"/>
                <w:szCs w:val="24"/>
                <w:highlight w:val="none"/>
                <w:u w:val="none" w:color="auto"/>
              </w:rPr>
              <w:t>）</w:t>
            </w:r>
            <w:r>
              <w:rPr>
                <w:rFonts w:hint="eastAsia"/>
                <w:color w:val="auto"/>
                <w:sz w:val="24"/>
                <w:szCs w:val="24"/>
                <w:highlight w:val="none"/>
                <w:u w:val="none" w:color="auto"/>
                <w:lang w:eastAsia="zh-CN"/>
              </w:rPr>
              <w:t>中表</w:t>
            </w:r>
            <w:r>
              <w:rPr>
                <w:rFonts w:hint="eastAsia"/>
                <w:color w:val="auto"/>
                <w:sz w:val="24"/>
                <w:szCs w:val="24"/>
                <w:highlight w:val="none"/>
                <w:u w:val="none" w:color="auto"/>
                <w:lang w:val="en-US" w:eastAsia="zh-CN"/>
              </w:rPr>
              <w:t>2相关标准限值要求</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color w:val="auto"/>
                <w:sz w:val="24"/>
                <w:szCs w:val="24"/>
                <w:u w:val="none" w:color="auto"/>
                <w:lang w:val="en-US" w:eastAsia="zh-CN"/>
              </w:rPr>
              <w:t>DA002废气中</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二甲苯</w:t>
            </w:r>
            <w:r>
              <w:rPr>
                <w:rFonts w:hint="eastAsia"/>
                <w:b w:val="0"/>
                <w:bCs w:val="0"/>
                <w:color w:val="auto"/>
                <w:sz w:val="24"/>
                <w:szCs w:val="24"/>
                <w:highlight w:val="none"/>
                <w:u w:val="none"/>
                <w:lang w:eastAsia="zh-CN"/>
              </w:rPr>
              <w:t>排放浓度为</w:t>
            </w:r>
            <w:r>
              <w:rPr>
                <w:rFonts w:hint="eastAsia"/>
                <w:b w:val="0"/>
                <w:bCs w:val="0"/>
                <w:color w:val="auto"/>
                <w:sz w:val="24"/>
                <w:szCs w:val="24"/>
                <w:highlight w:val="none"/>
                <w:u w:val="none"/>
                <w:lang w:val="en-US" w:eastAsia="zh-CN"/>
              </w:rPr>
              <w:t>14.602</w:t>
            </w:r>
            <w:r>
              <w:rPr>
                <w:rFonts w:hint="default"/>
                <w:b w:val="0"/>
                <w:bCs w:val="0"/>
                <w:color w:val="auto"/>
                <w:sz w:val="24"/>
                <w:szCs w:val="24"/>
                <w:highlight w:val="none"/>
                <w:u w:val="none"/>
              </w:rPr>
              <w:t>mg/m</w:t>
            </w:r>
            <w:r>
              <w:rPr>
                <w:rFonts w:hint="default"/>
                <w:b w:val="0"/>
                <w:bCs w:val="0"/>
                <w:color w:val="auto"/>
                <w:sz w:val="24"/>
                <w:szCs w:val="24"/>
                <w:highlight w:val="none"/>
                <w:u w:val="none"/>
                <w:vertAlign w:val="superscript"/>
              </w:rPr>
              <w:t>3</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，VOC</w:t>
            </w:r>
            <w:r>
              <w:rPr>
                <w:rFonts w:hint="eastAsia" w:ascii="Times New Roman" w:hAnsi="Times New Roman" w:eastAsia="宋体" w:cs="Times New Roman"/>
                <w:color w:val="auto"/>
                <w:sz w:val="24"/>
                <w:szCs w:val="24"/>
                <w:u w:val="none" w:color="auto"/>
                <w:vertAlign w:val="subscript"/>
                <w:lang w:val="en-US" w:eastAsia="zh-CN"/>
              </w:rPr>
              <w:t>S</w:t>
            </w:r>
            <w:r>
              <w:rPr>
                <w:rFonts w:hint="eastAsia"/>
                <w:b w:val="0"/>
                <w:bCs w:val="0"/>
                <w:color w:val="auto"/>
                <w:sz w:val="24"/>
                <w:szCs w:val="24"/>
                <w:highlight w:val="none"/>
                <w:u w:val="none"/>
                <w:lang w:eastAsia="zh-CN"/>
              </w:rPr>
              <w:t>排放浓度为</w:t>
            </w:r>
            <w:r>
              <w:rPr>
                <w:rFonts w:hint="eastAsia"/>
                <w:b w:val="0"/>
                <w:bCs w:val="0"/>
                <w:color w:val="auto"/>
                <w:sz w:val="24"/>
                <w:szCs w:val="24"/>
                <w:highlight w:val="none"/>
                <w:u w:val="none"/>
                <w:lang w:val="en-US" w:eastAsia="zh-CN"/>
              </w:rPr>
              <w:t>25.379</w:t>
            </w:r>
            <w:r>
              <w:rPr>
                <w:rFonts w:hint="default"/>
                <w:b w:val="0"/>
                <w:bCs w:val="0"/>
                <w:color w:val="auto"/>
                <w:sz w:val="24"/>
                <w:szCs w:val="24"/>
                <w:highlight w:val="none"/>
                <w:u w:val="none"/>
              </w:rPr>
              <w:t>mg/m</w:t>
            </w:r>
            <w:r>
              <w:rPr>
                <w:rFonts w:hint="default"/>
                <w:b w:val="0"/>
                <w:bCs w:val="0"/>
                <w:color w:val="auto"/>
                <w:sz w:val="24"/>
                <w:szCs w:val="24"/>
                <w:highlight w:val="none"/>
                <w:u w:val="none"/>
                <w:vertAlign w:val="superscript"/>
              </w:rPr>
              <w:t>3</w:t>
            </w:r>
            <w:r>
              <w:rPr>
                <w:rFonts w:hint="eastAsia" w:ascii="Times New Roman" w:hAnsi="Times New Roman" w:eastAsia="宋体" w:cs="Times New Roman"/>
                <w:b w:val="0"/>
                <w:bCs/>
                <w:color w:val="auto"/>
                <w:spacing w:val="0"/>
                <w:w w:val="100"/>
                <w:kern w:val="21"/>
                <w:position w:val="0"/>
                <w:sz w:val="24"/>
                <w:szCs w:val="24"/>
                <w:highlight w:val="none"/>
                <w:u w:val="none" w:color="auto"/>
                <w:lang w:val="en-US" w:eastAsia="zh-CN"/>
              </w:rPr>
              <w:t>，</w:t>
            </w:r>
            <w:r>
              <w:rPr>
                <w:rFonts w:hint="eastAsia" w:cs="Times New Roman"/>
                <w:b w:val="0"/>
                <w:bCs w:val="0"/>
                <w:color w:val="auto"/>
                <w:sz w:val="24"/>
                <w:szCs w:val="24"/>
                <w:highlight w:val="none"/>
                <w:lang w:val="en-US" w:eastAsia="zh-CN"/>
              </w:rPr>
              <w:t>预测仍可做到达标排放。</w:t>
            </w:r>
          </w:p>
          <w:p w14:paraId="458D1C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pacing w:val="0"/>
                <w:w w:val="100"/>
                <w:kern w:val="21"/>
                <w:position w:val="0"/>
                <w:sz w:val="24"/>
                <w:highlight w:val="none"/>
                <w:u w:val="none" w:color="auto"/>
                <w:lang w:eastAsia="zh-CN"/>
              </w:rPr>
            </w:pPr>
            <w:r>
              <w:rPr>
                <w:rFonts w:hint="eastAsia" w:cs="Times New Roman"/>
                <w:b/>
                <w:bCs w:val="0"/>
                <w:color w:val="auto"/>
                <w:spacing w:val="0"/>
                <w:w w:val="100"/>
                <w:kern w:val="21"/>
                <w:position w:val="0"/>
                <w:sz w:val="24"/>
                <w:highlight w:val="none"/>
                <w:u w:val="none" w:color="auto"/>
                <w:lang w:val="en-US" w:eastAsia="zh-CN"/>
              </w:rPr>
              <w:t>1.5</w:t>
            </w:r>
            <w:r>
              <w:rPr>
                <w:rFonts w:hint="default" w:ascii="Times New Roman" w:hAnsi="Times New Roman" w:eastAsia="宋体" w:cs="Times New Roman"/>
                <w:b/>
                <w:bCs w:val="0"/>
                <w:color w:val="auto"/>
                <w:spacing w:val="0"/>
                <w:w w:val="100"/>
                <w:kern w:val="21"/>
                <w:position w:val="0"/>
                <w:sz w:val="24"/>
                <w:highlight w:val="none"/>
                <w:u w:val="none" w:color="auto"/>
                <w:lang w:eastAsia="zh-CN"/>
              </w:rPr>
              <w:t>排气筒</w:t>
            </w:r>
            <w:r>
              <w:rPr>
                <w:rFonts w:hint="eastAsia" w:cs="Times New Roman"/>
                <w:b/>
                <w:bCs w:val="0"/>
                <w:color w:val="auto"/>
                <w:spacing w:val="0"/>
                <w:w w:val="100"/>
                <w:kern w:val="21"/>
                <w:position w:val="0"/>
                <w:sz w:val="24"/>
                <w:highlight w:val="none"/>
                <w:u w:val="none" w:color="auto"/>
                <w:lang w:eastAsia="zh-CN"/>
              </w:rPr>
              <w:t>设置</w:t>
            </w:r>
            <w:r>
              <w:rPr>
                <w:rFonts w:hint="default" w:ascii="Times New Roman" w:hAnsi="Times New Roman" w:eastAsia="宋体" w:cs="Times New Roman"/>
                <w:b/>
                <w:bCs w:val="0"/>
                <w:color w:val="auto"/>
                <w:spacing w:val="0"/>
                <w:w w:val="100"/>
                <w:kern w:val="21"/>
                <w:position w:val="0"/>
                <w:sz w:val="24"/>
                <w:highlight w:val="none"/>
                <w:u w:val="none" w:color="auto"/>
                <w:lang w:eastAsia="zh-CN"/>
              </w:rPr>
              <w:t>可行性分析</w:t>
            </w:r>
          </w:p>
          <w:p w14:paraId="71097D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u w:val="none" w:color="auto"/>
                <w:lang w:val="en-US" w:eastAsia="zh-CN"/>
              </w:rPr>
            </w:pPr>
            <w:r>
              <w:rPr>
                <w:rFonts w:hint="eastAsia" w:ascii="Times New Roman" w:hAnsi="Times New Roman" w:eastAsia="宋体" w:cs="Times New Roman"/>
                <w:color w:val="auto"/>
                <w:sz w:val="24"/>
                <w:highlight w:val="none"/>
                <w:u w:val="none"/>
                <w:lang w:val="en-US" w:eastAsia="zh-CN"/>
              </w:rPr>
              <w:t>根据《表面涂装（汽车制造及维修）挥发性有机物、镍排放标准》（DB43/1356-2017）相关要求，</w:t>
            </w:r>
            <w:r>
              <w:rPr>
                <w:rFonts w:hint="eastAsia"/>
                <w:color w:val="auto"/>
                <w:sz w:val="24"/>
                <w:szCs w:val="24"/>
                <w:u w:val="none" w:color="auto"/>
                <w:lang w:val="en-US" w:eastAsia="zh-CN"/>
              </w:rPr>
              <w:t>“涉及表面涂装工序产生挥发性有机物的生产工艺和装置必须设立局部或整体气体收集系统和集中净化处理装置，并经排气筒排放。排气筒高度不应低于15m，具体高度及距周围建筑物的距离按批复的环境影响评价文件确定。”本项目油漆房刷漆废气排气筒DA002设计高度为15m，满足要求。</w:t>
            </w:r>
          </w:p>
          <w:p w14:paraId="7B101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lang w:val="en-US" w:eastAsia="zh-CN"/>
              </w:rPr>
              <w:t>本项</w:t>
            </w:r>
            <w:r>
              <w:rPr>
                <w:rFonts w:hint="eastAsia" w:ascii="Times New Roman" w:hAnsi="Times New Roman" w:eastAsia="宋体" w:cs="Times New Roman"/>
                <w:color w:val="auto"/>
                <w:sz w:val="24"/>
                <w:szCs w:val="24"/>
                <w:u w:val="none"/>
                <w:lang w:val="en-US" w:eastAsia="zh-CN"/>
              </w:rPr>
              <w:t>目有组织颗粒物排放</w:t>
            </w:r>
            <w:r>
              <w:rPr>
                <w:rFonts w:hint="eastAsia" w:cs="Times New Roman"/>
                <w:color w:val="auto"/>
                <w:sz w:val="24"/>
                <w:szCs w:val="24"/>
                <w:u w:val="none"/>
                <w:lang w:val="en-US" w:eastAsia="zh-CN"/>
              </w:rPr>
              <w:t>浓度和排放速率</w:t>
            </w:r>
            <w:r>
              <w:rPr>
                <w:rFonts w:hint="eastAsia" w:ascii="Times New Roman" w:hAnsi="Times New Roman" w:eastAsia="宋体" w:cs="Times New Roman"/>
                <w:color w:val="auto"/>
                <w:sz w:val="24"/>
                <w:szCs w:val="24"/>
                <w:u w:val="none"/>
                <w:lang w:val="en-US" w:eastAsia="zh-CN"/>
              </w:rPr>
              <w:t>执行</w:t>
            </w:r>
            <w:r>
              <w:rPr>
                <w:rFonts w:hint="eastAsia"/>
                <w:color w:val="auto"/>
                <w:sz w:val="24"/>
                <w:szCs w:val="24"/>
                <w:u w:val="none"/>
                <w:lang w:eastAsia="zh-CN"/>
              </w:rPr>
              <w:t>《大气污染物综合排放标准》（GB 16297- 1996）表2二级标准限值要求</w:t>
            </w:r>
            <w:r>
              <w:rPr>
                <w:rFonts w:hint="eastAsia" w:cs="Times New Roman"/>
                <w:color w:val="auto"/>
                <w:sz w:val="24"/>
                <w:szCs w:val="24"/>
                <w:u w:val="none"/>
                <w:lang w:val="en-US" w:eastAsia="zh-CN"/>
              </w:rPr>
              <w:t>。</w:t>
            </w:r>
            <w:r>
              <w:rPr>
                <w:rFonts w:hint="eastAsia"/>
                <w:color w:val="auto"/>
                <w:sz w:val="24"/>
                <w:szCs w:val="24"/>
                <w:u w:val="none"/>
                <w:lang w:eastAsia="zh-CN"/>
              </w:rPr>
              <w:t>根据《大气污染物综合排放标准》中7.1可知，“排气筒高度除须遵守表列排放速率标准值外，还应高出周围</w:t>
            </w:r>
            <w:r>
              <w:rPr>
                <w:rFonts w:hint="eastAsia"/>
                <w:color w:val="auto"/>
                <w:sz w:val="24"/>
                <w:szCs w:val="24"/>
                <w:u w:val="none"/>
                <w:lang w:val="en-US" w:eastAsia="zh-CN"/>
              </w:rPr>
              <w:t>200m半径范围的建筑5m以上，不能达到该要求的排气筒，</w:t>
            </w:r>
            <w:r>
              <w:rPr>
                <w:rFonts w:hint="eastAsia"/>
                <w:color w:val="auto"/>
                <w:sz w:val="24"/>
                <w:szCs w:val="24"/>
                <w:u w:val="none"/>
                <w:lang w:eastAsia="zh-CN"/>
              </w:rPr>
              <w:t>应按其高度对应的表列排放速率标准值严格</w:t>
            </w:r>
            <w:r>
              <w:rPr>
                <w:rFonts w:hint="eastAsia"/>
                <w:color w:val="auto"/>
                <w:sz w:val="24"/>
                <w:szCs w:val="24"/>
                <w:u w:val="none"/>
                <w:lang w:val="en-US" w:eastAsia="zh-CN"/>
              </w:rPr>
              <w:t>50%执行”。</w:t>
            </w:r>
            <w:r>
              <w:rPr>
                <w:rFonts w:hint="eastAsia"/>
                <w:color w:val="auto"/>
                <w:sz w:val="24"/>
                <w:szCs w:val="24"/>
                <w:u w:val="none" w:color="auto"/>
                <w:lang w:eastAsia="zh-CN"/>
              </w:rPr>
              <w:t>根据现场调查可知，项目</w:t>
            </w:r>
            <w:r>
              <w:rPr>
                <w:rFonts w:hint="eastAsia"/>
                <w:color w:val="auto"/>
                <w:sz w:val="24"/>
                <w:szCs w:val="24"/>
                <w:u w:val="none" w:color="auto"/>
                <w:lang w:val="en-US" w:eastAsia="zh-CN"/>
              </w:rPr>
              <w:t>200m范围内最高建筑为厂区北侧6906</w:t>
            </w:r>
            <w:r>
              <w:rPr>
                <w:rFonts w:hint="eastAsia" w:ascii="Times New Roman" w:hAnsi="Times New Roman" w:eastAsia="宋体" w:cs="Times New Roman"/>
                <w:color w:val="auto"/>
                <w:sz w:val="24"/>
                <w:szCs w:val="24"/>
                <w:u w:val="none" w:color="auto"/>
                <w:lang w:val="en-US" w:eastAsia="zh-CN"/>
              </w:rPr>
              <w:t>临港北斗产业园（8层，高约30m）。本项目生产厂房高度为12m，同时考虑到安全和美观因素，本项目有组织</w:t>
            </w:r>
            <w:r>
              <w:rPr>
                <w:rFonts w:hint="eastAsia" w:cs="Times New Roman"/>
                <w:color w:val="auto"/>
                <w:sz w:val="24"/>
                <w:szCs w:val="24"/>
                <w:u w:val="none" w:color="auto"/>
                <w:lang w:val="en-US" w:eastAsia="zh-CN"/>
              </w:rPr>
              <w:t>废气</w:t>
            </w:r>
            <w:r>
              <w:rPr>
                <w:rFonts w:hint="eastAsia"/>
                <w:color w:val="auto"/>
                <w:sz w:val="24"/>
                <w:szCs w:val="24"/>
                <w:u w:val="none" w:color="auto"/>
                <w:lang w:eastAsia="zh-CN"/>
              </w:rPr>
              <w:t>排气筒（</w:t>
            </w:r>
            <w:r>
              <w:rPr>
                <w:rFonts w:hint="eastAsia"/>
                <w:color w:val="auto"/>
                <w:sz w:val="24"/>
                <w:szCs w:val="24"/>
                <w:u w:val="none" w:color="auto"/>
                <w:lang w:val="en-US" w:eastAsia="zh-CN"/>
              </w:rPr>
              <w:t>DA002、DA003</w:t>
            </w:r>
            <w:r>
              <w:rPr>
                <w:rFonts w:hint="eastAsia"/>
                <w:color w:val="auto"/>
                <w:sz w:val="24"/>
                <w:szCs w:val="24"/>
                <w:u w:val="none" w:color="auto"/>
                <w:lang w:eastAsia="zh-CN"/>
              </w:rPr>
              <w:t>）无法满足高于周边</w:t>
            </w:r>
            <w:r>
              <w:rPr>
                <w:rFonts w:hint="eastAsia"/>
                <w:color w:val="auto"/>
                <w:sz w:val="24"/>
                <w:szCs w:val="24"/>
                <w:u w:val="none" w:color="auto"/>
                <w:lang w:val="en-US" w:eastAsia="zh-CN"/>
              </w:rPr>
              <w:t>200m半径范围的建筑5m以上（约需35m）。因此本项目排气筒</w:t>
            </w:r>
            <w:r>
              <w:rPr>
                <w:rFonts w:hint="eastAsia"/>
                <w:color w:val="auto"/>
                <w:sz w:val="24"/>
                <w:szCs w:val="24"/>
                <w:u w:val="none" w:color="auto"/>
                <w:lang w:eastAsia="zh-CN"/>
              </w:rPr>
              <w:t>高度为</w:t>
            </w:r>
            <w:r>
              <w:rPr>
                <w:rFonts w:hint="eastAsia"/>
                <w:color w:val="auto"/>
                <w:sz w:val="24"/>
                <w:szCs w:val="24"/>
                <w:u w:val="none" w:color="auto"/>
                <w:lang w:val="en-US" w:eastAsia="zh-CN"/>
              </w:rPr>
              <w:t>15m，</w:t>
            </w:r>
            <w:r>
              <w:rPr>
                <w:rFonts w:hint="eastAsia"/>
                <w:color w:val="auto"/>
                <w:sz w:val="24"/>
                <w:szCs w:val="24"/>
                <w:u w:val="none" w:color="auto"/>
                <w:lang w:eastAsia="zh-CN"/>
              </w:rPr>
              <w:t>排放速率应严格</w:t>
            </w:r>
            <w:r>
              <w:rPr>
                <w:rFonts w:hint="eastAsia"/>
                <w:color w:val="auto"/>
                <w:sz w:val="24"/>
                <w:szCs w:val="24"/>
                <w:u w:val="none" w:color="auto"/>
                <w:lang w:val="en-US" w:eastAsia="zh-CN"/>
              </w:rPr>
              <w:t>50%执行，即颗粒物最高允许排放速率为1.75</w:t>
            </w:r>
            <w:r>
              <w:rPr>
                <w:rFonts w:hint="default"/>
                <w:b w:val="0"/>
                <w:bCs w:val="0"/>
                <w:color w:val="auto"/>
                <w:sz w:val="24"/>
                <w:szCs w:val="24"/>
                <w:highlight w:val="none"/>
                <w:u w:val="none"/>
              </w:rPr>
              <w:t>kg/h</w:t>
            </w:r>
            <w:r>
              <w:rPr>
                <w:rFonts w:hint="eastAsia"/>
                <w:color w:val="auto"/>
                <w:sz w:val="24"/>
                <w:szCs w:val="24"/>
                <w:u w:val="none" w:color="auto"/>
                <w:lang w:val="en-US" w:eastAsia="zh-CN"/>
              </w:rPr>
              <w:t>。</w:t>
            </w:r>
          </w:p>
          <w:p w14:paraId="4D2E1C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sz w:val="24"/>
                <w:szCs w:val="24"/>
                <w:u w:val="none" w:color="auto"/>
                <w:lang w:val="en-US" w:eastAsia="zh-CN"/>
              </w:rPr>
            </w:pPr>
            <w:r>
              <w:rPr>
                <w:rFonts w:hint="eastAsia"/>
                <w:color w:val="auto"/>
                <w:sz w:val="24"/>
                <w:szCs w:val="24"/>
                <w:u w:val="none" w:color="auto"/>
                <w:lang w:val="en-US" w:eastAsia="zh-CN"/>
              </w:rPr>
              <w:t>根据《大气污染治理工程技术导则》（HJ2000-2010）5.3.5可知，排气筒的出口直径应根据出口流速确定，流速宜取15m/s左右，当采用钢管烟囱且高度较高时或烟气量较大时，可适当提高出口流速至20~25 m/s。本项目DA002对应风机风量为</w:t>
            </w:r>
            <w:r>
              <w:rPr>
                <w:rFonts w:hint="default" w:ascii="Times New Roman" w:hAnsi="Times New Roman"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5</w:t>
            </w:r>
            <w:r>
              <w:rPr>
                <w:rFonts w:hint="default" w:ascii="Times New Roman" w:hAnsi="Times New Roman" w:cs="Times New Roman"/>
                <w:color w:val="auto"/>
                <w:sz w:val="24"/>
                <w:szCs w:val="24"/>
                <w:u w:val="none" w:color="auto"/>
                <w:lang w:val="en-US" w:eastAsia="zh-CN"/>
              </w:rPr>
              <w:t>36</w:t>
            </w:r>
            <w:r>
              <w:rPr>
                <w:rFonts w:hint="default" w:ascii="Times New Roman" w:hAnsi="Times New Roman" w:eastAsia="宋体" w:cs="Times New Roman"/>
                <w:color w:val="auto"/>
                <w:sz w:val="24"/>
                <w:szCs w:val="24"/>
                <w:u w:val="none" w:color="auto"/>
                <w:lang w:val="en-US" w:eastAsia="zh-CN"/>
              </w:rPr>
              <w:t>0</w:t>
            </w:r>
            <w:r>
              <w:rPr>
                <w:rFonts w:hint="eastAsia"/>
                <w:color w:val="auto"/>
                <w:sz w:val="24"/>
                <w:szCs w:val="24"/>
                <w:u w:val="none" w:color="auto"/>
                <w:lang w:val="en-US" w:eastAsia="zh-CN"/>
              </w:rPr>
              <w:t>m</w:t>
            </w:r>
            <w:r>
              <w:rPr>
                <w:rFonts w:hint="eastAsia"/>
                <w:color w:val="auto"/>
                <w:sz w:val="24"/>
                <w:szCs w:val="24"/>
                <w:u w:val="none" w:color="auto"/>
                <w:vertAlign w:val="superscript"/>
                <w:lang w:val="en-US" w:eastAsia="zh-CN"/>
              </w:rPr>
              <w:t>3</w:t>
            </w:r>
            <w:r>
              <w:rPr>
                <w:rFonts w:hint="eastAsia"/>
                <w:color w:val="auto"/>
                <w:sz w:val="24"/>
                <w:szCs w:val="24"/>
                <w:u w:val="none" w:color="auto"/>
                <w:lang w:val="en-US" w:eastAsia="zh-CN"/>
              </w:rPr>
              <w:t>/h，排气筒内径为0.6m，经计算出口流速约为16m/s；DA003对应风机风量为</w:t>
            </w:r>
            <w:r>
              <w:rPr>
                <w:rFonts w:hint="eastAsia" w:ascii="Times New Roman" w:hAnsi="Times New Roman" w:cs="Times New Roman"/>
                <w:color w:val="auto"/>
                <w:sz w:val="24"/>
                <w:szCs w:val="24"/>
                <w:u w:val="none" w:color="auto"/>
                <w:lang w:val="en-US" w:eastAsia="zh-CN"/>
              </w:rPr>
              <w:t>21000</w:t>
            </w:r>
            <w:r>
              <w:rPr>
                <w:rFonts w:hint="eastAsia"/>
                <w:color w:val="auto"/>
                <w:sz w:val="24"/>
                <w:szCs w:val="24"/>
                <w:u w:val="none" w:color="auto"/>
                <w:lang w:val="en-US" w:eastAsia="zh-CN"/>
              </w:rPr>
              <w:t>m</w:t>
            </w:r>
            <w:r>
              <w:rPr>
                <w:rFonts w:hint="eastAsia"/>
                <w:color w:val="auto"/>
                <w:sz w:val="24"/>
                <w:szCs w:val="24"/>
                <w:u w:val="none" w:color="auto"/>
                <w:vertAlign w:val="superscript"/>
                <w:lang w:val="en-US" w:eastAsia="zh-CN"/>
              </w:rPr>
              <w:t>3</w:t>
            </w:r>
            <w:r>
              <w:rPr>
                <w:rFonts w:hint="eastAsia"/>
                <w:color w:val="auto"/>
                <w:sz w:val="24"/>
                <w:szCs w:val="24"/>
                <w:u w:val="none" w:color="auto"/>
                <w:lang w:val="en-US" w:eastAsia="zh-CN"/>
              </w:rPr>
              <w:t>/h，排气筒内径为0.6m，经计算出口流速约为23m/s。</w:t>
            </w:r>
          </w:p>
          <w:p w14:paraId="36884D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val="0"/>
                <w:bCs/>
                <w:color w:val="auto"/>
                <w:spacing w:val="0"/>
                <w:w w:val="100"/>
                <w:kern w:val="21"/>
                <w:position w:val="0"/>
                <w:sz w:val="24"/>
                <w:szCs w:val="24"/>
                <w:highlight w:val="none"/>
                <w:u w:val="none" w:color="auto"/>
                <w:lang w:val="en-US" w:eastAsia="zh-CN"/>
              </w:rPr>
            </w:pPr>
            <w:r>
              <w:rPr>
                <w:rFonts w:hint="eastAsia"/>
                <w:color w:val="auto"/>
                <w:sz w:val="24"/>
                <w:szCs w:val="24"/>
                <w:u w:val="none" w:color="auto"/>
                <w:lang w:val="en-US" w:eastAsia="zh-CN"/>
              </w:rPr>
              <w:t>综合以上分析可知，本项目排气筒高度及内径设置基本合理。</w:t>
            </w:r>
          </w:p>
          <w:p w14:paraId="27482D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pacing w:val="0"/>
                <w:w w:val="100"/>
                <w:kern w:val="21"/>
                <w:position w:val="0"/>
                <w:sz w:val="24"/>
                <w:highlight w:val="none"/>
                <w:u w:val="none" w:color="auto"/>
                <w:lang w:eastAsia="zh-CN"/>
              </w:rPr>
            </w:pPr>
            <w:r>
              <w:rPr>
                <w:rFonts w:hint="eastAsia" w:cs="Times New Roman"/>
                <w:b/>
                <w:bCs w:val="0"/>
                <w:color w:val="auto"/>
                <w:spacing w:val="0"/>
                <w:w w:val="100"/>
                <w:kern w:val="21"/>
                <w:position w:val="0"/>
                <w:sz w:val="24"/>
                <w:highlight w:val="none"/>
                <w:u w:val="none" w:color="auto"/>
                <w:lang w:val="en-US" w:eastAsia="zh-CN"/>
              </w:rPr>
              <w:t>1.6</w:t>
            </w:r>
            <w:r>
              <w:rPr>
                <w:rFonts w:hint="default" w:ascii="Times New Roman" w:hAnsi="Times New Roman" w:eastAsia="宋体" w:cs="Times New Roman"/>
                <w:b/>
                <w:bCs w:val="0"/>
                <w:color w:val="auto"/>
                <w:spacing w:val="0"/>
                <w:w w:val="100"/>
                <w:kern w:val="21"/>
                <w:position w:val="0"/>
                <w:sz w:val="24"/>
                <w:highlight w:val="none"/>
                <w:u w:val="none" w:color="auto"/>
                <w:lang w:eastAsia="zh-CN"/>
              </w:rPr>
              <w:t>废气排放对环境的影响</w:t>
            </w:r>
          </w:p>
          <w:p w14:paraId="5EEF09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pacing w:val="0"/>
                <w:w w:val="100"/>
                <w:kern w:val="21"/>
                <w:position w:val="0"/>
                <w:sz w:val="24"/>
                <w:highlight w:val="none"/>
                <w:u w:val="none" w:color="auto"/>
                <w14:textFill>
                  <w14:solidFill>
                    <w14:schemeClr w14:val="tx1"/>
                  </w14:solidFill>
                </w14:textFill>
              </w:rPr>
            </w:pPr>
            <w:r>
              <w:rPr>
                <w:rFonts w:hint="default" w:ascii="Times New Roman" w:hAnsi="Times New Roman" w:eastAsia="宋体" w:cs="Times New Roman"/>
                <w:b w:val="0"/>
                <w:bCs/>
                <w:color w:val="000000" w:themeColor="text1"/>
                <w:spacing w:val="0"/>
                <w:w w:val="100"/>
                <w:kern w:val="21"/>
                <w:position w:val="0"/>
                <w:sz w:val="24"/>
                <w:highlight w:val="none"/>
                <w:u w:val="none" w:color="auto"/>
                <w:lang w:val="en-US" w:eastAsia="zh-CN"/>
                <w14:textFill>
                  <w14:solidFill>
                    <w14:schemeClr w14:val="tx1"/>
                  </w14:solidFill>
                </w14:textFill>
              </w:rPr>
              <w:t>由</w:t>
            </w:r>
            <w:r>
              <w:rPr>
                <w:rFonts w:hint="eastAsia" w:cs="Times New Roman"/>
                <w:b w:val="0"/>
                <w:bCs/>
                <w:color w:val="000000" w:themeColor="text1"/>
                <w:spacing w:val="0"/>
                <w:w w:val="100"/>
                <w:kern w:val="21"/>
                <w:position w:val="0"/>
                <w:sz w:val="24"/>
                <w:highlight w:val="none"/>
                <w:u w:val="none" w:color="auto"/>
                <w:lang w:val="en-US" w:eastAsia="zh-CN"/>
                <w14:textFill>
                  <w14:solidFill>
                    <w14:schemeClr w14:val="tx1"/>
                  </w14:solidFill>
                </w14:textFill>
              </w:rPr>
              <w:t>以</w:t>
            </w:r>
            <w:r>
              <w:rPr>
                <w:rFonts w:hint="default" w:ascii="Times New Roman" w:hAnsi="Times New Roman" w:eastAsia="宋体" w:cs="Times New Roman"/>
                <w:b w:val="0"/>
                <w:bCs/>
                <w:color w:val="000000" w:themeColor="text1"/>
                <w:spacing w:val="0"/>
                <w:w w:val="100"/>
                <w:kern w:val="21"/>
                <w:position w:val="0"/>
                <w:sz w:val="24"/>
                <w:highlight w:val="none"/>
                <w:u w:val="none" w:color="auto"/>
                <w:lang w:val="en-US" w:eastAsia="zh-CN"/>
                <w14:textFill>
                  <w14:solidFill>
                    <w14:schemeClr w14:val="tx1"/>
                  </w14:solidFill>
                </w14:textFill>
              </w:rPr>
              <w:t>上分析可知，</w:t>
            </w:r>
            <w:r>
              <w:rPr>
                <w:rFonts w:hint="eastAsia" w:cs="Times New Roman"/>
                <w:b w:val="0"/>
                <w:bCs/>
                <w:color w:val="000000" w:themeColor="text1"/>
                <w:spacing w:val="0"/>
                <w:w w:val="100"/>
                <w:kern w:val="21"/>
                <w:position w:val="0"/>
                <w:sz w:val="24"/>
                <w:highlight w:val="none"/>
                <w:u w:val="none" w:color="auto"/>
                <w:lang w:val="en-US" w:eastAsia="zh-CN"/>
                <w14:textFill>
                  <w14:solidFill>
                    <w14:schemeClr w14:val="tx1"/>
                  </w14:solidFill>
                </w14:textFill>
              </w:rPr>
              <w:t>本</w:t>
            </w:r>
            <w:r>
              <w:rPr>
                <w:rFonts w:hint="default" w:ascii="Times New Roman" w:hAnsi="Times New Roman" w:eastAsia="宋体" w:cs="Times New Roman"/>
                <w:b w:val="0"/>
                <w:bCs/>
                <w:color w:val="000000" w:themeColor="text1"/>
                <w:spacing w:val="0"/>
                <w:w w:val="100"/>
                <w:kern w:val="21"/>
                <w:position w:val="0"/>
                <w:sz w:val="24"/>
                <w:highlight w:val="none"/>
                <w:u w:val="none" w:color="auto"/>
                <w14:textFill>
                  <w14:solidFill>
                    <w14:schemeClr w14:val="tx1"/>
                  </w14:solidFill>
                </w14:textFill>
              </w:rPr>
              <w:t>项目采取的污染治理措施为可行技术，</w:t>
            </w:r>
            <w:r>
              <w:rPr>
                <w:rFonts w:hint="eastAsia" w:cs="Times New Roman"/>
                <w:b w:val="0"/>
                <w:bCs/>
                <w:color w:val="000000" w:themeColor="text1"/>
                <w:spacing w:val="0"/>
                <w:w w:val="100"/>
                <w:kern w:val="21"/>
                <w:position w:val="0"/>
                <w:sz w:val="24"/>
                <w:highlight w:val="none"/>
                <w:u w:val="none" w:color="auto"/>
                <w:lang w:eastAsia="zh-CN"/>
                <w14:textFill>
                  <w14:solidFill>
                    <w14:schemeClr w14:val="tx1"/>
                  </w14:solidFill>
                </w14:textFill>
              </w:rPr>
              <w:t>共用废气处理设施可行，</w:t>
            </w:r>
            <w:r>
              <w:rPr>
                <w:rFonts w:hint="default" w:ascii="Times New Roman" w:hAnsi="Times New Roman" w:eastAsia="宋体" w:cs="Times New Roman"/>
                <w:b w:val="0"/>
                <w:bCs/>
                <w:color w:val="000000" w:themeColor="text1"/>
                <w:spacing w:val="0"/>
                <w:w w:val="100"/>
                <w:kern w:val="21"/>
                <w:position w:val="0"/>
                <w:sz w:val="24"/>
                <w:highlight w:val="none"/>
                <w:u w:val="none" w:color="auto"/>
                <w14:textFill>
                  <w14:solidFill>
                    <w14:schemeClr w14:val="tx1"/>
                  </w14:solidFill>
                </w14:textFill>
              </w:rPr>
              <w:t>可</w:t>
            </w:r>
            <w:r>
              <w:rPr>
                <w:rFonts w:hint="eastAsia" w:cs="Times New Roman"/>
                <w:b w:val="0"/>
                <w:bCs/>
                <w:color w:val="000000" w:themeColor="text1"/>
                <w:spacing w:val="0"/>
                <w:w w:val="100"/>
                <w:kern w:val="21"/>
                <w:position w:val="0"/>
                <w:sz w:val="24"/>
                <w:highlight w:val="none"/>
                <w:u w:val="none" w:color="auto"/>
                <w:lang w:eastAsia="zh-CN"/>
                <w14:textFill>
                  <w14:solidFill>
                    <w14:schemeClr w14:val="tx1"/>
                  </w14:solidFill>
                </w14:textFill>
              </w:rPr>
              <w:t>实现废气</w:t>
            </w:r>
            <w:r>
              <w:rPr>
                <w:rFonts w:hint="default" w:ascii="Times New Roman" w:hAnsi="Times New Roman" w:eastAsia="宋体" w:cs="Times New Roman"/>
                <w:b w:val="0"/>
                <w:bCs/>
                <w:color w:val="000000" w:themeColor="text1"/>
                <w:spacing w:val="0"/>
                <w:w w:val="100"/>
                <w:kern w:val="21"/>
                <w:position w:val="0"/>
                <w:sz w:val="24"/>
                <w:highlight w:val="none"/>
                <w:u w:val="none" w:color="auto"/>
                <w14:textFill>
                  <w14:solidFill>
                    <w14:schemeClr w14:val="tx1"/>
                  </w14:solidFill>
                </w14:textFill>
              </w:rPr>
              <w:t>达标排放</w:t>
            </w:r>
            <w:r>
              <w:rPr>
                <w:rFonts w:hint="default" w:ascii="Times New Roman" w:hAnsi="Times New Roman" w:eastAsia="宋体" w:cs="Times New Roman"/>
                <w:b w:val="0"/>
                <w:bCs/>
                <w:color w:val="000000" w:themeColor="text1"/>
                <w:spacing w:val="0"/>
                <w:w w:val="100"/>
                <w:kern w:val="21"/>
                <w:position w:val="0"/>
                <w:sz w:val="24"/>
                <w:highlight w:val="none"/>
                <w:u w:val="none" w:color="auto"/>
                <w:lang w:eastAsia="zh-CN"/>
                <w14:textFill>
                  <w14:solidFill>
                    <w14:schemeClr w14:val="tx1"/>
                  </w14:solidFill>
                </w14:textFill>
              </w:rPr>
              <w:t>。</w:t>
            </w:r>
          </w:p>
          <w:p w14:paraId="6938C4F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项目所在区域环境空气质量为达标区。本项目污染物排放量较小，通过采取上述防治措施</w:t>
            </w:r>
            <w:r>
              <w:rPr>
                <w:rFonts w:hint="eastAsia" w:cs="Times New Roman"/>
                <w:color w:val="000000" w:themeColor="text1"/>
                <w:sz w:val="24"/>
                <w:szCs w:val="24"/>
                <w:u w:val="none" w:color="auto"/>
                <w:lang w:val="en-US" w:eastAsia="zh-CN"/>
                <w14:textFill>
                  <w14:solidFill>
                    <w14:schemeClr w14:val="tx1"/>
                  </w14:solidFill>
                </w14:textFill>
              </w:rPr>
              <w:t>并加强管理后</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，项目营运期排放的废气污染物可实现稳定达标排放，对评价区域的影响在可接受范围内，项目运营期对周围大气环境影响可控。</w:t>
            </w:r>
          </w:p>
          <w:p w14:paraId="159D9D6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outlineLvl w:val="9"/>
              <w:rPr>
                <w:rFonts w:hint="default" w:ascii="Times New Roman" w:hAnsi="Times New Roman" w:eastAsia="宋体" w:cs="Times New Roman"/>
                <w:b/>
                <w:bCs/>
                <w:color w:val="000000" w:themeColor="text1"/>
                <w:spacing w:val="0"/>
                <w:position w:val="0"/>
                <w:sz w:val="28"/>
                <w:szCs w:val="28"/>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2、运营期水环境影响分析和保护措施</w:t>
            </w:r>
          </w:p>
          <w:p w14:paraId="5E13D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auto"/>
                <w:spacing w:val="0"/>
                <w:position w:val="0"/>
                <w:sz w:val="24"/>
                <w:szCs w:val="24"/>
                <w:u w:val="none" w:color="auto"/>
                <w:lang w:val="en-US" w:eastAsia="zh-CN"/>
              </w:rPr>
            </w:pPr>
            <w:r>
              <w:rPr>
                <w:rFonts w:hint="default" w:ascii="Times New Roman" w:hAnsi="Times New Roman" w:eastAsia="宋体" w:cs="Times New Roman"/>
                <w:b/>
                <w:bCs/>
                <w:color w:val="auto"/>
                <w:spacing w:val="0"/>
                <w:position w:val="0"/>
                <w:sz w:val="24"/>
                <w:szCs w:val="24"/>
                <w:u w:val="none" w:color="auto"/>
                <w:lang w:val="en-US" w:eastAsia="zh-CN"/>
              </w:rPr>
              <w:t>2.1污染工序及源强分析</w:t>
            </w:r>
          </w:p>
          <w:p w14:paraId="486595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highlight w:val="none"/>
                <w:u w:val="none" w:color="auto"/>
                <w:lang w:val="en-US" w:eastAsia="zh-CN"/>
              </w:rPr>
            </w:pPr>
            <w:r>
              <w:rPr>
                <w:rFonts w:hint="eastAsia" w:cs="Times New Roman"/>
                <w:color w:val="auto"/>
                <w:spacing w:val="0"/>
                <w:position w:val="0"/>
                <w:sz w:val="24"/>
                <w:szCs w:val="24"/>
                <w:highlight w:val="none"/>
                <w:u w:val="none" w:color="auto"/>
                <w:lang w:val="en-US" w:eastAsia="zh-CN"/>
              </w:rPr>
              <w:t>本项目</w:t>
            </w:r>
            <w:r>
              <w:rPr>
                <w:rFonts w:hint="default" w:ascii="Times New Roman" w:hAnsi="Times New Roman" w:eastAsia="宋体" w:cs="Times New Roman"/>
                <w:color w:val="auto"/>
                <w:spacing w:val="0"/>
                <w:position w:val="0"/>
                <w:sz w:val="24"/>
                <w:szCs w:val="24"/>
                <w:highlight w:val="none"/>
                <w:u w:val="none" w:color="auto"/>
                <w:lang w:val="en-US" w:eastAsia="zh-CN"/>
              </w:rPr>
              <w:t>营运期产生的废水主要为新增劳动定员产生的生活污水</w:t>
            </w:r>
            <w:r>
              <w:rPr>
                <w:rFonts w:hint="eastAsia" w:cs="Times New Roman"/>
                <w:color w:val="auto"/>
                <w:spacing w:val="0"/>
                <w:position w:val="0"/>
                <w:sz w:val="24"/>
                <w:szCs w:val="24"/>
                <w:highlight w:val="none"/>
                <w:u w:val="none" w:color="auto"/>
                <w:lang w:val="en-US" w:eastAsia="zh-CN"/>
              </w:rPr>
              <w:t>，根据水平衡可知，本项目生活污水</w:t>
            </w:r>
            <w:r>
              <w:rPr>
                <w:rFonts w:hint="default" w:ascii="Times New Roman" w:hAnsi="Times New Roman" w:eastAsia="宋体" w:cs="Times New Roman"/>
                <w:color w:val="auto"/>
                <w:spacing w:val="0"/>
                <w:position w:val="0"/>
                <w:sz w:val="24"/>
                <w:szCs w:val="24"/>
                <w:highlight w:val="none"/>
                <w:u w:val="none" w:color="auto"/>
                <w:lang w:val="en-US" w:eastAsia="zh-CN"/>
              </w:rPr>
              <w:t>产生量为</w:t>
            </w:r>
            <w:r>
              <w:rPr>
                <w:rFonts w:hint="eastAsia" w:cs="Times New Roman"/>
                <w:color w:val="auto"/>
                <w:spacing w:val="0"/>
                <w:position w:val="0"/>
                <w:sz w:val="24"/>
                <w:szCs w:val="24"/>
                <w:u w:val="none" w:color="auto"/>
                <w:lang w:val="en-US" w:eastAsia="zh-CN"/>
              </w:rPr>
              <w:t>0.5</w:t>
            </w:r>
            <w:r>
              <w:rPr>
                <w:rFonts w:hint="default" w:ascii="Times New Roman" w:hAnsi="Times New Roman" w:cs="Times New Roman"/>
                <w:color w:val="auto"/>
                <w:spacing w:val="0"/>
                <w:position w:val="0"/>
                <w:sz w:val="24"/>
                <w:szCs w:val="24"/>
                <w:u w:val="none" w:color="auto"/>
                <w:lang w:val="en-US" w:eastAsia="zh-CN"/>
              </w:rPr>
              <w:t>m</w:t>
            </w:r>
            <w:r>
              <w:rPr>
                <w:rFonts w:hint="default" w:ascii="Times New Roman" w:hAnsi="Times New Roman" w:eastAsia="宋体" w:cs="Times New Roman"/>
                <w:color w:val="auto"/>
                <w:spacing w:val="0"/>
                <w:position w:val="0"/>
                <w:sz w:val="24"/>
                <w:szCs w:val="24"/>
                <w:u w:val="none" w:color="auto"/>
                <w:vertAlign w:val="superscript"/>
                <w:lang w:val="en-US" w:eastAsia="zh-CN"/>
              </w:rPr>
              <w:t>3</w:t>
            </w:r>
            <w:r>
              <w:rPr>
                <w:rFonts w:hint="default" w:ascii="Times New Roman" w:hAnsi="Times New Roman" w:eastAsia="宋体" w:cs="Times New Roman"/>
                <w:color w:val="auto"/>
                <w:spacing w:val="0"/>
                <w:position w:val="0"/>
                <w:sz w:val="24"/>
                <w:szCs w:val="24"/>
                <w:u w:val="none" w:color="auto"/>
                <w:lang w:val="en-US" w:eastAsia="zh-CN"/>
              </w:rPr>
              <w:t>/d（</w:t>
            </w:r>
            <w:r>
              <w:rPr>
                <w:rFonts w:hint="eastAsia" w:cs="Times New Roman"/>
                <w:color w:val="auto"/>
                <w:spacing w:val="0"/>
                <w:position w:val="0"/>
                <w:sz w:val="24"/>
                <w:szCs w:val="24"/>
                <w:u w:val="none" w:color="auto"/>
                <w:lang w:val="en-US" w:eastAsia="zh-CN"/>
              </w:rPr>
              <w:t>140</w:t>
            </w:r>
            <w:r>
              <w:rPr>
                <w:rFonts w:hint="default" w:ascii="Times New Roman" w:hAnsi="Times New Roman" w:eastAsia="宋体" w:cs="Times New Roman"/>
                <w:color w:val="auto"/>
                <w:spacing w:val="0"/>
                <w:position w:val="0"/>
                <w:sz w:val="24"/>
                <w:szCs w:val="24"/>
                <w:u w:val="none" w:color="auto"/>
                <w:lang w:val="en-US" w:eastAsia="zh-CN"/>
              </w:rPr>
              <w:t>m</w:t>
            </w:r>
            <w:r>
              <w:rPr>
                <w:rFonts w:hint="default" w:ascii="Times New Roman" w:hAnsi="Times New Roman" w:eastAsia="宋体" w:cs="Times New Roman"/>
                <w:color w:val="auto"/>
                <w:spacing w:val="0"/>
                <w:position w:val="0"/>
                <w:sz w:val="24"/>
                <w:szCs w:val="24"/>
                <w:u w:val="none" w:color="auto"/>
                <w:vertAlign w:val="superscript"/>
                <w:lang w:val="en-US" w:eastAsia="zh-CN"/>
              </w:rPr>
              <w:t>3</w:t>
            </w:r>
            <w:r>
              <w:rPr>
                <w:rFonts w:hint="default" w:ascii="Times New Roman" w:hAnsi="Times New Roman" w:eastAsia="宋体" w:cs="Times New Roman"/>
                <w:color w:val="auto"/>
                <w:spacing w:val="0"/>
                <w:position w:val="0"/>
                <w:sz w:val="24"/>
                <w:szCs w:val="24"/>
                <w:u w:val="none" w:color="auto"/>
                <w:lang w:val="en-US" w:eastAsia="zh-CN"/>
              </w:rPr>
              <w:t>/a）</w:t>
            </w:r>
            <w:r>
              <w:rPr>
                <w:rFonts w:hint="default" w:ascii="Times New Roman" w:hAnsi="Times New Roman" w:eastAsia="宋体" w:cs="Times New Roman"/>
                <w:color w:val="auto"/>
                <w:spacing w:val="0"/>
                <w:position w:val="0"/>
                <w:sz w:val="24"/>
                <w:szCs w:val="24"/>
                <w:highlight w:val="none"/>
                <w:u w:val="none" w:color="auto"/>
                <w:lang w:val="en-US" w:eastAsia="zh-CN"/>
              </w:rPr>
              <w:t>，主要污染</w:t>
            </w:r>
            <w:r>
              <w:rPr>
                <w:rFonts w:hint="eastAsia" w:cs="Times New Roman"/>
                <w:color w:val="auto"/>
                <w:spacing w:val="0"/>
                <w:position w:val="0"/>
                <w:sz w:val="24"/>
                <w:szCs w:val="24"/>
                <w:highlight w:val="none"/>
                <w:u w:val="none" w:color="auto"/>
                <w:lang w:val="en-US" w:eastAsia="zh-CN"/>
              </w:rPr>
              <w:t>因子及产生</w:t>
            </w:r>
            <w:r>
              <w:rPr>
                <w:rFonts w:hint="default" w:ascii="Times New Roman" w:hAnsi="Times New Roman" w:eastAsia="宋体" w:cs="Times New Roman"/>
                <w:color w:val="auto"/>
                <w:spacing w:val="0"/>
                <w:position w:val="0"/>
                <w:sz w:val="24"/>
                <w:szCs w:val="24"/>
                <w:highlight w:val="none"/>
                <w:u w:val="none" w:color="auto"/>
                <w:lang w:val="en-US" w:eastAsia="zh-CN"/>
              </w:rPr>
              <w:t>浓度分别为</w:t>
            </w:r>
            <w:r>
              <w:rPr>
                <w:rFonts w:hint="eastAsia" w:cs="Times New Roman"/>
                <w:color w:val="auto"/>
                <w:spacing w:val="0"/>
                <w:position w:val="0"/>
                <w:sz w:val="24"/>
                <w:szCs w:val="24"/>
                <w:highlight w:val="none"/>
                <w:u w:val="none" w:color="auto"/>
                <w:lang w:val="en-US" w:eastAsia="zh-CN"/>
              </w:rPr>
              <w:t>：</w:t>
            </w:r>
            <w:r>
              <w:rPr>
                <w:rFonts w:hint="default" w:ascii="Times New Roman" w:hAnsi="Times New Roman" w:eastAsia="宋体" w:cs="Times New Roman"/>
                <w:color w:val="auto"/>
                <w:spacing w:val="0"/>
                <w:position w:val="0"/>
                <w:sz w:val="24"/>
                <w:szCs w:val="24"/>
                <w:highlight w:val="none"/>
                <w:u w:val="none" w:color="auto"/>
                <w:lang w:val="en-US" w:eastAsia="zh-CN"/>
              </w:rPr>
              <w:t>COD</w:t>
            </w:r>
            <w:r>
              <w:rPr>
                <w:rFonts w:hint="default" w:ascii="Times New Roman" w:hAnsi="Times New Roman" w:eastAsia="宋体" w:cs="Times New Roman"/>
                <w:color w:val="auto"/>
                <w:spacing w:val="0"/>
                <w:position w:val="0"/>
                <w:sz w:val="24"/>
                <w:szCs w:val="24"/>
                <w:highlight w:val="none"/>
                <w:u w:val="none" w:color="auto"/>
                <w:vertAlign w:val="subscript"/>
                <w:lang w:val="en-US" w:eastAsia="zh-CN"/>
              </w:rPr>
              <w:t>cr</w:t>
            </w:r>
            <w:r>
              <w:rPr>
                <w:rFonts w:hint="eastAsia" w:ascii="Times New Roman" w:hAnsi="Times New Roman" w:eastAsia="宋体" w:cs="Times New Roman"/>
                <w:color w:val="auto"/>
                <w:spacing w:val="0"/>
                <w:position w:val="0"/>
                <w:sz w:val="24"/>
                <w:szCs w:val="24"/>
                <w:highlight w:val="none"/>
                <w:u w:val="none" w:color="auto"/>
                <w:lang w:val="en-US" w:eastAsia="zh-CN"/>
              </w:rPr>
              <w:t>：</w:t>
            </w:r>
            <w:r>
              <w:rPr>
                <w:rFonts w:hint="default" w:ascii="Times New Roman" w:hAnsi="Times New Roman" w:eastAsia="宋体" w:cs="Times New Roman"/>
                <w:color w:val="auto"/>
                <w:spacing w:val="0"/>
                <w:position w:val="0"/>
                <w:sz w:val="24"/>
                <w:szCs w:val="24"/>
                <w:highlight w:val="none"/>
                <w:u w:val="none" w:color="auto"/>
                <w:lang w:val="en-US" w:eastAsia="zh-CN"/>
              </w:rPr>
              <w:t>3</w:t>
            </w:r>
            <w:r>
              <w:rPr>
                <w:rFonts w:hint="eastAsia" w:cs="Times New Roman"/>
                <w:color w:val="auto"/>
                <w:spacing w:val="0"/>
                <w:position w:val="0"/>
                <w:sz w:val="24"/>
                <w:szCs w:val="24"/>
                <w:highlight w:val="none"/>
                <w:u w:val="none" w:color="auto"/>
                <w:lang w:val="en-US" w:eastAsia="zh-CN"/>
              </w:rPr>
              <w:t>5</w:t>
            </w:r>
            <w:r>
              <w:rPr>
                <w:rFonts w:hint="default" w:ascii="Times New Roman" w:hAnsi="Times New Roman" w:eastAsia="宋体" w:cs="Times New Roman"/>
                <w:color w:val="auto"/>
                <w:spacing w:val="0"/>
                <w:position w:val="0"/>
                <w:sz w:val="24"/>
                <w:szCs w:val="24"/>
                <w:highlight w:val="none"/>
                <w:u w:val="none" w:color="auto"/>
                <w:lang w:val="en-US" w:eastAsia="zh-CN"/>
              </w:rPr>
              <w:t>0mg/L、BOD</w:t>
            </w:r>
            <w:r>
              <w:rPr>
                <w:rFonts w:hint="default" w:ascii="Times New Roman" w:hAnsi="Times New Roman" w:eastAsia="宋体" w:cs="Times New Roman"/>
                <w:color w:val="auto"/>
                <w:spacing w:val="0"/>
                <w:position w:val="0"/>
                <w:sz w:val="24"/>
                <w:szCs w:val="24"/>
                <w:highlight w:val="none"/>
                <w:u w:val="none" w:color="auto"/>
                <w:vertAlign w:val="subscript"/>
                <w:lang w:val="en-US" w:eastAsia="zh-CN"/>
              </w:rPr>
              <w:t>5</w:t>
            </w:r>
            <w:r>
              <w:rPr>
                <w:rFonts w:hint="eastAsia" w:ascii="Times New Roman" w:hAnsi="Times New Roman" w:eastAsia="宋体" w:cs="Times New Roman"/>
                <w:color w:val="auto"/>
                <w:spacing w:val="0"/>
                <w:position w:val="0"/>
                <w:sz w:val="24"/>
                <w:szCs w:val="24"/>
                <w:highlight w:val="none"/>
                <w:u w:val="none" w:color="auto"/>
                <w:lang w:val="en-US" w:eastAsia="zh-CN"/>
              </w:rPr>
              <w:t>：</w:t>
            </w:r>
            <w:r>
              <w:rPr>
                <w:rFonts w:hint="default" w:ascii="Times New Roman" w:hAnsi="Times New Roman" w:eastAsia="宋体" w:cs="Times New Roman"/>
                <w:color w:val="auto"/>
                <w:spacing w:val="0"/>
                <w:position w:val="0"/>
                <w:sz w:val="24"/>
                <w:szCs w:val="24"/>
                <w:highlight w:val="none"/>
                <w:u w:val="none" w:color="auto"/>
                <w:lang w:val="en-US" w:eastAsia="zh-CN"/>
              </w:rPr>
              <w:t>200mg/L、NH</w:t>
            </w:r>
            <w:r>
              <w:rPr>
                <w:rFonts w:hint="default" w:ascii="Times New Roman" w:hAnsi="Times New Roman" w:eastAsia="宋体" w:cs="Times New Roman"/>
                <w:color w:val="auto"/>
                <w:spacing w:val="0"/>
                <w:position w:val="0"/>
                <w:sz w:val="24"/>
                <w:szCs w:val="24"/>
                <w:highlight w:val="none"/>
                <w:u w:val="none" w:color="auto"/>
                <w:vertAlign w:val="subscript"/>
                <w:lang w:val="en-US" w:eastAsia="zh-CN"/>
              </w:rPr>
              <w:t>3</w:t>
            </w:r>
            <w:r>
              <w:rPr>
                <w:rFonts w:hint="default" w:ascii="Times New Roman" w:hAnsi="Times New Roman" w:eastAsia="宋体" w:cs="Times New Roman"/>
                <w:color w:val="auto"/>
                <w:spacing w:val="0"/>
                <w:position w:val="0"/>
                <w:sz w:val="24"/>
                <w:szCs w:val="24"/>
                <w:highlight w:val="none"/>
                <w:u w:val="none" w:color="auto"/>
                <w:lang w:val="en-US" w:eastAsia="zh-CN"/>
              </w:rPr>
              <w:t>-N</w:t>
            </w:r>
            <w:r>
              <w:rPr>
                <w:rFonts w:hint="eastAsia" w:ascii="Times New Roman" w:hAnsi="Times New Roman" w:eastAsia="宋体" w:cs="Times New Roman"/>
                <w:color w:val="auto"/>
                <w:spacing w:val="0"/>
                <w:position w:val="0"/>
                <w:sz w:val="24"/>
                <w:szCs w:val="24"/>
                <w:highlight w:val="none"/>
                <w:u w:val="none" w:color="auto"/>
                <w:lang w:val="en-US" w:eastAsia="zh-CN"/>
              </w:rPr>
              <w:t>：</w:t>
            </w:r>
            <w:r>
              <w:rPr>
                <w:rFonts w:hint="default" w:ascii="Times New Roman" w:hAnsi="Times New Roman" w:eastAsia="宋体" w:cs="Times New Roman"/>
                <w:color w:val="auto"/>
                <w:spacing w:val="0"/>
                <w:position w:val="0"/>
                <w:sz w:val="24"/>
                <w:szCs w:val="24"/>
                <w:highlight w:val="none"/>
                <w:u w:val="none" w:color="auto"/>
                <w:lang w:val="en-US" w:eastAsia="zh-CN"/>
              </w:rPr>
              <w:t>30mg/L、</w:t>
            </w:r>
            <w:r>
              <w:rPr>
                <w:rFonts w:hint="eastAsia" w:cs="Times New Roman"/>
                <w:color w:val="auto"/>
                <w:spacing w:val="0"/>
                <w:position w:val="0"/>
                <w:sz w:val="24"/>
                <w:szCs w:val="24"/>
                <w:highlight w:val="none"/>
                <w:u w:val="none" w:color="auto"/>
                <w:lang w:val="en-US" w:eastAsia="zh-CN"/>
              </w:rPr>
              <w:t>TP</w:t>
            </w:r>
            <w:r>
              <w:rPr>
                <w:rFonts w:hint="eastAsia" w:ascii="Times New Roman" w:hAnsi="Times New Roman" w:eastAsia="宋体" w:cs="Times New Roman"/>
                <w:color w:val="auto"/>
                <w:spacing w:val="0"/>
                <w:position w:val="0"/>
                <w:sz w:val="24"/>
                <w:szCs w:val="24"/>
                <w:highlight w:val="none"/>
                <w:u w:val="none" w:color="auto"/>
                <w:lang w:val="en-US" w:eastAsia="zh-CN"/>
              </w:rPr>
              <w:t>：3</w:t>
            </w:r>
            <w:r>
              <w:rPr>
                <w:rFonts w:hint="default" w:ascii="Times New Roman" w:hAnsi="Times New Roman" w:eastAsia="宋体" w:cs="Times New Roman"/>
                <w:color w:val="auto"/>
                <w:spacing w:val="0"/>
                <w:position w:val="0"/>
                <w:sz w:val="24"/>
                <w:szCs w:val="24"/>
                <w:highlight w:val="none"/>
                <w:u w:val="none" w:color="auto"/>
                <w:lang w:val="en-US" w:eastAsia="zh-CN"/>
              </w:rPr>
              <w:t>mg/L、</w:t>
            </w:r>
            <w:r>
              <w:rPr>
                <w:rFonts w:hint="eastAsia" w:ascii="Times New Roman" w:hAnsi="Times New Roman" w:eastAsia="宋体" w:cs="Times New Roman"/>
                <w:color w:val="auto"/>
                <w:spacing w:val="0"/>
                <w:position w:val="0"/>
                <w:sz w:val="24"/>
                <w:szCs w:val="24"/>
                <w:highlight w:val="none"/>
                <w:u w:val="none" w:color="auto"/>
                <w:lang w:val="en-US" w:eastAsia="zh-CN"/>
              </w:rPr>
              <w:t>TN：4</w:t>
            </w:r>
            <w:r>
              <w:rPr>
                <w:rFonts w:hint="default" w:ascii="Times New Roman" w:hAnsi="Times New Roman" w:eastAsia="宋体" w:cs="Times New Roman"/>
                <w:color w:val="auto"/>
                <w:spacing w:val="0"/>
                <w:position w:val="0"/>
                <w:sz w:val="24"/>
                <w:szCs w:val="24"/>
                <w:highlight w:val="none"/>
                <w:u w:val="none" w:color="auto"/>
                <w:lang w:val="en-US" w:eastAsia="zh-CN"/>
              </w:rPr>
              <w:t>0mg/L、SS</w:t>
            </w:r>
            <w:r>
              <w:rPr>
                <w:rFonts w:hint="eastAsia" w:ascii="Times New Roman" w:hAnsi="Times New Roman" w:eastAsia="宋体" w:cs="Times New Roman"/>
                <w:color w:val="auto"/>
                <w:spacing w:val="0"/>
                <w:position w:val="0"/>
                <w:sz w:val="24"/>
                <w:szCs w:val="24"/>
                <w:highlight w:val="none"/>
                <w:u w:val="none" w:color="auto"/>
                <w:lang w:val="en-US" w:eastAsia="zh-CN"/>
              </w:rPr>
              <w:t>：</w:t>
            </w:r>
            <w:r>
              <w:rPr>
                <w:rFonts w:hint="eastAsia" w:cs="Times New Roman"/>
                <w:color w:val="auto"/>
                <w:spacing w:val="0"/>
                <w:position w:val="0"/>
                <w:sz w:val="24"/>
                <w:szCs w:val="24"/>
                <w:highlight w:val="none"/>
                <w:u w:val="none" w:color="auto"/>
                <w:lang w:val="en-US" w:eastAsia="zh-CN"/>
              </w:rPr>
              <w:t>15</w:t>
            </w:r>
            <w:r>
              <w:rPr>
                <w:rFonts w:hint="default" w:ascii="Times New Roman" w:hAnsi="Times New Roman" w:eastAsia="宋体" w:cs="Times New Roman"/>
                <w:color w:val="auto"/>
                <w:spacing w:val="0"/>
                <w:position w:val="0"/>
                <w:sz w:val="24"/>
                <w:szCs w:val="24"/>
                <w:highlight w:val="none"/>
                <w:u w:val="none" w:color="auto"/>
                <w:lang w:val="en-US" w:eastAsia="zh-CN"/>
              </w:rPr>
              <w:t>0mg/L、动植物油</w:t>
            </w:r>
            <w:r>
              <w:rPr>
                <w:rFonts w:hint="eastAsia" w:ascii="Times New Roman" w:hAnsi="Times New Roman" w:eastAsia="宋体" w:cs="Times New Roman"/>
                <w:color w:val="auto"/>
                <w:spacing w:val="0"/>
                <w:position w:val="0"/>
                <w:sz w:val="24"/>
                <w:szCs w:val="24"/>
                <w:highlight w:val="none"/>
                <w:u w:val="none" w:color="auto"/>
                <w:lang w:val="en-US" w:eastAsia="zh-CN"/>
              </w:rPr>
              <w:t>：</w:t>
            </w:r>
            <w:r>
              <w:rPr>
                <w:rFonts w:hint="eastAsia" w:cs="Times New Roman"/>
                <w:color w:val="auto"/>
                <w:spacing w:val="0"/>
                <w:position w:val="0"/>
                <w:sz w:val="24"/>
                <w:szCs w:val="24"/>
                <w:highlight w:val="none"/>
                <w:u w:val="none" w:color="auto"/>
                <w:lang w:val="en-US" w:eastAsia="zh-CN"/>
              </w:rPr>
              <w:t>5</w:t>
            </w:r>
            <w:r>
              <w:rPr>
                <w:rFonts w:hint="default" w:ascii="Times New Roman" w:hAnsi="Times New Roman" w:eastAsia="宋体" w:cs="Times New Roman"/>
                <w:color w:val="auto"/>
                <w:spacing w:val="0"/>
                <w:position w:val="0"/>
                <w:sz w:val="24"/>
                <w:szCs w:val="24"/>
                <w:highlight w:val="none"/>
                <w:u w:val="none" w:color="auto"/>
                <w:lang w:val="en-US" w:eastAsia="zh-CN"/>
              </w:rPr>
              <w:t>0mg/L。</w:t>
            </w:r>
          </w:p>
          <w:p w14:paraId="58896608">
            <w:pPr>
              <w:keepNext w:val="0"/>
              <w:keepLines w:val="0"/>
              <w:pageBreakBefore w:val="0"/>
              <w:widowControl w:val="0"/>
              <w:numPr>
                <w:ilvl w:val="0"/>
                <w:numId w:val="0"/>
              </w:numPr>
              <w:suppressLineNumbers w:val="0"/>
              <w:tabs>
                <w:tab w:val="left" w:pos="1256"/>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pacing w:val="0"/>
                <w:position w:val="0"/>
                <w:sz w:val="24"/>
                <w:szCs w:val="24"/>
                <w:highlight w:val="none"/>
                <w:u w:val="none" w:color="auto"/>
                <w:lang w:val="en-US" w:eastAsia="zh-CN"/>
              </w:rPr>
            </w:pPr>
            <w:r>
              <w:rPr>
                <w:rFonts w:hint="default" w:ascii="Times New Roman" w:hAnsi="Times New Roman" w:eastAsia="宋体" w:cs="Times New Roman"/>
                <w:color w:val="auto"/>
                <w:spacing w:val="0"/>
                <w:position w:val="0"/>
                <w:sz w:val="24"/>
                <w:szCs w:val="24"/>
                <w:highlight w:val="none"/>
                <w:u w:val="none" w:color="auto"/>
                <w:lang w:val="en-US" w:eastAsia="zh-CN"/>
              </w:rPr>
              <w:t>本项目</w:t>
            </w:r>
            <w:r>
              <w:rPr>
                <w:rFonts w:hint="eastAsia" w:ascii="Times New Roman" w:hAnsi="Times New Roman" w:eastAsia="宋体" w:cs="Times New Roman"/>
                <w:color w:val="auto"/>
                <w:sz w:val="24"/>
                <w:szCs w:val="24"/>
                <w:lang w:val="en-US" w:eastAsia="zh-CN"/>
              </w:rPr>
              <w:t>生活污水经隔油化粪池处理后，通过现有厂区总排口</w:t>
            </w:r>
            <w:r>
              <w:rPr>
                <w:rFonts w:hint="default" w:ascii="Times New Roman" w:hAnsi="Times New Roman" w:eastAsia="宋体" w:cs="Times New Roman"/>
                <w:color w:val="auto"/>
                <w:spacing w:val="0"/>
                <w:position w:val="0"/>
                <w:sz w:val="24"/>
                <w:szCs w:val="24"/>
                <w:highlight w:val="none"/>
                <w:u w:val="none" w:color="auto"/>
                <w:lang w:val="en-US" w:eastAsia="zh-CN"/>
              </w:rPr>
              <w:t>（DW001）</w:t>
            </w:r>
            <w:r>
              <w:rPr>
                <w:rFonts w:hint="eastAsia" w:ascii="Times New Roman" w:hAnsi="Times New Roman" w:eastAsia="宋体" w:cs="Times New Roman"/>
                <w:color w:val="auto"/>
                <w:sz w:val="24"/>
                <w:szCs w:val="24"/>
                <w:lang w:val="en-US" w:eastAsia="zh-CN"/>
              </w:rPr>
              <w:t>进入市政污水管网，再进</w:t>
            </w:r>
            <w:r>
              <w:rPr>
                <w:rFonts w:hint="eastAsia"/>
                <w:color w:val="auto"/>
                <w:sz w:val="24"/>
                <w:szCs w:val="24"/>
                <w:u w:val="none"/>
              </w:rPr>
              <w:t>湖南城陵矶临港产业新区污水处理厂</w:t>
            </w:r>
            <w:r>
              <w:rPr>
                <w:rFonts w:hint="default"/>
                <w:color w:val="auto"/>
                <w:sz w:val="24"/>
                <w:szCs w:val="24"/>
                <w:u w:val="none"/>
              </w:rPr>
              <w:t>处理达《城镇污水处理厂污染物排放标准》（GB18918-2002）一级</w:t>
            </w:r>
            <w:r>
              <w:rPr>
                <w:rFonts w:hint="eastAsia"/>
                <w:color w:val="auto"/>
                <w:sz w:val="24"/>
                <w:szCs w:val="24"/>
                <w:u w:val="none"/>
                <w:lang w:val="en-US" w:eastAsia="zh-CN"/>
              </w:rPr>
              <w:t>A</w:t>
            </w:r>
            <w:r>
              <w:rPr>
                <w:rFonts w:hint="default"/>
                <w:color w:val="auto"/>
                <w:sz w:val="24"/>
                <w:szCs w:val="24"/>
                <w:u w:val="none"/>
              </w:rPr>
              <w:t>类标准</w:t>
            </w:r>
            <w:r>
              <w:rPr>
                <w:rFonts w:hint="eastAsia"/>
                <w:color w:val="auto"/>
                <w:sz w:val="24"/>
                <w:szCs w:val="24"/>
                <w:u w:val="none"/>
                <w:lang w:eastAsia="zh-CN"/>
              </w:rPr>
              <w:t>后外排</w:t>
            </w:r>
            <w:r>
              <w:rPr>
                <w:rFonts w:hint="default"/>
                <w:color w:val="auto"/>
                <w:sz w:val="24"/>
                <w:szCs w:val="24"/>
                <w:u w:val="none"/>
              </w:rPr>
              <w:t>。</w:t>
            </w:r>
            <w:r>
              <w:rPr>
                <w:rFonts w:hint="default" w:ascii="Times New Roman" w:hAnsi="Times New Roman" w:cs="Times New Roman"/>
                <w:color w:val="auto"/>
                <w:spacing w:val="0"/>
                <w:position w:val="0"/>
                <w:sz w:val="24"/>
                <w:szCs w:val="24"/>
                <w:highlight w:val="none"/>
                <w:u w:val="none" w:color="auto"/>
                <w:lang w:val="en-US" w:eastAsia="zh-CN"/>
              </w:rPr>
              <w:t>本项目新增生活污水中各污染物产排情况</w:t>
            </w:r>
            <w:r>
              <w:rPr>
                <w:rFonts w:hint="eastAsia" w:cs="Times New Roman"/>
                <w:color w:val="auto"/>
                <w:spacing w:val="0"/>
                <w:position w:val="0"/>
                <w:sz w:val="24"/>
                <w:szCs w:val="24"/>
                <w:highlight w:val="none"/>
                <w:u w:val="none" w:color="auto"/>
                <w:lang w:val="en-US" w:eastAsia="zh-CN"/>
              </w:rPr>
              <w:t>汇总</w:t>
            </w:r>
            <w:r>
              <w:rPr>
                <w:rFonts w:hint="default" w:ascii="Times New Roman" w:hAnsi="Times New Roman" w:cs="Times New Roman"/>
                <w:color w:val="auto"/>
                <w:spacing w:val="0"/>
                <w:position w:val="0"/>
                <w:sz w:val="24"/>
                <w:szCs w:val="24"/>
                <w:highlight w:val="none"/>
                <w:u w:val="none" w:color="auto"/>
                <w:lang w:val="en-US" w:eastAsia="zh-CN"/>
              </w:rPr>
              <w:t>见表4-</w:t>
            </w:r>
            <w:r>
              <w:rPr>
                <w:rFonts w:hint="eastAsia" w:cs="Times New Roman"/>
                <w:color w:val="auto"/>
                <w:spacing w:val="0"/>
                <w:position w:val="0"/>
                <w:sz w:val="24"/>
                <w:szCs w:val="24"/>
                <w:highlight w:val="none"/>
                <w:u w:val="none" w:color="auto"/>
                <w:lang w:val="en-US" w:eastAsia="zh-CN"/>
              </w:rPr>
              <w:t>8</w:t>
            </w:r>
            <w:r>
              <w:rPr>
                <w:rFonts w:hint="default" w:ascii="Times New Roman" w:hAnsi="Times New Roman" w:cs="Times New Roman"/>
                <w:color w:val="auto"/>
                <w:spacing w:val="0"/>
                <w:position w:val="0"/>
                <w:sz w:val="24"/>
                <w:szCs w:val="24"/>
                <w:highlight w:val="none"/>
                <w:u w:val="none" w:color="auto"/>
                <w:lang w:val="en-US" w:eastAsia="zh-CN"/>
              </w:rPr>
              <w:t>。</w:t>
            </w:r>
          </w:p>
          <w:p w14:paraId="7DFF3A44">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pacing w:val="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u w:val="none" w:color="auto"/>
                <w14:textFill>
                  <w14:solidFill>
                    <w14:schemeClr w14:val="tx1"/>
                  </w14:solidFill>
                </w14:textFill>
              </w:rPr>
              <w:t>表</w:t>
            </w:r>
            <w:r>
              <w:rPr>
                <w:rFonts w:hint="default" w:ascii="Times New Roman" w:hAnsi="Times New Roman" w:eastAsia="宋体" w:cs="Times New Roman"/>
                <w:b/>
                <w:bCs/>
                <w:color w:val="000000" w:themeColor="text1"/>
                <w:spacing w:val="0"/>
                <w:position w:val="0"/>
                <w:sz w:val="21"/>
                <w:szCs w:val="21"/>
                <w:highlight w:val="none"/>
                <w:u w:val="none" w:color="auto"/>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position w:val="0"/>
                <w:sz w:val="21"/>
                <w:szCs w:val="21"/>
                <w:highlight w:val="none"/>
                <w:u w:val="none" w:color="auto"/>
                <w:lang w:eastAsia="zh-CN"/>
                <w14:textFill>
                  <w14:solidFill>
                    <w14:schemeClr w14:val="tx1"/>
                  </w14:solidFill>
                </w14:textFill>
              </w:rPr>
              <w:t>-</w:t>
            </w:r>
            <w:r>
              <w:rPr>
                <w:rFonts w:hint="eastAsia" w:cs="Times New Roman"/>
                <w:b/>
                <w:bCs/>
                <w:color w:val="000000" w:themeColor="text1"/>
                <w:spacing w:val="0"/>
                <w:position w:val="0"/>
                <w:sz w:val="21"/>
                <w:szCs w:val="21"/>
                <w:highlight w:val="none"/>
                <w:u w:val="none" w:color="auto"/>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0"/>
                <w:position w:val="0"/>
                <w:sz w:val="21"/>
                <w:szCs w:val="21"/>
                <w:highlight w:val="none"/>
                <w:u w:val="none" w:color="auto"/>
                <w:lang w:val="en-US" w:eastAsia="zh-CN"/>
                <w14:textFill>
                  <w14:solidFill>
                    <w14:schemeClr w14:val="tx1"/>
                  </w14:solidFill>
                </w14:textFill>
              </w:rPr>
              <w:t xml:space="preserve">   本项目新增污水污染物产排情况</w:t>
            </w:r>
            <w:r>
              <w:rPr>
                <w:rFonts w:hint="eastAsia" w:cs="Times New Roman"/>
                <w:b/>
                <w:bCs/>
                <w:color w:val="000000" w:themeColor="text1"/>
                <w:spacing w:val="0"/>
                <w:position w:val="0"/>
                <w:sz w:val="21"/>
                <w:szCs w:val="21"/>
                <w:highlight w:val="none"/>
                <w:u w:val="none" w:color="auto"/>
                <w:lang w:val="en-US" w:eastAsia="zh-CN"/>
                <w14:textFill>
                  <w14:solidFill>
                    <w14:schemeClr w14:val="tx1"/>
                  </w14:solidFill>
                </w14:textFill>
              </w:rPr>
              <w:t>表</w:t>
            </w:r>
          </w:p>
          <w:tbl>
            <w:tblPr>
              <w:tblStyle w:val="37"/>
              <w:tblW w:w="86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736"/>
              <w:gridCol w:w="978"/>
              <w:gridCol w:w="739"/>
              <w:gridCol w:w="729"/>
              <w:gridCol w:w="711"/>
              <w:gridCol w:w="747"/>
              <w:gridCol w:w="720"/>
              <w:gridCol w:w="859"/>
              <w:gridCol w:w="739"/>
            </w:tblGrid>
            <w:tr w14:paraId="5C64D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6" w:type="dxa"/>
                  <w:tcBorders>
                    <w:tl2br w:val="nil"/>
                    <w:tr2bl w:val="nil"/>
                  </w:tcBorders>
                  <w:noWrap w:val="0"/>
                  <w:vAlign w:val="center"/>
                </w:tcPr>
                <w:p w14:paraId="38FCE71C">
                  <w:pPr>
                    <w:keepNext w:val="0"/>
                    <w:keepLines w:val="0"/>
                    <w:suppressLineNumbers w:val="0"/>
                    <w:adjustRightInd w:val="0"/>
                    <w:spacing w:before="0" w:beforeAutospacing="0" w:after="0" w:afterAutospacing="0"/>
                    <w:ind w:left="0" w:right="0"/>
                    <w:jc w:val="center"/>
                    <w:rPr>
                      <w:rFonts w:hint="eastAsia" w:eastAsia="宋体"/>
                      <w:b/>
                      <w:bCs/>
                      <w:color w:val="auto"/>
                      <w:szCs w:val="21"/>
                      <w:u w:val="none"/>
                      <w:lang w:eastAsia="zh-CN"/>
                    </w:rPr>
                  </w:pPr>
                  <w:r>
                    <w:rPr>
                      <w:rFonts w:hint="eastAsia"/>
                      <w:b/>
                      <w:bCs/>
                      <w:color w:val="auto"/>
                      <w:szCs w:val="21"/>
                      <w:u w:val="none"/>
                      <w:lang w:eastAsia="zh-CN"/>
                    </w:rPr>
                    <w:t>污水种类</w:t>
                  </w:r>
                </w:p>
              </w:tc>
              <w:tc>
                <w:tcPr>
                  <w:tcW w:w="1736" w:type="dxa"/>
                  <w:tcBorders>
                    <w:tl2br w:val="nil"/>
                    <w:tr2bl w:val="nil"/>
                  </w:tcBorders>
                  <w:noWrap w:val="0"/>
                  <w:vAlign w:val="center"/>
                </w:tcPr>
                <w:p w14:paraId="601B514B">
                  <w:pPr>
                    <w:keepNext w:val="0"/>
                    <w:keepLines w:val="0"/>
                    <w:suppressLineNumbers w:val="0"/>
                    <w:adjustRightInd w:val="0"/>
                    <w:spacing w:before="0" w:beforeAutospacing="0" w:after="0" w:afterAutospacing="0"/>
                    <w:ind w:left="0" w:right="0"/>
                    <w:jc w:val="center"/>
                    <w:rPr>
                      <w:rFonts w:hint="eastAsia"/>
                      <w:b/>
                      <w:bCs/>
                      <w:color w:val="auto"/>
                      <w:szCs w:val="21"/>
                      <w:u w:val="none"/>
                    </w:rPr>
                  </w:pPr>
                  <w:r>
                    <w:rPr>
                      <w:rFonts w:hint="eastAsia"/>
                      <w:b/>
                      <w:bCs/>
                      <w:color w:val="auto"/>
                      <w:szCs w:val="21"/>
                      <w:u w:val="none"/>
                    </w:rPr>
                    <w:t>污染物</w:t>
                  </w:r>
                </w:p>
              </w:tc>
              <w:tc>
                <w:tcPr>
                  <w:tcW w:w="978" w:type="dxa"/>
                  <w:tcBorders>
                    <w:tl2br w:val="nil"/>
                    <w:tr2bl w:val="nil"/>
                  </w:tcBorders>
                  <w:noWrap w:val="0"/>
                  <w:vAlign w:val="center"/>
                </w:tcPr>
                <w:p w14:paraId="208DCCE6">
                  <w:pPr>
                    <w:keepNext w:val="0"/>
                    <w:keepLines w:val="0"/>
                    <w:suppressLineNumbers w:val="0"/>
                    <w:adjustRightInd w:val="0"/>
                    <w:spacing w:before="0" w:beforeAutospacing="0" w:after="0" w:afterAutospacing="0"/>
                    <w:ind w:left="0" w:right="0"/>
                    <w:jc w:val="center"/>
                    <w:rPr>
                      <w:rFonts w:hint="default"/>
                      <w:b/>
                      <w:bCs/>
                      <w:color w:val="auto"/>
                      <w:szCs w:val="21"/>
                      <w:u w:val="none"/>
                    </w:rPr>
                  </w:pPr>
                  <w:r>
                    <w:rPr>
                      <w:rFonts w:hint="eastAsia"/>
                      <w:b/>
                      <w:bCs/>
                      <w:color w:val="auto"/>
                      <w:szCs w:val="21"/>
                      <w:u w:val="none"/>
                    </w:rPr>
                    <w:t>废水量</w:t>
                  </w:r>
                </w:p>
              </w:tc>
              <w:tc>
                <w:tcPr>
                  <w:tcW w:w="739" w:type="dxa"/>
                  <w:tcBorders>
                    <w:tl2br w:val="nil"/>
                    <w:tr2bl w:val="nil"/>
                  </w:tcBorders>
                  <w:noWrap w:val="0"/>
                  <w:vAlign w:val="center"/>
                </w:tcPr>
                <w:p w14:paraId="7A062AE6">
                  <w:pPr>
                    <w:keepNext w:val="0"/>
                    <w:keepLines w:val="0"/>
                    <w:suppressLineNumbers w:val="0"/>
                    <w:adjustRightInd w:val="0"/>
                    <w:spacing w:before="0" w:beforeAutospacing="0" w:after="0" w:afterAutospacing="0"/>
                    <w:ind w:left="0" w:right="0"/>
                    <w:jc w:val="center"/>
                    <w:rPr>
                      <w:rFonts w:hint="default"/>
                      <w:b/>
                      <w:bCs/>
                      <w:color w:val="auto"/>
                      <w:szCs w:val="21"/>
                      <w:u w:val="none"/>
                    </w:rPr>
                  </w:pPr>
                  <w:r>
                    <w:rPr>
                      <w:rFonts w:hint="eastAsia"/>
                      <w:b/>
                      <w:bCs/>
                      <w:color w:val="auto"/>
                      <w:szCs w:val="21"/>
                      <w:u w:val="none"/>
                    </w:rPr>
                    <w:t>COD</w:t>
                  </w:r>
                </w:p>
              </w:tc>
              <w:tc>
                <w:tcPr>
                  <w:tcW w:w="729" w:type="dxa"/>
                  <w:tcBorders>
                    <w:tl2br w:val="nil"/>
                    <w:tr2bl w:val="nil"/>
                  </w:tcBorders>
                  <w:noWrap w:val="0"/>
                  <w:vAlign w:val="center"/>
                </w:tcPr>
                <w:p w14:paraId="2E517502">
                  <w:pPr>
                    <w:keepNext w:val="0"/>
                    <w:keepLines w:val="0"/>
                    <w:suppressLineNumbers w:val="0"/>
                    <w:adjustRightInd w:val="0"/>
                    <w:spacing w:before="0" w:beforeAutospacing="0" w:after="0" w:afterAutospacing="0"/>
                    <w:ind w:left="0" w:right="-325" w:rightChars="-155"/>
                    <w:jc w:val="both"/>
                    <w:rPr>
                      <w:rFonts w:hint="default"/>
                      <w:b/>
                      <w:bCs/>
                      <w:color w:val="auto"/>
                      <w:szCs w:val="21"/>
                      <w:u w:val="none"/>
                    </w:rPr>
                  </w:pPr>
                  <w:r>
                    <w:rPr>
                      <w:rFonts w:hint="eastAsia"/>
                      <w:b/>
                      <w:bCs/>
                      <w:color w:val="auto"/>
                      <w:szCs w:val="21"/>
                      <w:u w:val="none"/>
                    </w:rPr>
                    <w:t>BOD</w:t>
                  </w:r>
                  <w:r>
                    <w:rPr>
                      <w:rFonts w:hint="eastAsia"/>
                      <w:b/>
                      <w:bCs/>
                      <w:color w:val="auto"/>
                      <w:szCs w:val="21"/>
                      <w:u w:val="none"/>
                      <w:vertAlign w:val="subscript"/>
                    </w:rPr>
                    <w:t>5</w:t>
                  </w:r>
                </w:p>
              </w:tc>
              <w:tc>
                <w:tcPr>
                  <w:tcW w:w="711" w:type="dxa"/>
                  <w:tcBorders>
                    <w:tl2br w:val="nil"/>
                    <w:tr2bl w:val="nil"/>
                  </w:tcBorders>
                  <w:noWrap w:val="0"/>
                  <w:vAlign w:val="center"/>
                </w:tcPr>
                <w:p w14:paraId="628D0D12">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b/>
                      <w:bCs/>
                      <w:color w:val="auto"/>
                      <w:szCs w:val="21"/>
                      <w:u w:val="none"/>
                    </w:rPr>
                  </w:pPr>
                  <w:r>
                    <w:rPr>
                      <w:rFonts w:hint="eastAsia" w:ascii="Times New Roman" w:hAnsi="Times New Roman" w:eastAsia="宋体" w:cs="Times New Roman"/>
                      <w:b/>
                      <w:bCs/>
                      <w:color w:val="auto"/>
                      <w:szCs w:val="21"/>
                      <w:u w:val="none"/>
                    </w:rPr>
                    <w:t>SS</w:t>
                  </w:r>
                </w:p>
              </w:tc>
              <w:tc>
                <w:tcPr>
                  <w:tcW w:w="747" w:type="dxa"/>
                  <w:tcBorders>
                    <w:tl2br w:val="nil"/>
                    <w:tr2bl w:val="nil"/>
                  </w:tcBorders>
                  <w:noWrap w:val="0"/>
                  <w:vAlign w:val="center"/>
                </w:tcPr>
                <w:p w14:paraId="65EDED43">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b/>
                      <w:bCs/>
                      <w:color w:val="auto"/>
                      <w:szCs w:val="21"/>
                      <w:u w:val="none"/>
                    </w:rPr>
                  </w:pPr>
                  <w:r>
                    <w:rPr>
                      <w:rFonts w:hint="eastAsia" w:ascii="Times New Roman" w:hAnsi="Times New Roman" w:eastAsia="宋体" w:cs="Times New Roman"/>
                      <w:b/>
                      <w:bCs/>
                      <w:color w:val="auto"/>
                      <w:szCs w:val="21"/>
                      <w:u w:val="none"/>
                    </w:rPr>
                    <w:t>氨氮</w:t>
                  </w:r>
                </w:p>
              </w:tc>
              <w:tc>
                <w:tcPr>
                  <w:tcW w:w="720" w:type="dxa"/>
                  <w:tcBorders>
                    <w:tl2br w:val="nil"/>
                    <w:tr2bl w:val="nil"/>
                  </w:tcBorders>
                  <w:noWrap w:val="0"/>
                  <w:vAlign w:val="center"/>
                </w:tcPr>
                <w:p w14:paraId="14379319">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Cs w:val="21"/>
                      <w:u w:val="none"/>
                      <w:lang w:val="en-US" w:eastAsia="zh-CN"/>
                    </w:rPr>
                  </w:pPr>
                  <w:r>
                    <w:rPr>
                      <w:rFonts w:hint="eastAsia" w:ascii="Times New Roman" w:hAnsi="Times New Roman" w:eastAsia="宋体" w:cs="Times New Roman"/>
                      <w:b/>
                      <w:bCs/>
                      <w:color w:val="auto"/>
                      <w:szCs w:val="21"/>
                      <w:u w:val="none"/>
                      <w:lang w:val="en-US" w:eastAsia="zh-CN"/>
                    </w:rPr>
                    <w:t>TN</w:t>
                  </w:r>
                </w:p>
              </w:tc>
              <w:tc>
                <w:tcPr>
                  <w:tcW w:w="859" w:type="dxa"/>
                  <w:tcBorders>
                    <w:tl2br w:val="nil"/>
                    <w:tr2bl w:val="nil"/>
                  </w:tcBorders>
                  <w:noWrap w:val="0"/>
                  <w:vAlign w:val="center"/>
                </w:tcPr>
                <w:p w14:paraId="576B88B8">
                  <w:pPr>
                    <w:keepNext w:val="0"/>
                    <w:keepLines w:val="0"/>
                    <w:suppressLineNumbers w:val="0"/>
                    <w:adjustRightInd w:val="0"/>
                    <w:spacing w:before="0" w:beforeAutospacing="0" w:after="0" w:afterAutospacing="0"/>
                    <w:ind w:left="0" w:right="0"/>
                    <w:jc w:val="center"/>
                    <w:rPr>
                      <w:rFonts w:hint="default" w:ascii="Times New Roman" w:hAnsi="Times New Roman" w:eastAsia="宋体" w:cs="Times New Roman"/>
                      <w:b/>
                      <w:bCs/>
                      <w:color w:val="auto"/>
                      <w:szCs w:val="21"/>
                      <w:u w:val="none"/>
                      <w:lang w:val="en-US" w:eastAsia="zh-CN"/>
                    </w:rPr>
                  </w:pPr>
                  <w:r>
                    <w:rPr>
                      <w:rFonts w:hint="eastAsia" w:ascii="Times New Roman" w:hAnsi="Times New Roman" w:eastAsia="宋体" w:cs="Times New Roman"/>
                      <w:b/>
                      <w:bCs/>
                      <w:color w:val="auto"/>
                      <w:szCs w:val="21"/>
                      <w:u w:val="none"/>
                      <w:lang w:val="en-US" w:eastAsia="zh-CN"/>
                    </w:rPr>
                    <w:t>TP</w:t>
                  </w:r>
                </w:p>
              </w:tc>
              <w:tc>
                <w:tcPr>
                  <w:tcW w:w="739" w:type="dxa"/>
                  <w:tcBorders>
                    <w:tl2br w:val="nil"/>
                    <w:tr2bl w:val="nil"/>
                  </w:tcBorders>
                  <w:noWrap w:val="0"/>
                  <w:vAlign w:val="center"/>
                </w:tcPr>
                <w:p w14:paraId="28BAE5D1">
                  <w:pPr>
                    <w:keepNext w:val="0"/>
                    <w:keepLines w:val="0"/>
                    <w:suppressLineNumbers w:val="0"/>
                    <w:adjustRightInd w:val="0"/>
                    <w:spacing w:before="0" w:beforeAutospacing="0" w:after="0" w:afterAutospacing="0"/>
                    <w:ind w:left="0" w:right="0"/>
                    <w:jc w:val="center"/>
                    <w:rPr>
                      <w:rFonts w:hint="eastAsia" w:ascii="Times New Roman" w:hAnsi="Times New Roman" w:eastAsia="宋体" w:cs="Times New Roman"/>
                      <w:b/>
                      <w:bCs/>
                      <w:color w:val="auto"/>
                      <w:szCs w:val="21"/>
                      <w:u w:val="none"/>
                      <w:lang w:eastAsia="zh-CN"/>
                    </w:rPr>
                  </w:pPr>
                  <w:r>
                    <w:rPr>
                      <w:rFonts w:hint="eastAsia" w:ascii="Times New Roman" w:hAnsi="Times New Roman" w:eastAsia="宋体" w:cs="Times New Roman"/>
                      <w:b/>
                      <w:bCs/>
                      <w:color w:val="auto"/>
                      <w:szCs w:val="21"/>
                      <w:u w:val="none"/>
                      <w:lang w:eastAsia="zh-CN"/>
                    </w:rPr>
                    <w:t>动植物油</w:t>
                  </w:r>
                </w:p>
              </w:tc>
            </w:tr>
            <w:tr w14:paraId="07763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restart"/>
                  <w:tcBorders>
                    <w:tl2br w:val="nil"/>
                    <w:tr2bl w:val="nil"/>
                  </w:tcBorders>
                  <w:noWrap w:val="0"/>
                  <w:vAlign w:val="center"/>
                </w:tcPr>
                <w:p w14:paraId="51D9D083">
                  <w:pPr>
                    <w:keepNext w:val="0"/>
                    <w:keepLines w:val="0"/>
                    <w:suppressLineNumbers w:val="0"/>
                    <w:adjustRightInd w:val="0"/>
                    <w:spacing w:before="0" w:beforeAutospacing="0" w:after="0" w:afterAutospacing="0"/>
                    <w:ind w:left="0" w:right="0"/>
                    <w:jc w:val="center"/>
                    <w:rPr>
                      <w:rFonts w:hint="eastAsia"/>
                      <w:color w:val="auto"/>
                      <w:szCs w:val="21"/>
                      <w:u w:val="none"/>
                    </w:rPr>
                  </w:pPr>
                  <w:r>
                    <w:rPr>
                      <w:rFonts w:hint="eastAsia"/>
                      <w:color w:val="auto"/>
                      <w:szCs w:val="21"/>
                      <w:u w:val="none"/>
                    </w:rPr>
                    <w:t>生活污水</w:t>
                  </w:r>
                </w:p>
              </w:tc>
              <w:tc>
                <w:tcPr>
                  <w:tcW w:w="1736" w:type="dxa"/>
                  <w:tcBorders>
                    <w:tl2br w:val="nil"/>
                    <w:tr2bl w:val="nil"/>
                  </w:tcBorders>
                  <w:noWrap w:val="0"/>
                  <w:vAlign w:val="center"/>
                </w:tcPr>
                <w:p w14:paraId="096EC532">
                  <w:pPr>
                    <w:keepNext w:val="0"/>
                    <w:keepLines w:val="0"/>
                    <w:suppressLineNumbers w:val="0"/>
                    <w:adjustRightInd w:val="0"/>
                    <w:spacing w:before="0" w:beforeAutospacing="0" w:after="0" w:afterAutospacing="0"/>
                    <w:ind w:left="0" w:right="0"/>
                    <w:jc w:val="center"/>
                    <w:rPr>
                      <w:rFonts w:hint="eastAsia"/>
                      <w:color w:val="auto"/>
                      <w:szCs w:val="21"/>
                      <w:u w:val="none"/>
                    </w:rPr>
                  </w:pPr>
                  <w:r>
                    <w:rPr>
                      <w:rFonts w:hint="eastAsia"/>
                      <w:color w:val="auto"/>
                      <w:szCs w:val="21"/>
                      <w:u w:val="none"/>
                    </w:rPr>
                    <w:t>污染物产生</w:t>
                  </w:r>
                  <w:r>
                    <w:rPr>
                      <w:rFonts w:hint="eastAsia"/>
                      <w:color w:val="auto"/>
                      <w:szCs w:val="21"/>
                      <w:u w:val="none"/>
                      <w:lang w:eastAsia="zh-CN"/>
                    </w:rPr>
                    <w:t>浓度（</w:t>
                  </w:r>
                  <w:r>
                    <w:rPr>
                      <w:rFonts w:hint="eastAsia"/>
                      <w:color w:val="auto"/>
                      <w:szCs w:val="21"/>
                      <w:u w:val="none"/>
                      <w:lang w:val="en-US" w:eastAsia="zh-CN"/>
                    </w:rPr>
                    <w:t>mg/L）</w:t>
                  </w:r>
                </w:p>
              </w:tc>
              <w:tc>
                <w:tcPr>
                  <w:tcW w:w="978" w:type="dxa"/>
                  <w:vMerge w:val="restart"/>
                  <w:tcBorders>
                    <w:tl2br w:val="nil"/>
                    <w:tr2bl w:val="nil"/>
                  </w:tcBorders>
                  <w:noWrap w:val="0"/>
                  <w:vAlign w:val="center"/>
                </w:tcPr>
                <w:p w14:paraId="172FF55A">
                  <w:pPr>
                    <w:keepNext w:val="0"/>
                    <w:keepLines w:val="0"/>
                    <w:suppressLineNumbers w:val="0"/>
                    <w:spacing w:before="0" w:beforeAutospacing="0" w:after="0" w:afterAutospacing="0"/>
                    <w:ind w:left="0" w:right="0"/>
                    <w:jc w:val="center"/>
                    <w:rPr>
                      <w:rFonts w:hint="default" w:eastAsia="宋体"/>
                      <w:color w:val="auto"/>
                      <w:szCs w:val="21"/>
                      <w:u w:val="none"/>
                      <w:lang w:val="en-US" w:eastAsia="zh-CN"/>
                    </w:rPr>
                  </w:pPr>
                  <w:r>
                    <w:rPr>
                      <w:rFonts w:hint="eastAsia"/>
                      <w:color w:val="auto"/>
                      <w:szCs w:val="21"/>
                      <w:u w:val="none"/>
                      <w:lang w:val="en-US" w:eastAsia="zh-CN"/>
                    </w:rPr>
                    <w:t>140m</w:t>
                  </w:r>
                  <w:r>
                    <w:rPr>
                      <w:rFonts w:hint="eastAsia"/>
                      <w:color w:val="auto"/>
                      <w:szCs w:val="21"/>
                      <w:u w:val="none"/>
                      <w:vertAlign w:val="superscript"/>
                      <w:lang w:val="en-US" w:eastAsia="zh-CN"/>
                    </w:rPr>
                    <w:t>3</w:t>
                  </w:r>
                  <w:r>
                    <w:rPr>
                      <w:rFonts w:hint="eastAsia"/>
                      <w:color w:val="auto"/>
                      <w:szCs w:val="21"/>
                      <w:u w:val="none"/>
                      <w:lang w:val="en-US" w:eastAsia="zh-CN"/>
                    </w:rPr>
                    <w:t>/a</w:t>
                  </w:r>
                </w:p>
              </w:tc>
              <w:tc>
                <w:tcPr>
                  <w:tcW w:w="739" w:type="dxa"/>
                  <w:tcBorders>
                    <w:tl2br w:val="nil"/>
                    <w:tr2bl w:val="nil"/>
                  </w:tcBorders>
                  <w:noWrap w:val="0"/>
                  <w:vAlign w:val="center"/>
                </w:tcPr>
                <w:p w14:paraId="56BA2B2D">
                  <w:pPr>
                    <w:keepNext w:val="0"/>
                    <w:keepLines w:val="0"/>
                    <w:widowControl/>
                    <w:suppressLineNumbers w:val="0"/>
                    <w:spacing w:before="0" w:beforeAutospacing="0" w:after="0" w:afterAutospacing="0"/>
                    <w:ind w:left="0" w:right="0"/>
                    <w:jc w:val="center"/>
                    <w:textAlignment w:val="center"/>
                    <w:rPr>
                      <w:rFonts w:hint="default" w:eastAsia="宋体"/>
                      <w:color w:val="auto"/>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729" w:type="dxa"/>
                  <w:tcBorders>
                    <w:tl2br w:val="nil"/>
                    <w:tr2bl w:val="nil"/>
                  </w:tcBorders>
                  <w:noWrap w:val="0"/>
                  <w:vAlign w:val="center"/>
                </w:tcPr>
                <w:p w14:paraId="5356F820">
                  <w:pPr>
                    <w:keepNext w:val="0"/>
                    <w:keepLines w:val="0"/>
                    <w:widowControl/>
                    <w:suppressLineNumbers w:val="0"/>
                    <w:spacing w:before="0" w:beforeAutospacing="0" w:after="0" w:afterAutospacing="0"/>
                    <w:ind w:left="0" w:right="0"/>
                    <w:jc w:val="center"/>
                    <w:textAlignment w:val="center"/>
                    <w:rPr>
                      <w:rFonts w:hint="default" w:eastAsia="宋体"/>
                      <w:color w:val="auto"/>
                      <w:kern w:val="0"/>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11" w:type="dxa"/>
                  <w:tcBorders>
                    <w:tl2br w:val="nil"/>
                    <w:tr2bl w:val="nil"/>
                  </w:tcBorders>
                  <w:noWrap w:val="0"/>
                  <w:vAlign w:val="center"/>
                </w:tcPr>
                <w:p w14:paraId="7354939B">
                  <w:pPr>
                    <w:keepNext w:val="0"/>
                    <w:keepLines w:val="0"/>
                    <w:widowControl/>
                    <w:suppressLineNumbers w:val="0"/>
                    <w:spacing w:before="0" w:beforeAutospacing="0" w:after="0" w:afterAutospacing="0"/>
                    <w:ind w:left="0" w:right="0"/>
                    <w:jc w:val="center"/>
                    <w:textAlignment w:val="center"/>
                    <w:rPr>
                      <w:rFonts w:hint="default" w:eastAsia="宋体"/>
                      <w:color w:val="auto"/>
                      <w:kern w:val="0"/>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47" w:type="dxa"/>
                  <w:tcBorders>
                    <w:tl2br w:val="nil"/>
                    <w:tr2bl w:val="nil"/>
                  </w:tcBorders>
                  <w:noWrap w:val="0"/>
                  <w:vAlign w:val="center"/>
                </w:tcPr>
                <w:p w14:paraId="7F2FBFD3">
                  <w:pPr>
                    <w:keepNext w:val="0"/>
                    <w:keepLines w:val="0"/>
                    <w:widowControl/>
                    <w:suppressLineNumbers w:val="0"/>
                    <w:spacing w:before="0" w:beforeAutospacing="0" w:after="0" w:afterAutospacing="0"/>
                    <w:ind w:left="0" w:right="0"/>
                    <w:jc w:val="center"/>
                    <w:textAlignment w:val="center"/>
                    <w:rPr>
                      <w:rFonts w:hint="default" w:eastAsia="宋体"/>
                      <w:color w:val="auto"/>
                      <w:kern w:val="0"/>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20" w:type="dxa"/>
                  <w:tcBorders>
                    <w:tl2br w:val="nil"/>
                    <w:tr2bl w:val="nil"/>
                  </w:tcBorders>
                  <w:noWrap w:val="0"/>
                  <w:vAlign w:val="center"/>
                </w:tcPr>
                <w:p w14:paraId="13D77292">
                  <w:pPr>
                    <w:keepNext w:val="0"/>
                    <w:keepLines w:val="0"/>
                    <w:widowControl/>
                    <w:suppressLineNumbers w:val="0"/>
                    <w:spacing w:before="0" w:beforeAutospacing="0" w:after="0" w:afterAutospacing="0"/>
                    <w:ind w:left="0" w:right="0"/>
                    <w:jc w:val="center"/>
                    <w:textAlignment w:val="center"/>
                    <w:rPr>
                      <w:rFonts w:hint="default"/>
                      <w:color w:val="auto"/>
                      <w:kern w:val="0"/>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859" w:type="dxa"/>
                  <w:tcBorders>
                    <w:tl2br w:val="nil"/>
                    <w:tr2bl w:val="nil"/>
                  </w:tcBorders>
                  <w:noWrap w:val="0"/>
                  <w:vAlign w:val="center"/>
                </w:tcPr>
                <w:p w14:paraId="5CD30B11">
                  <w:pPr>
                    <w:keepNext w:val="0"/>
                    <w:keepLines w:val="0"/>
                    <w:widowControl/>
                    <w:suppressLineNumbers w:val="0"/>
                    <w:spacing w:before="0" w:beforeAutospacing="0" w:after="0" w:afterAutospacing="0"/>
                    <w:ind w:left="0" w:right="0"/>
                    <w:jc w:val="center"/>
                    <w:textAlignment w:val="center"/>
                    <w:rPr>
                      <w:rFonts w:hint="default"/>
                      <w:color w:val="auto"/>
                      <w:kern w:val="0"/>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9" w:type="dxa"/>
                  <w:tcBorders>
                    <w:tl2br w:val="nil"/>
                    <w:tr2bl w:val="nil"/>
                  </w:tcBorders>
                  <w:noWrap w:val="0"/>
                  <w:vAlign w:val="center"/>
                </w:tcPr>
                <w:p w14:paraId="125EEB82">
                  <w:pPr>
                    <w:keepNext w:val="0"/>
                    <w:keepLines w:val="0"/>
                    <w:widowControl/>
                    <w:suppressLineNumbers w:val="0"/>
                    <w:spacing w:before="0" w:beforeAutospacing="0" w:after="0" w:afterAutospacing="0"/>
                    <w:ind w:left="0" w:right="0"/>
                    <w:jc w:val="center"/>
                    <w:textAlignment w:val="center"/>
                    <w:rPr>
                      <w:rFonts w:hint="default"/>
                      <w:color w:val="auto"/>
                      <w:kern w:val="0"/>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r>
            <w:tr w14:paraId="6F7B1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tcBorders>
                    <w:tl2br w:val="nil"/>
                    <w:tr2bl w:val="nil"/>
                  </w:tcBorders>
                  <w:noWrap w:val="0"/>
                  <w:vAlign w:val="center"/>
                </w:tcPr>
                <w:p w14:paraId="3CB54CF3">
                  <w:pPr>
                    <w:keepNext w:val="0"/>
                    <w:keepLines w:val="0"/>
                    <w:suppressLineNumbers w:val="0"/>
                    <w:adjustRightInd w:val="0"/>
                    <w:spacing w:before="0" w:beforeAutospacing="0" w:after="0" w:afterAutospacing="0"/>
                    <w:ind w:left="0" w:right="0"/>
                    <w:jc w:val="center"/>
                    <w:rPr>
                      <w:rFonts w:hint="default"/>
                      <w:color w:val="auto"/>
                      <w:szCs w:val="21"/>
                      <w:u w:val="none"/>
                      <w:lang w:val="en-US"/>
                    </w:rPr>
                  </w:pPr>
                </w:p>
              </w:tc>
              <w:tc>
                <w:tcPr>
                  <w:tcW w:w="1736" w:type="dxa"/>
                  <w:tcBorders>
                    <w:tl2br w:val="nil"/>
                    <w:tr2bl w:val="nil"/>
                  </w:tcBorders>
                  <w:noWrap w:val="0"/>
                  <w:vAlign w:val="center"/>
                </w:tcPr>
                <w:p w14:paraId="0C60422A">
                  <w:pPr>
                    <w:keepNext w:val="0"/>
                    <w:keepLines w:val="0"/>
                    <w:suppressLineNumbers w:val="0"/>
                    <w:adjustRightInd w:val="0"/>
                    <w:spacing w:before="0" w:beforeAutospacing="0" w:after="0" w:afterAutospacing="0"/>
                    <w:ind w:left="0" w:right="0"/>
                    <w:jc w:val="center"/>
                    <w:rPr>
                      <w:rFonts w:hint="eastAsia"/>
                      <w:color w:val="auto"/>
                      <w:szCs w:val="21"/>
                      <w:u w:val="none"/>
                      <w:lang w:eastAsia="zh-CN"/>
                    </w:rPr>
                  </w:pPr>
                  <w:r>
                    <w:rPr>
                      <w:rFonts w:hint="eastAsia"/>
                      <w:color w:val="auto"/>
                      <w:szCs w:val="21"/>
                      <w:u w:val="none"/>
                      <w:lang w:eastAsia="zh-CN"/>
                    </w:rPr>
                    <w:t>污染物产生量（</w:t>
                  </w:r>
                  <w:r>
                    <w:rPr>
                      <w:rFonts w:hint="eastAsia"/>
                      <w:color w:val="auto"/>
                      <w:szCs w:val="21"/>
                      <w:u w:val="none"/>
                      <w:lang w:val="en-US" w:eastAsia="zh-CN"/>
                    </w:rPr>
                    <w:t>t/a）</w:t>
                  </w:r>
                </w:p>
              </w:tc>
              <w:tc>
                <w:tcPr>
                  <w:tcW w:w="978" w:type="dxa"/>
                  <w:vMerge w:val="continue"/>
                  <w:tcBorders>
                    <w:tl2br w:val="nil"/>
                    <w:tr2bl w:val="nil"/>
                  </w:tcBorders>
                  <w:noWrap w:val="0"/>
                  <w:vAlign w:val="center"/>
                </w:tcPr>
                <w:p w14:paraId="121821E3">
                  <w:pPr>
                    <w:keepNext w:val="0"/>
                    <w:keepLines w:val="0"/>
                    <w:suppressLineNumbers w:val="0"/>
                    <w:spacing w:before="0" w:beforeAutospacing="0" w:after="0" w:afterAutospacing="0"/>
                    <w:ind w:left="0" w:right="0"/>
                    <w:jc w:val="center"/>
                    <w:rPr>
                      <w:rFonts w:hint="eastAsia"/>
                      <w:color w:val="auto"/>
                      <w:szCs w:val="21"/>
                      <w:u w:val="none"/>
                      <w:lang w:val="en-US" w:eastAsia="zh-CN"/>
                    </w:rPr>
                  </w:pPr>
                </w:p>
              </w:tc>
              <w:tc>
                <w:tcPr>
                  <w:tcW w:w="739" w:type="dxa"/>
                  <w:tcBorders>
                    <w:tl2br w:val="nil"/>
                    <w:tr2bl w:val="nil"/>
                  </w:tcBorders>
                  <w:noWrap w:val="0"/>
                  <w:vAlign w:val="center"/>
                </w:tcPr>
                <w:p w14:paraId="0C6B19AD">
                  <w:pPr>
                    <w:keepNext w:val="0"/>
                    <w:keepLines w:val="0"/>
                    <w:widowControl/>
                    <w:suppressLineNumbers w:val="0"/>
                    <w:spacing w:before="0" w:beforeAutospacing="0" w:after="0" w:afterAutospacing="0"/>
                    <w:ind w:left="0" w:right="0"/>
                    <w:jc w:val="center"/>
                    <w:textAlignment w:val="center"/>
                    <w:rPr>
                      <w:rFonts w:hint="default"/>
                      <w:color w:val="auto"/>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0.049 </w:t>
                  </w:r>
                </w:p>
              </w:tc>
              <w:tc>
                <w:tcPr>
                  <w:tcW w:w="729" w:type="dxa"/>
                  <w:tcBorders>
                    <w:tl2br w:val="nil"/>
                    <w:tr2bl w:val="nil"/>
                  </w:tcBorders>
                  <w:noWrap w:val="0"/>
                  <w:vAlign w:val="center"/>
                </w:tcPr>
                <w:p w14:paraId="720E3979">
                  <w:pPr>
                    <w:keepNext w:val="0"/>
                    <w:keepLines w:val="0"/>
                    <w:widowControl/>
                    <w:suppressLineNumbers w:val="0"/>
                    <w:spacing w:before="0" w:beforeAutospacing="0" w:after="0" w:afterAutospacing="0"/>
                    <w:ind w:left="0" w:right="0"/>
                    <w:jc w:val="center"/>
                    <w:textAlignment w:val="center"/>
                    <w:rPr>
                      <w:rFonts w:hint="default"/>
                      <w:color w:val="auto"/>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0.028 </w:t>
                  </w:r>
                </w:p>
              </w:tc>
              <w:tc>
                <w:tcPr>
                  <w:tcW w:w="711" w:type="dxa"/>
                  <w:tcBorders>
                    <w:tl2br w:val="nil"/>
                    <w:tr2bl w:val="nil"/>
                  </w:tcBorders>
                  <w:noWrap w:val="0"/>
                  <w:vAlign w:val="center"/>
                </w:tcPr>
                <w:p w14:paraId="47A31D57">
                  <w:pPr>
                    <w:keepNext w:val="0"/>
                    <w:keepLines w:val="0"/>
                    <w:widowControl/>
                    <w:suppressLineNumbers w:val="0"/>
                    <w:spacing w:before="0" w:beforeAutospacing="0" w:after="0" w:afterAutospacing="0"/>
                    <w:ind w:left="0" w:right="0"/>
                    <w:jc w:val="center"/>
                    <w:textAlignment w:val="center"/>
                    <w:rPr>
                      <w:rFonts w:hint="default"/>
                      <w:color w:val="auto"/>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0.021 </w:t>
                  </w:r>
                </w:p>
              </w:tc>
              <w:tc>
                <w:tcPr>
                  <w:tcW w:w="747" w:type="dxa"/>
                  <w:tcBorders>
                    <w:tl2br w:val="nil"/>
                    <w:tr2bl w:val="nil"/>
                  </w:tcBorders>
                  <w:noWrap w:val="0"/>
                  <w:vAlign w:val="center"/>
                </w:tcPr>
                <w:p w14:paraId="0035F9D1">
                  <w:pPr>
                    <w:keepNext w:val="0"/>
                    <w:keepLines w:val="0"/>
                    <w:widowControl/>
                    <w:suppressLineNumbers w:val="0"/>
                    <w:spacing w:before="0" w:beforeAutospacing="0" w:after="0" w:afterAutospacing="0"/>
                    <w:ind w:left="0" w:right="0"/>
                    <w:jc w:val="center"/>
                    <w:textAlignment w:val="center"/>
                    <w:rPr>
                      <w:rFonts w:hint="default"/>
                      <w:color w:val="auto"/>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c>
                <w:tcPr>
                  <w:tcW w:w="720" w:type="dxa"/>
                  <w:tcBorders>
                    <w:tl2br w:val="nil"/>
                    <w:tr2bl w:val="nil"/>
                  </w:tcBorders>
                  <w:noWrap w:val="0"/>
                  <w:vAlign w:val="center"/>
                </w:tcPr>
                <w:p w14:paraId="0AC06C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0.006 </w:t>
                  </w:r>
                </w:p>
              </w:tc>
              <w:tc>
                <w:tcPr>
                  <w:tcW w:w="859" w:type="dxa"/>
                  <w:tcBorders>
                    <w:tl2br w:val="nil"/>
                    <w:tr2bl w:val="nil"/>
                  </w:tcBorders>
                  <w:noWrap w:val="0"/>
                  <w:vAlign w:val="center"/>
                </w:tcPr>
                <w:p w14:paraId="51A5A9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0.0004 </w:t>
                  </w:r>
                </w:p>
              </w:tc>
              <w:tc>
                <w:tcPr>
                  <w:tcW w:w="739" w:type="dxa"/>
                  <w:tcBorders>
                    <w:tl2br w:val="nil"/>
                    <w:tr2bl w:val="nil"/>
                  </w:tcBorders>
                  <w:noWrap w:val="0"/>
                  <w:vAlign w:val="center"/>
                </w:tcPr>
                <w:p w14:paraId="1A4F2FE7">
                  <w:pPr>
                    <w:keepNext w:val="0"/>
                    <w:keepLines w:val="0"/>
                    <w:widowControl/>
                    <w:suppressLineNumbers w:val="0"/>
                    <w:spacing w:before="0" w:beforeAutospacing="0" w:after="0" w:afterAutospacing="0"/>
                    <w:ind w:left="0" w:right="0"/>
                    <w:jc w:val="center"/>
                    <w:textAlignment w:val="center"/>
                    <w:rPr>
                      <w:rFonts w:hint="default"/>
                      <w:color w:val="auto"/>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0.007 </w:t>
                  </w:r>
                </w:p>
              </w:tc>
            </w:tr>
            <w:tr w14:paraId="45CE7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tcBorders>
                    <w:tl2br w:val="nil"/>
                    <w:tr2bl w:val="nil"/>
                  </w:tcBorders>
                  <w:noWrap w:val="0"/>
                  <w:vAlign w:val="center"/>
                </w:tcPr>
                <w:p w14:paraId="0C0031C3">
                  <w:pPr>
                    <w:keepNext w:val="0"/>
                    <w:keepLines w:val="0"/>
                    <w:suppressLineNumbers w:val="0"/>
                    <w:adjustRightInd w:val="0"/>
                    <w:spacing w:before="0" w:beforeAutospacing="0" w:after="0" w:afterAutospacing="0"/>
                    <w:ind w:left="0" w:right="0"/>
                    <w:jc w:val="center"/>
                    <w:rPr>
                      <w:rFonts w:hint="default" w:eastAsia="宋体"/>
                      <w:color w:val="auto"/>
                      <w:szCs w:val="21"/>
                      <w:u w:val="none"/>
                      <w:lang w:val="en-US" w:eastAsia="zh-CN"/>
                    </w:rPr>
                  </w:pPr>
                </w:p>
              </w:tc>
              <w:tc>
                <w:tcPr>
                  <w:tcW w:w="1736" w:type="dxa"/>
                  <w:tcBorders>
                    <w:tl2br w:val="nil"/>
                    <w:tr2bl w:val="nil"/>
                  </w:tcBorders>
                  <w:noWrap w:val="0"/>
                  <w:vAlign w:val="center"/>
                </w:tcPr>
                <w:p w14:paraId="1B1FEEC8">
                  <w:pPr>
                    <w:keepNext w:val="0"/>
                    <w:keepLines w:val="0"/>
                    <w:suppressLineNumbers w:val="0"/>
                    <w:adjustRightInd w:val="0"/>
                    <w:spacing w:before="0" w:beforeAutospacing="0" w:after="0" w:afterAutospacing="0"/>
                    <w:ind w:left="0" w:right="0"/>
                    <w:jc w:val="center"/>
                    <w:rPr>
                      <w:rFonts w:hint="eastAsia"/>
                      <w:color w:val="auto"/>
                      <w:szCs w:val="21"/>
                      <w:u w:val="none"/>
                      <w:lang w:eastAsia="zh-CN"/>
                    </w:rPr>
                  </w:pPr>
                  <w:r>
                    <w:rPr>
                      <w:rFonts w:hint="eastAsia"/>
                      <w:color w:val="auto"/>
                      <w:szCs w:val="21"/>
                      <w:u w:val="none"/>
                      <w:lang w:eastAsia="zh-CN"/>
                    </w:rPr>
                    <w:t>污水预处理设施</w:t>
                  </w:r>
                </w:p>
              </w:tc>
              <w:tc>
                <w:tcPr>
                  <w:tcW w:w="6222" w:type="dxa"/>
                  <w:gridSpan w:val="8"/>
                  <w:tcBorders>
                    <w:tl2br w:val="nil"/>
                    <w:tr2bl w:val="nil"/>
                  </w:tcBorders>
                  <w:noWrap w:val="0"/>
                  <w:vAlign w:val="center"/>
                </w:tcPr>
                <w:p w14:paraId="63194DD2">
                  <w:pPr>
                    <w:keepNext w:val="0"/>
                    <w:keepLines w:val="0"/>
                    <w:suppressLineNumbers w:val="0"/>
                    <w:spacing w:before="0" w:beforeAutospacing="0" w:after="0" w:afterAutospacing="0"/>
                    <w:ind w:left="0" w:right="0"/>
                    <w:jc w:val="center"/>
                    <w:rPr>
                      <w:rFonts w:hint="eastAsia"/>
                      <w:color w:val="auto"/>
                      <w:szCs w:val="21"/>
                      <w:u w:val="none"/>
                      <w:lang w:val="en-US" w:eastAsia="zh-CN"/>
                    </w:rPr>
                  </w:pPr>
                  <w:r>
                    <w:rPr>
                      <w:rFonts w:hint="eastAsia"/>
                      <w:color w:val="auto"/>
                      <w:szCs w:val="21"/>
                      <w:u w:val="none"/>
                      <w:lang w:val="en-US" w:eastAsia="zh-CN"/>
                    </w:rPr>
                    <w:t>隔油池、化粪池</w:t>
                  </w:r>
                </w:p>
              </w:tc>
            </w:tr>
            <w:tr w14:paraId="13043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tcBorders>
                    <w:tl2br w:val="nil"/>
                    <w:tr2bl w:val="nil"/>
                  </w:tcBorders>
                  <w:noWrap w:val="0"/>
                  <w:vAlign w:val="center"/>
                </w:tcPr>
                <w:p w14:paraId="63D0F6C6">
                  <w:pPr>
                    <w:keepNext w:val="0"/>
                    <w:keepLines w:val="0"/>
                    <w:suppressLineNumbers w:val="0"/>
                    <w:adjustRightInd w:val="0"/>
                    <w:spacing w:before="0" w:beforeAutospacing="0" w:after="0" w:afterAutospacing="0"/>
                    <w:ind w:left="0" w:right="0"/>
                    <w:jc w:val="center"/>
                    <w:rPr>
                      <w:rFonts w:hint="default" w:eastAsia="宋体"/>
                      <w:color w:val="auto"/>
                      <w:szCs w:val="21"/>
                      <w:u w:val="none"/>
                      <w:lang w:val="en-US" w:eastAsia="zh-CN"/>
                    </w:rPr>
                  </w:pPr>
                </w:p>
              </w:tc>
              <w:tc>
                <w:tcPr>
                  <w:tcW w:w="1736" w:type="dxa"/>
                  <w:tcBorders>
                    <w:tl2br w:val="nil"/>
                    <w:tr2bl w:val="nil"/>
                  </w:tcBorders>
                  <w:noWrap w:val="0"/>
                  <w:vAlign w:val="center"/>
                </w:tcPr>
                <w:p w14:paraId="51D7BC1C">
                  <w:pPr>
                    <w:keepNext w:val="0"/>
                    <w:keepLines w:val="0"/>
                    <w:suppressLineNumbers w:val="0"/>
                    <w:adjustRightInd w:val="0"/>
                    <w:spacing w:before="0" w:beforeAutospacing="0" w:after="0" w:afterAutospacing="0"/>
                    <w:ind w:left="0" w:right="0"/>
                    <w:jc w:val="center"/>
                    <w:rPr>
                      <w:rFonts w:hint="eastAsia"/>
                      <w:color w:val="auto"/>
                      <w:szCs w:val="21"/>
                      <w:u w:val="none"/>
                      <w:lang w:eastAsia="zh-CN"/>
                    </w:rPr>
                  </w:pPr>
                  <w:r>
                    <w:rPr>
                      <w:rFonts w:hint="eastAsia"/>
                      <w:color w:val="auto"/>
                      <w:szCs w:val="21"/>
                      <w:u w:val="none"/>
                      <w:lang w:eastAsia="zh-CN"/>
                    </w:rPr>
                    <w:t>处理效率（</w:t>
                  </w:r>
                  <w:r>
                    <w:rPr>
                      <w:rFonts w:hint="eastAsia"/>
                      <w:color w:val="auto"/>
                      <w:szCs w:val="21"/>
                      <w:u w:val="none"/>
                      <w:lang w:val="en-US" w:eastAsia="zh-CN"/>
                    </w:rPr>
                    <w:t>%</w:t>
                  </w:r>
                  <w:r>
                    <w:rPr>
                      <w:rFonts w:hint="eastAsia"/>
                      <w:color w:val="auto"/>
                      <w:szCs w:val="21"/>
                      <w:u w:val="none"/>
                      <w:lang w:eastAsia="zh-CN"/>
                    </w:rPr>
                    <w:t>）</w:t>
                  </w:r>
                </w:p>
              </w:tc>
              <w:tc>
                <w:tcPr>
                  <w:tcW w:w="978" w:type="dxa"/>
                  <w:tcBorders>
                    <w:tl2br w:val="nil"/>
                    <w:tr2bl w:val="nil"/>
                  </w:tcBorders>
                  <w:noWrap w:val="0"/>
                  <w:vAlign w:val="center"/>
                </w:tcPr>
                <w:p w14:paraId="09D0A4E8">
                  <w:pPr>
                    <w:keepNext w:val="0"/>
                    <w:keepLines w:val="0"/>
                    <w:suppressLineNumbers w:val="0"/>
                    <w:spacing w:before="0" w:beforeAutospacing="0" w:after="0" w:afterAutospacing="0"/>
                    <w:ind w:left="0" w:right="0"/>
                    <w:jc w:val="center"/>
                    <w:rPr>
                      <w:rFonts w:hint="default"/>
                      <w:color w:val="auto"/>
                      <w:szCs w:val="21"/>
                      <w:u w:val="none"/>
                      <w:lang w:val="en-US" w:eastAsia="zh-CN"/>
                    </w:rPr>
                  </w:pPr>
                  <w:r>
                    <w:rPr>
                      <w:rFonts w:hint="eastAsia"/>
                      <w:color w:val="auto"/>
                      <w:szCs w:val="21"/>
                      <w:u w:val="none"/>
                      <w:lang w:val="en-US" w:eastAsia="zh-CN"/>
                    </w:rPr>
                    <w:t>/</w:t>
                  </w:r>
                </w:p>
              </w:tc>
              <w:tc>
                <w:tcPr>
                  <w:tcW w:w="739" w:type="dxa"/>
                  <w:tcBorders>
                    <w:tl2br w:val="nil"/>
                    <w:tr2bl w:val="nil"/>
                  </w:tcBorders>
                  <w:noWrap w:val="0"/>
                  <w:vAlign w:val="center"/>
                </w:tcPr>
                <w:p w14:paraId="3B5BBB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29" w:type="dxa"/>
                  <w:tcBorders>
                    <w:tl2br w:val="nil"/>
                    <w:tr2bl w:val="nil"/>
                  </w:tcBorders>
                  <w:noWrap w:val="0"/>
                  <w:vAlign w:val="center"/>
                </w:tcPr>
                <w:p w14:paraId="39A29C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11" w:type="dxa"/>
                  <w:tcBorders>
                    <w:tl2br w:val="nil"/>
                    <w:tr2bl w:val="nil"/>
                  </w:tcBorders>
                  <w:noWrap w:val="0"/>
                  <w:vAlign w:val="center"/>
                </w:tcPr>
                <w:p w14:paraId="0B0B31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47" w:type="dxa"/>
                  <w:tcBorders>
                    <w:tl2br w:val="nil"/>
                    <w:tr2bl w:val="nil"/>
                  </w:tcBorders>
                  <w:noWrap w:val="0"/>
                  <w:vAlign w:val="center"/>
                </w:tcPr>
                <w:p w14:paraId="2A8535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20" w:type="dxa"/>
                  <w:tcBorders>
                    <w:tl2br w:val="nil"/>
                    <w:tr2bl w:val="nil"/>
                  </w:tcBorders>
                  <w:noWrap w:val="0"/>
                  <w:vAlign w:val="center"/>
                </w:tcPr>
                <w:p w14:paraId="3B3F5E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59" w:type="dxa"/>
                  <w:tcBorders>
                    <w:tl2br w:val="nil"/>
                    <w:tr2bl w:val="nil"/>
                  </w:tcBorders>
                  <w:noWrap w:val="0"/>
                  <w:vAlign w:val="center"/>
                </w:tcPr>
                <w:p w14:paraId="218593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39" w:type="dxa"/>
                  <w:tcBorders>
                    <w:tl2br w:val="nil"/>
                    <w:tr2bl w:val="nil"/>
                  </w:tcBorders>
                  <w:noWrap w:val="0"/>
                  <w:vAlign w:val="center"/>
                </w:tcPr>
                <w:p w14:paraId="60BBA8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r>
            <w:tr w14:paraId="3A5D3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tcBorders>
                    <w:tl2br w:val="nil"/>
                    <w:tr2bl w:val="nil"/>
                  </w:tcBorders>
                  <w:noWrap w:val="0"/>
                  <w:vAlign w:val="center"/>
                </w:tcPr>
                <w:p w14:paraId="5CF88F1E">
                  <w:pPr>
                    <w:keepNext w:val="0"/>
                    <w:keepLines w:val="0"/>
                    <w:suppressLineNumbers w:val="0"/>
                    <w:adjustRightInd w:val="0"/>
                    <w:spacing w:before="0" w:beforeAutospacing="0" w:after="0" w:afterAutospacing="0"/>
                    <w:ind w:left="0" w:right="0"/>
                    <w:jc w:val="center"/>
                    <w:rPr>
                      <w:rFonts w:hint="default"/>
                      <w:b/>
                      <w:color w:val="auto"/>
                      <w:szCs w:val="21"/>
                      <w:u w:val="none"/>
                    </w:rPr>
                  </w:pPr>
                </w:p>
              </w:tc>
              <w:tc>
                <w:tcPr>
                  <w:tcW w:w="1736" w:type="dxa"/>
                  <w:tcBorders>
                    <w:tl2br w:val="nil"/>
                    <w:tr2bl w:val="nil"/>
                  </w:tcBorders>
                  <w:noWrap w:val="0"/>
                  <w:vAlign w:val="center"/>
                </w:tcPr>
                <w:p w14:paraId="2DE8FFE7">
                  <w:pPr>
                    <w:keepNext w:val="0"/>
                    <w:keepLines w:val="0"/>
                    <w:suppressLineNumbers w:val="0"/>
                    <w:adjustRightInd w:val="0"/>
                    <w:spacing w:before="0" w:beforeAutospacing="0" w:after="0" w:afterAutospacing="0"/>
                    <w:ind w:left="0" w:right="0"/>
                    <w:jc w:val="center"/>
                    <w:rPr>
                      <w:rFonts w:hint="eastAsia"/>
                      <w:color w:val="auto"/>
                      <w:szCs w:val="21"/>
                      <w:u w:val="none"/>
                    </w:rPr>
                  </w:pPr>
                  <w:r>
                    <w:rPr>
                      <w:rFonts w:hint="eastAsia"/>
                      <w:color w:val="auto"/>
                      <w:szCs w:val="21"/>
                      <w:u w:val="none"/>
                    </w:rPr>
                    <w:t>污染物</w:t>
                  </w:r>
                  <w:r>
                    <w:rPr>
                      <w:rFonts w:hint="eastAsia"/>
                      <w:color w:val="auto"/>
                      <w:szCs w:val="21"/>
                      <w:u w:val="none"/>
                      <w:lang w:eastAsia="zh-CN"/>
                    </w:rPr>
                    <w:t>排放浓度（</w:t>
                  </w:r>
                  <w:r>
                    <w:rPr>
                      <w:rFonts w:hint="eastAsia"/>
                      <w:color w:val="auto"/>
                      <w:szCs w:val="21"/>
                      <w:u w:val="none"/>
                      <w:lang w:val="en-US" w:eastAsia="zh-CN"/>
                    </w:rPr>
                    <w:t>mg/L）</w:t>
                  </w:r>
                </w:p>
              </w:tc>
              <w:tc>
                <w:tcPr>
                  <w:tcW w:w="978" w:type="dxa"/>
                  <w:vMerge w:val="restart"/>
                  <w:tcBorders>
                    <w:tl2br w:val="nil"/>
                    <w:tr2bl w:val="nil"/>
                  </w:tcBorders>
                  <w:noWrap w:val="0"/>
                  <w:vAlign w:val="center"/>
                </w:tcPr>
                <w:p w14:paraId="076E1991">
                  <w:pPr>
                    <w:keepNext w:val="0"/>
                    <w:keepLines w:val="0"/>
                    <w:suppressLineNumbers w:val="0"/>
                    <w:spacing w:before="0" w:beforeAutospacing="0" w:after="0" w:afterAutospacing="0"/>
                    <w:ind w:left="0" w:right="0"/>
                    <w:jc w:val="center"/>
                    <w:rPr>
                      <w:rFonts w:hint="default"/>
                      <w:color w:val="auto"/>
                      <w:szCs w:val="21"/>
                      <w:u w:val="none"/>
                      <w:lang w:val="en-US" w:eastAsia="zh-CN"/>
                    </w:rPr>
                  </w:pPr>
                  <w:r>
                    <w:rPr>
                      <w:rFonts w:hint="eastAsia"/>
                      <w:color w:val="auto"/>
                      <w:szCs w:val="21"/>
                      <w:u w:val="none"/>
                      <w:lang w:val="en-US" w:eastAsia="zh-CN"/>
                    </w:rPr>
                    <w:t>140m</w:t>
                  </w:r>
                  <w:r>
                    <w:rPr>
                      <w:rFonts w:hint="eastAsia"/>
                      <w:color w:val="auto"/>
                      <w:szCs w:val="21"/>
                      <w:u w:val="none"/>
                      <w:vertAlign w:val="superscript"/>
                      <w:lang w:val="en-US" w:eastAsia="zh-CN"/>
                    </w:rPr>
                    <w:t>3</w:t>
                  </w:r>
                  <w:r>
                    <w:rPr>
                      <w:rFonts w:hint="eastAsia"/>
                      <w:color w:val="auto"/>
                      <w:szCs w:val="21"/>
                      <w:u w:val="none"/>
                      <w:lang w:val="en-US" w:eastAsia="zh-CN"/>
                    </w:rPr>
                    <w:t>/a</w:t>
                  </w:r>
                </w:p>
              </w:tc>
              <w:tc>
                <w:tcPr>
                  <w:tcW w:w="739" w:type="dxa"/>
                  <w:tcBorders>
                    <w:tl2br w:val="nil"/>
                    <w:tr2bl w:val="nil"/>
                  </w:tcBorders>
                  <w:noWrap w:val="0"/>
                  <w:vAlign w:val="center"/>
                </w:tcPr>
                <w:p w14:paraId="35F39E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729" w:type="dxa"/>
                  <w:tcBorders>
                    <w:tl2br w:val="nil"/>
                    <w:tr2bl w:val="nil"/>
                  </w:tcBorders>
                  <w:noWrap w:val="0"/>
                  <w:vAlign w:val="center"/>
                </w:tcPr>
                <w:p w14:paraId="663E6F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711" w:type="dxa"/>
                  <w:tcBorders>
                    <w:tl2br w:val="nil"/>
                    <w:tr2bl w:val="nil"/>
                  </w:tcBorders>
                  <w:noWrap w:val="0"/>
                  <w:vAlign w:val="center"/>
                </w:tcPr>
                <w:p w14:paraId="28E88C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747" w:type="dxa"/>
                  <w:tcBorders>
                    <w:tl2br w:val="nil"/>
                    <w:tr2bl w:val="nil"/>
                  </w:tcBorders>
                  <w:noWrap w:val="0"/>
                  <w:vAlign w:val="center"/>
                </w:tcPr>
                <w:p w14:paraId="6C962A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20" w:type="dxa"/>
                  <w:tcBorders>
                    <w:tl2br w:val="nil"/>
                    <w:tr2bl w:val="nil"/>
                  </w:tcBorders>
                  <w:noWrap w:val="0"/>
                  <w:vAlign w:val="center"/>
                </w:tcPr>
                <w:p w14:paraId="68181E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38.8</w:t>
                  </w:r>
                </w:p>
              </w:tc>
              <w:tc>
                <w:tcPr>
                  <w:tcW w:w="859" w:type="dxa"/>
                  <w:tcBorders>
                    <w:tl2br w:val="nil"/>
                    <w:tr2bl w:val="nil"/>
                  </w:tcBorders>
                  <w:noWrap w:val="0"/>
                  <w:vAlign w:val="center"/>
                </w:tcPr>
                <w:p w14:paraId="53BFA0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39" w:type="dxa"/>
                  <w:tcBorders>
                    <w:tl2br w:val="nil"/>
                    <w:tr2bl w:val="nil"/>
                  </w:tcBorders>
                  <w:noWrap w:val="0"/>
                  <w:vAlign w:val="center"/>
                </w:tcPr>
                <w:p w14:paraId="69B106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r>
            <w:tr w14:paraId="1CE8B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dxa"/>
                  <w:vMerge w:val="continue"/>
                  <w:tcBorders>
                    <w:tl2br w:val="nil"/>
                    <w:tr2bl w:val="nil"/>
                  </w:tcBorders>
                  <w:noWrap w:val="0"/>
                  <w:vAlign w:val="center"/>
                </w:tcPr>
                <w:p w14:paraId="03EFA00C">
                  <w:pPr>
                    <w:keepNext w:val="0"/>
                    <w:keepLines w:val="0"/>
                    <w:suppressLineNumbers w:val="0"/>
                    <w:adjustRightInd w:val="0"/>
                    <w:spacing w:before="0" w:beforeAutospacing="0" w:after="0" w:afterAutospacing="0"/>
                    <w:ind w:left="0" w:right="0"/>
                    <w:jc w:val="center"/>
                    <w:rPr>
                      <w:rFonts w:hint="eastAsia"/>
                      <w:color w:val="auto"/>
                      <w:szCs w:val="21"/>
                      <w:u w:val="none"/>
                    </w:rPr>
                  </w:pPr>
                </w:p>
              </w:tc>
              <w:tc>
                <w:tcPr>
                  <w:tcW w:w="1736" w:type="dxa"/>
                  <w:tcBorders>
                    <w:tl2br w:val="nil"/>
                    <w:tr2bl w:val="nil"/>
                  </w:tcBorders>
                  <w:noWrap w:val="0"/>
                  <w:vAlign w:val="center"/>
                </w:tcPr>
                <w:p w14:paraId="757F1082">
                  <w:pPr>
                    <w:keepNext w:val="0"/>
                    <w:keepLines w:val="0"/>
                    <w:suppressLineNumbers w:val="0"/>
                    <w:adjustRightInd w:val="0"/>
                    <w:spacing w:before="0" w:beforeAutospacing="0" w:after="0" w:afterAutospacing="0"/>
                    <w:ind w:left="0" w:right="0"/>
                    <w:jc w:val="center"/>
                    <w:rPr>
                      <w:rFonts w:hint="eastAsia"/>
                      <w:color w:val="auto"/>
                      <w:szCs w:val="21"/>
                      <w:u w:val="none"/>
                    </w:rPr>
                  </w:pPr>
                  <w:r>
                    <w:rPr>
                      <w:rFonts w:hint="eastAsia"/>
                      <w:color w:val="auto"/>
                      <w:szCs w:val="21"/>
                      <w:u w:val="none"/>
                    </w:rPr>
                    <w:t>污染物</w:t>
                  </w:r>
                  <w:r>
                    <w:rPr>
                      <w:rFonts w:hint="eastAsia"/>
                      <w:color w:val="auto"/>
                      <w:szCs w:val="21"/>
                      <w:u w:val="none"/>
                      <w:lang w:eastAsia="zh-CN"/>
                    </w:rPr>
                    <w:t>排放</w:t>
                  </w:r>
                  <w:r>
                    <w:rPr>
                      <w:rFonts w:hint="eastAsia"/>
                      <w:color w:val="auto"/>
                      <w:szCs w:val="21"/>
                      <w:u w:val="none"/>
                    </w:rPr>
                    <w:t>量</w:t>
                  </w:r>
                  <w:r>
                    <w:rPr>
                      <w:rFonts w:hint="eastAsia"/>
                      <w:color w:val="auto"/>
                      <w:szCs w:val="21"/>
                      <w:u w:val="none"/>
                      <w:lang w:eastAsia="zh-CN"/>
                    </w:rPr>
                    <w:t>（</w:t>
                  </w:r>
                  <w:r>
                    <w:rPr>
                      <w:rFonts w:hint="eastAsia"/>
                      <w:color w:val="auto"/>
                      <w:szCs w:val="21"/>
                      <w:u w:val="none"/>
                      <w:lang w:val="en-US" w:eastAsia="zh-CN"/>
                    </w:rPr>
                    <w:t>t/a）</w:t>
                  </w:r>
                </w:p>
              </w:tc>
              <w:tc>
                <w:tcPr>
                  <w:tcW w:w="978" w:type="dxa"/>
                  <w:vMerge w:val="continue"/>
                  <w:tcBorders>
                    <w:tl2br w:val="nil"/>
                    <w:tr2bl w:val="nil"/>
                  </w:tcBorders>
                  <w:noWrap w:val="0"/>
                  <w:vAlign w:val="center"/>
                </w:tcPr>
                <w:p w14:paraId="31A8935C">
                  <w:pPr>
                    <w:keepNext w:val="0"/>
                    <w:keepLines w:val="0"/>
                    <w:suppressLineNumbers w:val="0"/>
                    <w:spacing w:before="0" w:beforeAutospacing="0" w:after="0" w:afterAutospacing="0"/>
                    <w:ind w:left="0" w:right="0"/>
                    <w:jc w:val="center"/>
                    <w:rPr>
                      <w:rFonts w:hint="eastAsia"/>
                      <w:color w:val="auto"/>
                      <w:szCs w:val="21"/>
                      <w:u w:val="none"/>
                      <w:lang w:val="en-US" w:eastAsia="zh-CN"/>
                    </w:rPr>
                  </w:pPr>
                </w:p>
              </w:tc>
              <w:tc>
                <w:tcPr>
                  <w:tcW w:w="739" w:type="dxa"/>
                  <w:tcBorders>
                    <w:tl2br w:val="nil"/>
                    <w:tr2bl w:val="nil"/>
                  </w:tcBorders>
                  <w:noWrap w:val="0"/>
                  <w:vAlign w:val="center"/>
                </w:tcPr>
                <w:p w14:paraId="19D9BD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0.039 </w:t>
                  </w:r>
                </w:p>
              </w:tc>
              <w:tc>
                <w:tcPr>
                  <w:tcW w:w="729" w:type="dxa"/>
                  <w:tcBorders>
                    <w:tl2br w:val="nil"/>
                    <w:tr2bl w:val="nil"/>
                  </w:tcBorders>
                  <w:noWrap w:val="0"/>
                  <w:vAlign w:val="center"/>
                </w:tcPr>
                <w:p w14:paraId="38F46D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0.025 </w:t>
                  </w:r>
                </w:p>
              </w:tc>
              <w:tc>
                <w:tcPr>
                  <w:tcW w:w="711" w:type="dxa"/>
                  <w:tcBorders>
                    <w:tl2br w:val="nil"/>
                    <w:tr2bl w:val="nil"/>
                  </w:tcBorders>
                  <w:noWrap w:val="0"/>
                  <w:vAlign w:val="center"/>
                </w:tcPr>
                <w:p w14:paraId="43E2BF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0.015 </w:t>
                  </w:r>
                </w:p>
              </w:tc>
              <w:tc>
                <w:tcPr>
                  <w:tcW w:w="747" w:type="dxa"/>
                  <w:tcBorders>
                    <w:tl2br w:val="nil"/>
                    <w:tr2bl w:val="nil"/>
                  </w:tcBorders>
                  <w:noWrap w:val="0"/>
                  <w:vAlign w:val="center"/>
                </w:tcPr>
                <w:p w14:paraId="20ACAB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c>
                <w:tcPr>
                  <w:tcW w:w="720" w:type="dxa"/>
                  <w:tcBorders>
                    <w:tl2br w:val="nil"/>
                    <w:tr2bl w:val="nil"/>
                  </w:tcBorders>
                  <w:noWrap w:val="0"/>
                  <w:vAlign w:val="center"/>
                </w:tcPr>
                <w:p w14:paraId="4AAD5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0.005 </w:t>
                  </w:r>
                </w:p>
              </w:tc>
              <w:tc>
                <w:tcPr>
                  <w:tcW w:w="859" w:type="dxa"/>
                  <w:tcBorders>
                    <w:tl2br w:val="nil"/>
                    <w:tr2bl w:val="nil"/>
                  </w:tcBorders>
                  <w:noWrap w:val="0"/>
                  <w:vAlign w:val="center"/>
                </w:tcPr>
                <w:p w14:paraId="1A8BF8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0.0004 </w:t>
                  </w:r>
                </w:p>
              </w:tc>
              <w:tc>
                <w:tcPr>
                  <w:tcW w:w="739" w:type="dxa"/>
                  <w:tcBorders>
                    <w:tl2br w:val="nil"/>
                    <w:tr2bl w:val="nil"/>
                  </w:tcBorders>
                  <w:noWrap w:val="0"/>
                  <w:vAlign w:val="center"/>
                </w:tcPr>
                <w:p w14:paraId="5A0622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0.003 </w:t>
                  </w:r>
                </w:p>
              </w:tc>
            </w:tr>
            <w:tr w14:paraId="36FB3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2" w:type="dxa"/>
                  <w:gridSpan w:val="2"/>
                  <w:tcBorders>
                    <w:tl2br w:val="nil"/>
                    <w:tr2bl w:val="nil"/>
                  </w:tcBorders>
                  <w:noWrap w:val="0"/>
                  <w:vAlign w:val="center"/>
                </w:tcPr>
                <w:p w14:paraId="4B50813B">
                  <w:pPr>
                    <w:keepNext w:val="0"/>
                    <w:keepLines w:val="0"/>
                    <w:suppressLineNumbers w:val="0"/>
                    <w:adjustRightInd w:val="0"/>
                    <w:spacing w:before="0" w:beforeAutospacing="0" w:after="0" w:afterAutospacing="0"/>
                    <w:ind w:left="0" w:right="0"/>
                    <w:jc w:val="center"/>
                    <w:rPr>
                      <w:rFonts w:hint="default" w:eastAsia="宋体"/>
                      <w:color w:val="auto"/>
                      <w:szCs w:val="21"/>
                      <w:u w:val="none"/>
                      <w:lang w:val="en-US" w:eastAsia="zh-CN"/>
                    </w:rPr>
                  </w:pPr>
                  <w:r>
                    <w:rPr>
                      <w:rFonts w:hint="eastAsia"/>
                      <w:color w:val="auto"/>
                      <w:szCs w:val="21"/>
                      <w:u w:val="none"/>
                      <w:lang w:val="en-US" w:eastAsia="zh-CN"/>
                    </w:rPr>
                    <w:t>本项目出厂量</w:t>
                  </w:r>
                </w:p>
              </w:tc>
              <w:tc>
                <w:tcPr>
                  <w:tcW w:w="978" w:type="dxa"/>
                  <w:tcBorders>
                    <w:tl2br w:val="nil"/>
                    <w:tr2bl w:val="nil"/>
                  </w:tcBorders>
                  <w:noWrap w:val="0"/>
                  <w:vAlign w:val="center"/>
                </w:tcPr>
                <w:p w14:paraId="5EF19606">
                  <w:pPr>
                    <w:keepNext w:val="0"/>
                    <w:keepLines w:val="0"/>
                    <w:suppressLineNumbers w:val="0"/>
                    <w:spacing w:before="0" w:beforeAutospacing="0" w:after="0" w:afterAutospacing="0"/>
                    <w:ind w:left="0" w:right="0"/>
                    <w:jc w:val="center"/>
                    <w:rPr>
                      <w:rFonts w:hint="default"/>
                      <w:color w:val="auto"/>
                      <w:szCs w:val="21"/>
                      <w:u w:val="none"/>
                      <w:lang w:val="en-US" w:eastAsia="zh-CN"/>
                    </w:rPr>
                  </w:pPr>
                  <w:r>
                    <w:rPr>
                      <w:rFonts w:hint="eastAsia"/>
                      <w:color w:val="auto"/>
                      <w:szCs w:val="21"/>
                      <w:u w:val="none"/>
                      <w:lang w:val="en-US" w:eastAsia="zh-CN"/>
                    </w:rPr>
                    <w:t>140m</w:t>
                  </w:r>
                  <w:r>
                    <w:rPr>
                      <w:rFonts w:hint="eastAsia"/>
                      <w:color w:val="auto"/>
                      <w:szCs w:val="21"/>
                      <w:u w:val="none"/>
                      <w:vertAlign w:val="superscript"/>
                      <w:lang w:val="en-US" w:eastAsia="zh-CN"/>
                    </w:rPr>
                    <w:t>3</w:t>
                  </w:r>
                  <w:r>
                    <w:rPr>
                      <w:rFonts w:hint="eastAsia"/>
                      <w:color w:val="auto"/>
                      <w:szCs w:val="21"/>
                      <w:u w:val="none"/>
                      <w:lang w:val="en-US" w:eastAsia="zh-CN"/>
                    </w:rPr>
                    <w:t>/a</w:t>
                  </w:r>
                </w:p>
              </w:tc>
              <w:tc>
                <w:tcPr>
                  <w:tcW w:w="739" w:type="dxa"/>
                  <w:tcBorders>
                    <w:tl2br w:val="nil"/>
                    <w:tr2bl w:val="nil"/>
                  </w:tcBorders>
                  <w:noWrap w:val="0"/>
                  <w:vAlign w:val="center"/>
                </w:tcPr>
                <w:p w14:paraId="4EAAAD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0.039 </w:t>
                  </w:r>
                </w:p>
              </w:tc>
              <w:tc>
                <w:tcPr>
                  <w:tcW w:w="729" w:type="dxa"/>
                  <w:tcBorders>
                    <w:tl2br w:val="nil"/>
                    <w:tr2bl w:val="nil"/>
                  </w:tcBorders>
                  <w:noWrap w:val="0"/>
                  <w:vAlign w:val="center"/>
                </w:tcPr>
                <w:p w14:paraId="3B38E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0.025 </w:t>
                  </w:r>
                </w:p>
              </w:tc>
              <w:tc>
                <w:tcPr>
                  <w:tcW w:w="711" w:type="dxa"/>
                  <w:tcBorders>
                    <w:tl2br w:val="nil"/>
                    <w:tr2bl w:val="nil"/>
                  </w:tcBorders>
                  <w:noWrap w:val="0"/>
                  <w:vAlign w:val="center"/>
                </w:tcPr>
                <w:p w14:paraId="0AF53B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0.015 </w:t>
                  </w:r>
                </w:p>
              </w:tc>
              <w:tc>
                <w:tcPr>
                  <w:tcW w:w="747" w:type="dxa"/>
                  <w:tcBorders>
                    <w:tl2br w:val="nil"/>
                    <w:tr2bl w:val="nil"/>
                  </w:tcBorders>
                  <w:noWrap w:val="0"/>
                  <w:vAlign w:val="center"/>
                </w:tcPr>
                <w:p w14:paraId="49E34D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c>
                <w:tcPr>
                  <w:tcW w:w="720" w:type="dxa"/>
                  <w:tcBorders>
                    <w:tl2br w:val="nil"/>
                    <w:tr2bl w:val="nil"/>
                  </w:tcBorders>
                  <w:noWrap w:val="0"/>
                  <w:vAlign w:val="center"/>
                </w:tcPr>
                <w:p w14:paraId="36C7134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0.005 </w:t>
                  </w:r>
                </w:p>
              </w:tc>
              <w:tc>
                <w:tcPr>
                  <w:tcW w:w="859" w:type="dxa"/>
                  <w:tcBorders>
                    <w:tl2br w:val="nil"/>
                    <w:tr2bl w:val="nil"/>
                  </w:tcBorders>
                  <w:noWrap w:val="0"/>
                  <w:vAlign w:val="center"/>
                </w:tcPr>
                <w:p w14:paraId="7C0A047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0.0004 </w:t>
                  </w:r>
                </w:p>
              </w:tc>
              <w:tc>
                <w:tcPr>
                  <w:tcW w:w="739" w:type="dxa"/>
                  <w:tcBorders>
                    <w:tl2br w:val="nil"/>
                    <w:tr2bl w:val="nil"/>
                  </w:tcBorders>
                  <w:noWrap w:val="0"/>
                  <w:vAlign w:val="center"/>
                </w:tcPr>
                <w:p w14:paraId="021D6C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0.003 </w:t>
                  </w:r>
                </w:p>
              </w:tc>
            </w:tr>
            <w:tr w14:paraId="48BB1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2" w:type="dxa"/>
                  <w:gridSpan w:val="2"/>
                  <w:tcBorders>
                    <w:tl2br w:val="nil"/>
                    <w:tr2bl w:val="nil"/>
                  </w:tcBorders>
                  <w:noWrap w:val="0"/>
                  <w:vAlign w:val="center"/>
                </w:tcPr>
                <w:p w14:paraId="68641450">
                  <w:pPr>
                    <w:keepNext w:val="0"/>
                    <w:keepLines w:val="0"/>
                    <w:suppressLineNumbers w:val="0"/>
                    <w:adjustRightInd w:val="0"/>
                    <w:spacing w:before="0" w:beforeAutospacing="0" w:after="0" w:afterAutospacing="0"/>
                    <w:ind w:left="0" w:right="0"/>
                    <w:jc w:val="center"/>
                    <w:rPr>
                      <w:rFonts w:hint="eastAsia"/>
                      <w:color w:val="auto"/>
                      <w:szCs w:val="21"/>
                      <w:u w:val="none"/>
                      <w:lang w:eastAsia="zh-CN"/>
                    </w:rPr>
                  </w:pPr>
                  <w:r>
                    <w:rPr>
                      <w:rFonts w:hint="eastAsia"/>
                      <w:color w:val="auto"/>
                      <w:szCs w:val="21"/>
                      <w:u w:val="none"/>
                      <w:lang w:eastAsia="zh-CN"/>
                    </w:rPr>
                    <w:t>一级</w:t>
                  </w:r>
                  <w:r>
                    <w:rPr>
                      <w:rFonts w:hint="eastAsia"/>
                      <w:color w:val="auto"/>
                      <w:szCs w:val="21"/>
                      <w:u w:val="none"/>
                      <w:lang w:val="en-US" w:eastAsia="zh-CN"/>
                    </w:rPr>
                    <w:t>A排放标准</w:t>
                  </w:r>
                </w:p>
              </w:tc>
              <w:tc>
                <w:tcPr>
                  <w:tcW w:w="978" w:type="dxa"/>
                  <w:tcBorders>
                    <w:tl2br w:val="nil"/>
                    <w:tr2bl w:val="nil"/>
                  </w:tcBorders>
                  <w:noWrap w:val="0"/>
                  <w:vAlign w:val="center"/>
                </w:tcPr>
                <w:p w14:paraId="3C8D5C70">
                  <w:pPr>
                    <w:keepNext w:val="0"/>
                    <w:keepLines w:val="0"/>
                    <w:suppressLineNumbers w:val="0"/>
                    <w:spacing w:before="0" w:beforeAutospacing="0" w:after="0" w:afterAutospacing="0"/>
                    <w:ind w:left="0" w:right="0"/>
                    <w:jc w:val="center"/>
                    <w:rPr>
                      <w:rFonts w:hint="default"/>
                      <w:color w:val="auto"/>
                      <w:szCs w:val="21"/>
                      <w:u w:val="none"/>
                      <w:lang w:val="en-US" w:eastAsia="zh-CN"/>
                    </w:rPr>
                  </w:pPr>
                  <w:r>
                    <w:rPr>
                      <w:rFonts w:hint="eastAsia"/>
                      <w:color w:val="auto"/>
                      <w:szCs w:val="21"/>
                      <w:u w:val="none"/>
                      <w:lang w:val="en-US" w:eastAsia="zh-CN"/>
                    </w:rPr>
                    <w:t>/</w:t>
                  </w:r>
                </w:p>
              </w:tc>
              <w:tc>
                <w:tcPr>
                  <w:tcW w:w="739" w:type="dxa"/>
                  <w:tcBorders>
                    <w:tl2br w:val="nil"/>
                    <w:tr2bl w:val="nil"/>
                  </w:tcBorders>
                  <w:noWrap w:val="0"/>
                  <w:vAlign w:val="center"/>
                </w:tcPr>
                <w:p w14:paraId="2987B8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29" w:type="dxa"/>
                  <w:tcBorders>
                    <w:tl2br w:val="nil"/>
                    <w:tr2bl w:val="nil"/>
                  </w:tcBorders>
                  <w:noWrap w:val="0"/>
                  <w:vAlign w:val="center"/>
                </w:tcPr>
                <w:p w14:paraId="77B8BE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11" w:type="dxa"/>
                  <w:tcBorders>
                    <w:tl2br w:val="nil"/>
                    <w:tr2bl w:val="nil"/>
                  </w:tcBorders>
                  <w:noWrap w:val="0"/>
                  <w:vAlign w:val="center"/>
                </w:tcPr>
                <w:p w14:paraId="2E3CBF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47" w:type="dxa"/>
                  <w:tcBorders>
                    <w:tl2br w:val="nil"/>
                    <w:tr2bl w:val="nil"/>
                  </w:tcBorders>
                  <w:noWrap w:val="0"/>
                  <w:vAlign w:val="center"/>
                </w:tcPr>
                <w:p w14:paraId="5EFDE7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720" w:type="dxa"/>
                  <w:tcBorders>
                    <w:tl2br w:val="nil"/>
                    <w:tr2bl w:val="nil"/>
                  </w:tcBorders>
                  <w:noWrap w:val="0"/>
                  <w:vAlign w:val="center"/>
                </w:tcPr>
                <w:p w14:paraId="60C6EB6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w:t>
                  </w:r>
                </w:p>
              </w:tc>
              <w:tc>
                <w:tcPr>
                  <w:tcW w:w="859" w:type="dxa"/>
                  <w:tcBorders>
                    <w:tl2br w:val="nil"/>
                    <w:tr2bl w:val="nil"/>
                  </w:tcBorders>
                  <w:noWrap w:val="0"/>
                  <w:vAlign w:val="center"/>
                </w:tcPr>
                <w:p w14:paraId="1FD3AF5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w:t>
                  </w:r>
                </w:p>
              </w:tc>
              <w:tc>
                <w:tcPr>
                  <w:tcW w:w="739" w:type="dxa"/>
                  <w:tcBorders>
                    <w:tl2br w:val="nil"/>
                    <w:tr2bl w:val="nil"/>
                  </w:tcBorders>
                  <w:noWrap w:val="0"/>
                  <w:vAlign w:val="center"/>
                </w:tcPr>
                <w:p w14:paraId="45E8E8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1718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2" w:type="dxa"/>
                  <w:gridSpan w:val="2"/>
                  <w:tcBorders>
                    <w:tl2br w:val="nil"/>
                    <w:tr2bl w:val="nil"/>
                  </w:tcBorders>
                  <w:noWrap w:val="0"/>
                  <w:vAlign w:val="center"/>
                </w:tcPr>
                <w:p w14:paraId="5923FC89">
                  <w:pPr>
                    <w:keepNext w:val="0"/>
                    <w:keepLines w:val="0"/>
                    <w:suppressLineNumbers w:val="0"/>
                    <w:adjustRightInd w:val="0"/>
                    <w:spacing w:before="0" w:beforeAutospacing="0" w:after="0" w:afterAutospacing="0"/>
                    <w:ind w:left="0" w:right="0"/>
                    <w:jc w:val="center"/>
                    <w:rPr>
                      <w:rFonts w:hint="eastAsia"/>
                      <w:b/>
                      <w:color w:val="auto"/>
                      <w:szCs w:val="21"/>
                      <w:u w:val="none"/>
                      <w:lang w:eastAsia="zh-CN"/>
                    </w:rPr>
                  </w:pPr>
                  <w:r>
                    <w:rPr>
                      <w:rFonts w:hint="eastAsia"/>
                      <w:b/>
                      <w:color w:val="auto"/>
                      <w:szCs w:val="21"/>
                      <w:u w:val="none"/>
                    </w:rPr>
                    <w:t>湖南城陵矶临港产业新区污水处理厂排放量</w:t>
                  </w:r>
                </w:p>
              </w:tc>
              <w:tc>
                <w:tcPr>
                  <w:tcW w:w="978" w:type="dxa"/>
                  <w:tcBorders>
                    <w:tl2br w:val="nil"/>
                    <w:tr2bl w:val="nil"/>
                  </w:tcBorders>
                  <w:noWrap w:val="0"/>
                  <w:vAlign w:val="center"/>
                </w:tcPr>
                <w:p w14:paraId="33B793D9">
                  <w:pPr>
                    <w:keepNext w:val="0"/>
                    <w:keepLines w:val="0"/>
                    <w:suppressLineNumbers w:val="0"/>
                    <w:spacing w:before="0" w:beforeAutospacing="0" w:after="0" w:afterAutospacing="0"/>
                    <w:ind w:left="0" w:right="0"/>
                    <w:jc w:val="center"/>
                    <w:rPr>
                      <w:rFonts w:hint="default" w:eastAsia="宋体"/>
                      <w:color w:val="auto"/>
                      <w:szCs w:val="21"/>
                      <w:u w:val="none"/>
                      <w:lang w:val="en-US" w:eastAsia="zh-CN"/>
                    </w:rPr>
                  </w:pPr>
                  <w:r>
                    <w:rPr>
                      <w:rFonts w:hint="eastAsia"/>
                      <w:color w:val="auto"/>
                      <w:szCs w:val="21"/>
                      <w:u w:val="none"/>
                      <w:lang w:val="en-US" w:eastAsia="zh-CN"/>
                    </w:rPr>
                    <w:t>140m</w:t>
                  </w:r>
                  <w:r>
                    <w:rPr>
                      <w:rFonts w:hint="eastAsia"/>
                      <w:color w:val="auto"/>
                      <w:szCs w:val="21"/>
                      <w:u w:val="none"/>
                      <w:vertAlign w:val="superscript"/>
                      <w:lang w:val="en-US" w:eastAsia="zh-CN"/>
                    </w:rPr>
                    <w:t>3</w:t>
                  </w:r>
                  <w:r>
                    <w:rPr>
                      <w:rFonts w:hint="eastAsia"/>
                      <w:color w:val="auto"/>
                      <w:szCs w:val="21"/>
                      <w:u w:val="none"/>
                      <w:lang w:val="en-US" w:eastAsia="zh-CN"/>
                    </w:rPr>
                    <w:t>/a</w:t>
                  </w:r>
                </w:p>
              </w:tc>
              <w:tc>
                <w:tcPr>
                  <w:tcW w:w="739" w:type="dxa"/>
                  <w:tcBorders>
                    <w:tl2br w:val="nil"/>
                    <w:tr2bl w:val="nil"/>
                  </w:tcBorders>
                  <w:noWrap w:val="0"/>
                  <w:vAlign w:val="center"/>
                </w:tcPr>
                <w:p w14:paraId="21A768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0.007 </w:t>
                  </w:r>
                </w:p>
              </w:tc>
              <w:tc>
                <w:tcPr>
                  <w:tcW w:w="729" w:type="dxa"/>
                  <w:tcBorders>
                    <w:tl2br w:val="nil"/>
                    <w:tr2bl w:val="nil"/>
                  </w:tcBorders>
                  <w:noWrap w:val="0"/>
                  <w:vAlign w:val="center"/>
                </w:tcPr>
                <w:p w14:paraId="68210A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c>
                <w:tcPr>
                  <w:tcW w:w="711" w:type="dxa"/>
                  <w:tcBorders>
                    <w:tl2br w:val="nil"/>
                    <w:tr2bl w:val="nil"/>
                  </w:tcBorders>
                  <w:noWrap w:val="0"/>
                  <w:vAlign w:val="center"/>
                </w:tcPr>
                <w:p w14:paraId="73CE83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c>
                <w:tcPr>
                  <w:tcW w:w="747" w:type="dxa"/>
                  <w:tcBorders>
                    <w:tl2br w:val="nil"/>
                    <w:tr2bl w:val="nil"/>
                  </w:tcBorders>
                  <w:noWrap w:val="0"/>
                  <w:vAlign w:val="center"/>
                </w:tcPr>
                <w:p w14:paraId="7DE34D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c>
                <w:tcPr>
                  <w:tcW w:w="720" w:type="dxa"/>
                  <w:tcBorders>
                    <w:tl2br w:val="nil"/>
                    <w:tr2bl w:val="nil"/>
                  </w:tcBorders>
                  <w:noWrap w:val="0"/>
                  <w:vAlign w:val="center"/>
                </w:tcPr>
                <w:p w14:paraId="22763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859" w:type="dxa"/>
                  <w:tcBorders>
                    <w:tl2br w:val="nil"/>
                    <w:tr2bl w:val="nil"/>
                  </w:tcBorders>
                  <w:noWrap w:val="0"/>
                  <w:vAlign w:val="center"/>
                </w:tcPr>
                <w:p w14:paraId="492A94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0.0001 </w:t>
                  </w:r>
                </w:p>
              </w:tc>
              <w:tc>
                <w:tcPr>
                  <w:tcW w:w="739" w:type="dxa"/>
                  <w:tcBorders>
                    <w:tl2br w:val="nil"/>
                    <w:tr2bl w:val="nil"/>
                  </w:tcBorders>
                  <w:noWrap w:val="0"/>
                  <w:vAlign w:val="center"/>
                </w:tcPr>
                <w:p w14:paraId="4C1D09F4">
                  <w:pPr>
                    <w:keepNext w:val="0"/>
                    <w:keepLines w:val="0"/>
                    <w:widowControl/>
                    <w:suppressLineNumbers w:val="0"/>
                    <w:spacing w:before="0" w:beforeAutospacing="0" w:after="0" w:afterAutospacing="0"/>
                    <w:ind w:left="0" w:right="-315" w:rightChars="-15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0.0001 </w:t>
                  </w:r>
                </w:p>
              </w:tc>
            </w:tr>
          </w:tbl>
          <w:p w14:paraId="2B4D8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2.2废水处理措施可行性分析</w:t>
            </w:r>
          </w:p>
          <w:p w14:paraId="4711FCB3">
            <w:pPr>
              <w:keepNext w:val="0"/>
              <w:keepLines w:val="0"/>
              <w:numPr>
                <w:ilvl w:val="0"/>
                <w:numId w:val="0"/>
              </w:numPr>
              <w:suppressLineNumbers w:val="0"/>
              <w:spacing w:before="0" w:beforeAutospacing="0" w:after="0" w:afterAutospacing="0" w:line="360" w:lineRule="auto"/>
              <w:ind w:left="0" w:right="0" w:firstLine="440" w:firstLineChars="200"/>
              <w:jc w:val="left"/>
              <w:rPr>
                <w:rFonts w:hint="eastAsia" w:ascii="Times New Roman" w:hAnsi="Times New Roman" w:cs="Times New Roman"/>
                <w:b w:val="0"/>
                <w:bCs/>
                <w:color w:val="auto"/>
                <w:spacing w:val="-10"/>
                <w:sz w:val="24"/>
                <w:szCs w:val="24"/>
                <w:u w:val="none"/>
                <w:lang w:val="en-US" w:eastAsia="zh-CN"/>
              </w:rPr>
            </w:pPr>
            <w:r>
              <w:rPr>
                <w:rFonts w:hint="eastAsia" w:cs="Times New Roman"/>
                <w:b w:val="0"/>
                <w:bCs/>
                <w:color w:val="auto"/>
                <w:spacing w:val="-10"/>
                <w:sz w:val="24"/>
                <w:szCs w:val="24"/>
                <w:u w:val="none"/>
                <w:lang w:val="en-US" w:eastAsia="zh-CN"/>
              </w:rPr>
              <w:t>（1）</w:t>
            </w:r>
            <w:r>
              <w:rPr>
                <w:rFonts w:hint="eastAsia" w:ascii="Times New Roman" w:hAnsi="Times New Roman" w:cs="Times New Roman"/>
                <w:b w:val="0"/>
                <w:bCs/>
                <w:color w:val="auto"/>
                <w:spacing w:val="-10"/>
                <w:sz w:val="24"/>
                <w:szCs w:val="24"/>
                <w:u w:val="none"/>
                <w:lang w:val="en-US" w:eastAsia="zh-CN"/>
              </w:rPr>
              <w:t>项目废水依托</w:t>
            </w:r>
            <w:r>
              <w:rPr>
                <w:rFonts w:hint="eastAsia" w:cs="Times New Roman"/>
                <w:color w:val="auto"/>
                <w:sz w:val="24"/>
                <w:szCs w:val="24"/>
                <w:u w:val="none"/>
                <w:lang w:val="en-US" w:eastAsia="zh-CN"/>
              </w:rPr>
              <w:t>湖南城陵矶临港产业新区污水处理厂处理</w:t>
            </w:r>
            <w:r>
              <w:rPr>
                <w:rFonts w:hint="eastAsia" w:ascii="Times New Roman" w:hAnsi="Times New Roman" w:cs="Times New Roman"/>
                <w:b w:val="0"/>
                <w:bCs/>
                <w:color w:val="auto"/>
                <w:spacing w:val="-10"/>
                <w:sz w:val="24"/>
                <w:szCs w:val="24"/>
                <w:u w:val="none"/>
                <w:lang w:val="en-US" w:eastAsia="zh-CN"/>
              </w:rPr>
              <w:t>的可行性</w:t>
            </w:r>
          </w:p>
          <w:p w14:paraId="2F7C0E15">
            <w:pPr>
              <w:keepNext w:val="0"/>
              <w:keepLines w:val="0"/>
              <w:suppressLineNumbers w:val="0"/>
              <w:adjustRightInd w:val="0"/>
              <w:spacing w:before="0" w:beforeAutospacing="0" w:after="0" w:afterAutospacing="0" w:line="360" w:lineRule="auto"/>
              <w:ind w:left="0" w:right="0" w:firstLine="480" w:firstLineChars="200"/>
              <w:rPr>
                <w:rFonts w:hint="eastAsia" w:cs="Times New Roman"/>
                <w:color w:val="auto"/>
                <w:sz w:val="24"/>
                <w:szCs w:val="24"/>
                <w:u w:val="none"/>
                <w:lang w:val="en-US" w:eastAsia="zh-CN"/>
              </w:rPr>
            </w:pPr>
            <w:r>
              <w:rPr>
                <w:rFonts w:hint="eastAsia" w:cs="Times New Roman"/>
                <w:color w:val="auto"/>
                <w:sz w:val="24"/>
                <w:szCs w:val="24"/>
                <w:u w:val="none"/>
                <w:lang w:val="en-US" w:eastAsia="zh-CN"/>
              </w:rPr>
              <w:t>湖南城陵矶临港产业新区污水处理厂东邻沿江大道，西靠长江大堤，处于云港路与沿江路的交界处，于2014年7月取得岳阳市环境保护局环评批复，2016年建成，设计处理能力3万吨/天，主要采用CASS工艺，出水达《城镇污水处理厂污染物排放标准》（GB18918-2002）一级B排放标准，尾水排至长江。2019年2月完成了《湖南城陵矶临港产业新区污水处理厂一期提标改造工程项目环境影响报告表》的编制，已经通过岳阳市生态环境局城陵矶新港区分局审批（岳港环批〔2019〕4号），提标改造规模为3万吨/天。目前已改造完成，管道接纳标准为pH，6~9、COD≤500mg/L、BOD</w:t>
            </w:r>
            <w:r>
              <w:rPr>
                <w:rFonts w:hint="eastAsia" w:cs="Times New Roman"/>
                <w:color w:val="auto"/>
                <w:sz w:val="24"/>
                <w:szCs w:val="24"/>
                <w:u w:val="none"/>
                <w:vertAlign w:val="subscript"/>
                <w:lang w:val="en-US" w:eastAsia="zh-CN"/>
              </w:rPr>
              <w:t>5</w:t>
            </w:r>
            <w:r>
              <w:rPr>
                <w:rFonts w:hint="eastAsia" w:cs="Times New Roman"/>
                <w:color w:val="auto"/>
                <w:sz w:val="24"/>
                <w:szCs w:val="24"/>
                <w:u w:val="none"/>
                <w:lang w:val="en-US" w:eastAsia="zh-CN"/>
              </w:rPr>
              <w:t>≤200mg/L、SS≤400mg/L、NH</w:t>
            </w:r>
            <w:r>
              <w:rPr>
                <w:rFonts w:hint="eastAsia" w:cs="Times New Roman"/>
                <w:color w:val="auto"/>
                <w:sz w:val="24"/>
                <w:szCs w:val="24"/>
                <w:u w:val="none"/>
                <w:vertAlign w:val="subscript"/>
                <w:lang w:val="en-US" w:eastAsia="zh-CN"/>
              </w:rPr>
              <w:t>3</w:t>
            </w:r>
            <w:r>
              <w:rPr>
                <w:rFonts w:hint="eastAsia" w:cs="Times New Roman"/>
                <w:color w:val="auto"/>
                <w:sz w:val="24"/>
                <w:szCs w:val="24"/>
                <w:u w:val="none"/>
                <w:lang w:val="en-US" w:eastAsia="zh-CN"/>
              </w:rPr>
              <w:t>-N≤30mg/L、石油类≤20mg/L、LAS≤20mg/L，出水水质执行《城镇污水处理厂污染物排放标准》（GB18918-2002）一级A标准，尾水经象骨港汇入长江。</w:t>
            </w:r>
          </w:p>
          <w:p w14:paraId="7F2D1F98">
            <w:pPr>
              <w:keepNext w:val="0"/>
              <w:keepLines w:val="0"/>
              <w:suppressLineNumbers w:val="0"/>
              <w:adjustRightInd w:val="0"/>
              <w:spacing w:before="0" w:beforeAutospacing="0" w:after="0" w:afterAutospacing="0" w:line="360" w:lineRule="auto"/>
              <w:ind w:left="0" w:right="0" w:firstLine="480" w:firstLineChars="200"/>
              <w:rPr>
                <w:rFonts w:hint="eastAsia" w:cs="Times New Roman"/>
                <w:color w:val="auto"/>
                <w:sz w:val="24"/>
                <w:szCs w:val="24"/>
                <w:u w:val="none"/>
                <w:lang w:val="en-US" w:eastAsia="zh-CN"/>
              </w:rPr>
            </w:pPr>
            <w:r>
              <w:rPr>
                <w:rFonts w:hint="eastAsia" w:cs="Times New Roman"/>
                <w:color w:val="auto"/>
                <w:sz w:val="24"/>
                <w:szCs w:val="24"/>
                <w:u w:val="none"/>
                <w:lang w:val="en-US" w:eastAsia="zh-CN"/>
              </w:rPr>
              <w:t>项目所处位置为该污水处理厂纳污收集范围内，项目所在地排水管线已与污水处理厂污水收集管网接通，能够确保本项目污水排入污水处理厂。本项目废水主要为生活污水，产生量小，水质简单，属于湖南城陵矶临港产业新区污水处理厂常规处理项目，且污水处理厂有足够的能力接纳本项目废水。</w:t>
            </w:r>
          </w:p>
          <w:p w14:paraId="292CD455">
            <w:pPr>
              <w:keepNext w:val="0"/>
              <w:keepLines w:val="0"/>
              <w:suppressLineNumbers w:val="0"/>
              <w:adjustRightIn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项目污水经湖南城陵矶临港产业新区污水处理厂后达到《城镇污水处理厂污染物排放标准》(GB18918—2002)的一级A标准外排至象骨港，最终排入长江达标排放，不会对地表水环境造成不良的影响。</w:t>
            </w:r>
          </w:p>
          <w:p w14:paraId="296C0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cs="Times New Roman"/>
                <w:color w:val="000000" w:themeColor="text1"/>
                <w:spacing w:val="0"/>
                <w:position w:val="0"/>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auto"/>
                <w:sz w:val="24"/>
                <w:szCs w:val="24"/>
                <w:u w:val="none"/>
                <w:lang w:val="en-US" w:eastAsia="zh-CN"/>
              </w:rPr>
              <w:t>综上所述，本项目</w:t>
            </w:r>
            <w:r>
              <w:rPr>
                <w:rFonts w:hint="eastAsia" w:cs="Times New Roman"/>
                <w:color w:val="auto"/>
                <w:sz w:val="24"/>
                <w:szCs w:val="24"/>
                <w:u w:val="none"/>
                <w:lang w:val="en-US" w:eastAsia="zh-CN"/>
              </w:rPr>
              <w:t>生活污</w:t>
            </w:r>
            <w:r>
              <w:rPr>
                <w:rFonts w:hint="eastAsia" w:ascii="Times New Roman" w:hAnsi="Times New Roman" w:eastAsia="宋体" w:cs="Times New Roman"/>
                <w:color w:val="auto"/>
                <w:sz w:val="24"/>
                <w:szCs w:val="24"/>
                <w:u w:val="none"/>
                <w:lang w:val="en-US" w:eastAsia="zh-CN"/>
              </w:rPr>
              <w:t>水依托</w:t>
            </w:r>
            <w:r>
              <w:rPr>
                <w:rFonts w:hint="eastAsia" w:cs="Times New Roman"/>
                <w:color w:val="auto"/>
                <w:sz w:val="24"/>
                <w:szCs w:val="24"/>
                <w:u w:val="none"/>
                <w:lang w:val="en-US" w:eastAsia="zh-CN"/>
              </w:rPr>
              <w:t>湖南城陵矶临港产业新区污水处理厂</w:t>
            </w:r>
            <w:r>
              <w:rPr>
                <w:rFonts w:hint="eastAsia" w:ascii="Times New Roman" w:hAnsi="Times New Roman" w:eastAsia="宋体" w:cs="Times New Roman"/>
                <w:color w:val="auto"/>
                <w:sz w:val="24"/>
                <w:szCs w:val="24"/>
                <w:u w:val="none"/>
                <w:lang w:val="en-US" w:eastAsia="zh-CN"/>
              </w:rPr>
              <w:t>处理可行。</w:t>
            </w:r>
          </w:p>
          <w:p w14:paraId="1FF2269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000000" w:themeColor="text1"/>
                <w:spacing w:val="0"/>
                <w:w w:val="100"/>
                <w:position w:val="0"/>
                <w:sz w:val="24"/>
                <w:highlight w:val="none"/>
                <w:u w:val="none" w:color="auto"/>
                <w14:textFill>
                  <w14:solidFill>
                    <w14:schemeClr w14:val="tx1"/>
                  </w14:solidFill>
                </w14:textFill>
              </w:rPr>
            </w:pPr>
            <w:r>
              <w:rPr>
                <w:rFonts w:hint="default" w:ascii="Times New Roman" w:hAnsi="Times New Roman" w:eastAsia="宋体" w:cs="Times New Roman"/>
                <w:b/>
                <w:bCs w:val="0"/>
                <w:color w:val="000000" w:themeColor="text1"/>
                <w:spacing w:val="0"/>
                <w:w w:val="100"/>
                <w:position w:val="0"/>
                <w:sz w:val="24"/>
                <w:highlight w:val="none"/>
                <w:u w:val="none" w:color="auto"/>
                <w:lang w:val="en-US" w:eastAsia="zh-CN"/>
                <w14:textFill>
                  <w14:solidFill>
                    <w14:schemeClr w14:val="tx1"/>
                  </w14:solidFill>
                </w14:textFill>
              </w:rPr>
              <w:t>2.3</w:t>
            </w:r>
            <w:r>
              <w:rPr>
                <w:rFonts w:hint="default" w:ascii="Times New Roman" w:hAnsi="Times New Roman" w:eastAsia="宋体" w:cs="Times New Roman"/>
                <w:b/>
                <w:bCs w:val="0"/>
                <w:color w:val="000000" w:themeColor="text1"/>
                <w:spacing w:val="0"/>
                <w:w w:val="100"/>
                <w:position w:val="0"/>
                <w:sz w:val="24"/>
                <w:highlight w:val="none"/>
                <w:u w:val="none" w:color="auto"/>
                <w14:textFill>
                  <w14:solidFill>
                    <w14:schemeClr w14:val="tx1"/>
                  </w14:solidFill>
                </w14:textFill>
              </w:rPr>
              <w:t>污染物排放情况</w:t>
            </w:r>
          </w:p>
          <w:p w14:paraId="55CA76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color w:val="000000" w:themeColor="text1"/>
                <w:spacing w:val="0"/>
                <w:w w:val="100"/>
                <w:position w:val="0"/>
                <w:sz w:val="24"/>
                <w:highlight w:val="none"/>
                <w:u w:val="none" w:color="auto"/>
                <w:lang w:eastAsia="zh-CN"/>
                <w14:textFill>
                  <w14:solidFill>
                    <w14:schemeClr w14:val="tx1"/>
                  </w14:solidFill>
                </w14:textFill>
              </w:rPr>
            </w:pPr>
            <w:r>
              <w:rPr>
                <w:rFonts w:hint="default" w:ascii="Times New Roman" w:hAnsi="Times New Roman" w:eastAsia="宋体" w:cs="Times New Roman"/>
                <w:b w:val="0"/>
                <w:bCs/>
                <w:color w:val="000000" w:themeColor="text1"/>
                <w:spacing w:val="0"/>
                <w:w w:val="100"/>
                <w:position w:val="0"/>
                <w:sz w:val="24"/>
                <w:highlight w:val="none"/>
                <w:u w:val="none" w:color="auto"/>
                <w14:textFill>
                  <w14:solidFill>
                    <w14:schemeClr w14:val="tx1"/>
                  </w14:solidFill>
                </w14:textFill>
              </w:rPr>
              <w:t>本项目废水类别、污染物及污染治理措施见表4-</w:t>
            </w:r>
            <w:r>
              <w:rPr>
                <w:rFonts w:hint="eastAsia" w:cs="Times New Roman"/>
                <w:b w:val="0"/>
                <w:bCs/>
                <w:color w:val="000000" w:themeColor="text1"/>
                <w:spacing w:val="0"/>
                <w:w w:val="100"/>
                <w:position w:val="0"/>
                <w:sz w:val="24"/>
                <w:highlight w:val="none"/>
                <w:u w:val="none" w:color="auto"/>
                <w:lang w:val="en-US" w:eastAsia="zh-CN"/>
                <w14:textFill>
                  <w14:solidFill>
                    <w14:schemeClr w14:val="tx1"/>
                  </w14:solidFill>
                </w14:textFill>
              </w:rPr>
              <w:t>9</w:t>
            </w:r>
            <w:r>
              <w:rPr>
                <w:rFonts w:hint="eastAsia" w:cs="Times New Roman"/>
                <w:b w:val="0"/>
                <w:bCs/>
                <w:color w:val="000000" w:themeColor="text1"/>
                <w:spacing w:val="0"/>
                <w:w w:val="100"/>
                <w:position w:val="0"/>
                <w:sz w:val="24"/>
                <w:highlight w:val="none"/>
                <w:u w:val="none" w:color="auto"/>
                <w:lang w:eastAsia="zh-CN"/>
                <w14:textFill>
                  <w14:solidFill>
                    <w14:schemeClr w14:val="tx1"/>
                  </w14:solidFill>
                </w14:textFill>
              </w:rPr>
              <w:t>：</w:t>
            </w:r>
          </w:p>
          <w:p w14:paraId="4C5F50A7">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表4-</w:t>
            </w:r>
            <w:r>
              <w:rPr>
                <w:rFonts w:hint="eastAsia" w:cs="Times New Roman"/>
                <w:color w:val="000000" w:themeColor="text1"/>
                <w:spacing w:val="0"/>
                <w:w w:val="100"/>
                <w:position w:val="0"/>
                <w:sz w:val="24"/>
                <w:szCs w:val="24"/>
                <w:highlight w:val="none"/>
                <w:u w:val="none" w:color="auto"/>
                <w:lang w:val="en-US" w:eastAsia="zh-CN"/>
                <w14:textFill>
                  <w14:solidFill>
                    <w14:schemeClr w14:val="tx1"/>
                  </w14:solidFill>
                </w14:textFill>
              </w:rPr>
              <w:t>9</w:t>
            </w: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本项目废水类别、污染物及污染治理措施信息表</w:t>
            </w:r>
          </w:p>
          <w:tbl>
            <w:tblPr>
              <w:tblStyle w:val="37"/>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7"/>
              <w:gridCol w:w="818"/>
              <w:gridCol w:w="880"/>
              <w:gridCol w:w="967"/>
              <w:gridCol w:w="823"/>
              <w:gridCol w:w="823"/>
              <w:gridCol w:w="681"/>
              <w:gridCol w:w="750"/>
              <w:gridCol w:w="915"/>
              <w:gridCol w:w="1422"/>
            </w:tblGrid>
            <w:tr w14:paraId="70010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Merge w:val="restart"/>
                  <w:tcBorders>
                    <w:tl2br w:val="nil"/>
                    <w:tr2bl w:val="nil"/>
                  </w:tcBorders>
                  <w:noWrap w:val="0"/>
                  <w:vAlign w:val="center"/>
                </w:tcPr>
                <w:p w14:paraId="3F966E6B">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废水类别</w:t>
                  </w:r>
                </w:p>
              </w:tc>
              <w:tc>
                <w:tcPr>
                  <w:tcW w:w="471" w:type="pct"/>
                  <w:vMerge w:val="restart"/>
                  <w:tcBorders>
                    <w:tl2br w:val="nil"/>
                    <w:tr2bl w:val="nil"/>
                  </w:tcBorders>
                  <w:noWrap w:val="0"/>
                  <w:vAlign w:val="center"/>
                </w:tcPr>
                <w:p w14:paraId="38C0C6B2">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污染物种类</w:t>
                  </w:r>
                </w:p>
              </w:tc>
              <w:tc>
                <w:tcPr>
                  <w:tcW w:w="507" w:type="pct"/>
                  <w:vMerge w:val="restart"/>
                  <w:tcBorders>
                    <w:tl2br w:val="nil"/>
                    <w:tr2bl w:val="nil"/>
                  </w:tcBorders>
                  <w:noWrap w:val="0"/>
                  <w:vAlign w:val="center"/>
                </w:tcPr>
                <w:p w14:paraId="6A8296AD">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排放去向</w:t>
                  </w:r>
                </w:p>
              </w:tc>
              <w:tc>
                <w:tcPr>
                  <w:tcW w:w="557" w:type="pct"/>
                  <w:vMerge w:val="restart"/>
                  <w:tcBorders>
                    <w:tl2br w:val="nil"/>
                    <w:tr2bl w:val="nil"/>
                  </w:tcBorders>
                  <w:noWrap w:val="0"/>
                  <w:vAlign w:val="center"/>
                </w:tcPr>
                <w:p w14:paraId="17CE4DF6">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排放规律</w:t>
                  </w:r>
                </w:p>
              </w:tc>
              <w:tc>
                <w:tcPr>
                  <w:tcW w:w="1340" w:type="pct"/>
                  <w:gridSpan w:val="3"/>
                  <w:tcBorders>
                    <w:tl2br w:val="nil"/>
                    <w:tr2bl w:val="nil"/>
                  </w:tcBorders>
                  <w:noWrap w:val="0"/>
                  <w:vAlign w:val="center"/>
                </w:tcPr>
                <w:p w14:paraId="6FA5BA04">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污染治理设施</w:t>
                  </w:r>
                </w:p>
              </w:tc>
              <w:tc>
                <w:tcPr>
                  <w:tcW w:w="432" w:type="pct"/>
                  <w:vMerge w:val="restart"/>
                  <w:tcBorders>
                    <w:tl2br w:val="nil"/>
                    <w:tr2bl w:val="nil"/>
                  </w:tcBorders>
                  <w:noWrap w:val="0"/>
                  <w:vAlign w:val="center"/>
                </w:tcPr>
                <w:p w14:paraId="494843D1">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排放口编号</w:t>
                  </w:r>
                </w:p>
              </w:tc>
              <w:tc>
                <w:tcPr>
                  <w:tcW w:w="527" w:type="pct"/>
                  <w:vMerge w:val="restart"/>
                  <w:tcBorders>
                    <w:tl2br w:val="nil"/>
                    <w:tr2bl w:val="nil"/>
                  </w:tcBorders>
                  <w:noWrap w:val="0"/>
                  <w:vAlign w:val="center"/>
                </w:tcPr>
                <w:p w14:paraId="1073D63F">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排放口设置是否符合要求</w:t>
                  </w:r>
                </w:p>
              </w:tc>
              <w:tc>
                <w:tcPr>
                  <w:tcW w:w="818" w:type="pct"/>
                  <w:vMerge w:val="restart"/>
                  <w:tcBorders>
                    <w:tl2br w:val="nil"/>
                    <w:tr2bl w:val="nil"/>
                  </w:tcBorders>
                  <w:noWrap w:val="0"/>
                  <w:vAlign w:val="center"/>
                </w:tcPr>
                <w:p w14:paraId="6AD2825F">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排放口类型</w:t>
                  </w:r>
                </w:p>
              </w:tc>
            </w:tr>
            <w:tr w14:paraId="6C54C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Merge w:val="continue"/>
                  <w:tcBorders>
                    <w:tl2br w:val="nil"/>
                    <w:tr2bl w:val="nil"/>
                  </w:tcBorders>
                  <w:noWrap w:val="0"/>
                  <w:vAlign w:val="center"/>
                </w:tcPr>
                <w:p w14:paraId="49183861">
                  <w:pPr>
                    <w:keepNext w:val="0"/>
                    <w:keepLines w:val="0"/>
                    <w:widowControl/>
                    <w:suppressLineNumbers w:val="0"/>
                    <w:spacing w:before="0" w:beforeAutospacing="0" w:after="0" w:afterAutospacing="0"/>
                    <w:ind w:left="0" w:right="0"/>
                    <w:jc w:val="left"/>
                    <w:rPr>
                      <w:rFonts w:hint="default"/>
                      <w:sz w:val="21"/>
                      <w:szCs w:val="21"/>
                    </w:rPr>
                  </w:pPr>
                </w:p>
              </w:tc>
              <w:tc>
                <w:tcPr>
                  <w:tcW w:w="471" w:type="pct"/>
                  <w:vMerge w:val="continue"/>
                  <w:tcBorders>
                    <w:tl2br w:val="nil"/>
                    <w:tr2bl w:val="nil"/>
                  </w:tcBorders>
                  <w:noWrap w:val="0"/>
                  <w:vAlign w:val="center"/>
                </w:tcPr>
                <w:p w14:paraId="27F94AD6">
                  <w:pPr>
                    <w:keepNext w:val="0"/>
                    <w:keepLines w:val="0"/>
                    <w:widowControl/>
                    <w:suppressLineNumbers w:val="0"/>
                    <w:spacing w:before="0" w:beforeAutospacing="0" w:after="0" w:afterAutospacing="0"/>
                    <w:ind w:left="0" w:right="0"/>
                    <w:jc w:val="left"/>
                    <w:rPr>
                      <w:rFonts w:hint="default"/>
                      <w:sz w:val="21"/>
                      <w:szCs w:val="21"/>
                    </w:rPr>
                  </w:pPr>
                </w:p>
              </w:tc>
              <w:tc>
                <w:tcPr>
                  <w:tcW w:w="507" w:type="pct"/>
                  <w:vMerge w:val="continue"/>
                  <w:tcBorders>
                    <w:tl2br w:val="nil"/>
                    <w:tr2bl w:val="nil"/>
                  </w:tcBorders>
                  <w:noWrap w:val="0"/>
                  <w:vAlign w:val="center"/>
                </w:tcPr>
                <w:p w14:paraId="58720FA3">
                  <w:pPr>
                    <w:keepNext w:val="0"/>
                    <w:keepLines w:val="0"/>
                    <w:widowControl/>
                    <w:suppressLineNumbers w:val="0"/>
                    <w:spacing w:before="0" w:beforeAutospacing="0" w:after="0" w:afterAutospacing="0"/>
                    <w:ind w:left="0" w:right="0"/>
                    <w:jc w:val="left"/>
                    <w:rPr>
                      <w:rFonts w:hint="default"/>
                      <w:sz w:val="21"/>
                      <w:szCs w:val="21"/>
                    </w:rPr>
                  </w:pPr>
                </w:p>
              </w:tc>
              <w:tc>
                <w:tcPr>
                  <w:tcW w:w="557" w:type="pct"/>
                  <w:vMerge w:val="continue"/>
                  <w:tcBorders>
                    <w:tl2br w:val="nil"/>
                    <w:tr2bl w:val="nil"/>
                  </w:tcBorders>
                  <w:noWrap w:val="0"/>
                  <w:vAlign w:val="center"/>
                </w:tcPr>
                <w:p w14:paraId="467E0270">
                  <w:pPr>
                    <w:keepNext w:val="0"/>
                    <w:keepLines w:val="0"/>
                    <w:widowControl/>
                    <w:suppressLineNumbers w:val="0"/>
                    <w:spacing w:before="0" w:beforeAutospacing="0" w:after="0" w:afterAutospacing="0"/>
                    <w:ind w:left="0" w:right="0"/>
                    <w:jc w:val="left"/>
                    <w:rPr>
                      <w:rFonts w:hint="default"/>
                      <w:sz w:val="21"/>
                      <w:szCs w:val="21"/>
                    </w:rPr>
                  </w:pPr>
                </w:p>
              </w:tc>
              <w:tc>
                <w:tcPr>
                  <w:tcW w:w="474" w:type="pct"/>
                  <w:tcBorders>
                    <w:tl2br w:val="nil"/>
                    <w:tr2bl w:val="nil"/>
                  </w:tcBorders>
                  <w:noWrap w:val="0"/>
                  <w:vAlign w:val="center"/>
                </w:tcPr>
                <w:p w14:paraId="4771502B">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污染治理设施编号</w:t>
                  </w:r>
                </w:p>
              </w:tc>
              <w:tc>
                <w:tcPr>
                  <w:tcW w:w="474" w:type="pct"/>
                  <w:tcBorders>
                    <w:tl2br w:val="nil"/>
                    <w:tr2bl w:val="nil"/>
                  </w:tcBorders>
                  <w:noWrap w:val="0"/>
                  <w:vAlign w:val="center"/>
                </w:tcPr>
                <w:p w14:paraId="6E0162B7">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污染治理设施名称</w:t>
                  </w:r>
                </w:p>
              </w:tc>
              <w:tc>
                <w:tcPr>
                  <w:tcW w:w="391" w:type="pct"/>
                  <w:tcBorders>
                    <w:tl2br w:val="nil"/>
                    <w:tr2bl w:val="nil"/>
                  </w:tcBorders>
                  <w:noWrap w:val="0"/>
                  <w:vAlign w:val="center"/>
                </w:tcPr>
                <w:p w14:paraId="099D612E">
                  <w:pPr>
                    <w:pStyle w:val="2"/>
                    <w:keepNext w:val="0"/>
                    <w:keepLines w:val="0"/>
                    <w:suppressLineNumbers w:val="0"/>
                    <w:spacing w:before="0" w:beforeAutospacing="0" w:after="0"/>
                    <w:ind w:left="0" w:right="0"/>
                    <w:jc w:val="center"/>
                    <w:rPr>
                      <w:rFonts w:hint="default"/>
                      <w:b/>
                      <w:bCs/>
                      <w:sz w:val="21"/>
                      <w:szCs w:val="21"/>
                    </w:rPr>
                  </w:pPr>
                  <w:r>
                    <w:rPr>
                      <w:rFonts w:hint="default"/>
                      <w:b/>
                      <w:bCs/>
                      <w:sz w:val="21"/>
                      <w:szCs w:val="21"/>
                    </w:rPr>
                    <w:t>污染治理设施工艺</w:t>
                  </w:r>
                </w:p>
              </w:tc>
              <w:tc>
                <w:tcPr>
                  <w:tcW w:w="432" w:type="pct"/>
                  <w:vMerge w:val="continue"/>
                  <w:tcBorders>
                    <w:tl2br w:val="nil"/>
                    <w:tr2bl w:val="nil"/>
                  </w:tcBorders>
                  <w:noWrap w:val="0"/>
                  <w:vAlign w:val="center"/>
                </w:tcPr>
                <w:p w14:paraId="58DB9502">
                  <w:pPr>
                    <w:keepNext w:val="0"/>
                    <w:keepLines w:val="0"/>
                    <w:widowControl/>
                    <w:suppressLineNumbers w:val="0"/>
                    <w:spacing w:before="0" w:beforeAutospacing="0" w:after="0" w:afterAutospacing="0"/>
                    <w:ind w:left="0" w:right="0"/>
                    <w:jc w:val="left"/>
                    <w:rPr>
                      <w:rFonts w:hint="default"/>
                      <w:sz w:val="21"/>
                      <w:szCs w:val="21"/>
                    </w:rPr>
                  </w:pPr>
                </w:p>
              </w:tc>
              <w:tc>
                <w:tcPr>
                  <w:tcW w:w="527" w:type="pct"/>
                  <w:vMerge w:val="continue"/>
                  <w:tcBorders>
                    <w:tl2br w:val="nil"/>
                    <w:tr2bl w:val="nil"/>
                  </w:tcBorders>
                  <w:noWrap w:val="0"/>
                  <w:vAlign w:val="center"/>
                </w:tcPr>
                <w:p w14:paraId="01DD7FA9">
                  <w:pPr>
                    <w:keepNext w:val="0"/>
                    <w:keepLines w:val="0"/>
                    <w:widowControl/>
                    <w:suppressLineNumbers w:val="0"/>
                    <w:spacing w:before="0" w:beforeAutospacing="0" w:after="0" w:afterAutospacing="0"/>
                    <w:ind w:left="0" w:right="0"/>
                    <w:jc w:val="left"/>
                    <w:rPr>
                      <w:rFonts w:hint="default"/>
                      <w:sz w:val="21"/>
                      <w:szCs w:val="21"/>
                    </w:rPr>
                  </w:pPr>
                </w:p>
              </w:tc>
              <w:tc>
                <w:tcPr>
                  <w:tcW w:w="818" w:type="pct"/>
                  <w:vMerge w:val="continue"/>
                  <w:tcBorders>
                    <w:tl2br w:val="nil"/>
                    <w:tr2bl w:val="nil"/>
                  </w:tcBorders>
                  <w:noWrap w:val="0"/>
                  <w:vAlign w:val="center"/>
                </w:tcPr>
                <w:p w14:paraId="37558CC7">
                  <w:pPr>
                    <w:keepNext w:val="0"/>
                    <w:keepLines w:val="0"/>
                    <w:widowControl/>
                    <w:suppressLineNumbers w:val="0"/>
                    <w:spacing w:before="0" w:beforeAutospacing="0" w:after="0" w:afterAutospacing="0"/>
                    <w:ind w:left="0" w:right="0"/>
                    <w:jc w:val="left"/>
                    <w:rPr>
                      <w:rFonts w:hint="default"/>
                      <w:sz w:val="21"/>
                      <w:szCs w:val="21"/>
                    </w:rPr>
                  </w:pPr>
                </w:p>
              </w:tc>
            </w:tr>
            <w:tr w14:paraId="2FD42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344" w:type="pct"/>
                  <w:tcBorders>
                    <w:tl2br w:val="nil"/>
                    <w:tr2bl w:val="nil"/>
                  </w:tcBorders>
                  <w:noWrap w:val="0"/>
                  <w:vAlign w:val="center"/>
                </w:tcPr>
                <w:p w14:paraId="527D3C47">
                  <w:pPr>
                    <w:pStyle w:val="2"/>
                    <w:keepNext w:val="0"/>
                    <w:keepLines w:val="0"/>
                    <w:suppressLineNumbers w:val="0"/>
                    <w:spacing w:before="0" w:beforeAutospacing="0" w:after="0"/>
                    <w:ind w:left="0" w:right="0"/>
                    <w:jc w:val="center"/>
                    <w:rPr>
                      <w:rFonts w:hint="default"/>
                      <w:sz w:val="21"/>
                      <w:szCs w:val="21"/>
                    </w:rPr>
                  </w:pPr>
                  <w:r>
                    <w:rPr>
                      <w:rFonts w:hint="default"/>
                      <w:sz w:val="21"/>
                      <w:szCs w:val="21"/>
                    </w:rPr>
                    <w:t>生活污水</w:t>
                  </w:r>
                </w:p>
              </w:tc>
              <w:tc>
                <w:tcPr>
                  <w:tcW w:w="471" w:type="pct"/>
                  <w:tcBorders>
                    <w:tl2br w:val="nil"/>
                    <w:tr2bl w:val="nil"/>
                  </w:tcBorders>
                  <w:noWrap w:val="0"/>
                  <w:vAlign w:val="center"/>
                </w:tcPr>
                <w:p w14:paraId="2DD054E7">
                  <w:pPr>
                    <w:pStyle w:val="2"/>
                    <w:keepNext w:val="0"/>
                    <w:keepLines w:val="0"/>
                    <w:suppressLineNumbers w:val="0"/>
                    <w:spacing w:before="0" w:beforeAutospacing="0" w:after="0"/>
                    <w:ind w:left="0" w:right="0"/>
                    <w:jc w:val="center"/>
                    <w:rPr>
                      <w:rFonts w:hint="default" w:eastAsia="宋体"/>
                      <w:sz w:val="21"/>
                      <w:szCs w:val="21"/>
                      <w:highlight w:val="none"/>
                      <w:lang w:val="en-US" w:eastAsia="zh-CN"/>
                    </w:rPr>
                  </w:pPr>
                  <w:r>
                    <w:rPr>
                      <w:rFonts w:hint="default"/>
                      <w:color w:val="auto"/>
                      <w:sz w:val="21"/>
                      <w:szCs w:val="21"/>
                      <w:highlight w:val="none"/>
                      <w:u w:val="none"/>
                    </w:rPr>
                    <w:t>COD、BOD</w:t>
                  </w:r>
                  <w:r>
                    <w:rPr>
                      <w:rFonts w:hint="default"/>
                      <w:color w:val="auto"/>
                      <w:sz w:val="21"/>
                      <w:szCs w:val="21"/>
                      <w:highlight w:val="none"/>
                      <w:u w:val="none"/>
                      <w:vertAlign w:val="subscript"/>
                    </w:rPr>
                    <w:t>5</w:t>
                  </w:r>
                  <w:r>
                    <w:rPr>
                      <w:rFonts w:hint="default"/>
                      <w:color w:val="auto"/>
                      <w:sz w:val="21"/>
                      <w:szCs w:val="21"/>
                      <w:highlight w:val="none"/>
                      <w:u w:val="none"/>
                    </w:rPr>
                    <w:t>、</w:t>
                  </w:r>
                  <w:r>
                    <w:rPr>
                      <w:rFonts w:hint="eastAsia"/>
                      <w:color w:val="auto"/>
                      <w:sz w:val="21"/>
                      <w:szCs w:val="21"/>
                      <w:highlight w:val="none"/>
                      <w:u w:val="none"/>
                    </w:rPr>
                    <w:t>SS、</w:t>
                  </w:r>
                  <w:r>
                    <w:rPr>
                      <w:rFonts w:hint="default"/>
                      <w:color w:val="auto"/>
                      <w:sz w:val="21"/>
                      <w:szCs w:val="21"/>
                      <w:highlight w:val="none"/>
                      <w:u w:val="none"/>
                    </w:rPr>
                    <w:t>NH</w:t>
                  </w:r>
                  <w:r>
                    <w:rPr>
                      <w:rFonts w:hint="default"/>
                      <w:color w:val="auto"/>
                      <w:sz w:val="21"/>
                      <w:szCs w:val="21"/>
                      <w:highlight w:val="none"/>
                      <w:u w:val="none"/>
                      <w:vertAlign w:val="subscript"/>
                    </w:rPr>
                    <w:t>3</w:t>
                  </w:r>
                  <w:r>
                    <w:rPr>
                      <w:rFonts w:hint="default"/>
                      <w:color w:val="auto"/>
                      <w:sz w:val="21"/>
                      <w:szCs w:val="21"/>
                      <w:highlight w:val="none"/>
                      <w:u w:val="none"/>
                    </w:rPr>
                    <w:t>-N</w:t>
                  </w:r>
                  <w:r>
                    <w:rPr>
                      <w:rFonts w:hint="eastAsia"/>
                      <w:color w:val="auto"/>
                      <w:sz w:val="21"/>
                      <w:szCs w:val="21"/>
                      <w:highlight w:val="none"/>
                      <w:u w:val="none"/>
                      <w:lang w:eastAsia="zh-CN"/>
                    </w:rPr>
                    <w:t>、</w:t>
                  </w:r>
                  <w:r>
                    <w:rPr>
                      <w:rFonts w:hint="eastAsia"/>
                      <w:color w:val="auto"/>
                      <w:sz w:val="21"/>
                      <w:szCs w:val="21"/>
                      <w:highlight w:val="none"/>
                      <w:u w:val="none"/>
                      <w:lang w:val="en-US" w:eastAsia="zh-CN"/>
                    </w:rPr>
                    <w:t>TN、TP、动植物油</w:t>
                  </w:r>
                </w:p>
              </w:tc>
              <w:tc>
                <w:tcPr>
                  <w:tcW w:w="507" w:type="pct"/>
                  <w:tcBorders>
                    <w:tl2br w:val="nil"/>
                    <w:tr2bl w:val="nil"/>
                  </w:tcBorders>
                  <w:noWrap w:val="0"/>
                  <w:vAlign w:val="center"/>
                </w:tcPr>
                <w:p w14:paraId="13753DEE">
                  <w:pPr>
                    <w:pStyle w:val="2"/>
                    <w:keepNext w:val="0"/>
                    <w:keepLines w:val="0"/>
                    <w:suppressLineNumbers w:val="0"/>
                    <w:spacing w:before="0" w:beforeAutospacing="0" w:after="0"/>
                    <w:ind w:left="0" w:right="0"/>
                    <w:jc w:val="center"/>
                    <w:rPr>
                      <w:rFonts w:hint="eastAsia" w:eastAsia="宋体"/>
                      <w:sz w:val="21"/>
                      <w:szCs w:val="21"/>
                      <w:highlight w:val="none"/>
                      <w:lang w:eastAsia="zh-CN"/>
                    </w:rPr>
                  </w:pPr>
                  <w:r>
                    <w:rPr>
                      <w:rFonts w:hint="eastAsia"/>
                      <w:color w:val="auto"/>
                      <w:sz w:val="21"/>
                      <w:szCs w:val="21"/>
                      <w:highlight w:val="none"/>
                      <w:u w:val="none"/>
                    </w:rPr>
                    <w:t>湖南城陵矶临港产业新区污水处理厂</w:t>
                  </w:r>
                </w:p>
              </w:tc>
              <w:tc>
                <w:tcPr>
                  <w:tcW w:w="557" w:type="pct"/>
                  <w:tcBorders>
                    <w:tl2br w:val="nil"/>
                    <w:tr2bl w:val="nil"/>
                  </w:tcBorders>
                  <w:noWrap w:val="0"/>
                  <w:vAlign w:val="center"/>
                </w:tcPr>
                <w:p w14:paraId="1B14781D">
                  <w:pPr>
                    <w:pStyle w:val="2"/>
                    <w:keepNext w:val="0"/>
                    <w:keepLines w:val="0"/>
                    <w:suppressLineNumbers w:val="0"/>
                    <w:spacing w:before="0" w:beforeAutospacing="0" w:after="0"/>
                    <w:ind w:left="0" w:right="0"/>
                    <w:jc w:val="center"/>
                    <w:rPr>
                      <w:rFonts w:hint="default"/>
                      <w:sz w:val="21"/>
                      <w:szCs w:val="21"/>
                      <w:highlight w:val="none"/>
                    </w:rPr>
                  </w:pPr>
                  <w:r>
                    <w:rPr>
                      <w:rFonts w:hint="default"/>
                      <w:color w:val="auto"/>
                      <w:sz w:val="21"/>
                      <w:szCs w:val="21"/>
                      <w:highlight w:val="none"/>
                      <w:u w:val="none"/>
                    </w:rPr>
                    <w:t>间断排放，排放期间流量稳定</w:t>
                  </w:r>
                </w:p>
              </w:tc>
              <w:tc>
                <w:tcPr>
                  <w:tcW w:w="474" w:type="pct"/>
                  <w:tcBorders>
                    <w:tl2br w:val="nil"/>
                    <w:tr2bl w:val="nil"/>
                  </w:tcBorders>
                  <w:noWrap w:val="0"/>
                  <w:vAlign w:val="center"/>
                </w:tcPr>
                <w:p w14:paraId="6FDB300B">
                  <w:pPr>
                    <w:pStyle w:val="2"/>
                    <w:keepNext w:val="0"/>
                    <w:keepLines w:val="0"/>
                    <w:suppressLineNumbers w:val="0"/>
                    <w:tabs>
                      <w:tab w:val="left" w:pos="840"/>
                    </w:tabs>
                    <w:spacing w:before="0" w:beforeAutospacing="0" w:after="0"/>
                    <w:ind w:left="0" w:right="-231" w:rightChars="-110"/>
                    <w:jc w:val="both"/>
                    <w:rPr>
                      <w:rFonts w:hint="eastAsia" w:eastAsia="宋体"/>
                      <w:sz w:val="21"/>
                      <w:szCs w:val="21"/>
                      <w:highlight w:val="none"/>
                      <w:lang w:eastAsia="zh-CN"/>
                    </w:rPr>
                  </w:pPr>
                  <w:r>
                    <w:rPr>
                      <w:rFonts w:hint="default"/>
                      <w:color w:val="auto"/>
                      <w:sz w:val="21"/>
                      <w:szCs w:val="21"/>
                      <w:highlight w:val="none"/>
                      <w:u w:val="none"/>
                    </w:rPr>
                    <w:t>TW00</w:t>
                  </w:r>
                  <w:r>
                    <w:rPr>
                      <w:rFonts w:hint="eastAsia"/>
                      <w:color w:val="auto"/>
                      <w:sz w:val="21"/>
                      <w:szCs w:val="21"/>
                      <w:highlight w:val="none"/>
                      <w:u w:val="none"/>
                      <w:lang w:val="en-US" w:eastAsia="zh-CN"/>
                    </w:rPr>
                    <w:t>1</w:t>
                  </w:r>
                </w:p>
              </w:tc>
              <w:tc>
                <w:tcPr>
                  <w:tcW w:w="474" w:type="pct"/>
                  <w:tcBorders>
                    <w:tl2br w:val="nil"/>
                    <w:tr2bl w:val="nil"/>
                  </w:tcBorders>
                  <w:noWrap w:val="0"/>
                  <w:vAlign w:val="center"/>
                </w:tcPr>
                <w:p w14:paraId="548F9149">
                  <w:pPr>
                    <w:pStyle w:val="2"/>
                    <w:keepNext w:val="0"/>
                    <w:keepLines w:val="0"/>
                    <w:suppressLineNumbers w:val="0"/>
                    <w:spacing w:before="0" w:beforeAutospacing="0" w:after="0"/>
                    <w:ind w:left="0" w:right="0"/>
                    <w:jc w:val="center"/>
                    <w:rPr>
                      <w:rFonts w:hint="eastAsia" w:eastAsia="宋体"/>
                      <w:sz w:val="21"/>
                      <w:szCs w:val="21"/>
                      <w:lang w:val="en-US" w:eastAsia="zh-CN"/>
                    </w:rPr>
                  </w:pPr>
                  <w:r>
                    <w:rPr>
                      <w:rFonts w:hint="eastAsia"/>
                      <w:color w:val="auto"/>
                      <w:sz w:val="21"/>
                      <w:szCs w:val="21"/>
                      <w:u w:val="none"/>
                      <w:lang w:eastAsia="zh-CN"/>
                    </w:rPr>
                    <w:t>隔油池、</w:t>
                  </w:r>
                  <w:r>
                    <w:rPr>
                      <w:rFonts w:hint="default"/>
                      <w:color w:val="auto"/>
                      <w:sz w:val="21"/>
                      <w:szCs w:val="21"/>
                      <w:u w:val="none"/>
                    </w:rPr>
                    <w:t>化粪池</w:t>
                  </w:r>
                </w:p>
              </w:tc>
              <w:tc>
                <w:tcPr>
                  <w:tcW w:w="391" w:type="pct"/>
                  <w:tcBorders>
                    <w:tl2br w:val="nil"/>
                    <w:tr2bl w:val="nil"/>
                  </w:tcBorders>
                  <w:noWrap w:val="0"/>
                  <w:vAlign w:val="center"/>
                </w:tcPr>
                <w:p w14:paraId="0D1A642C">
                  <w:pPr>
                    <w:pStyle w:val="2"/>
                    <w:keepNext w:val="0"/>
                    <w:keepLines w:val="0"/>
                    <w:suppressLineNumbers w:val="0"/>
                    <w:spacing w:before="0" w:beforeAutospacing="0" w:after="0"/>
                    <w:ind w:left="0" w:right="0"/>
                    <w:jc w:val="center"/>
                    <w:rPr>
                      <w:rFonts w:hint="eastAsia" w:eastAsia="宋体"/>
                      <w:sz w:val="21"/>
                      <w:szCs w:val="21"/>
                      <w:lang w:val="en-US" w:eastAsia="zh-CN"/>
                    </w:rPr>
                  </w:pPr>
                  <w:r>
                    <w:rPr>
                      <w:rFonts w:hint="default"/>
                      <w:color w:val="auto"/>
                      <w:sz w:val="21"/>
                      <w:szCs w:val="21"/>
                      <w:u w:val="none"/>
                    </w:rPr>
                    <w:t>厌氧</w:t>
                  </w:r>
                  <w:r>
                    <w:rPr>
                      <w:rFonts w:hint="eastAsia"/>
                      <w:color w:val="auto"/>
                      <w:sz w:val="21"/>
                      <w:szCs w:val="21"/>
                      <w:u w:val="none"/>
                      <w:lang w:eastAsia="zh-CN"/>
                    </w:rPr>
                    <w:t>发酵</w:t>
                  </w:r>
                </w:p>
              </w:tc>
              <w:tc>
                <w:tcPr>
                  <w:tcW w:w="432" w:type="pct"/>
                  <w:tcBorders>
                    <w:tl2br w:val="nil"/>
                    <w:tr2bl w:val="nil"/>
                  </w:tcBorders>
                  <w:noWrap w:val="0"/>
                  <w:vAlign w:val="center"/>
                </w:tcPr>
                <w:p w14:paraId="1AD12935">
                  <w:pPr>
                    <w:pStyle w:val="2"/>
                    <w:keepNext w:val="0"/>
                    <w:keepLines w:val="0"/>
                    <w:suppressLineNumbers w:val="0"/>
                    <w:spacing w:before="0" w:beforeAutospacing="0" w:after="0"/>
                    <w:ind w:left="0" w:right="-193" w:rightChars="-92"/>
                    <w:jc w:val="both"/>
                    <w:rPr>
                      <w:rFonts w:hint="default" w:eastAsia="宋体"/>
                      <w:sz w:val="21"/>
                      <w:szCs w:val="21"/>
                      <w:lang w:val="en-US" w:eastAsia="zh-CN"/>
                    </w:rPr>
                  </w:pPr>
                  <w:r>
                    <w:rPr>
                      <w:rFonts w:hint="eastAsia"/>
                      <w:color w:val="auto"/>
                      <w:sz w:val="21"/>
                      <w:szCs w:val="21"/>
                      <w:u w:val="none"/>
                      <w:lang w:val="en-US" w:eastAsia="zh-CN"/>
                    </w:rPr>
                    <w:t>DW001</w:t>
                  </w:r>
                </w:p>
              </w:tc>
              <w:tc>
                <w:tcPr>
                  <w:tcW w:w="527" w:type="pct"/>
                  <w:tcBorders>
                    <w:tl2br w:val="nil"/>
                    <w:tr2bl w:val="nil"/>
                  </w:tcBorders>
                  <w:noWrap w:val="0"/>
                  <w:vAlign w:val="center"/>
                </w:tcPr>
                <w:p w14:paraId="1EB3F1F1">
                  <w:pPr>
                    <w:pStyle w:val="2"/>
                    <w:keepNext w:val="0"/>
                    <w:keepLines w:val="0"/>
                    <w:suppressLineNumbers w:val="0"/>
                    <w:spacing w:before="0" w:beforeAutospacing="0" w:after="0"/>
                    <w:ind w:left="0" w:right="0"/>
                    <w:jc w:val="center"/>
                    <w:rPr>
                      <w:rFonts w:hint="default"/>
                      <w:color w:val="auto"/>
                      <w:sz w:val="21"/>
                      <w:szCs w:val="21"/>
                      <w:u w:val="none"/>
                    </w:rPr>
                  </w:pPr>
                  <w:r>
                    <w:rPr>
                      <w:rFonts w:hint="default"/>
                      <w:color w:val="auto"/>
                      <w:sz w:val="21"/>
                      <w:szCs w:val="21"/>
                      <w:u w:val="none"/>
                    </w:rPr>
                    <w:t>√是</w:t>
                  </w:r>
                </w:p>
                <w:p w14:paraId="53AAB875">
                  <w:pPr>
                    <w:pStyle w:val="2"/>
                    <w:keepNext w:val="0"/>
                    <w:keepLines w:val="0"/>
                    <w:suppressLineNumbers w:val="0"/>
                    <w:spacing w:before="0" w:beforeAutospacing="0" w:after="0"/>
                    <w:ind w:left="0" w:right="0"/>
                    <w:jc w:val="center"/>
                    <w:rPr>
                      <w:rFonts w:hint="default"/>
                      <w:sz w:val="21"/>
                      <w:szCs w:val="21"/>
                    </w:rPr>
                  </w:pPr>
                  <w:r>
                    <w:rPr>
                      <w:rFonts w:hint="default"/>
                      <w:color w:val="auto"/>
                      <w:sz w:val="21"/>
                      <w:szCs w:val="21"/>
                      <w:u w:val="none"/>
                    </w:rPr>
                    <w:t>□否</w:t>
                  </w:r>
                </w:p>
              </w:tc>
              <w:tc>
                <w:tcPr>
                  <w:tcW w:w="818" w:type="pct"/>
                  <w:tcBorders>
                    <w:tl2br w:val="nil"/>
                    <w:tr2bl w:val="nil"/>
                  </w:tcBorders>
                  <w:noWrap w:val="0"/>
                  <w:vAlign w:val="center"/>
                </w:tcPr>
                <w:p w14:paraId="0D0CF4F2">
                  <w:pPr>
                    <w:pStyle w:val="2"/>
                    <w:keepNext w:val="0"/>
                    <w:keepLines w:val="0"/>
                    <w:suppressLineNumbers w:val="0"/>
                    <w:spacing w:before="0" w:beforeAutospacing="0" w:after="0"/>
                    <w:ind w:left="0" w:right="0"/>
                    <w:jc w:val="center"/>
                    <w:rPr>
                      <w:rFonts w:hint="default"/>
                      <w:sz w:val="21"/>
                      <w:szCs w:val="21"/>
                    </w:rPr>
                  </w:pPr>
                  <w:r>
                    <w:rPr>
                      <w:rFonts w:hint="default"/>
                      <w:sz w:val="21"/>
                      <w:szCs w:val="21"/>
                    </w:rPr>
                    <w:t>√企业总排口</w:t>
                  </w:r>
                </w:p>
                <w:p w14:paraId="39344006">
                  <w:pPr>
                    <w:pStyle w:val="2"/>
                    <w:keepNext w:val="0"/>
                    <w:keepLines w:val="0"/>
                    <w:suppressLineNumbers w:val="0"/>
                    <w:spacing w:before="0" w:beforeAutospacing="0" w:after="0"/>
                    <w:ind w:left="0" w:right="0"/>
                    <w:jc w:val="center"/>
                    <w:rPr>
                      <w:rFonts w:hint="default"/>
                      <w:sz w:val="21"/>
                      <w:szCs w:val="21"/>
                    </w:rPr>
                  </w:pPr>
                  <w:r>
                    <w:rPr>
                      <w:rFonts w:hint="default"/>
                      <w:sz w:val="21"/>
                      <w:szCs w:val="21"/>
                    </w:rPr>
                    <w:t>□雨水排放</w:t>
                  </w:r>
                </w:p>
                <w:p w14:paraId="5566259E">
                  <w:pPr>
                    <w:pStyle w:val="2"/>
                    <w:keepNext w:val="0"/>
                    <w:keepLines w:val="0"/>
                    <w:suppressLineNumbers w:val="0"/>
                    <w:spacing w:before="0" w:beforeAutospacing="0" w:after="0"/>
                    <w:ind w:left="0" w:right="0"/>
                    <w:jc w:val="center"/>
                    <w:rPr>
                      <w:rFonts w:hint="default"/>
                      <w:sz w:val="21"/>
                      <w:szCs w:val="21"/>
                    </w:rPr>
                  </w:pPr>
                  <w:r>
                    <w:rPr>
                      <w:rFonts w:hint="default"/>
                      <w:sz w:val="21"/>
                      <w:szCs w:val="21"/>
                    </w:rPr>
                    <w:t>□清净下水排放</w:t>
                  </w:r>
                </w:p>
                <w:p w14:paraId="7D8FEBC3">
                  <w:pPr>
                    <w:pStyle w:val="2"/>
                    <w:keepNext w:val="0"/>
                    <w:keepLines w:val="0"/>
                    <w:suppressLineNumbers w:val="0"/>
                    <w:spacing w:before="0" w:beforeAutospacing="0" w:after="0"/>
                    <w:ind w:left="0" w:right="0"/>
                    <w:jc w:val="center"/>
                    <w:rPr>
                      <w:rFonts w:hint="default"/>
                      <w:sz w:val="21"/>
                      <w:szCs w:val="21"/>
                    </w:rPr>
                  </w:pPr>
                  <w:r>
                    <w:rPr>
                      <w:rFonts w:hint="default"/>
                      <w:sz w:val="21"/>
                      <w:szCs w:val="21"/>
                    </w:rPr>
                    <w:t>□温排水排放</w:t>
                  </w:r>
                </w:p>
                <w:p w14:paraId="09E5FC73">
                  <w:pPr>
                    <w:pStyle w:val="2"/>
                    <w:keepNext w:val="0"/>
                    <w:keepLines w:val="0"/>
                    <w:suppressLineNumbers w:val="0"/>
                    <w:spacing w:before="0" w:beforeAutospacing="0" w:after="0"/>
                    <w:ind w:left="0" w:right="0"/>
                    <w:jc w:val="center"/>
                    <w:rPr>
                      <w:rFonts w:hint="default"/>
                      <w:sz w:val="21"/>
                      <w:szCs w:val="21"/>
                    </w:rPr>
                  </w:pPr>
                  <w:r>
                    <w:rPr>
                      <w:rFonts w:hint="default"/>
                      <w:sz w:val="21"/>
                      <w:szCs w:val="21"/>
                    </w:rPr>
                    <w:t>□车间或车间处理设施排放口</w:t>
                  </w:r>
                </w:p>
              </w:tc>
            </w:tr>
          </w:tbl>
          <w:p w14:paraId="1652979F">
            <w:pPr>
              <w:pStyle w:val="8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textAlignment w:val="auto"/>
              <w:rPr>
                <w:rFonts w:hint="default" w:ascii="Times New Roman" w:hAnsi="Times New Roman" w:eastAsia="宋体" w:cs="Times New Roman"/>
                <w:bCs/>
                <w:color w:val="000000" w:themeColor="text1"/>
                <w:spacing w:val="0"/>
                <w:w w:val="100"/>
                <w:position w:val="0"/>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w w:val="100"/>
                <w:position w:val="0"/>
                <w:sz w:val="24"/>
                <w:szCs w:val="24"/>
                <w:highlight w:val="none"/>
                <w:u w:val="none" w:color="auto"/>
                <w:lang w:val="en-US" w:eastAsia="zh-CN"/>
                <w14:textFill>
                  <w14:solidFill>
                    <w14:schemeClr w14:val="tx1"/>
                  </w14:solidFill>
                </w14:textFill>
              </w:rPr>
              <w:t>本项目废水排放口基本情况见表4-</w:t>
            </w:r>
            <w:r>
              <w:rPr>
                <w:rFonts w:hint="eastAsia" w:eastAsia="宋体" w:cs="Times New Roman"/>
                <w:bCs/>
                <w:color w:val="000000" w:themeColor="text1"/>
                <w:spacing w:val="0"/>
                <w:w w:val="100"/>
                <w:position w:val="0"/>
                <w:sz w:val="24"/>
                <w:szCs w:val="24"/>
                <w:highlight w:val="none"/>
                <w:u w:val="none" w:color="auto"/>
                <w:lang w:val="en-US" w:eastAsia="zh-CN"/>
                <w14:textFill>
                  <w14:solidFill>
                    <w14:schemeClr w14:val="tx1"/>
                  </w14:solidFill>
                </w14:textFill>
              </w:rPr>
              <w:t>10：</w:t>
            </w:r>
          </w:p>
          <w:p w14:paraId="32A6D886">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表4-</w:t>
            </w:r>
            <w:r>
              <w:rPr>
                <w:rFonts w:hint="eastAsia" w:cs="Times New Roman"/>
                <w:color w:val="000000" w:themeColor="text1"/>
                <w:spacing w:val="0"/>
                <w:w w:val="100"/>
                <w:position w:val="0"/>
                <w:sz w:val="24"/>
                <w:szCs w:val="24"/>
                <w:highlight w:val="none"/>
                <w:u w:val="none" w:color="auto"/>
                <w:lang w:val="en-US" w:eastAsia="zh-CN"/>
                <w14:textFill>
                  <w14:solidFill>
                    <w14:schemeClr w14:val="tx1"/>
                  </w14:solidFill>
                </w14:textFill>
              </w:rPr>
              <w:t>10</w:t>
            </w: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 xml:space="preserve">   </w:t>
            </w:r>
            <w:r>
              <w:rPr>
                <w:rFonts w:hint="eastAsia" w:cs="Times New Roman"/>
                <w:color w:val="000000" w:themeColor="text1"/>
                <w:spacing w:val="0"/>
                <w:w w:val="100"/>
                <w:position w:val="0"/>
                <w:sz w:val="24"/>
                <w:szCs w:val="24"/>
                <w:highlight w:val="none"/>
                <w:u w:val="none" w:color="auto"/>
                <w:lang w:val="en-US" w:eastAsia="zh-CN"/>
                <w14:textFill>
                  <w14:solidFill>
                    <w14:schemeClr w14:val="tx1"/>
                  </w14:solidFill>
                </w14:textFill>
              </w:rPr>
              <w:t>本</w:t>
            </w: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项目废水间接排放口基本情况表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123"/>
              <w:gridCol w:w="1082"/>
              <w:gridCol w:w="734"/>
              <w:gridCol w:w="573"/>
              <w:gridCol w:w="431"/>
              <w:gridCol w:w="679"/>
              <w:gridCol w:w="1104"/>
              <w:gridCol w:w="802"/>
              <w:gridCol w:w="1420"/>
            </w:tblGrid>
            <w:tr w14:paraId="050E4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tcBorders>
                    <w:tl2br w:val="nil"/>
                    <w:tr2bl w:val="nil"/>
                  </w:tcBorders>
                  <w:noWrap w:val="0"/>
                  <w:vAlign w:val="center"/>
                </w:tcPr>
                <w:p w14:paraId="0B20E6AA">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排放口编号</w:t>
                  </w:r>
                </w:p>
              </w:tc>
              <w:tc>
                <w:tcPr>
                  <w:tcW w:w="1270" w:type="pct"/>
                  <w:gridSpan w:val="2"/>
                  <w:tcBorders>
                    <w:tl2br w:val="nil"/>
                    <w:tr2bl w:val="nil"/>
                  </w:tcBorders>
                  <w:noWrap w:val="0"/>
                  <w:vAlign w:val="center"/>
                </w:tcPr>
                <w:p w14:paraId="3234E2F3">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排放口地理</w:t>
                  </w:r>
                </w:p>
                <w:p w14:paraId="0E9949E7">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坐标</w:t>
                  </w:r>
                </w:p>
              </w:tc>
              <w:tc>
                <w:tcPr>
                  <w:tcW w:w="423" w:type="pct"/>
                  <w:vMerge w:val="restart"/>
                  <w:tcBorders>
                    <w:tl2br w:val="nil"/>
                    <w:tr2bl w:val="nil"/>
                  </w:tcBorders>
                  <w:noWrap w:val="0"/>
                  <w:vAlign w:val="center"/>
                </w:tcPr>
                <w:p w14:paraId="213A6D5C">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废水排放量（t/a）</w:t>
                  </w:r>
                </w:p>
              </w:tc>
              <w:tc>
                <w:tcPr>
                  <w:tcW w:w="330" w:type="pct"/>
                  <w:vMerge w:val="restart"/>
                  <w:tcBorders>
                    <w:tl2br w:val="nil"/>
                    <w:tr2bl w:val="nil"/>
                  </w:tcBorders>
                  <w:noWrap w:val="0"/>
                  <w:vAlign w:val="center"/>
                </w:tcPr>
                <w:p w14:paraId="583B5282">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排放去向</w:t>
                  </w:r>
                </w:p>
              </w:tc>
              <w:tc>
                <w:tcPr>
                  <w:tcW w:w="248" w:type="pct"/>
                  <w:vMerge w:val="restart"/>
                  <w:tcBorders>
                    <w:tl2br w:val="nil"/>
                    <w:tr2bl w:val="nil"/>
                  </w:tcBorders>
                  <w:noWrap w:val="0"/>
                  <w:vAlign w:val="center"/>
                </w:tcPr>
                <w:p w14:paraId="3C8E9305">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排放规律</w:t>
                  </w:r>
                </w:p>
              </w:tc>
              <w:tc>
                <w:tcPr>
                  <w:tcW w:w="391" w:type="pct"/>
                  <w:vMerge w:val="restart"/>
                  <w:tcBorders>
                    <w:tl2br w:val="nil"/>
                    <w:tr2bl w:val="nil"/>
                  </w:tcBorders>
                  <w:noWrap w:val="0"/>
                  <w:vAlign w:val="center"/>
                </w:tcPr>
                <w:p w14:paraId="7E5954F8">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间接排放时段</w:t>
                  </w:r>
                </w:p>
              </w:tc>
              <w:tc>
                <w:tcPr>
                  <w:tcW w:w="1916" w:type="pct"/>
                  <w:gridSpan w:val="3"/>
                  <w:tcBorders>
                    <w:tl2br w:val="nil"/>
                    <w:tr2bl w:val="nil"/>
                  </w:tcBorders>
                  <w:noWrap w:val="0"/>
                  <w:vAlign w:val="center"/>
                </w:tcPr>
                <w:p w14:paraId="1440CE0C">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收纳污水处理厂信息</w:t>
                  </w:r>
                </w:p>
              </w:tc>
            </w:tr>
            <w:tr w14:paraId="5E2B9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tcBorders>
                    <w:tl2br w:val="nil"/>
                    <w:tr2bl w:val="nil"/>
                  </w:tcBorders>
                  <w:noWrap w:val="0"/>
                  <w:vAlign w:val="center"/>
                </w:tcPr>
                <w:p w14:paraId="76B7C429">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p>
              </w:tc>
              <w:tc>
                <w:tcPr>
                  <w:tcW w:w="647" w:type="pct"/>
                  <w:tcBorders>
                    <w:tl2br w:val="nil"/>
                    <w:tr2bl w:val="nil"/>
                  </w:tcBorders>
                  <w:noWrap w:val="0"/>
                  <w:vAlign w:val="center"/>
                </w:tcPr>
                <w:p w14:paraId="777B1ABE">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经度</w:t>
                  </w:r>
                </w:p>
              </w:tc>
              <w:tc>
                <w:tcPr>
                  <w:tcW w:w="622" w:type="pct"/>
                  <w:tcBorders>
                    <w:tl2br w:val="nil"/>
                    <w:tr2bl w:val="nil"/>
                  </w:tcBorders>
                  <w:noWrap w:val="0"/>
                  <w:vAlign w:val="center"/>
                </w:tcPr>
                <w:p w14:paraId="11D16076">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纬度</w:t>
                  </w:r>
                </w:p>
              </w:tc>
              <w:tc>
                <w:tcPr>
                  <w:tcW w:w="423" w:type="pct"/>
                  <w:vMerge w:val="continue"/>
                  <w:tcBorders>
                    <w:tl2br w:val="nil"/>
                    <w:tr2bl w:val="nil"/>
                  </w:tcBorders>
                  <w:noWrap w:val="0"/>
                  <w:vAlign w:val="center"/>
                </w:tcPr>
                <w:p w14:paraId="5D646937">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p>
              </w:tc>
              <w:tc>
                <w:tcPr>
                  <w:tcW w:w="330" w:type="pct"/>
                  <w:vMerge w:val="continue"/>
                  <w:tcBorders>
                    <w:tl2br w:val="nil"/>
                    <w:tr2bl w:val="nil"/>
                  </w:tcBorders>
                  <w:noWrap w:val="0"/>
                  <w:vAlign w:val="center"/>
                </w:tcPr>
                <w:p w14:paraId="53E1274C">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p>
              </w:tc>
              <w:tc>
                <w:tcPr>
                  <w:tcW w:w="248" w:type="pct"/>
                  <w:vMerge w:val="continue"/>
                  <w:tcBorders>
                    <w:tl2br w:val="nil"/>
                    <w:tr2bl w:val="nil"/>
                  </w:tcBorders>
                  <w:noWrap w:val="0"/>
                  <w:vAlign w:val="center"/>
                </w:tcPr>
                <w:p w14:paraId="29A17FAD">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p>
              </w:tc>
              <w:tc>
                <w:tcPr>
                  <w:tcW w:w="391" w:type="pct"/>
                  <w:vMerge w:val="continue"/>
                  <w:tcBorders>
                    <w:tl2br w:val="nil"/>
                    <w:tr2bl w:val="nil"/>
                  </w:tcBorders>
                  <w:noWrap w:val="0"/>
                  <w:vAlign w:val="center"/>
                </w:tcPr>
                <w:p w14:paraId="02EEBEDA">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p>
              </w:tc>
              <w:tc>
                <w:tcPr>
                  <w:tcW w:w="636" w:type="pct"/>
                  <w:tcBorders>
                    <w:tl2br w:val="nil"/>
                    <w:tr2bl w:val="nil"/>
                  </w:tcBorders>
                  <w:noWrap w:val="0"/>
                  <w:vAlign w:val="center"/>
                </w:tcPr>
                <w:p w14:paraId="32FB649E">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名称</w:t>
                  </w:r>
                </w:p>
              </w:tc>
              <w:tc>
                <w:tcPr>
                  <w:tcW w:w="462" w:type="pct"/>
                  <w:tcBorders>
                    <w:tl2br w:val="nil"/>
                    <w:tr2bl w:val="nil"/>
                  </w:tcBorders>
                  <w:noWrap w:val="0"/>
                  <w:vAlign w:val="center"/>
                </w:tcPr>
                <w:p w14:paraId="10C2AB4B">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污染物种类</w:t>
                  </w:r>
                </w:p>
              </w:tc>
              <w:tc>
                <w:tcPr>
                  <w:tcW w:w="816" w:type="pct"/>
                  <w:tcBorders>
                    <w:tl2br w:val="nil"/>
                    <w:tr2bl w:val="nil"/>
                  </w:tcBorders>
                  <w:noWrap w:val="0"/>
                  <w:vAlign w:val="center"/>
                </w:tcPr>
                <w:p w14:paraId="42741A81">
                  <w:pPr>
                    <w:keepNext w:val="0"/>
                    <w:keepLines w:val="0"/>
                    <w:suppressLineNumbers w:val="0"/>
                    <w:adjustRightInd w:val="0"/>
                    <w:snapToGrid w:val="0"/>
                    <w:spacing w:before="0" w:beforeAutospacing="0" w:after="0" w:afterAutospacing="0"/>
                    <w:ind w:left="0" w:right="0"/>
                    <w:jc w:val="center"/>
                    <w:rPr>
                      <w:rFonts w:hint="default"/>
                      <w:b/>
                      <w:bCs/>
                      <w:color w:val="auto"/>
                      <w:szCs w:val="21"/>
                      <w:u w:val="none"/>
                    </w:rPr>
                  </w:pPr>
                  <w:r>
                    <w:rPr>
                      <w:rFonts w:hint="default"/>
                      <w:b/>
                      <w:bCs/>
                      <w:color w:val="auto"/>
                      <w:szCs w:val="21"/>
                      <w:u w:val="none"/>
                    </w:rPr>
                    <w:t>《城镇污水处理厂污染物排放标准》(GB18918—2002)一级</w:t>
                  </w:r>
                  <w:r>
                    <w:rPr>
                      <w:rFonts w:hint="eastAsia"/>
                      <w:b/>
                      <w:bCs/>
                      <w:color w:val="auto"/>
                      <w:szCs w:val="21"/>
                      <w:u w:val="none"/>
                      <w:lang w:val="en-US" w:eastAsia="zh-CN"/>
                    </w:rPr>
                    <w:t>A</w:t>
                  </w:r>
                  <w:r>
                    <w:rPr>
                      <w:rFonts w:hint="default"/>
                      <w:b/>
                      <w:bCs/>
                      <w:color w:val="auto"/>
                      <w:szCs w:val="21"/>
                      <w:u w:val="none"/>
                    </w:rPr>
                    <w:t>（mg/L）</w:t>
                  </w:r>
                </w:p>
              </w:tc>
            </w:tr>
            <w:tr w14:paraId="2D442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restart"/>
                  <w:tcBorders>
                    <w:tl2br w:val="nil"/>
                    <w:tr2bl w:val="nil"/>
                  </w:tcBorders>
                  <w:noWrap w:val="0"/>
                  <w:vAlign w:val="center"/>
                </w:tcPr>
                <w:p w14:paraId="28201F53">
                  <w:pPr>
                    <w:keepNext w:val="0"/>
                    <w:keepLines w:val="0"/>
                    <w:suppressLineNumbers w:val="0"/>
                    <w:adjustRightInd w:val="0"/>
                    <w:snapToGrid w:val="0"/>
                    <w:spacing w:before="0" w:beforeAutospacing="0" w:after="0" w:afterAutospacing="0"/>
                    <w:ind w:left="0" w:right="0"/>
                    <w:jc w:val="center"/>
                    <w:rPr>
                      <w:rFonts w:hint="default"/>
                      <w:color w:val="auto"/>
                      <w:highlight w:val="none"/>
                      <w:u w:val="none"/>
                    </w:rPr>
                  </w:pPr>
                  <w:r>
                    <w:rPr>
                      <w:rFonts w:hint="default"/>
                      <w:color w:val="auto"/>
                      <w:szCs w:val="21"/>
                      <w:highlight w:val="none"/>
                      <w:u w:val="none"/>
                    </w:rPr>
                    <w:t>DW001</w:t>
                  </w:r>
                </w:p>
              </w:tc>
              <w:tc>
                <w:tcPr>
                  <w:tcW w:w="1123" w:type="dxa"/>
                  <w:vMerge w:val="restart"/>
                  <w:tcBorders>
                    <w:tl2br w:val="nil"/>
                    <w:tr2bl w:val="nil"/>
                  </w:tcBorders>
                  <w:noWrap w:val="0"/>
                  <w:vAlign w:val="center"/>
                </w:tcPr>
                <w:p w14:paraId="508961FB">
                  <w:pPr>
                    <w:keepNext w:val="0"/>
                    <w:keepLines w:val="0"/>
                    <w:suppressLineNumbers w:val="0"/>
                    <w:adjustRightInd w:val="0"/>
                    <w:snapToGrid w:val="0"/>
                    <w:spacing w:before="0" w:beforeAutospacing="0" w:after="0" w:afterAutospacing="0"/>
                    <w:ind w:left="0" w:right="0"/>
                    <w:jc w:val="center"/>
                    <w:rPr>
                      <w:rFonts w:hint="default"/>
                      <w:color w:val="auto"/>
                      <w:highlight w:val="none"/>
                      <w:u w:val="none"/>
                      <w:lang w:val="en-US"/>
                    </w:rPr>
                  </w:pPr>
                  <w:r>
                    <w:rPr>
                      <w:rFonts w:hint="default"/>
                      <w:color w:val="auto"/>
                      <w:szCs w:val="21"/>
                      <w:highlight w:val="none"/>
                      <w:u w:val="none"/>
                      <w:lang w:val="en-US" w:eastAsia="zh-CN"/>
                    </w:rPr>
                    <w:t>E113°14′14.98519″,</w:t>
                  </w:r>
                </w:p>
              </w:tc>
              <w:tc>
                <w:tcPr>
                  <w:tcW w:w="1082" w:type="dxa"/>
                  <w:vMerge w:val="restart"/>
                  <w:tcBorders>
                    <w:tl2br w:val="nil"/>
                    <w:tr2bl w:val="nil"/>
                  </w:tcBorders>
                  <w:noWrap w:val="0"/>
                  <w:vAlign w:val="center"/>
                </w:tcPr>
                <w:p w14:paraId="5F33CAB2">
                  <w:pPr>
                    <w:keepNext w:val="0"/>
                    <w:keepLines w:val="0"/>
                    <w:suppressLineNumbers w:val="0"/>
                    <w:adjustRightInd w:val="0"/>
                    <w:snapToGrid w:val="0"/>
                    <w:spacing w:before="0" w:beforeAutospacing="0" w:after="0" w:afterAutospacing="0"/>
                    <w:ind w:left="0" w:right="0"/>
                    <w:jc w:val="center"/>
                    <w:rPr>
                      <w:rFonts w:hint="default"/>
                      <w:color w:val="auto"/>
                      <w:highlight w:val="none"/>
                      <w:u w:val="none"/>
                      <w:lang w:val="en-US"/>
                    </w:rPr>
                  </w:pPr>
                  <w:r>
                    <w:rPr>
                      <w:rFonts w:hint="default"/>
                      <w:color w:val="auto"/>
                      <w:szCs w:val="21"/>
                      <w:highlight w:val="none"/>
                      <w:u w:val="none"/>
                      <w:lang w:val="en-US" w:eastAsia="zh-CN"/>
                    </w:rPr>
                    <w:t>N29°28′15.64910″</w:t>
                  </w:r>
                </w:p>
              </w:tc>
              <w:tc>
                <w:tcPr>
                  <w:tcW w:w="423" w:type="pct"/>
                  <w:vMerge w:val="restart"/>
                  <w:tcBorders>
                    <w:tl2br w:val="nil"/>
                    <w:tr2bl w:val="nil"/>
                  </w:tcBorders>
                  <w:noWrap w:val="0"/>
                  <w:vAlign w:val="center"/>
                </w:tcPr>
                <w:p w14:paraId="496DFB5A">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u w:val="none"/>
                      <w:lang w:val="en-US" w:eastAsia="zh-CN"/>
                      <w14:textFill>
                        <w14:solidFill>
                          <w14:schemeClr w14:val="tx1"/>
                        </w14:solidFill>
                      </w14:textFill>
                    </w:rPr>
                  </w:pPr>
                  <w:r>
                    <w:rPr>
                      <w:rFonts w:hint="eastAsia"/>
                      <w:color w:val="000000" w:themeColor="text1"/>
                      <w:szCs w:val="21"/>
                      <w:highlight w:val="none"/>
                      <w:u w:val="none"/>
                      <w:lang w:val="en-US" w:eastAsia="zh-CN"/>
                      <w14:textFill>
                        <w14:solidFill>
                          <w14:schemeClr w14:val="tx1"/>
                        </w14:solidFill>
                      </w14:textFill>
                    </w:rPr>
                    <w:t>140</w:t>
                  </w:r>
                </w:p>
              </w:tc>
              <w:tc>
                <w:tcPr>
                  <w:tcW w:w="330" w:type="pct"/>
                  <w:vMerge w:val="restart"/>
                  <w:tcBorders>
                    <w:tl2br w:val="nil"/>
                    <w:tr2bl w:val="nil"/>
                  </w:tcBorders>
                  <w:noWrap w:val="0"/>
                  <w:vAlign w:val="center"/>
                </w:tcPr>
                <w:p w14:paraId="4AAB705D">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Cs w:val="21"/>
                      <w:highlight w:val="none"/>
                      <w:u w:val="none"/>
                      <w:lang w:eastAsia="zh-CN"/>
                      <w14:textFill>
                        <w14:solidFill>
                          <w14:schemeClr w14:val="tx1"/>
                        </w14:solidFill>
                      </w14:textFill>
                    </w:rPr>
                  </w:pPr>
                  <w:r>
                    <w:rPr>
                      <w:rFonts w:hint="eastAsia"/>
                      <w:color w:val="000000" w:themeColor="text1"/>
                      <w:szCs w:val="21"/>
                      <w:highlight w:val="none"/>
                      <w:u w:val="none"/>
                      <w:lang w:eastAsia="zh-CN"/>
                      <w14:textFill>
                        <w14:solidFill>
                          <w14:schemeClr w14:val="tx1"/>
                        </w14:solidFill>
                      </w14:textFill>
                    </w:rPr>
                    <w:t>污水处理厂</w:t>
                  </w:r>
                </w:p>
              </w:tc>
              <w:tc>
                <w:tcPr>
                  <w:tcW w:w="248" w:type="pct"/>
                  <w:vMerge w:val="restart"/>
                  <w:tcBorders>
                    <w:tl2br w:val="nil"/>
                    <w:tr2bl w:val="nil"/>
                  </w:tcBorders>
                  <w:noWrap w:val="0"/>
                  <w:vAlign w:val="center"/>
                </w:tcPr>
                <w:p w14:paraId="72211C0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highlight w:val="none"/>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间断</w:t>
                  </w:r>
                </w:p>
                <w:p w14:paraId="00D13DA3">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r>
                    <w:rPr>
                      <w:rFonts w:hint="default"/>
                      <w:color w:val="000000" w:themeColor="text1"/>
                      <w:szCs w:val="21"/>
                      <w:highlight w:val="none"/>
                      <w:u w:val="none"/>
                      <w14:textFill>
                        <w14:solidFill>
                          <w14:schemeClr w14:val="tx1"/>
                        </w14:solidFill>
                      </w14:textFill>
                    </w:rPr>
                    <w:t>排放</w:t>
                  </w:r>
                </w:p>
              </w:tc>
              <w:tc>
                <w:tcPr>
                  <w:tcW w:w="391" w:type="pct"/>
                  <w:vMerge w:val="restart"/>
                  <w:tcBorders>
                    <w:tl2br w:val="nil"/>
                    <w:tr2bl w:val="nil"/>
                  </w:tcBorders>
                  <w:noWrap w:val="0"/>
                  <w:vAlign w:val="center"/>
                </w:tcPr>
                <w:p w14:paraId="0366AF96">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r>
                    <w:rPr>
                      <w:rFonts w:hint="eastAsia"/>
                      <w:color w:val="000000" w:themeColor="text1"/>
                      <w:szCs w:val="21"/>
                      <w:highlight w:val="none"/>
                      <w:u w:val="none"/>
                      <w:lang w:eastAsia="zh-CN"/>
                      <w14:textFill>
                        <w14:solidFill>
                          <w14:schemeClr w14:val="tx1"/>
                        </w14:solidFill>
                      </w14:textFill>
                    </w:rPr>
                    <w:t>工作时间排放</w:t>
                  </w:r>
                </w:p>
              </w:tc>
              <w:tc>
                <w:tcPr>
                  <w:tcW w:w="636" w:type="pct"/>
                  <w:vMerge w:val="restart"/>
                  <w:tcBorders>
                    <w:tl2br w:val="nil"/>
                    <w:tr2bl w:val="nil"/>
                  </w:tcBorders>
                  <w:noWrap w:val="0"/>
                  <w:vAlign w:val="center"/>
                </w:tcPr>
                <w:p w14:paraId="36D9AF1F">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Cs w:val="21"/>
                      <w:highlight w:val="none"/>
                      <w:u w:val="none"/>
                      <w:lang w:eastAsia="zh-CN"/>
                      <w14:textFill>
                        <w14:solidFill>
                          <w14:schemeClr w14:val="tx1"/>
                        </w14:solidFill>
                      </w14:textFill>
                    </w:rPr>
                  </w:pPr>
                  <w:r>
                    <w:rPr>
                      <w:rFonts w:hint="eastAsia"/>
                      <w:color w:val="000000" w:themeColor="text1"/>
                      <w:sz w:val="21"/>
                      <w:szCs w:val="21"/>
                      <w:highlight w:val="none"/>
                      <w:u w:val="none"/>
                      <w14:textFill>
                        <w14:solidFill>
                          <w14:schemeClr w14:val="tx1"/>
                        </w14:solidFill>
                      </w14:textFill>
                    </w:rPr>
                    <w:t>湖南城陵矶临港产业新区污水处理厂</w:t>
                  </w:r>
                </w:p>
              </w:tc>
              <w:tc>
                <w:tcPr>
                  <w:tcW w:w="462" w:type="pct"/>
                  <w:tcBorders>
                    <w:tl2br w:val="nil"/>
                    <w:tr2bl w:val="nil"/>
                  </w:tcBorders>
                  <w:noWrap w:val="0"/>
                  <w:vAlign w:val="center"/>
                </w:tcPr>
                <w:p w14:paraId="195AB8F5">
                  <w:pPr>
                    <w:keepNext w:val="0"/>
                    <w:keepLines w:val="0"/>
                    <w:widowControl/>
                    <w:suppressLineNumbers w:val="0"/>
                    <w:spacing w:before="0" w:beforeAutospacing="0" w:after="0" w:afterAutospacing="0"/>
                    <w:ind w:left="0" w:right="0"/>
                    <w:jc w:val="center"/>
                    <w:textAlignment w:val="center"/>
                    <w:rPr>
                      <w:rFonts w:hint="default"/>
                      <w:b w:val="0"/>
                      <w:bCs w:val="0"/>
                      <w:color w:val="000000" w:themeColor="text1"/>
                      <w:szCs w:val="21"/>
                      <w:highlight w:val="none"/>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COD</w:t>
                  </w:r>
                </w:p>
              </w:tc>
              <w:tc>
                <w:tcPr>
                  <w:tcW w:w="816" w:type="pct"/>
                  <w:tcBorders>
                    <w:tl2br w:val="nil"/>
                    <w:tr2bl w:val="nil"/>
                  </w:tcBorders>
                  <w:noWrap w:val="0"/>
                  <w:vAlign w:val="center"/>
                </w:tcPr>
                <w:p w14:paraId="402C5DE2">
                  <w:pPr>
                    <w:keepNext w:val="0"/>
                    <w:keepLines w:val="0"/>
                    <w:widowControl/>
                    <w:suppressLineNumbers w:val="0"/>
                    <w:spacing w:before="0" w:beforeAutospacing="0" w:after="0" w:afterAutospacing="0"/>
                    <w:ind w:left="0" w:right="0"/>
                    <w:jc w:val="center"/>
                    <w:textAlignment w:val="center"/>
                    <w:rPr>
                      <w:rFonts w:hint="default" w:eastAsia="宋体"/>
                      <w:b w:val="0"/>
                      <w:bCs w:val="0"/>
                      <w:color w:val="000000" w:themeColor="text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50</w:t>
                  </w:r>
                </w:p>
              </w:tc>
            </w:tr>
            <w:tr w14:paraId="4CDC4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tcBorders>
                    <w:tl2br w:val="nil"/>
                    <w:tr2bl w:val="nil"/>
                  </w:tcBorders>
                  <w:noWrap w:val="0"/>
                  <w:vAlign w:val="center"/>
                </w:tcPr>
                <w:p w14:paraId="470F83AC">
                  <w:pPr>
                    <w:keepNext w:val="0"/>
                    <w:keepLines w:val="0"/>
                    <w:suppressLineNumbers w:val="0"/>
                    <w:adjustRightInd w:val="0"/>
                    <w:snapToGrid w:val="0"/>
                    <w:spacing w:before="0" w:beforeAutospacing="0" w:after="0" w:afterAutospacing="0"/>
                    <w:ind w:left="0" w:right="0"/>
                    <w:jc w:val="center"/>
                    <w:rPr>
                      <w:rFonts w:hint="default"/>
                      <w:color w:val="auto"/>
                      <w:szCs w:val="21"/>
                      <w:u w:val="none"/>
                    </w:rPr>
                  </w:pPr>
                </w:p>
              </w:tc>
              <w:tc>
                <w:tcPr>
                  <w:tcW w:w="647" w:type="pct"/>
                  <w:vMerge w:val="continue"/>
                  <w:tcBorders>
                    <w:tl2br w:val="nil"/>
                    <w:tr2bl w:val="nil"/>
                  </w:tcBorders>
                  <w:noWrap w:val="0"/>
                  <w:vAlign w:val="center"/>
                </w:tcPr>
                <w:p w14:paraId="053008A5">
                  <w:pPr>
                    <w:keepNext w:val="0"/>
                    <w:keepLines w:val="0"/>
                    <w:suppressLineNumbers w:val="0"/>
                    <w:adjustRightInd w:val="0"/>
                    <w:snapToGrid w:val="0"/>
                    <w:spacing w:before="0" w:beforeAutospacing="0" w:after="0" w:afterAutospacing="0"/>
                    <w:ind w:left="0" w:right="0"/>
                    <w:jc w:val="center"/>
                    <w:rPr>
                      <w:rFonts w:hint="default"/>
                      <w:color w:val="auto"/>
                      <w:szCs w:val="21"/>
                      <w:u w:val="none"/>
                    </w:rPr>
                  </w:pPr>
                </w:p>
              </w:tc>
              <w:tc>
                <w:tcPr>
                  <w:tcW w:w="622" w:type="pct"/>
                  <w:vMerge w:val="continue"/>
                  <w:tcBorders>
                    <w:tl2br w:val="nil"/>
                    <w:tr2bl w:val="nil"/>
                  </w:tcBorders>
                  <w:noWrap w:val="0"/>
                  <w:vAlign w:val="center"/>
                </w:tcPr>
                <w:p w14:paraId="42415293">
                  <w:pPr>
                    <w:keepNext w:val="0"/>
                    <w:keepLines w:val="0"/>
                    <w:suppressLineNumbers w:val="0"/>
                    <w:adjustRightInd w:val="0"/>
                    <w:snapToGrid w:val="0"/>
                    <w:spacing w:before="0" w:beforeAutospacing="0" w:after="0" w:afterAutospacing="0"/>
                    <w:ind w:left="0" w:right="0"/>
                    <w:jc w:val="center"/>
                    <w:rPr>
                      <w:rFonts w:hint="default"/>
                      <w:color w:val="auto"/>
                      <w:szCs w:val="21"/>
                      <w:u w:val="none"/>
                    </w:rPr>
                  </w:pPr>
                </w:p>
              </w:tc>
              <w:tc>
                <w:tcPr>
                  <w:tcW w:w="423" w:type="pct"/>
                  <w:vMerge w:val="continue"/>
                  <w:tcBorders>
                    <w:tl2br w:val="nil"/>
                    <w:tr2bl w:val="nil"/>
                  </w:tcBorders>
                  <w:noWrap w:val="0"/>
                  <w:vAlign w:val="center"/>
                </w:tcPr>
                <w:p w14:paraId="6519DF1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u w:val="none"/>
                      <w14:textFill>
                        <w14:solidFill>
                          <w14:schemeClr w14:val="tx1"/>
                        </w14:solidFill>
                      </w14:textFill>
                    </w:rPr>
                  </w:pPr>
                </w:p>
              </w:tc>
              <w:tc>
                <w:tcPr>
                  <w:tcW w:w="330" w:type="pct"/>
                  <w:vMerge w:val="continue"/>
                  <w:tcBorders>
                    <w:tl2br w:val="nil"/>
                    <w:tr2bl w:val="nil"/>
                  </w:tcBorders>
                  <w:noWrap w:val="0"/>
                  <w:vAlign w:val="center"/>
                </w:tcPr>
                <w:p w14:paraId="1FB98978">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u w:val="none"/>
                      <w14:textFill>
                        <w14:solidFill>
                          <w14:schemeClr w14:val="tx1"/>
                        </w14:solidFill>
                      </w14:textFill>
                    </w:rPr>
                  </w:pPr>
                </w:p>
              </w:tc>
              <w:tc>
                <w:tcPr>
                  <w:tcW w:w="248" w:type="pct"/>
                  <w:vMerge w:val="continue"/>
                  <w:tcBorders>
                    <w:tl2br w:val="nil"/>
                    <w:tr2bl w:val="nil"/>
                  </w:tcBorders>
                  <w:noWrap w:val="0"/>
                  <w:vAlign w:val="center"/>
                </w:tcPr>
                <w:p w14:paraId="079C1425">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u w:val="none"/>
                      <w14:textFill>
                        <w14:solidFill>
                          <w14:schemeClr w14:val="tx1"/>
                        </w14:solidFill>
                      </w14:textFill>
                    </w:rPr>
                  </w:pPr>
                </w:p>
              </w:tc>
              <w:tc>
                <w:tcPr>
                  <w:tcW w:w="391" w:type="pct"/>
                  <w:vMerge w:val="continue"/>
                  <w:tcBorders>
                    <w:tl2br w:val="nil"/>
                    <w:tr2bl w:val="nil"/>
                  </w:tcBorders>
                  <w:noWrap w:val="0"/>
                  <w:vAlign w:val="center"/>
                </w:tcPr>
                <w:p w14:paraId="2A795192">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u w:val="none"/>
                      <w14:textFill>
                        <w14:solidFill>
                          <w14:schemeClr w14:val="tx1"/>
                        </w14:solidFill>
                      </w14:textFill>
                    </w:rPr>
                  </w:pPr>
                </w:p>
              </w:tc>
              <w:tc>
                <w:tcPr>
                  <w:tcW w:w="636" w:type="pct"/>
                  <w:vMerge w:val="continue"/>
                  <w:tcBorders>
                    <w:tl2br w:val="nil"/>
                    <w:tr2bl w:val="nil"/>
                  </w:tcBorders>
                  <w:noWrap w:val="0"/>
                  <w:vAlign w:val="center"/>
                </w:tcPr>
                <w:p w14:paraId="6F38BF69">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u w:val="none"/>
                      <w14:textFill>
                        <w14:solidFill>
                          <w14:schemeClr w14:val="tx1"/>
                        </w14:solidFill>
                      </w14:textFill>
                    </w:rPr>
                  </w:pPr>
                </w:p>
              </w:tc>
              <w:tc>
                <w:tcPr>
                  <w:tcW w:w="462" w:type="pct"/>
                  <w:tcBorders>
                    <w:tl2br w:val="nil"/>
                    <w:tr2bl w:val="nil"/>
                  </w:tcBorders>
                  <w:noWrap w:val="0"/>
                  <w:vAlign w:val="center"/>
                </w:tcPr>
                <w:p w14:paraId="61678995">
                  <w:pPr>
                    <w:keepNext w:val="0"/>
                    <w:keepLines w:val="0"/>
                    <w:widowControl/>
                    <w:suppressLineNumbers w:val="0"/>
                    <w:spacing w:before="0" w:beforeAutospacing="0" w:after="0" w:afterAutospacing="0"/>
                    <w:ind w:left="0" w:right="0"/>
                    <w:jc w:val="center"/>
                    <w:textAlignment w:val="center"/>
                    <w:rPr>
                      <w:rFonts w:hint="default"/>
                      <w:b w:val="0"/>
                      <w:bCs w:val="0"/>
                      <w:color w:val="000000" w:themeColor="text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BOD</w:t>
                  </w:r>
                  <w:r>
                    <w:rPr>
                      <w:rStyle w:val="98"/>
                      <w:rFonts w:eastAsia="宋体"/>
                      <w:b w:val="0"/>
                      <w:bCs w:val="0"/>
                      <w:color w:val="000000" w:themeColor="text1"/>
                      <w:lang w:val="en-US" w:eastAsia="zh-CN" w:bidi="ar"/>
                      <w14:textFill>
                        <w14:solidFill>
                          <w14:schemeClr w14:val="tx1"/>
                        </w14:solidFill>
                      </w14:textFill>
                    </w:rPr>
                    <w:t>5</w:t>
                  </w:r>
                </w:p>
              </w:tc>
              <w:tc>
                <w:tcPr>
                  <w:tcW w:w="816" w:type="pct"/>
                  <w:tcBorders>
                    <w:tl2br w:val="nil"/>
                    <w:tr2bl w:val="nil"/>
                  </w:tcBorders>
                  <w:noWrap w:val="0"/>
                  <w:vAlign w:val="center"/>
                </w:tcPr>
                <w:p w14:paraId="7AF314FC">
                  <w:pPr>
                    <w:keepNext w:val="0"/>
                    <w:keepLines w:val="0"/>
                    <w:widowControl/>
                    <w:suppressLineNumbers w:val="0"/>
                    <w:spacing w:before="0" w:beforeAutospacing="0" w:after="0" w:afterAutospacing="0"/>
                    <w:ind w:left="0" w:right="0"/>
                    <w:jc w:val="center"/>
                    <w:textAlignment w:val="center"/>
                    <w:rPr>
                      <w:rFonts w:hint="default" w:eastAsia="宋体"/>
                      <w:b w:val="0"/>
                      <w:bCs w:val="0"/>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10</w:t>
                  </w:r>
                </w:p>
              </w:tc>
            </w:tr>
            <w:tr w14:paraId="103BB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tcBorders>
                    <w:tl2br w:val="nil"/>
                    <w:tr2bl w:val="nil"/>
                  </w:tcBorders>
                  <w:noWrap w:val="0"/>
                  <w:vAlign w:val="center"/>
                </w:tcPr>
                <w:p w14:paraId="665B06E4">
                  <w:pPr>
                    <w:keepNext w:val="0"/>
                    <w:keepLines w:val="0"/>
                    <w:suppressLineNumbers w:val="0"/>
                    <w:adjustRightInd w:val="0"/>
                    <w:snapToGrid w:val="0"/>
                    <w:spacing w:before="0" w:beforeAutospacing="0" w:after="0" w:afterAutospacing="0"/>
                    <w:ind w:left="0" w:right="0"/>
                    <w:jc w:val="center"/>
                    <w:rPr>
                      <w:rFonts w:hint="default" w:eastAsia="宋体"/>
                      <w:color w:val="auto"/>
                      <w:szCs w:val="21"/>
                      <w:u w:val="none"/>
                      <w:lang w:val="en-US" w:eastAsia="zh-CN"/>
                    </w:rPr>
                  </w:pPr>
                </w:p>
              </w:tc>
              <w:tc>
                <w:tcPr>
                  <w:tcW w:w="647" w:type="pct"/>
                  <w:vMerge w:val="continue"/>
                  <w:tcBorders>
                    <w:tl2br w:val="nil"/>
                    <w:tr2bl w:val="nil"/>
                  </w:tcBorders>
                  <w:noWrap w:val="0"/>
                  <w:vAlign w:val="center"/>
                </w:tcPr>
                <w:p w14:paraId="49F765E2">
                  <w:pPr>
                    <w:keepNext w:val="0"/>
                    <w:keepLines w:val="0"/>
                    <w:suppressLineNumbers w:val="0"/>
                    <w:adjustRightInd w:val="0"/>
                    <w:snapToGrid w:val="0"/>
                    <w:spacing w:before="0" w:beforeAutospacing="0" w:after="0" w:afterAutospacing="0"/>
                    <w:ind w:left="0" w:right="0"/>
                    <w:jc w:val="center"/>
                    <w:rPr>
                      <w:rFonts w:hint="default"/>
                      <w:color w:val="auto"/>
                      <w:szCs w:val="21"/>
                      <w:u w:val="none"/>
                    </w:rPr>
                  </w:pPr>
                </w:p>
              </w:tc>
              <w:tc>
                <w:tcPr>
                  <w:tcW w:w="622" w:type="pct"/>
                  <w:vMerge w:val="continue"/>
                  <w:tcBorders>
                    <w:tl2br w:val="nil"/>
                    <w:tr2bl w:val="nil"/>
                  </w:tcBorders>
                  <w:noWrap w:val="0"/>
                  <w:vAlign w:val="center"/>
                </w:tcPr>
                <w:p w14:paraId="3BEC8822">
                  <w:pPr>
                    <w:keepNext w:val="0"/>
                    <w:keepLines w:val="0"/>
                    <w:suppressLineNumbers w:val="0"/>
                    <w:adjustRightInd w:val="0"/>
                    <w:snapToGrid w:val="0"/>
                    <w:spacing w:before="0" w:beforeAutospacing="0" w:after="0" w:afterAutospacing="0"/>
                    <w:ind w:left="0" w:right="0"/>
                    <w:jc w:val="center"/>
                    <w:rPr>
                      <w:rFonts w:hint="default"/>
                      <w:color w:val="auto"/>
                      <w:szCs w:val="21"/>
                      <w:u w:val="none"/>
                    </w:rPr>
                  </w:pPr>
                </w:p>
              </w:tc>
              <w:tc>
                <w:tcPr>
                  <w:tcW w:w="423" w:type="pct"/>
                  <w:vMerge w:val="continue"/>
                  <w:tcBorders>
                    <w:tl2br w:val="nil"/>
                    <w:tr2bl w:val="nil"/>
                  </w:tcBorders>
                  <w:noWrap w:val="0"/>
                  <w:vAlign w:val="center"/>
                </w:tcPr>
                <w:p w14:paraId="56B0B7F5">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Cs w:val="21"/>
                      <w:u w:val="none"/>
                      <w:lang w:val="en-US" w:eastAsia="zh-CN"/>
                      <w14:textFill>
                        <w14:solidFill>
                          <w14:schemeClr w14:val="tx1"/>
                        </w14:solidFill>
                      </w14:textFill>
                    </w:rPr>
                  </w:pPr>
                </w:p>
              </w:tc>
              <w:tc>
                <w:tcPr>
                  <w:tcW w:w="330" w:type="pct"/>
                  <w:vMerge w:val="continue"/>
                  <w:tcBorders>
                    <w:tl2br w:val="nil"/>
                    <w:tr2bl w:val="nil"/>
                  </w:tcBorders>
                  <w:noWrap w:val="0"/>
                  <w:vAlign w:val="center"/>
                </w:tcPr>
                <w:p w14:paraId="3DD1F51C">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u w:val="none"/>
                      <w14:textFill>
                        <w14:solidFill>
                          <w14:schemeClr w14:val="tx1"/>
                        </w14:solidFill>
                      </w14:textFill>
                    </w:rPr>
                  </w:pPr>
                </w:p>
              </w:tc>
              <w:tc>
                <w:tcPr>
                  <w:tcW w:w="248" w:type="pct"/>
                  <w:vMerge w:val="continue"/>
                  <w:tcBorders>
                    <w:tl2br w:val="nil"/>
                    <w:tr2bl w:val="nil"/>
                  </w:tcBorders>
                  <w:noWrap w:val="0"/>
                  <w:vAlign w:val="center"/>
                </w:tcPr>
                <w:p w14:paraId="23BF53DF">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u w:val="none"/>
                      <w14:textFill>
                        <w14:solidFill>
                          <w14:schemeClr w14:val="tx1"/>
                        </w14:solidFill>
                      </w14:textFill>
                    </w:rPr>
                  </w:pPr>
                </w:p>
              </w:tc>
              <w:tc>
                <w:tcPr>
                  <w:tcW w:w="391" w:type="pct"/>
                  <w:vMerge w:val="continue"/>
                  <w:tcBorders>
                    <w:tl2br w:val="nil"/>
                    <w:tr2bl w:val="nil"/>
                  </w:tcBorders>
                  <w:noWrap w:val="0"/>
                  <w:vAlign w:val="center"/>
                </w:tcPr>
                <w:p w14:paraId="3B8B77F4">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u w:val="none"/>
                      <w14:textFill>
                        <w14:solidFill>
                          <w14:schemeClr w14:val="tx1"/>
                        </w14:solidFill>
                      </w14:textFill>
                    </w:rPr>
                  </w:pPr>
                </w:p>
              </w:tc>
              <w:tc>
                <w:tcPr>
                  <w:tcW w:w="636" w:type="pct"/>
                  <w:vMerge w:val="continue"/>
                  <w:tcBorders>
                    <w:tl2br w:val="nil"/>
                    <w:tr2bl w:val="nil"/>
                  </w:tcBorders>
                  <w:noWrap w:val="0"/>
                  <w:vAlign w:val="center"/>
                </w:tcPr>
                <w:p w14:paraId="4BD118F0">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u w:val="none"/>
                      <w14:textFill>
                        <w14:solidFill>
                          <w14:schemeClr w14:val="tx1"/>
                        </w14:solidFill>
                      </w14:textFill>
                    </w:rPr>
                  </w:pPr>
                </w:p>
              </w:tc>
              <w:tc>
                <w:tcPr>
                  <w:tcW w:w="462" w:type="pct"/>
                  <w:tcBorders>
                    <w:tl2br w:val="nil"/>
                    <w:tr2bl w:val="nil"/>
                  </w:tcBorders>
                  <w:noWrap w:val="0"/>
                  <w:vAlign w:val="center"/>
                </w:tcPr>
                <w:p w14:paraId="01B6AF0F">
                  <w:pPr>
                    <w:keepNext w:val="0"/>
                    <w:keepLines w:val="0"/>
                    <w:widowControl/>
                    <w:suppressLineNumbers w:val="0"/>
                    <w:spacing w:before="0" w:beforeAutospacing="0" w:after="0" w:afterAutospacing="0"/>
                    <w:ind w:left="0" w:right="0"/>
                    <w:jc w:val="center"/>
                    <w:textAlignment w:val="center"/>
                    <w:rPr>
                      <w:rFonts w:hint="eastAsia"/>
                      <w:b w:val="0"/>
                      <w:bCs w:val="0"/>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SS</w:t>
                  </w:r>
                </w:p>
              </w:tc>
              <w:tc>
                <w:tcPr>
                  <w:tcW w:w="816" w:type="pct"/>
                  <w:tcBorders>
                    <w:tl2br w:val="nil"/>
                    <w:tr2bl w:val="nil"/>
                  </w:tcBorders>
                  <w:noWrap w:val="0"/>
                  <w:vAlign w:val="center"/>
                </w:tcPr>
                <w:p w14:paraId="1996331C">
                  <w:pPr>
                    <w:keepNext w:val="0"/>
                    <w:keepLines w:val="0"/>
                    <w:widowControl/>
                    <w:suppressLineNumbers w:val="0"/>
                    <w:spacing w:before="0" w:beforeAutospacing="0" w:after="0" w:afterAutospacing="0"/>
                    <w:ind w:left="0" w:right="0"/>
                    <w:jc w:val="center"/>
                    <w:textAlignment w:val="center"/>
                    <w:rPr>
                      <w:rFonts w:hint="eastAsia" w:eastAsia="宋体"/>
                      <w:b w:val="0"/>
                      <w:bCs w:val="0"/>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10</w:t>
                  </w:r>
                </w:p>
              </w:tc>
            </w:tr>
            <w:tr w14:paraId="3DCAC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tcBorders>
                    <w:tl2br w:val="nil"/>
                    <w:tr2bl w:val="nil"/>
                  </w:tcBorders>
                  <w:noWrap w:val="0"/>
                  <w:vAlign w:val="center"/>
                </w:tcPr>
                <w:p w14:paraId="5BDE9E66">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647" w:type="pct"/>
                  <w:vMerge w:val="continue"/>
                  <w:tcBorders>
                    <w:tl2br w:val="nil"/>
                    <w:tr2bl w:val="nil"/>
                  </w:tcBorders>
                  <w:noWrap w:val="0"/>
                  <w:vAlign w:val="center"/>
                </w:tcPr>
                <w:p w14:paraId="286DEB2F">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622" w:type="pct"/>
                  <w:vMerge w:val="continue"/>
                  <w:tcBorders>
                    <w:tl2br w:val="nil"/>
                    <w:tr2bl w:val="nil"/>
                  </w:tcBorders>
                  <w:noWrap w:val="0"/>
                  <w:vAlign w:val="center"/>
                </w:tcPr>
                <w:p w14:paraId="2E588D4E">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423" w:type="pct"/>
                  <w:vMerge w:val="continue"/>
                  <w:tcBorders>
                    <w:tl2br w:val="nil"/>
                    <w:tr2bl w:val="nil"/>
                  </w:tcBorders>
                  <w:noWrap w:val="0"/>
                  <w:vAlign w:val="center"/>
                </w:tcPr>
                <w:p w14:paraId="0F16C76A">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330" w:type="pct"/>
                  <w:vMerge w:val="continue"/>
                  <w:tcBorders>
                    <w:tl2br w:val="nil"/>
                    <w:tr2bl w:val="nil"/>
                  </w:tcBorders>
                  <w:noWrap w:val="0"/>
                  <w:vAlign w:val="center"/>
                </w:tcPr>
                <w:p w14:paraId="0EAA1EF8">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248" w:type="pct"/>
                  <w:vMerge w:val="continue"/>
                  <w:tcBorders>
                    <w:tl2br w:val="nil"/>
                    <w:tr2bl w:val="nil"/>
                  </w:tcBorders>
                  <w:noWrap w:val="0"/>
                  <w:vAlign w:val="center"/>
                </w:tcPr>
                <w:p w14:paraId="4C91448C">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391" w:type="pct"/>
                  <w:vMerge w:val="continue"/>
                  <w:tcBorders>
                    <w:tl2br w:val="nil"/>
                    <w:tr2bl w:val="nil"/>
                  </w:tcBorders>
                  <w:noWrap w:val="0"/>
                  <w:vAlign w:val="center"/>
                </w:tcPr>
                <w:p w14:paraId="593504CC">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636" w:type="pct"/>
                  <w:vMerge w:val="continue"/>
                  <w:tcBorders>
                    <w:tl2br w:val="nil"/>
                    <w:tr2bl w:val="nil"/>
                  </w:tcBorders>
                  <w:noWrap w:val="0"/>
                  <w:vAlign w:val="center"/>
                </w:tcPr>
                <w:p w14:paraId="3AB5E29A">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462" w:type="pct"/>
                  <w:tcBorders>
                    <w:tl2br w:val="nil"/>
                    <w:tr2bl w:val="nil"/>
                  </w:tcBorders>
                  <w:noWrap w:val="0"/>
                  <w:vAlign w:val="center"/>
                </w:tcPr>
                <w:p w14:paraId="210FB4A2">
                  <w:pPr>
                    <w:keepNext w:val="0"/>
                    <w:keepLines w:val="0"/>
                    <w:widowControl/>
                    <w:suppressLineNumbers w:val="0"/>
                    <w:spacing w:before="0" w:beforeAutospacing="0" w:after="0" w:afterAutospacing="0"/>
                    <w:ind w:left="0" w:right="0"/>
                    <w:jc w:val="center"/>
                    <w:textAlignment w:val="center"/>
                    <w:rPr>
                      <w:rFonts w:hint="default"/>
                      <w:b w:val="0"/>
                      <w:bCs w:val="0"/>
                      <w:color w:val="000000" w:themeColor="text1"/>
                      <w:szCs w:val="21"/>
                      <w:u w:val="none"/>
                      <w:lang w:val="en-US" w:eastAsia="zh-CN"/>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氨氮</w:t>
                  </w:r>
                </w:p>
              </w:tc>
              <w:tc>
                <w:tcPr>
                  <w:tcW w:w="816" w:type="pct"/>
                  <w:tcBorders>
                    <w:tl2br w:val="nil"/>
                    <w:tr2bl w:val="nil"/>
                  </w:tcBorders>
                  <w:noWrap w:val="0"/>
                  <w:vAlign w:val="center"/>
                </w:tcPr>
                <w:p w14:paraId="533F8D7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5（8）</w:t>
                  </w:r>
                </w:p>
              </w:tc>
            </w:tr>
            <w:tr w14:paraId="71F0C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tcBorders>
                    <w:tl2br w:val="nil"/>
                    <w:tr2bl w:val="nil"/>
                  </w:tcBorders>
                  <w:noWrap w:val="0"/>
                  <w:vAlign w:val="center"/>
                </w:tcPr>
                <w:p w14:paraId="5293156C">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647" w:type="pct"/>
                  <w:vMerge w:val="continue"/>
                  <w:tcBorders>
                    <w:tl2br w:val="nil"/>
                    <w:tr2bl w:val="nil"/>
                  </w:tcBorders>
                  <w:noWrap w:val="0"/>
                  <w:vAlign w:val="center"/>
                </w:tcPr>
                <w:p w14:paraId="234842B9">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622" w:type="pct"/>
                  <w:vMerge w:val="continue"/>
                  <w:tcBorders>
                    <w:tl2br w:val="nil"/>
                    <w:tr2bl w:val="nil"/>
                  </w:tcBorders>
                  <w:noWrap w:val="0"/>
                  <w:vAlign w:val="center"/>
                </w:tcPr>
                <w:p w14:paraId="02BF1DFF">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423" w:type="pct"/>
                  <w:vMerge w:val="continue"/>
                  <w:tcBorders>
                    <w:tl2br w:val="nil"/>
                    <w:tr2bl w:val="nil"/>
                  </w:tcBorders>
                  <w:noWrap w:val="0"/>
                  <w:vAlign w:val="center"/>
                </w:tcPr>
                <w:p w14:paraId="23D91FFB">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330" w:type="pct"/>
                  <w:vMerge w:val="continue"/>
                  <w:tcBorders>
                    <w:tl2br w:val="nil"/>
                    <w:tr2bl w:val="nil"/>
                  </w:tcBorders>
                  <w:noWrap w:val="0"/>
                  <w:vAlign w:val="center"/>
                </w:tcPr>
                <w:p w14:paraId="340700DF">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248" w:type="pct"/>
                  <w:vMerge w:val="continue"/>
                  <w:tcBorders>
                    <w:tl2br w:val="nil"/>
                    <w:tr2bl w:val="nil"/>
                  </w:tcBorders>
                  <w:noWrap w:val="0"/>
                  <w:vAlign w:val="center"/>
                </w:tcPr>
                <w:p w14:paraId="1454B80A">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391" w:type="pct"/>
                  <w:vMerge w:val="continue"/>
                  <w:tcBorders>
                    <w:tl2br w:val="nil"/>
                    <w:tr2bl w:val="nil"/>
                  </w:tcBorders>
                  <w:noWrap w:val="0"/>
                  <w:vAlign w:val="center"/>
                </w:tcPr>
                <w:p w14:paraId="24F5FB8C">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636" w:type="pct"/>
                  <w:vMerge w:val="continue"/>
                  <w:tcBorders>
                    <w:tl2br w:val="nil"/>
                    <w:tr2bl w:val="nil"/>
                  </w:tcBorders>
                  <w:noWrap w:val="0"/>
                  <w:vAlign w:val="center"/>
                </w:tcPr>
                <w:p w14:paraId="642E2FF4">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462" w:type="pct"/>
                  <w:tcBorders>
                    <w:tl2br w:val="nil"/>
                    <w:tr2bl w:val="nil"/>
                  </w:tcBorders>
                  <w:noWrap w:val="0"/>
                  <w:vAlign w:val="center"/>
                </w:tcPr>
                <w:p w14:paraId="5B338756">
                  <w:pPr>
                    <w:keepNext w:val="0"/>
                    <w:keepLines w:val="0"/>
                    <w:widowControl/>
                    <w:suppressLineNumbers w:val="0"/>
                    <w:spacing w:before="0" w:beforeAutospacing="0" w:after="0" w:afterAutospacing="0"/>
                    <w:ind w:left="0" w:right="0"/>
                    <w:jc w:val="center"/>
                    <w:textAlignment w:val="center"/>
                    <w:rPr>
                      <w:rFonts w:hint="default"/>
                      <w:b w:val="0"/>
                      <w:bCs w:val="0"/>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TN</w:t>
                  </w:r>
                </w:p>
              </w:tc>
              <w:tc>
                <w:tcPr>
                  <w:tcW w:w="816" w:type="pct"/>
                  <w:tcBorders>
                    <w:tl2br w:val="nil"/>
                    <w:tr2bl w:val="nil"/>
                  </w:tcBorders>
                  <w:noWrap w:val="0"/>
                  <w:vAlign w:val="center"/>
                </w:tcPr>
                <w:p w14:paraId="64405AB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15</w:t>
                  </w:r>
                </w:p>
              </w:tc>
            </w:tr>
            <w:tr w14:paraId="08B25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tcBorders>
                    <w:tl2br w:val="nil"/>
                    <w:tr2bl w:val="nil"/>
                  </w:tcBorders>
                  <w:noWrap w:val="0"/>
                  <w:vAlign w:val="center"/>
                </w:tcPr>
                <w:p w14:paraId="7D86A270">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647" w:type="pct"/>
                  <w:vMerge w:val="continue"/>
                  <w:tcBorders>
                    <w:tl2br w:val="nil"/>
                    <w:tr2bl w:val="nil"/>
                  </w:tcBorders>
                  <w:noWrap w:val="0"/>
                  <w:vAlign w:val="center"/>
                </w:tcPr>
                <w:p w14:paraId="76F35D1D">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622" w:type="pct"/>
                  <w:vMerge w:val="continue"/>
                  <w:tcBorders>
                    <w:tl2br w:val="nil"/>
                    <w:tr2bl w:val="nil"/>
                  </w:tcBorders>
                  <w:noWrap w:val="0"/>
                  <w:vAlign w:val="center"/>
                </w:tcPr>
                <w:p w14:paraId="6A127CD9">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423" w:type="pct"/>
                  <w:vMerge w:val="continue"/>
                  <w:tcBorders>
                    <w:tl2br w:val="nil"/>
                    <w:tr2bl w:val="nil"/>
                  </w:tcBorders>
                  <w:noWrap w:val="0"/>
                  <w:vAlign w:val="center"/>
                </w:tcPr>
                <w:p w14:paraId="5888F6AD">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330" w:type="pct"/>
                  <w:vMerge w:val="continue"/>
                  <w:tcBorders>
                    <w:tl2br w:val="nil"/>
                    <w:tr2bl w:val="nil"/>
                  </w:tcBorders>
                  <w:noWrap w:val="0"/>
                  <w:vAlign w:val="center"/>
                </w:tcPr>
                <w:p w14:paraId="7A544A1B">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248" w:type="pct"/>
                  <w:vMerge w:val="continue"/>
                  <w:tcBorders>
                    <w:tl2br w:val="nil"/>
                    <w:tr2bl w:val="nil"/>
                  </w:tcBorders>
                  <w:noWrap w:val="0"/>
                  <w:vAlign w:val="center"/>
                </w:tcPr>
                <w:p w14:paraId="50DABDED">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391" w:type="pct"/>
                  <w:vMerge w:val="continue"/>
                  <w:tcBorders>
                    <w:tl2br w:val="nil"/>
                    <w:tr2bl w:val="nil"/>
                  </w:tcBorders>
                  <w:noWrap w:val="0"/>
                  <w:vAlign w:val="center"/>
                </w:tcPr>
                <w:p w14:paraId="5A3BDEBE">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636" w:type="pct"/>
                  <w:vMerge w:val="continue"/>
                  <w:tcBorders>
                    <w:tl2br w:val="nil"/>
                    <w:tr2bl w:val="nil"/>
                  </w:tcBorders>
                  <w:noWrap w:val="0"/>
                  <w:vAlign w:val="center"/>
                </w:tcPr>
                <w:p w14:paraId="31F608DD">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462" w:type="pct"/>
                  <w:tcBorders>
                    <w:tl2br w:val="nil"/>
                    <w:tr2bl w:val="nil"/>
                  </w:tcBorders>
                  <w:noWrap w:val="0"/>
                  <w:vAlign w:val="center"/>
                </w:tcPr>
                <w:p w14:paraId="4816F6BD">
                  <w:pPr>
                    <w:keepNext w:val="0"/>
                    <w:keepLines w:val="0"/>
                    <w:widowControl/>
                    <w:suppressLineNumbers w:val="0"/>
                    <w:spacing w:before="0" w:beforeAutospacing="0" w:after="0" w:afterAutospacing="0"/>
                    <w:ind w:left="0" w:right="0"/>
                    <w:jc w:val="center"/>
                    <w:textAlignment w:val="center"/>
                    <w:rPr>
                      <w:rFonts w:hint="eastAsia"/>
                      <w:b w:val="0"/>
                      <w:bCs w:val="0"/>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TP</w:t>
                  </w:r>
                </w:p>
              </w:tc>
              <w:tc>
                <w:tcPr>
                  <w:tcW w:w="816" w:type="pct"/>
                  <w:tcBorders>
                    <w:tl2br w:val="nil"/>
                    <w:tr2bl w:val="nil"/>
                  </w:tcBorders>
                  <w:noWrap w:val="0"/>
                  <w:vAlign w:val="center"/>
                </w:tcPr>
                <w:p w14:paraId="54285B9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0.5</w:t>
                  </w:r>
                </w:p>
              </w:tc>
            </w:tr>
            <w:tr w14:paraId="6B8AC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 w:type="pct"/>
                  <w:vMerge w:val="continue"/>
                  <w:tcBorders>
                    <w:tl2br w:val="nil"/>
                    <w:tr2bl w:val="nil"/>
                  </w:tcBorders>
                  <w:noWrap w:val="0"/>
                  <w:vAlign w:val="center"/>
                </w:tcPr>
                <w:p w14:paraId="29F541C3">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647" w:type="pct"/>
                  <w:vMerge w:val="continue"/>
                  <w:tcBorders>
                    <w:tl2br w:val="nil"/>
                    <w:tr2bl w:val="nil"/>
                  </w:tcBorders>
                  <w:noWrap w:val="0"/>
                  <w:vAlign w:val="center"/>
                </w:tcPr>
                <w:p w14:paraId="20A87BF0">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622" w:type="pct"/>
                  <w:vMerge w:val="continue"/>
                  <w:tcBorders>
                    <w:tl2br w:val="nil"/>
                    <w:tr2bl w:val="nil"/>
                  </w:tcBorders>
                  <w:noWrap w:val="0"/>
                  <w:vAlign w:val="center"/>
                </w:tcPr>
                <w:p w14:paraId="7C99C17B">
                  <w:pPr>
                    <w:keepNext w:val="0"/>
                    <w:keepLines w:val="0"/>
                    <w:suppressLineNumbers w:val="0"/>
                    <w:adjustRightInd w:val="0"/>
                    <w:snapToGrid w:val="0"/>
                    <w:spacing w:before="0" w:beforeAutospacing="0" w:after="0" w:afterAutospacing="0"/>
                    <w:ind w:left="0" w:right="0"/>
                    <w:jc w:val="center"/>
                    <w:rPr>
                      <w:rFonts w:hint="default"/>
                      <w:color w:val="auto"/>
                      <w:u w:val="none"/>
                    </w:rPr>
                  </w:pPr>
                </w:p>
              </w:tc>
              <w:tc>
                <w:tcPr>
                  <w:tcW w:w="423" w:type="pct"/>
                  <w:vMerge w:val="continue"/>
                  <w:tcBorders>
                    <w:tl2br w:val="nil"/>
                    <w:tr2bl w:val="nil"/>
                  </w:tcBorders>
                  <w:noWrap w:val="0"/>
                  <w:vAlign w:val="center"/>
                </w:tcPr>
                <w:p w14:paraId="57DCCB78">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330" w:type="pct"/>
                  <w:vMerge w:val="continue"/>
                  <w:tcBorders>
                    <w:tl2br w:val="nil"/>
                    <w:tr2bl w:val="nil"/>
                  </w:tcBorders>
                  <w:noWrap w:val="0"/>
                  <w:vAlign w:val="center"/>
                </w:tcPr>
                <w:p w14:paraId="0556ABB5">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248" w:type="pct"/>
                  <w:vMerge w:val="continue"/>
                  <w:tcBorders>
                    <w:tl2br w:val="nil"/>
                    <w:tr2bl w:val="nil"/>
                  </w:tcBorders>
                  <w:noWrap w:val="0"/>
                  <w:vAlign w:val="center"/>
                </w:tcPr>
                <w:p w14:paraId="76C0B85A">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391" w:type="pct"/>
                  <w:vMerge w:val="continue"/>
                  <w:tcBorders>
                    <w:tl2br w:val="nil"/>
                    <w:tr2bl w:val="nil"/>
                  </w:tcBorders>
                  <w:noWrap w:val="0"/>
                  <w:vAlign w:val="center"/>
                </w:tcPr>
                <w:p w14:paraId="1202DDD7">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636" w:type="pct"/>
                  <w:vMerge w:val="continue"/>
                  <w:tcBorders>
                    <w:tl2br w:val="nil"/>
                    <w:tr2bl w:val="nil"/>
                  </w:tcBorders>
                  <w:noWrap w:val="0"/>
                  <w:vAlign w:val="center"/>
                </w:tcPr>
                <w:p w14:paraId="545FA3AE">
                  <w:pPr>
                    <w:keepNext w:val="0"/>
                    <w:keepLines w:val="0"/>
                    <w:suppressLineNumbers w:val="0"/>
                    <w:adjustRightInd w:val="0"/>
                    <w:snapToGrid w:val="0"/>
                    <w:spacing w:before="0" w:beforeAutospacing="0" w:after="0" w:afterAutospacing="0"/>
                    <w:ind w:left="0" w:right="0"/>
                    <w:jc w:val="center"/>
                    <w:rPr>
                      <w:rFonts w:hint="default"/>
                      <w:color w:val="000000" w:themeColor="text1"/>
                      <w:u w:val="none"/>
                      <w14:textFill>
                        <w14:solidFill>
                          <w14:schemeClr w14:val="tx1"/>
                        </w14:solidFill>
                      </w14:textFill>
                    </w:rPr>
                  </w:pPr>
                </w:p>
              </w:tc>
              <w:tc>
                <w:tcPr>
                  <w:tcW w:w="462" w:type="pct"/>
                  <w:tcBorders>
                    <w:tl2br w:val="nil"/>
                    <w:tr2bl w:val="nil"/>
                  </w:tcBorders>
                  <w:noWrap w:val="0"/>
                  <w:vAlign w:val="center"/>
                </w:tcPr>
                <w:p w14:paraId="0F7743CA">
                  <w:pPr>
                    <w:keepNext w:val="0"/>
                    <w:keepLines w:val="0"/>
                    <w:widowControl/>
                    <w:suppressLineNumbers w:val="0"/>
                    <w:spacing w:before="0" w:beforeAutospacing="0" w:after="0" w:afterAutospacing="0"/>
                    <w:ind w:left="0" w:right="0"/>
                    <w:jc w:val="center"/>
                    <w:textAlignment w:val="center"/>
                    <w:rPr>
                      <w:rFonts w:hint="eastAsia"/>
                      <w:b w:val="0"/>
                      <w:bCs w:val="0"/>
                      <w:color w:val="000000" w:themeColor="text1"/>
                      <w:szCs w:val="21"/>
                      <w:u w:val="none"/>
                      <w:lang w:val="en-US" w:eastAsia="zh-CN"/>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动植物油</w:t>
                  </w:r>
                </w:p>
              </w:tc>
              <w:tc>
                <w:tcPr>
                  <w:tcW w:w="816" w:type="pct"/>
                  <w:tcBorders>
                    <w:tl2br w:val="nil"/>
                    <w:tr2bl w:val="nil"/>
                  </w:tcBorders>
                  <w:noWrap w:val="0"/>
                  <w:vAlign w:val="center"/>
                </w:tcPr>
                <w:p w14:paraId="5C98E94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r>
          </w:tbl>
          <w:p w14:paraId="4557672D">
            <w:pPr>
              <w:keepNext w:val="0"/>
              <w:keepLines w:val="0"/>
              <w:suppressLineNumbers w:val="0"/>
              <w:spacing w:before="0" w:beforeAutospacing="0" w:after="0" w:afterAutospacing="0" w:line="360" w:lineRule="auto"/>
              <w:ind w:left="0" w:right="0" w:firstLine="480" w:firstLineChars="200"/>
              <w:jc w:val="left"/>
              <w:rPr>
                <w:rFonts w:hint="default" w:eastAsia="宋体"/>
                <w:color w:val="auto"/>
                <w:sz w:val="24"/>
                <w:szCs w:val="24"/>
                <w:lang w:val="en-US" w:eastAsia="zh-CN"/>
              </w:rPr>
            </w:pPr>
            <w:r>
              <w:rPr>
                <w:rFonts w:hint="eastAsia"/>
                <w:b w:val="0"/>
                <w:bCs w:val="0"/>
                <w:color w:val="auto"/>
                <w:sz w:val="24"/>
                <w:szCs w:val="24"/>
                <w:lang w:eastAsia="zh-CN"/>
              </w:rPr>
              <w:t>本</w:t>
            </w:r>
            <w:r>
              <w:rPr>
                <w:rFonts w:hint="default"/>
                <w:b w:val="0"/>
                <w:bCs w:val="0"/>
                <w:color w:val="auto"/>
                <w:sz w:val="24"/>
                <w:szCs w:val="24"/>
              </w:rPr>
              <w:t>项目废水污染物排放标准</w:t>
            </w:r>
            <w:r>
              <w:rPr>
                <w:rFonts w:hint="eastAsia"/>
                <w:b w:val="0"/>
                <w:bCs w:val="0"/>
                <w:color w:val="auto"/>
                <w:sz w:val="24"/>
                <w:szCs w:val="24"/>
                <w:lang w:eastAsia="zh-CN"/>
              </w:rPr>
              <w:t>见表</w:t>
            </w:r>
            <w:r>
              <w:rPr>
                <w:rFonts w:hint="eastAsia"/>
                <w:b w:val="0"/>
                <w:bCs w:val="0"/>
                <w:color w:val="auto"/>
                <w:sz w:val="24"/>
                <w:szCs w:val="24"/>
                <w:lang w:val="en-US" w:eastAsia="zh-CN"/>
              </w:rPr>
              <w:t>4-11：</w:t>
            </w:r>
          </w:p>
          <w:p w14:paraId="1C537286">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表4-</w:t>
            </w:r>
            <w:r>
              <w:rPr>
                <w:rFonts w:hint="eastAsia" w:cs="Times New Roman"/>
                <w:color w:val="000000" w:themeColor="text1"/>
                <w:spacing w:val="0"/>
                <w:w w:val="100"/>
                <w:position w:val="0"/>
                <w:sz w:val="24"/>
                <w:szCs w:val="24"/>
                <w:highlight w:val="none"/>
                <w:u w:val="none" w:color="auto"/>
                <w:lang w:val="en-US" w:eastAsia="zh-CN"/>
                <w14:textFill>
                  <w14:solidFill>
                    <w14:schemeClr w14:val="tx1"/>
                  </w14:solidFill>
                </w14:textFill>
              </w:rPr>
              <w:t>11</w:t>
            </w: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 xml:space="preserve">   </w:t>
            </w:r>
            <w:r>
              <w:rPr>
                <w:rFonts w:hint="eastAsia" w:cs="Times New Roman"/>
                <w:color w:val="000000" w:themeColor="text1"/>
                <w:spacing w:val="0"/>
                <w:w w:val="100"/>
                <w:position w:val="0"/>
                <w:sz w:val="24"/>
                <w:szCs w:val="24"/>
                <w:highlight w:val="none"/>
                <w:u w:val="none" w:color="auto"/>
                <w:lang w:val="en-US" w:eastAsia="zh-CN"/>
                <w14:textFill>
                  <w14:solidFill>
                    <w14:schemeClr w14:val="tx1"/>
                  </w14:solidFill>
                </w14:textFill>
              </w:rPr>
              <w:t>本</w:t>
            </w: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项目废水污染物排放执行情况表</w:t>
            </w:r>
          </w:p>
          <w:tbl>
            <w:tblPr>
              <w:tblStyle w:val="37"/>
              <w:tblW w:w="4971"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524"/>
              <w:gridCol w:w="3862"/>
              <w:gridCol w:w="1854"/>
            </w:tblGrid>
            <w:tr w14:paraId="0D309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restart"/>
                  <w:tcBorders>
                    <w:tl2br w:val="nil"/>
                    <w:tr2bl w:val="nil"/>
                  </w:tcBorders>
                  <w:noWrap w:val="0"/>
                  <w:vAlign w:val="center"/>
                </w:tcPr>
                <w:p w14:paraId="488226F2">
                  <w:pPr>
                    <w:pStyle w:val="2"/>
                    <w:keepNext w:val="0"/>
                    <w:keepLines w:val="0"/>
                    <w:suppressLineNumbers w:val="0"/>
                    <w:spacing w:before="0" w:beforeAutospacing="0" w:after="0"/>
                    <w:ind w:left="0" w:right="0"/>
                    <w:jc w:val="center"/>
                    <w:rPr>
                      <w:rFonts w:hint="default"/>
                      <w:b/>
                      <w:bCs/>
                      <w:color w:val="auto"/>
                      <w:sz w:val="21"/>
                      <w:szCs w:val="21"/>
                    </w:rPr>
                  </w:pPr>
                  <w:r>
                    <w:rPr>
                      <w:rFonts w:hint="default"/>
                      <w:b/>
                      <w:bCs/>
                      <w:color w:val="auto"/>
                      <w:sz w:val="21"/>
                      <w:szCs w:val="21"/>
                    </w:rPr>
                    <w:t>排放口编号</w:t>
                  </w:r>
                </w:p>
              </w:tc>
              <w:tc>
                <w:tcPr>
                  <w:tcW w:w="883" w:type="pct"/>
                  <w:vMerge w:val="restart"/>
                  <w:tcBorders>
                    <w:tl2br w:val="nil"/>
                    <w:tr2bl w:val="nil"/>
                  </w:tcBorders>
                  <w:noWrap w:val="0"/>
                  <w:vAlign w:val="center"/>
                </w:tcPr>
                <w:p w14:paraId="6F9B3049">
                  <w:pPr>
                    <w:pStyle w:val="2"/>
                    <w:keepNext w:val="0"/>
                    <w:keepLines w:val="0"/>
                    <w:suppressLineNumbers w:val="0"/>
                    <w:spacing w:before="0" w:beforeAutospacing="0" w:after="0"/>
                    <w:ind w:left="0" w:right="0"/>
                    <w:jc w:val="center"/>
                    <w:rPr>
                      <w:rFonts w:hint="default"/>
                      <w:b/>
                      <w:bCs/>
                      <w:color w:val="auto"/>
                      <w:sz w:val="21"/>
                      <w:szCs w:val="21"/>
                    </w:rPr>
                  </w:pPr>
                  <w:r>
                    <w:rPr>
                      <w:rFonts w:hint="default"/>
                      <w:b/>
                      <w:bCs/>
                      <w:color w:val="auto"/>
                      <w:sz w:val="21"/>
                      <w:szCs w:val="21"/>
                    </w:rPr>
                    <w:t>污染物种类</w:t>
                  </w:r>
                </w:p>
              </w:tc>
              <w:tc>
                <w:tcPr>
                  <w:tcW w:w="3312" w:type="pct"/>
                  <w:gridSpan w:val="2"/>
                  <w:tcBorders>
                    <w:tl2br w:val="nil"/>
                    <w:tr2bl w:val="nil"/>
                  </w:tcBorders>
                  <w:noWrap w:val="0"/>
                  <w:vAlign w:val="center"/>
                </w:tcPr>
                <w:p w14:paraId="1E5ADC69">
                  <w:pPr>
                    <w:pStyle w:val="2"/>
                    <w:keepNext w:val="0"/>
                    <w:keepLines w:val="0"/>
                    <w:suppressLineNumbers w:val="0"/>
                    <w:spacing w:before="0" w:beforeAutospacing="0" w:after="0"/>
                    <w:ind w:left="0" w:right="0"/>
                    <w:jc w:val="center"/>
                    <w:rPr>
                      <w:rFonts w:hint="default"/>
                      <w:b/>
                      <w:bCs/>
                      <w:color w:val="auto"/>
                      <w:sz w:val="21"/>
                      <w:szCs w:val="21"/>
                    </w:rPr>
                  </w:pPr>
                  <w:r>
                    <w:rPr>
                      <w:rFonts w:hint="default"/>
                      <w:b/>
                      <w:bCs/>
                      <w:color w:val="auto"/>
                      <w:sz w:val="21"/>
                      <w:szCs w:val="21"/>
                    </w:rPr>
                    <w:t>国家或地方排放标准</w:t>
                  </w:r>
                </w:p>
              </w:tc>
            </w:tr>
            <w:tr w14:paraId="32FFE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continue"/>
                  <w:tcBorders>
                    <w:tl2br w:val="nil"/>
                    <w:tr2bl w:val="nil"/>
                  </w:tcBorders>
                  <w:noWrap w:val="0"/>
                  <w:vAlign w:val="center"/>
                </w:tcPr>
                <w:p w14:paraId="3501A687">
                  <w:pPr>
                    <w:keepNext w:val="0"/>
                    <w:keepLines w:val="0"/>
                    <w:widowControl/>
                    <w:suppressLineNumbers w:val="0"/>
                    <w:spacing w:before="0" w:beforeAutospacing="0" w:after="0" w:afterAutospacing="0"/>
                    <w:ind w:left="0" w:right="0"/>
                    <w:jc w:val="left"/>
                    <w:rPr>
                      <w:rFonts w:hint="default"/>
                      <w:b/>
                      <w:bCs/>
                      <w:color w:val="auto"/>
                      <w:sz w:val="21"/>
                      <w:szCs w:val="21"/>
                    </w:rPr>
                  </w:pPr>
                </w:p>
              </w:tc>
              <w:tc>
                <w:tcPr>
                  <w:tcW w:w="883" w:type="pct"/>
                  <w:vMerge w:val="continue"/>
                  <w:tcBorders>
                    <w:tl2br w:val="nil"/>
                    <w:tr2bl w:val="nil"/>
                  </w:tcBorders>
                  <w:noWrap w:val="0"/>
                  <w:vAlign w:val="center"/>
                </w:tcPr>
                <w:p w14:paraId="4B0C6636">
                  <w:pPr>
                    <w:keepNext w:val="0"/>
                    <w:keepLines w:val="0"/>
                    <w:widowControl/>
                    <w:suppressLineNumbers w:val="0"/>
                    <w:spacing w:before="0" w:beforeAutospacing="0" w:after="0" w:afterAutospacing="0"/>
                    <w:ind w:left="0" w:right="0"/>
                    <w:jc w:val="left"/>
                    <w:rPr>
                      <w:rFonts w:hint="default"/>
                      <w:b/>
                      <w:bCs/>
                      <w:color w:val="auto"/>
                      <w:sz w:val="21"/>
                      <w:szCs w:val="21"/>
                    </w:rPr>
                  </w:pPr>
                </w:p>
              </w:tc>
              <w:tc>
                <w:tcPr>
                  <w:tcW w:w="2238" w:type="pct"/>
                  <w:tcBorders>
                    <w:tl2br w:val="nil"/>
                    <w:tr2bl w:val="nil"/>
                  </w:tcBorders>
                  <w:noWrap w:val="0"/>
                  <w:vAlign w:val="center"/>
                </w:tcPr>
                <w:p w14:paraId="293D8511">
                  <w:pPr>
                    <w:pStyle w:val="2"/>
                    <w:keepNext w:val="0"/>
                    <w:keepLines w:val="0"/>
                    <w:suppressLineNumbers w:val="0"/>
                    <w:spacing w:before="0" w:beforeAutospacing="0" w:after="0"/>
                    <w:ind w:left="0" w:right="0"/>
                    <w:jc w:val="center"/>
                    <w:rPr>
                      <w:rFonts w:hint="default"/>
                      <w:b/>
                      <w:bCs/>
                      <w:color w:val="auto"/>
                      <w:sz w:val="21"/>
                      <w:szCs w:val="21"/>
                    </w:rPr>
                  </w:pPr>
                  <w:r>
                    <w:rPr>
                      <w:rFonts w:hint="default"/>
                      <w:b/>
                      <w:bCs/>
                      <w:color w:val="auto"/>
                      <w:sz w:val="21"/>
                      <w:szCs w:val="21"/>
                    </w:rPr>
                    <w:t>名称</w:t>
                  </w:r>
                </w:p>
              </w:tc>
              <w:tc>
                <w:tcPr>
                  <w:tcW w:w="1073" w:type="pct"/>
                  <w:tcBorders>
                    <w:tl2br w:val="nil"/>
                    <w:tr2bl w:val="nil"/>
                  </w:tcBorders>
                  <w:noWrap w:val="0"/>
                  <w:vAlign w:val="center"/>
                </w:tcPr>
                <w:p w14:paraId="6F516709">
                  <w:pPr>
                    <w:pStyle w:val="2"/>
                    <w:keepNext w:val="0"/>
                    <w:keepLines w:val="0"/>
                    <w:suppressLineNumbers w:val="0"/>
                    <w:spacing w:before="0" w:beforeAutospacing="0" w:after="0"/>
                    <w:ind w:left="0" w:right="0"/>
                    <w:jc w:val="center"/>
                    <w:rPr>
                      <w:rFonts w:hint="default"/>
                      <w:b/>
                      <w:bCs/>
                      <w:color w:val="auto"/>
                      <w:sz w:val="21"/>
                      <w:szCs w:val="21"/>
                    </w:rPr>
                  </w:pPr>
                  <w:r>
                    <w:rPr>
                      <w:rFonts w:hint="default"/>
                      <w:b/>
                      <w:bCs/>
                      <w:color w:val="auto"/>
                      <w:sz w:val="21"/>
                      <w:szCs w:val="21"/>
                    </w:rPr>
                    <w:t>浓度限值/（mg/L）</w:t>
                  </w:r>
                </w:p>
              </w:tc>
            </w:tr>
            <w:tr w14:paraId="31D3D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restart"/>
                  <w:tcBorders>
                    <w:tl2br w:val="nil"/>
                    <w:tr2bl w:val="nil"/>
                  </w:tcBorders>
                  <w:noWrap w:val="0"/>
                  <w:vAlign w:val="center"/>
                </w:tcPr>
                <w:p w14:paraId="2350A0B8">
                  <w:pPr>
                    <w:pStyle w:val="2"/>
                    <w:keepNext w:val="0"/>
                    <w:keepLines w:val="0"/>
                    <w:suppressLineNumbers w:val="0"/>
                    <w:spacing w:before="0" w:beforeAutospacing="0" w:after="0"/>
                    <w:ind w:left="0" w:right="0"/>
                    <w:jc w:val="center"/>
                    <w:rPr>
                      <w:rFonts w:hint="default" w:eastAsia="宋体"/>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DW001</w:t>
                  </w:r>
                </w:p>
              </w:tc>
              <w:tc>
                <w:tcPr>
                  <w:tcW w:w="883" w:type="pct"/>
                  <w:tcBorders>
                    <w:tl2br w:val="nil"/>
                    <w:tr2bl w:val="nil"/>
                  </w:tcBorders>
                  <w:noWrap w:val="0"/>
                  <w:vAlign w:val="center"/>
                </w:tcPr>
                <w:p w14:paraId="5456E2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COD</w:t>
                  </w:r>
                </w:p>
              </w:tc>
              <w:tc>
                <w:tcPr>
                  <w:tcW w:w="2238" w:type="pct"/>
                  <w:vMerge w:val="restart"/>
                  <w:tcBorders>
                    <w:tl2br w:val="nil"/>
                    <w:tr2bl w:val="nil"/>
                  </w:tcBorders>
                  <w:noWrap w:val="0"/>
                  <w:vAlign w:val="center"/>
                </w:tcPr>
                <w:p w14:paraId="439A3F9A">
                  <w:pPr>
                    <w:pStyle w:val="2"/>
                    <w:keepNext w:val="0"/>
                    <w:keepLines w:val="0"/>
                    <w:suppressLineNumbers w:val="0"/>
                    <w:spacing w:before="0" w:beforeAutospacing="0" w:after="0"/>
                    <w:ind w:left="0"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u w:val="none"/>
                      <w14:textFill>
                        <w14:solidFill>
                          <w14:schemeClr w14:val="tx1"/>
                        </w14:solidFill>
                      </w14:textFill>
                    </w:rPr>
                    <w:t>《污水综合排放标准》（GB8978-1996）中三级标准</w:t>
                  </w:r>
                  <w:r>
                    <w:rPr>
                      <w:rFonts w:hint="eastAsia"/>
                      <w:color w:val="000000" w:themeColor="text1"/>
                      <w:sz w:val="21"/>
                      <w:szCs w:val="21"/>
                      <w:u w:val="none"/>
                      <w:lang w:eastAsia="zh-CN"/>
                      <w14:textFill>
                        <w14:solidFill>
                          <w14:schemeClr w14:val="tx1"/>
                        </w14:solidFill>
                      </w14:textFill>
                    </w:rPr>
                    <w:t>及湖南城陵矶临港产业新区污水处理厂废水进水水质要求，两者从严</w:t>
                  </w:r>
                </w:p>
              </w:tc>
              <w:tc>
                <w:tcPr>
                  <w:tcW w:w="1073" w:type="pct"/>
                  <w:tcBorders>
                    <w:tl2br w:val="nil"/>
                    <w:tr2bl w:val="nil"/>
                  </w:tcBorders>
                  <w:noWrap w:val="0"/>
                  <w:vAlign w:val="center"/>
                </w:tcPr>
                <w:p w14:paraId="20DC1A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500</w:t>
                  </w:r>
                </w:p>
              </w:tc>
            </w:tr>
            <w:tr w14:paraId="4952A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continue"/>
                  <w:tcBorders>
                    <w:tl2br w:val="nil"/>
                    <w:tr2bl w:val="nil"/>
                  </w:tcBorders>
                  <w:noWrap w:val="0"/>
                  <w:vAlign w:val="center"/>
                </w:tcPr>
                <w:p w14:paraId="0ECCA07C">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15CBD9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b w:val="0"/>
                      <w:bCs w:val="0"/>
                      <w:i w:val="0"/>
                      <w:iCs w:val="0"/>
                      <w:color w:val="000000" w:themeColor="text1"/>
                      <w:kern w:val="0"/>
                      <w:sz w:val="21"/>
                      <w:szCs w:val="21"/>
                      <w:u w:val="none"/>
                      <w:vertAlign w:val="subscript"/>
                      <w:lang w:val="en-US" w:eastAsia="zh-CN" w:bidi="ar"/>
                      <w14:textFill>
                        <w14:solidFill>
                          <w14:schemeClr w14:val="tx1"/>
                        </w14:solidFill>
                      </w14:textFill>
                    </w:rPr>
                    <w:t>5</w:t>
                  </w:r>
                </w:p>
              </w:tc>
              <w:tc>
                <w:tcPr>
                  <w:tcW w:w="2238" w:type="pct"/>
                  <w:vMerge w:val="continue"/>
                  <w:tcBorders>
                    <w:tl2br w:val="nil"/>
                    <w:tr2bl w:val="nil"/>
                  </w:tcBorders>
                  <w:noWrap w:val="0"/>
                  <w:vAlign w:val="center"/>
                </w:tcPr>
                <w:p w14:paraId="1D7FC28F">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1073" w:type="pct"/>
                  <w:tcBorders>
                    <w:tl2br w:val="nil"/>
                    <w:tr2bl w:val="nil"/>
                  </w:tcBorders>
                  <w:noWrap w:val="0"/>
                  <w:vAlign w:val="center"/>
                </w:tcPr>
                <w:p w14:paraId="091ED0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200</w:t>
                  </w:r>
                </w:p>
              </w:tc>
            </w:tr>
            <w:tr w14:paraId="7DF5F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continue"/>
                  <w:tcBorders>
                    <w:tl2br w:val="nil"/>
                    <w:tr2bl w:val="nil"/>
                  </w:tcBorders>
                  <w:noWrap w:val="0"/>
                  <w:vAlign w:val="center"/>
                </w:tcPr>
                <w:p w14:paraId="7621374C">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6A0D4D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SS</w:t>
                  </w:r>
                </w:p>
              </w:tc>
              <w:tc>
                <w:tcPr>
                  <w:tcW w:w="2238" w:type="pct"/>
                  <w:vMerge w:val="continue"/>
                  <w:tcBorders>
                    <w:tl2br w:val="nil"/>
                    <w:tr2bl w:val="nil"/>
                  </w:tcBorders>
                  <w:noWrap w:val="0"/>
                  <w:vAlign w:val="center"/>
                </w:tcPr>
                <w:p w14:paraId="252A754E">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1073" w:type="pct"/>
                  <w:tcBorders>
                    <w:tl2br w:val="nil"/>
                    <w:tr2bl w:val="nil"/>
                  </w:tcBorders>
                  <w:noWrap w:val="0"/>
                  <w:vAlign w:val="center"/>
                </w:tcPr>
                <w:p w14:paraId="361980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400</w:t>
                  </w:r>
                </w:p>
              </w:tc>
            </w:tr>
            <w:tr w14:paraId="51F53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continue"/>
                  <w:tcBorders>
                    <w:tl2br w:val="nil"/>
                    <w:tr2bl w:val="nil"/>
                  </w:tcBorders>
                  <w:noWrap w:val="0"/>
                  <w:vAlign w:val="center"/>
                </w:tcPr>
                <w:p w14:paraId="5A9963D6">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0CA2A8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氨氮</w:t>
                  </w:r>
                </w:p>
              </w:tc>
              <w:tc>
                <w:tcPr>
                  <w:tcW w:w="2238" w:type="pct"/>
                  <w:vMerge w:val="continue"/>
                  <w:tcBorders>
                    <w:tl2br w:val="nil"/>
                    <w:tr2bl w:val="nil"/>
                  </w:tcBorders>
                  <w:noWrap w:val="0"/>
                  <w:vAlign w:val="center"/>
                </w:tcPr>
                <w:p w14:paraId="23E150FB">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1073" w:type="pct"/>
                  <w:tcBorders>
                    <w:tl2br w:val="nil"/>
                    <w:tr2bl w:val="nil"/>
                  </w:tcBorders>
                  <w:noWrap w:val="0"/>
                  <w:vAlign w:val="center"/>
                </w:tcPr>
                <w:p w14:paraId="05D34C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30</w:t>
                  </w:r>
                </w:p>
              </w:tc>
            </w:tr>
            <w:tr w14:paraId="0F3CE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continue"/>
                  <w:tcBorders>
                    <w:tl2br w:val="nil"/>
                    <w:tr2bl w:val="nil"/>
                  </w:tcBorders>
                  <w:noWrap w:val="0"/>
                  <w:vAlign w:val="center"/>
                </w:tcPr>
                <w:p w14:paraId="0AEB40D4">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5EA02AF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TN</w:t>
                  </w:r>
                </w:p>
              </w:tc>
              <w:tc>
                <w:tcPr>
                  <w:tcW w:w="2238" w:type="pct"/>
                  <w:vMerge w:val="continue"/>
                  <w:tcBorders>
                    <w:tl2br w:val="nil"/>
                    <w:tr2bl w:val="nil"/>
                  </w:tcBorders>
                  <w:noWrap w:val="0"/>
                  <w:vAlign w:val="center"/>
                </w:tcPr>
                <w:p w14:paraId="33E5A2E0">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1073" w:type="pct"/>
                  <w:tcBorders>
                    <w:tl2br w:val="nil"/>
                    <w:tr2bl w:val="nil"/>
                  </w:tcBorders>
                  <w:noWrap w:val="0"/>
                  <w:vAlign w:val="center"/>
                </w:tcPr>
                <w:p w14:paraId="17672BD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40</w:t>
                  </w:r>
                </w:p>
              </w:tc>
            </w:tr>
            <w:tr w14:paraId="6083F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continue"/>
                  <w:tcBorders>
                    <w:tl2br w:val="nil"/>
                    <w:tr2bl w:val="nil"/>
                  </w:tcBorders>
                  <w:noWrap w:val="0"/>
                  <w:vAlign w:val="center"/>
                </w:tcPr>
                <w:p w14:paraId="6CD46D20">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66B6673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TP</w:t>
                  </w:r>
                </w:p>
              </w:tc>
              <w:tc>
                <w:tcPr>
                  <w:tcW w:w="2238" w:type="pct"/>
                  <w:vMerge w:val="continue"/>
                  <w:tcBorders>
                    <w:tl2br w:val="nil"/>
                    <w:tr2bl w:val="nil"/>
                  </w:tcBorders>
                  <w:noWrap w:val="0"/>
                  <w:vAlign w:val="center"/>
                </w:tcPr>
                <w:p w14:paraId="36A13B9A">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1073" w:type="pct"/>
                  <w:tcBorders>
                    <w:tl2br w:val="nil"/>
                    <w:tr2bl w:val="nil"/>
                  </w:tcBorders>
                  <w:noWrap w:val="0"/>
                  <w:vAlign w:val="center"/>
                </w:tcPr>
                <w:p w14:paraId="2765DB5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3</w:t>
                  </w:r>
                </w:p>
              </w:tc>
            </w:tr>
            <w:tr w14:paraId="4910D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continue"/>
                  <w:tcBorders>
                    <w:tl2br w:val="nil"/>
                    <w:tr2bl w:val="nil"/>
                  </w:tcBorders>
                  <w:noWrap w:val="0"/>
                  <w:vAlign w:val="center"/>
                </w:tcPr>
                <w:p w14:paraId="2763ED5C">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883" w:type="pct"/>
                  <w:tcBorders>
                    <w:tl2br w:val="nil"/>
                    <w:tr2bl w:val="nil"/>
                  </w:tcBorders>
                  <w:noWrap w:val="0"/>
                  <w:vAlign w:val="center"/>
                </w:tcPr>
                <w:p w14:paraId="23854D8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动植物油</w:t>
                  </w:r>
                </w:p>
              </w:tc>
              <w:tc>
                <w:tcPr>
                  <w:tcW w:w="2238" w:type="pct"/>
                  <w:vMerge w:val="continue"/>
                  <w:tcBorders>
                    <w:tl2br w:val="nil"/>
                    <w:tr2bl w:val="nil"/>
                  </w:tcBorders>
                  <w:noWrap w:val="0"/>
                  <w:vAlign w:val="center"/>
                </w:tcPr>
                <w:p w14:paraId="3CAB88E0">
                  <w:pPr>
                    <w:keepNext w:val="0"/>
                    <w:keepLines w:val="0"/>
                    <w:widowControl/>
                    <w:suppressLineNumbers w:val="0"/>
                    <w:spacing w:before="0" w:beforeAutospacing="0" w:after="0" w:afterAutospacing="0"/>
                    <w:ind w:left="0" w:right="0"/>
                    <w:jc w:val="left"/>
                    <w:rPr>
                      <w:rFonts w:hint="default"/>
                      <w:color w:val="000000" w:themeColor="text1"/>
                      <w:sz w:val="21"/>
                      <w:szCs w:val="21"/>
                      <w14:textFill>
                        <w14:solidFill>
                          <w14:schemeClr w14:val="tx1"/>
                        </w14:solidFill>
                      </w14:textFill>
                    </w:rPr>
                  </w:pPr>
                </w:p>
              </w:tc>
              <w:tc>
                <w:tcPr>
                  <w:tcW w:w="1073" w:type="pct"/>
                  <w:tcBorders>
                    <w:tl2br w:val="nil"/>
                    <w:tr2bl w:val="nil"/>
                  </w:tcBorders>
                  <w:noWrap w:val="0"/>
                  <w:vAlign w:val="center"/>
                </w:tcPr>
                <w:p w14:paraId="6DCCB1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100</w:t>
                  </w:r>
                </w:p>
              </w:tc>
            </w:tr>
          </w:tbl>
          <w:p w14:paraId="0B562052">
            <w:pPr>
              <w:pStyle w:val="8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textAlignment w:val="auto"/>
              <w:rPr>
                <w:rFonts w:hint="eastAsia" w:ascii="Times New Roman" w:hAnsi="Times New Roman" w:eastAsia="宋体" w:cs="Times New Roman"/>
                <w:bCs/>
                <w:color w:val="000000" w:themeColor="text1"/>
                <w:spacing w:val="0"/>
                <w:w w:val="100"/>
                <w:position w:val="0"/>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w w:val="100"/>
                <w:position w:val="0"/>
                <w:sz w:val="24"/>
                <w:szCs w:val="24"/>
                <w:highlight w:val="none"/>
                <w:u w:val="none" w:color="auto"/>
                <w:lang w:val="en-US" w:eastAsia="zh-CN"/>
                <w14:textFill>
                  <w14:solidFill>
                    <w14:schemeClr w14:val="tx1"/>
                  </w14:solidFill>
                </w14:textFill>
              </w:rPr>
              <w:t>本项目废水污染物排放信息见下表：</w:t>
            </w:r>
          </w:p>
          <w:p w14:paraId="01D552EB">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表4-</w:t>
            </w:r>
            <w:r>
              <w:rPr>
                <w:rFonts w:hint="eastAsia" w:cs="Times New Roman"/>
                <w:color w:val="000000" w:themeColor="text1"/>
                <w:spacing w:val="0"/>
                <w:w w:val="100"/>
                <w:position w:val="0"/>
                <w:sz w:val="24"/>
                <w:szCs w:val="24"/>
                <w:highlight w:val="none"/>
                <w:u w:val="none" w:color="auto"/>
                <w:lang w:val="en-US" w:eastAsia="zh-CN"/>
                <w14:textFill>
                  <w14:solidFill>
                    <w14:schemeClr w14:val="tx1"/>
                  </w14:solidFill>
                </w14:textFill>
              </w:rPr>
              <w:t xml:space="preserve">12 </w:t>
            </w:r>
            <w:r>
              <w:rPr>
                <w:rFonts w:hint="default" w:ascii="Times New Roman" w:hAnsi="Times New Roman" w:eastAsia="宋体" w:cs="Times New Roman"/>
                <w:color w:val="000000" w:themeColor="text1"/>
                <w:spacing w:val="0"/>
                <w:w w:val="100"/>
                <w:position w:val="0"/>
                <w:sz w:val="24"/>
                <w:szCs w:val="24"/>
                <w:highlight w:val="none"/>
                <w:u w:val="none" w:color="auto"/>
                <w:lang w:val="en-US" w:eastAsia="zh-CN"/>
                <w14:textFill>
                  <w14:solidFill>
                    <w14:schemeClr w14:val="tx1"/>
                  </w14:solidFill>
                </w14:textFill>
              </w:rPr>
              <w:t xml:space="preserve"> </w:t>
            </w:r>
            <w:r>
              <w:rPr>
                <w:rFonts w:hint="eastAsia" w:cs="Times New Roman"/>
                <w:color w:val="000000" w:themeColor="text1"/>
                <w:spacing w:val="0"/>
                <w:w w:val="100"/>
                <w:position w:val="0"/>
                <w:sz w:val="24"/>
                <w:szCs w:val="24"/>
                <w:highlight w:val="none"/>
                <w:u w:val="none" w:color="auto"/>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0"/>
                <w:w w:val="100"/>
                <w:position w:val="0"/>
                <w:sz w:val="24"/>
                <w:szCs w:val="24"/>
                <w:highlight w:val="none"/>
                <w:u w:val="none" w:color="auto"/>
                <w14:textFill>
                  <w14:solidFill>
                    <w14:schemeClr w14:val="tx1"/>
                  </w14:solidFill>
                </w14:textFill>
              </w:rPr>
              <w:t>废水污染物排放信息表</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36"/>
              <w:gridCol w:w="1388"/>
              <w:gridCol w:w="1885"/>
              <w:gridCol w:w="1694"/>
              <w:gridCol w:w="1670"/>
            </w:tblGrid>
            <w:tr w14:paraId="49F78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tcBorders>
                    <w:tl2br w:val="nil"/>
                    <w:tr2bl w:val="nil"/>
                  </w:tcBorders>
                  <w:noWrap w:val="0"/>
                  <w:vAlign w:val="center"/>
                </w:tcPr>
                <w:p w14:paraId="16DBEF2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序号</w:t>
                  </w:r>
                </w:p>
              </w:tc>
              <w:tc>
                <w:tcPr>
                  <w:tcW w:w="770" w:type="pct"/>
                  <w:tcBorders>
                    <w:tl2br w:val="nil"/>
                    <w:tr2bl w:val="nil"/>
                  </w:tcBorders>
                  <w:noWrap w:val="0"/>
                  <w:vAlign w:val="center"/>
                </w:tcPr>
                <w:p w14:paraId="197B6EA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排放口编号</w:t>
                  </w:r>
                </w:p>
              </w:tc>
              <w:tc>
                <w:tcPr>
                  <w:tcW w:w="800" w:type="pct"/>
                  <w:tcBorders>
                    <w:tl2br w:val="nil"/>
                    <w:tr2bl w:val="nil"/>
                  </w:tcBorders>
                  <w:noWrap w:val="0"/>
                  <w:vAlign w:val="center"/>
                </w:tcPr>
                <w:p w14:paraId="169BFC4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污染物种类</w:t>
                  </w:r>
                </w:p>
              </w:tc>
              <w:tc>
                <w:tcPr>
                  <w:tcW w:w="1086" w:type="pct"/>
                  <w:tcBorders>
                    <w:tl2br w:val="nil"/>
                    <w:tr2bl w:val="nil"/>
                  </w:tcBorders>
                  <w:noWrap w:val="0"/>
                  <w:vAlign w:val="center"/>
                </w:tcPr>
                <w:p w14:paraId="2BA816D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排放浓度/（mg/L）</w:t>
                  </w:r>
                </w:p>
              </w:tc>
              <w:tc>
                <w:tcPr>
                  <w:tcW w:w="976" w:type="pct"/>
                  <w:tcBorders>
                    <w:tl2br w:val="nil"/>
                    <w:tr2bl w:val="nil"/>
                  </w:tcBorders>
                  <w:noWrap w:val="0"/>
                  <w:vAlign w:val="center"/>
                </w:tcPr>
                <w:p w14:paraId="74D7C72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日排放量/（t/d）</w:t>
                  </w:r>
                </w:p>
              </w:tc>
              <w:tc>
                <w:tcPr>
                  <w:tcW w:w="962" w:type="pct"/>
                  <w:tcBorders>
                    <w:tl2br w:val="nil"/>
                    <w:tr2bl w:val="nil"/>
                  </w:tcBorders>
                  <w:noWrap w:val="0"/>
                  <w:vAlign w:val="center"/>
                </w:tcPr>
                <w:p w14:paraId="4CB0367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bCs/>
                      <w:color w:val="000000" w:themeColor="text1"/>
                      <w:spacing w:val="0"/>
                      <w:w w:val="100"/>
                      <w:position w:val="0"/>
                      <w:sz w:val="21"/>
                      <w:szCs w:val="21"/>
                      <w:highlight w:val="none"/>
                      <w:u w:val="none" w:color="auto"/>
                      <w14:textFill>
                        <w14:solidFill>
                          <w14:schemeClr w14:val="tx1"/>
                        </w14:solidFill>
                      </w14:textFill>
                    </w:rPr>
                    <w:t>年排放量/（t/a）</w:t>
                  </w:r>
                </w:p>
              </w:tc>
            </w:tr>
            <w:tr w14:paraId="6EFDF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restart"/>
                  <w:tcBorders>
                    <w:tl2br w:val="nil"/>
                    <w:tr2bl w:val="nil"/>
                  </w:tcBorders>
                  <w:noWrap w:val="0"/>
                  <w:vAlign w:val="center"/>
                </w:tcPr>
                <w:p w14:paraId="668134B9">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1</w:t>
                  </w:r>
                </w:p>
              </w:tc>
              <w:tc>
                <w:tcPr>
                  <w:tcW w:w="770" w:type="pct"/>
                  <w:vMerge w:val="restart"/>
                  <w:tcBorders>
                    <w:tl2br w:val="nil"/>
                    <w:tr2bl w:val="nil"/>
                  </w:tcBorders>
                  <w:noWrap w:val="0"/>
                  <w:vAlign w:val="center"/>
                </w:tcPr>
                <w:p w14:paraId="52BEBCD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DW001</w:t>
                  </w:r>
                </w:p>
              </w:tc>
              <w:tc>
                <w:tcPr>
                  <w:tcW w:w="800" w:type="pct"/>
                  <w:tcBorders>
                    <w:tl2br w:val="nil"/>
                    <w:tr2bl w:val="nil"/>
                  </w:tcBorders>
                  <w:noWrap w:val="0"/>
                  <w:vAlign w:val="center"/>
                </w:tcPr>
                <w:p w14:paraId="31655F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COD</w:t>
                  </w:r>
                </w:p>
              </w:tc>
              <w:tc>
                <w:tcPr>
                  <w:tcW w:w="1086" w:type="pct"/>
                  <w:tcBorders>
                    <w:tl2br w:val="nil"/>
                    <w:tr2bl w:val="nil"/>
                  </w:tcBorders>
                  <w:noWrap w:val="0"/>
                  <w:vAlign w:val="center"/>
                </w:tcPr>
                <w:p w14:paraId="099D8F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280</w:t>
                  </w:r>
                </w:p>
              </w:tc>
              <w:tc>
                <w:tcPr>
                  <w:tcW w:w="976" w:type="pct"/>
                  <w:tcBorders>
                    <w:tl2br w:val="nil"/>
                    <w:tr2bl w:val="nil"/>
                  </w:tcBorders>
                  <w:noWrap w:val="0"/>
                  <w:vAlign w:val="center"/>
                </w:tcPr>
                <w:p w14:paraId="1D18A1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0.00014 </w:t>
                  </w:r>
                </w:p>
              </w:tc>
              <w:tc>
                <w:tcPr>
                  <w:tcW w:w="962" w:type="pct"/>
                  <w:tcBorders>
                    <w:tl2br w:val="nil"/>
                    <w:tr2bl w:val="nil"/>
                  </w:tcBorders>
                  <w:noWrap w:val="0"/>
                  <w:vAlign w:val="center"/>
                </w:tcPr>
                <w:p w14:paraId="540D18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0.039 </w:t>
                  </w:r>
                </w:p>
              </w:tc>
            </w:tr>
            <w:tr w14:paraId="3294A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tcBorders>
                    <w:tl2br w:val="nil"/>
                    <w:tr2bl w:val="nil"/>
                  </w:tcBorders>
                  <w:noWrap w:val="0"/>
                  <w:vAlign w:val="center"/>
                </w:tcPr>
                <w:p w14:paraId="65EE93C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770" w:type="pct"/>
                  <w:vMerge w:val="continue"/>
                  <w:tcBorders>
                    <w:tl2br w:val="nil"/>
                    <w:tr2bl w:val="nil"/>
                  </w:tcBorders>
                  <w:noWrap w:val="0"/>
                  <w:vAlign w:val="center"/>
                </w:tcPr>
                <w:p w14:paraId="41417DE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p>
              </w:tc>
              <w:tc>
                <w:tcPr>
                  <w:tcW w:w="800" w:type="pct"/>
                  <w:tcBorders>
                    <w:tl2br w:val="nil"/>
                    <w:tr2bl w:val="nil"/>
                  </w:tcBorders>
                  <w:noWrap w:val="0"/>
                  <w:vAlign w:val="center"/>
                </w:tcPr>
                <w:p w14:paraId="3E2FB9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b w:val="0"/>
                      <w:bCs w:val="0"/>
                      <w:i w:val="0"/>
                      <w:iCs w:val="0"/>
                      <w:color w:val="000000" w:themeColor="text1"/>
                      <w:kern w:val="0"/>
                      <w:sz w:val="21"/>
                      <w:szCs w:val="21"/>
                      <w:u w:val="none"/>
                      <w:vertAlign w:val="subscript"/>
                      <w:lang w:val="en-US" w:eastAsia="zh-CN" w:bidi="ar"/>
                      <w14:textFill>
                        <w14:solidFill>
                          <w14:schemeClr w14:val="tx1"/>
                        </w14:solidFill>
                      </w14:textFill>
                    </w:rPr>
                    <w:t>5</w:t>
                  </w:r>
                </w:p>
              </w:tc>
              <w:tc>
                <w:tcPr>
                  <w:tcW w:w="1086" w:type="pct"/>
                  <w:tcBorders>
                    <w:tl2br w:val="nil"/>
                    <w:tr2bl w:val="nil"/>
                  </w:tcBorders>
                  <w:noWrap w:val="0"/>
                  <w:vAlign w:val="center"/>
                </w:tcPr>
                <w:p w14:paraId="7312FA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180</w:t>
                  </w:r>
                </w:p>
              </w:tc>
              <w:tc>
                <w:tcPr>
                  <w:tcW w:w="976" w:type="pct"/>
                  <w:tcBorders>
                    <w:tl2br w:val="nil"/>
                    <w:tr2bl w:val="nil"/>
                  </w:tcBorders>
                  <w:noWrap w:val="0"/>
                  <w:vAlign w:val="center"/>
                </w:tcPr>
                <w:p w14:paraId="4375F2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0.00009 </w:t>
                  </w:r>
                </w:p>
              </w:tc>
              <w:tc>
                <w:tcPr>
                  <w:tcW w:w="962" w:type="pct"/>
                  <w:tcBorders>
                    <w:tl2br w:val="nil"/>
                    <w:tr2bl w:val="nil"/>
                  </w:tcBorders>
                  <w:noWrap w:val="0"/>
                  <w:vAlign w:val="center"/>
                </w:tcPr>
                <w:p w14:paraId="174794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0.025 </w:t>
                  </w:r>
                </w:p>
              </w:tc>
            </w:tr>
            <w:tr w14:paraId="42E36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tcBorders>
                    <w:tl2br w:val="nil"/>
                    <w:tr2bl w:val="nil"/>
                  </w:tcBorders>
                  <w:noWrap w:val="0"/>
                  <w:vAlign w:val="center"/>
                </w:tcPr>
                <w:p w14:paraId="2569536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770" w:type="pct"/>
                  <w:vMerge w:val="continue"/>
                  <w:tcBorders>
                    <w:tl2br w:val="nil"/>
                    <w:tr2bl w:val="nil"/>
                  </w:tcBorders>
                  <w:noWrap w:val="0"/>
                  <w:vAlign w:val="center"/>
                </w:tcPr>
                <w:p w14:paraId="1EC80A0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p>
              </w:tc>
              <w:tc>
                <w:tcPr>
                  <w:tcW w:w="800" w:type="pct"/>
                  <w:tcBorders>
                    <w:tl2br w:val="nil"/>
                    <w:tr2bl w:val="nil"/>
                  </w:tcBorders>
                  <w:noWrap w:val="0"/>
                  <w:vAlign w:val="center"/>
                </w:tcPr>
                <w:p w14:paraId="206922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SS</w:t>
                  </w:r>
                </w:p>
              </w:tc>
              <w:tc>
                <w:tcPr>
                  <w:tcW w:w="1086" w:type="pct"/>
                  <w:tcBorders>
                    <w:tl2br w:val="nil"/>
                    <w:tr2bl w:val="nil"/>
                  </w:tcBorders>
                  <w:noWrap w:val="0"/>
                  <w:vAlign w:val="center"/>
                </w:tcPr>
                <w:p w14:paraId="164516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105</w:t>
                  </w:r>
                </w:p>
              </w:tc>
              <w:tc>
                <w:tcPr>
                  <w:tcW w:w="976" w:type="pct"/>
                  <w:tcBorders>
                    <w:tl2br w:val="nil"/>
                    <w:tr2bl w:val="nil"/>
                  </w:tcBorders>
                  <w:noWrap w:val="0"/>
                  <w:vAlign w:val="center"/>
                </w:tcPr>
                <w:p w14:paraId="5577B7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0.00005 </w:t>
                  </w:r>
                </w:p>
              </w:tc>
              <w:tc>
                <w:tcPr>
                  <w:tcW w:w="962" w:type="pct"/>
                  <w:tcBorders>
                    <w:tl2br w:val="nil"/>
                    <w:tr2bl w:val="nil"/>
                  </w:tcBorders>
                  <w:noWrap w:val="0"/>
                  <w:vAlign w:val="center"/>
                </w:tcPr>
                <w:p w14:paraId="4E32C5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0.015 </w:t>
                  </w:r>
                </w:p>
              </w:tc>
            </w:tr>
            <w:tr w14:paraId="22AF0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tcBorders>
                    <w:tl2br w:val="nil"/>
                    <w:tr2bl w:val="nil"/>
                  </w:tcBorders>
                  <w:noWrap w:val="0"/>
                  <w:vAlign w:val="center"/>
                </w:tcPr>
                <w:p w14:paraId="2082F779">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770" w:type="pct"/>
                  <w:vMerge w:val="continue"/>
                  <w:tcBorders>
                    <w:tl2br w:val="nil"/>
                    <w:tr2bl w:val="nil"/>
                  </w:tcBorders>
                  <w:noWrap w:val="0"/>
                  <w:vAlign w:val="center"/>
                </w:tcPr>
                <w:p w14:paraId="3D63155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800" w:type="pct"/>
                  <w:tcBorders>
                    <w:tl2br w:val="nil"/>
                    <w:tr2bl w:val="nil"/>
                  </w:tcBorders>
                  <w:noWrap w:val="0"/>
                  <w:vAlign w:val="center"/>
                </w:tcPr>
                <w:p w14:paraId="56EE0E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kern w:val="2"/>
                      <w:position w:val="0"/>
                      <w:sz w:val="21"/>
                      <w:szCs w:val="21"/>
                      <w:highlight w:val="none"/>
                      <w:u w:val="none" w:color="auto"/>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氨氮</w:t>
                  </w:r>
                </w:p>
              </w:tc>
              <w:tc>
                <w:tcPr>
                  <w:tcW w:w="1086" w:type="pct"/>
                  <w:tcBorders>
                    <w:tl2br w:val="nil"/>
                    <w:tr2bl w:val="nil"/>
                  </w:tcBorders>
                  <w:noWrap w:val="0"/>
                  <w:vAlign w:val="center"/>
                </w:tcPr>
                <w:p w14:paraId="4AD00F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30</w:t>
                  </w:r>
                </w:p>
              </w:tc>
              <w:tc>
                <w:tcPr>
                  <w:tcW w:w="976" w:type="pct"/>
                  <w:tcBorders>
                    <w:tl2br w:val="nil"/>
                    <w:tr2bl w:val="nil"/>
                  </w:tcBorders>
                  <w:noWrap w:val="0"/>
                  <w:vAlign w:val="center"/>
                </w:tcPr>
                <w:p w14:paraId="5A5184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0.00002 </w:t>
                  </w:r>
                </w:p>
              </w:tc>
              <w:tc>
                <w:tcPr>
                  <w:tcW w:w="962" w:type="pct"/>
                  <w:tcBorders>
                    <w:tl2br w:val="nil"/>
                    <w:tr2bl w:val="nil"/>
                  </w:tcBorders>
                  <w:noWrap w:val="0"/>
                  <w:vAlign w:val="center"/>
                </w:tcPr>
                <w:p w14:paraId="24F118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0.004 </w:t>
                  </w:r>
                </w:p>
              </w:tc>
            </w:tr>
            <w:tr w14:paraId="3F208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tcBorders>
                    <w:tl2br w:val="nil"/>
                    <w:tr2bl w:val="nil"/>
                  </w:tcBorders>
                  <w:noWrap w:val="0"/>
                  <w:vAlign w:val="center"/>
                </w:tcPr>
                <w:p w14:paraId="241E6D8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770" w:type="pct"/>
                  <w:vMerge w:val="continue"/>
                  <w:tcBorders>
                    <w:tl2br w:val="nil"/>
                    <w:tr2bl w:val="nil"/>
                  </w:tcBorders>
                  <w:noWrap w:val="0"/>
                  <w:vAlign w:val="center"/>
                </w:tcPr>
                <w:p w14:paraId="02575E4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800" w:type="pct"/>
                  <w:tcBorders>
                    <w:tl2br w:val="nil"/>
                    <w:tr2bl w:val="nil"/>
                  </w:tcBorders>
                  <w:noWrap w:val="0"/>
                  <w:vAlign w:val="center"/>
                </w:tcPr>
                <w:p w14:paraId="6595F4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TN</w:t>
                  </w:r>
                </w:p>
              </w:tc>
              <w:tc>
                <w:tcPr>
                  <w:tcW w:w="1086" w:type="pct"/>
                  <w:tcBorders>
                    <w:tl2br w:val="nil"/>
                    <w:tr2bl w:val="nil"/>
                  </w:tcBorders>
                  <w:noWrap w:val="0"/>
                  <w:vAlign w:val="center"/>
                </w:tcPr>
                <w:p w14:paraId="6BB3A3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38.8</w:t>
                  </w:r>
                </w:p>
              </w:tc>
              <w:tc>
                <w:tcPr>
                  <w:tcW w:w="976" w:type="pct"/>
                  <w:tcBorders>
                    <w:tl2br w:val="nil"/>
                    <w:tr2bl w:val="nil"/>
                  </w:tcBorders>
                  <w:noWrap w:val="0"/>
                  <w:vAlign w:val="center"/>
                </w:tcPr>
                <w:p w14:paraId="5F5B42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0.00002 </w:t>
                  </w:r>
                </w:p>
              </w:tc>
              <w:tc>
                <w:tcPr>
                  <w:tcW w:w="962" w:type="pct"/>
                  <w:tcBorders>
                    <w:tl2br w:val="nil"/>
                    <w:tr2bl w:val="nil"/>
                  </w:tcBorders>
                  <w:noWrap w:val="0"/>
                  <w:vAlign w:val="center"/>
                </w:tcPr>
                <w:p w14:paraId="226C90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0.005 </w:t>
                  </w:r>
                </w:p>
              </w:tc>
            </w:tr>
            <w:tr w14:paraId="4B606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tcBorders>
                    <w:tl2br w:val="nil"/>
                    <w:tr2bl w:val="nil"/>
                  </w:tcBorders>
                  <w:noWrap w:val="0"/>
                  <w:vAlign w:val="center"/>
                </w:tcPr>
                <w:p w14:paraId="07843F2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770" w:type="pct"/>
                  <w:vMerge w:val="continue"/>
                  <w:tcBorders>
                    <w:tl2br w:val="nil"/>
                    <w:tr2bl w:val="nil"/>
                  </w:tcBorders>
                  <w:noWrap w:val="0"/>
                  <w:vAlign w:val="center"/>
                </w:tcPr>
                <w:p w14:paraId="0758F4E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800" w:type="pct"/>
                  <w:tcBorders>
                    <w:tl2br w:val="nil"/>
                    <w:tr2bl w:val="nil"/>
                  </w:tcBorders>
                  <w:noWrap w:val="0"/>
                  <w:vAlign w:val="center"/>
                </w:tcPr>
                <w:p w14:paraId="091386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TP</w:t>
                  </w:r>
                </w:p>
              </w:tc>
              <w:tc>
                <w:tcPr>
                  <w:tcW w:w="1086" w:type="pct"/>
                  <w:tcBorders>
                    <w:tl2br w:val="nil"/>
                    <w:tr2bl w:val="nil"/>
                  </w:tcBorders>
                  <w:noWrap w:val="0"/>
                  <w:vAlign w:val="center"/>
                </w:tcPr>
                <w:p w14:paraId="659977C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3</w:t>
                  </w:r>
                </w:p>
              </w:tc>
              <w:tc>
                <w:tcPr>
                  <w:tcW w:w="976" w:type="pct"/>
                  <w:tcBorders>
                    <w:tl2br w:val="nil"/>
                    <w:tr2bl w:val="nil"/>
                  </w:tcBorders>
                  <w:noWrap w:val="0"/>
                  <w:vAlign w:val="center"/>
                </w:tcPr>
                <w:p w14:paraId="7AC9099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0.000002 </w:t>
                  </w:r>
                </w:p>
              </w:tc>
              <w:tc>
                <w:tcPr>
                  <w:tcW w:w="962" w:type="pct"/>
                  <w:tcBorders>
                    <w:tl2br w:val="nil"/>
                    <w:tr2bl w:val="nil"/>
                  </w:tcBorders>
                  <w:noWrap w:val="0"/>
                  <w:vAlign w:val="center"/>
                </w:tcPr>
                <w:p w14:paraId="5A49FF2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0.0004 </w:t>
                  </w:r>
                </w:p>
              </w:tc>
            </w:tr>
            <w:tr w14:paraId="38D1A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tcBorders>
                    <w:tl2br w:val="nil"/>
                    <w:tr2bl w:val="nil"/>
                  </w:tcBorders>
                  <w:noWrap w:val="0"/>
                  <w:vAlign w:val="center"/>
                </w:tcPr>
                <w:p w14:paraId="0DEF164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770" w:type="pct"/>
                  <w:vMerge w:val="continue"/>
                  <w:tcBorders>
                    <w:tl2br w:val="nil"/>
                    <w:tr2bl w:val="nil"/>
                  </w:tcBorders>
                  <w:noWrap w:val="0"/>
                  <w:vAlign w:val="center"/>
                </w:tcPr>
                <w:p w14:paraId="153D9E3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800" w:type="pct"/>
                  <w:tcBorders>
                    <w:tl2br w:val="nil"/>
                    <w:tr2bl w:val="nil"/>
                  </w:tcBorders>
                  <w:noWrap w:val="0"/>
                  <w:vAlign w:val="center"/>
                </w:tcPr>
                <w:p w14:paraId="662DC4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动植物油</w:t>
                  </w:r>
                </w:p>
              </w:tc>
              <w:tc>
                <w:tcPr>
                  <w:tcW w:w="1086" w:type="pct"/>
                  <w:tcBorders>
                    <w:tl2br w:val="nil"/>
                    <w:tr2bl w:val="nil"/>
                  </w:tcBorders>
                  <w:noWrap w:val="0"/>
                  <w:vAlign w:val="center"/>
                </w:tcPr>
                <w:p w14:paraId="2CBB843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20</w:t>
                  </w:r>
                </w:p>
              </w:tc>
              <w:tc>
                <w:tcPr>
                  <w:tcW w:w="976" w:type="pct"/>
                  <w:tcBorders>
                    <w:tl2br w:val="nil"/>
                    <w:tr2bl w:val="nil"/>
                  </w:tcBorders>
                  <w:noWrap w:val="0"/>
                  <w:vAlign w:val="center"/>
                </w:tcPr>
                <w:p w14:paraId="1E85AB8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0.00001 </w:t>
                  </w:r>
                </w:p>
              </w:tc>
              <w:tc>
                <w:tcPr>
                  <w:tcW w:w="962" w:type="pct"/>
                  <w:tcBorders>
                    <w:tl2br w:val="nil"/>
                    <w:tr2bl w:val="nil"/>
                  </w:tcBorders>
                  <w:noWrap w:val="0"/>
                  <w:vAlign w:val="center"/>
                </w:tcPr>
                <w:p w14:paraId="441E68D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 xml:space="preserve">0.003 </w:t>
                  </w:r>
                </w:p>
              </w:tc>
            </w:tr>
            <w:tr w14:paraId="5D52A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gridSpan w:val="2"/>
                  <w:vMerge w:val="restart"/>
                  <w:tcBorders>
                    <w:tl2br w:val="nil"/>
                    <w:tr2bl w:val="nil"/>
                  </w:tcBorders>
                  <w:noWrap w:val="0"/>
                  <w:vAlign w:val="center"/>
                </w:tcPr>
                <w:p w14:paraId="74FAEC9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全</w:t>
                  </w:r>
                  <w:r>
                    <w:rPr>
                      <w:rFonts w:hint="eastAsia" w:cs="Times New Roman"/>
                      <w:color w:val="000000" w:themeColor="text1"/>
                      <w:spacing w:val="0"/>
                      <w:w w:val="100"/>
                      <w:position w:val="0"/>
                      <w:sz w:val="21"/>
                      <w:szCs w:val="21"/>
                      <w:highlight w:val="none"/>
                      <w:u w:val="none" w:color="auto"/>
                      <w:lang w:eastAsia="zh-CN"/>
                      <w14:textFill>
                        <w14:solidFill>
                          <w14:schemeClr w14:val="tx1"/>
                        </w14:solidFill>
                      </w14:textFill>
                    </w:rPr>
                    <w:t>厂</w:t>
                  </w: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排放口合计</w:t>
                  </w:r>
                </w:p>
              </w:tc>
              <w:tc>
                <w:tcPr>
                  <w:tcW w:w="2862" w:type="pct"/>
                  <w:gridSpan w:val="3"/>
                  <w:tcBorders>
                    <w:tl2br w:val="nil"/>
                    <w:tr2bl w:val="nil"/>
                  </w:tcBorders>
                  <w:noWrap w:val="0"/>
                  <w:vAlign w:val="center"/>
                </w:tcPr>
                <w:p w14:paraId="6FE3B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COD</w:t>
                  </w:r>
                </w:p>
              </w:tc>
              <w:tc>
                <w:tcPr>
                  <w:tcW w:w="962" w:type="pct"/>
                  <w:tcBorders>
                    <w:tl2br w:val="nil"/>
                    <w:tr2bl w:val="nil"/>
                  </w:tcBorders>
                  <w:noWrap w:val="0"/>
                  <w:vAlign w:val="center"/>
                </w:tcPr>
                <w:p w14:paraId="39DECA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0.039 </w:t>
                  </w:r>
                </w:p>
              </w:tc>
            </w:tr>
            <w:tr w14:paraId="0B629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gridSpan w:val="2"/>
                  <w:vMerge w:val="continue"/>
                  <w:tcBorders>
                    <w:tl2br w:val="nil"/>
                    <w:tr2bl w:val="nil"/>
                  </w:tcBorders>
                  <w:noWrap w:val="0"/>
                  <w:vAlign w:val="center"/>
                </w:tcPr>
                <w:p w14:paraId="1ABD6C6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2862" w:type="pct"/>
                  <w:gridSpan w:val="3"/>
                  <w:tcBorders>
                    <w:tl2br w:val="nil"/>
                    <w:tr2bl w:val="nil"/>
                  </w:tcBorders>
                  <w:noWrap w:val="0"/>
                  <w:vAlign w:val="center"/>
                </w:tcPr>
                <w:p w14:paraId="1FA5B4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b w:val="0"/>
                      <w:bCs w:val="0"/>
                      <w:i w:val="0"/>
                      <w:iCs w:val="0"/>
                      <w:color w:val="000000" w:themeColor="text1"/>
                      <w:kern w:val="0"/>
                      <w:sz w:val="21"/>
                      <w:szCs w:val="21"/>
                      <w:u w:val="none"/>
                      <w:vertAlign w:val="subscript"/>
                      <w:lang w:val="en-US" w:eastAsia="zh-CN" w:bidi="ar"/>
                      <w14:textFill>
                        <w14:solidFill>
                          <w14:schemeClr w14:val="tx1"/>
                        </w14:solidFill>
                      </w14:textFill>
                    </w:rPr>
                    <w:t>5</w:t>
                  </w:r>
                </w:p>
              </w:tc>
              <w:tc>
                <w:tcPr>
                  <w:tcW w:w="962" w:type="pct"/>
                  <w:tcBorders>
                    <w:tl2br w:val="nil"/>
                    <w:tr2bl w:val="nil"/>
                  </w:tcBorders>
                  <w:noWrap w:val="0"/>
                  <w:vAlign w:val="center"/>
                </w:tcPr>
                <w:p w14:paraId="773E1E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0.025 </w:t>
                  </w:r>
                </w:p>
              </w:tc>
            </w:tr>
            <w:tr w14:paraId="1B1F2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gridSpan w:val="2"/>
                  <w:vMerge w:val="continue"/>
                  <w:tcBorders>
                    <w:tl2br w:val="nil"/>
                    <w:tr2bl w:val="nil"/>
                  </w:tcBorders>
                  <w:noWrap w:val="0"/>
                  <w:vAlign w:val="center"/>
                </w:tcPr>
                <w:p w14:paraId="71C27F6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2862" w:type="pct"/>
                  <w:gridSpan w:val="3"/>
                  <w:tcBorders>
                    <w:tl2br w:val="nil"/>
                    <w:tr2bl w:val="nil"/>
                  </w:tcBorders>
                  <w:noWrap w:val="0"/>
                  <w:vAlign w:val="center"/>
                </w:tcPr>
                <w:p w14:paraId="7F8898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SS</w:t>
                  </w:r>
                </w:p>
              </w:tc>
              <w:tc>
                <w:tcPr>
                  <w:tcW w:w="962" w:type="pct"/>
                  <w:tcBorders>
                    <w:tl2br w:val="nil"/>
                    <w:tr2bl w:val="nil"/>
                  </w:tcBorders>
                  <w:noWrap w:val="0"/>
                  <w:vAlign w:val="center"/>
                </w:tcPr>
                <w:p w14:paraId="3FDE09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0.015 </w:t>
                  </w:r>
                </w:p>
              </w:tc>
            </w:tr>
            <w:tr w14:paraId="7037D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gridSpan w:val="2"/>
                  <w:vMerge w:val="continue"/>
                  <w:tcBorders>
                    <w:tl2br w:val="nil"/>
                    <w:tr2bl w:val="nil"/>
                  </w:tcBorders>
                  <w:noWrap w:val="0"/>
                  <w:vAlign w:val="center"/>
                </w:tcPr>
                <w:p w14:paraId="131BAE3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2862" w:type="pct"/>
                  <w:gridSpan w:val="3"/>
                  <w:tcBorders>
                    <w:tl2br w:val="nil"/>
                    <w:tr2bl w:val="nil"/>
                  </w:tcBorders>
                  <w:noWrap w:val="0"/>
                  <w:vAlign w:val="center"/>
                </w:tcPr>
                <w:p w14:paraId="640BAC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氨氮</w:t>
                  </w:r>
                </w:p>
              </w:tc>
              <w:tc>
                <w:tcPr>
                  <w:tcW w:w="962" w:type="pct"/>
                  <w:tcBorders>
                    <w:tl2br w:val="nil"/>
                    <w:tr2bl w:val="nil"/>
                  </w:tcBorders>
                  <w:noWrap w:val="0"/>
                  <w:vAlign w:val="center"/>
                </w:tcPr>
                <w:p w14:paraId="710BF6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r>
            <w:tr w14:paraId="75C68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gridSpan w:val="2"/>
                  <w:vMerge w:val="continue"/>
                  <w:tcBorders>
                    <w:tl2br w:val="nil"/>
                    <w:tr2bl w:val="nil"/>
                  </w:tcBorders>
                  <w:noWrap w:val="0"/>
                  <w:vAlign w:val="center"/>
                </w:tcPr>
                <w:p w14:paraId="79DCF82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2862" w:type="pct"/>
                  <w:gridSpan w:val="3"/>
                  <w:tcBorders>
                    <w:tl2br w:val="nil"/>
                    <w:tr2bl w:val="nil"/>
                  </w:tcBorders>
                  <w:noWrap w:val="0"/>
                  <w:vAlign w:val="center"/>
                </w:tcPr>
                <w:p w14:paraId="7F298A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TN</w:t>
                  </w:r>
                </w:p>
              </w:tc>
              <w:tc>
                <w:tcPr>
                  <w:tcW w:w="962" w:type="pct"/>
                  <w:tcBorders>
                    <w:tl2br w:val="nil"/>
                    <w:tr2bl w:val="nil"/>
                  </w:tcBorders>
                  <w:noWrap w:val="0"/>
                  <w:vAlign w:val="center"/>
                </w:tcPr>
                <w:p w14:paraId="2DEED3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0.005 </w:t>
                  </w:r>
                </w:p>
              </w:tc>
            </w:tr>
            <w:tr w14:paraId="21C09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gridSpan w:val="2"/>
                  <w:vMerge w:val="continue"/>
                  <w:tcBorders>
                    <w:tl2br w:val="nil"/>
                    <w:tr2bl w:val="nil"/>
                  </w:tcBorders>
                  <w:noWrap w:val="0"/>
                  <w:vAlign w:val="center"/>
                </w:tcPr>
                <w:p w14:paraId="0D52A6C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2862" w:type="pct"/>
                  <w:gridSpan w:val="3"/>
                  <w:tcBorders>
                    <w:tl2br w:val="nil"/>
                    <w:tr2bl w:val="nil"/>
                  </w:tcBorders>
                  <w:noWrap w:val="0"/>
                  <w:vAlign w:val="center"/>
                </w:tcPr>
                <w:p w14:paraId="42963A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TP</w:t>
                  </w:r>
                </w:p>
              </w:tc>
              <w:tc>
                <w:tcPr>
                  <w:tcW w:w="962" w:type="pct"/>
                  <w:tcBorders>
                    <w:tl2br w:val="nil"/>
                    <w:tr2bl w:val="nil"/>
                  </w:tcBorders>
                  <w:noWrap w:val="0"/>
                  <w:vAlign w:val="center"/>
                </w:tcPr>
                <w:p w14:paraId="60F3934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0.0004 </w:t>
                  </w:r>
                </w:p>
              </w:tc>
            </w:tr>
            <w:tr w14:paraId="72F0F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4" w:type="pct"/>
                  <w:gridSpan w:val="2"/>
                  <w:vMerge w:val="continue"/>
                  <w:tcBorders>
                    <w:tl2br w:val="nil"/>
                    <w:tr2bl w:val="nil"/>
                  </w:tcBorders>
                  <w:noWrap w:val="0"/>
                  <w:vAlign w:val="center"/>
                </w:tcPr>
                <w:p w14:paraId="026441E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2862" w:type="pct"/>
                  <w:gridSpan w:val="3"/>
                  <w:tcBorders>
                    <w:tl2br w:val="nil"/>
                    <w:tr2bl w:val="nil"/>
                  </w:tcBorders>
                  <w:noWrap w:val="0"/>
                  <w:vAlign w:val="center"/>
                </w:tcPr>
                <w:p w14:paraId="60019D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动植物油</w:t>
                  </w:r>
                </w:p>
              </w:tc>
              <w:tc>
                <w:tcPr>
                  <w:tcW w:w="962" w:type="pct"/>
                  <w:tcBorders>
                    <w:tl2br w:val="nil"/>
                    <w:tr2bl w:val="nil"/>
                  </w:tcBorders>
                  <w:noWrap w:val="0"/>
                  <w:vAlign w:val="center"/>
                </w:tcPr>
                <w:p w14:paraId="54423CA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0.003 </w:t>
                  </w:r>
                </w:p>
              </w:tc>
            </w:tr>
          </w:tbl>
          <w:p w14:paraId="7FD72D6E">
            <w:pPr>
              <w:keepNext w:val="0"/>
              <w:keepLines w:val="0"/>
              <w:pageBreakBefore w:val="0"/>
              <w:suppressLineNumbers w:val="0"/>
              <w:kinsoku/>
              <w:overflowPunct/>
              <w:bidi w:val="0"/>
              <w:spacing w:before="0" w:beforeAutospacing="0" w:after="0" w:afterAutospacing="0" w:line="360" w:lineRule="auto"/>
              <w:ind w:left="0" w:right="0"/>
              <w:outlineLvl w:val="9"/>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3、运营期噪声环境影响和保护措施</w:t>
            </w:r>
          </w:p>
          <w:p w14:paraId="5F83A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3.1噪声源强分析</w:t>
            </w:r>
          </w:p>
          <w:p w14:paraId="5A4B6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eastAsia" w:cs="Times New Roman"/>
                <w:color w:val="000000" w:themeColor="text1"/>
                <w:spacing w:val="0"/>
                <w:position w:val="0"/>
                <w:sz w:val="24"/>
                <w:szCs w:val="24"/>
                <w:u w:val="none" w:color="auto"/>
                <w:lang w:eastAsia="zh-CN"/>
                <w14:textFill>
                  <w14:solidFill>
                    <w14:schemeClr w14:val="tx1"/>
                  </w14:solidFill>
                </w14:textFill>
              </w:rPr>
              <w:t>本</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项目噪声主要来源于生产设备运行时产生的噪声，其噪声值在75~90dB</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A</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之间，所有生产设备均位于室内。各噪声源源强见下表。</w:t>
            </w:r>
          </w:p>
          <w:p w14:paraId="7777D5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color w:val="000000" w:themeColor="text1"/>
                <w:spacing w:val="0"/>
                <w:position w:val="0"/>
                <w:sz w:val="24"/>
                <w:szCs w:val="24"/>
                <w:highlight w:val="none"/>
                <w:u w:val="none" w:color="auto"/>
                <w:lang w:eastAsia="zh-CN"/>
                <w14:textFill>
                  <w14:solidFill>
                    <w14:schemeClr w14:val="tx1"/>
                  </w14:solidFill>
                </w14:textFill>
              </w:rPr>
            </w:pPr>
            <w:r>
              <w:rPr>
                <w:rFonts w:hint="default" w:ascii="Times New Roman" w:hAnsi="Times New Roman" w:eastAsia="宋体" w:cs="Times New Roman"/>
                <w:b/>
                <w:color w:val="000000" w:themeColor="text1"/>
                <w:spacing w:val="0"/>
                <w:position w:val="0"/>
                <w:sz w:val="24"/>
                <w:szCs w:val="24"/>
                <w:highlight w:val="none"/>
                <w:u w:val="none" w:color="auto"/>
                <w14:textFill>
                  <w14:solidFill>
                    <w14:schemeClr w14:val="tx1"/>
                  </w14:solidFill>
                </w14:textFill>
              </w:rPr>
              <w:t>表</w:t>
            </w:r>
            <w:r>
              <w:rPr>
                <w:rFonts w:hint="default" w:ascii="Times New Roman" w:hAnsi="Times New Roman" w:eastAsia="宋体" w:cs="Times New Roman"/>
                <w:b/>
                <w:color w:val="000000" w:themeColor="text1"/>
                <w:spacing w:val="0"/>
                <w:position w:val="0"/>
                <w:sz w:val="24"/>
                <w:szCs w:val="24"/>
                <w:highlight w:val="none"/>
                <w:u w:val="none" w:color="auto"/>
                <w:lang w:val="en-US" w:eastAsia="zh-CN"/>
                <w14:textFill>
                  <w14:solidFill>
                    <w14:schemeClr w14:val="tx1"/>
                  </w14:solidFill>
                </w14:textFill>
              </w:rPr>
              <w:t>4-</w:t>
            </w:r>
            <w:r>
              <w:rPr>
                <w:rFonts w:hint="eastAsia" w:cs="Times New Roman"/>
                <w:b/>
                <w:color w:val="000000" w:themeColor="text1"/>
                <w:spacing w:val="0"/>
                <w:position w:val="0"/>
                <w:sz w:val="24"/>
                <w:szCs w:val="24"/>
                <w:highlight w:val="none"/>
                <w:u w:val="none" w:color="auto"/>
                <w:lang w:val="en-US" w:eastAsia="zh-CN"/>
                <w14:textFill>
                  <w14:solidFill>
                    <w14:schemeClr w14:val="tx1"/>
                  </w14:solidFill>
                </w14:textFill>
              </w:rPr>
              <w:t>13</w:t>
            </w:r>
            <w:r>
              <w:rPr>
                <w:rFonts w:hint="default" w:ascii="Times New Roman" w:hAnsi="Times New Roman" w:eastAsia="宋体" w:cs="Times New Roman"/>
                <w:b/>
                <w:color w:val="000000" w:themeColor="text1"/>
                <w:spacing w:val="0"/>
                <w:position w:val="0"/>
                <w:sz w:val="24"/>
                <w:szCs w:val="24"/>
                <w:highlight w:val="none"/>
                <w:u w:val="none" w:color="auto"/>
                <w:lang w:val="en-US" w:eastAsia="zh-CN"/>
                <w14:textFill>
                  <w14:solidFill>
                    <w14:schemeClr w14:val="tx1"/>
                  </w14:solidFill>
                </w14:textFill>
              </w:rPr>
              <w:t xml:space="preserve">   </w:t>
            </w:r>
            <w:r>
              <w:rPr>
                <w:rFonts w:hint="eastAsia" w:cs="Times New Roman"/>
                <w:b/>
                <w:color w:val="000000" w:themeColor="text1"/>
                <w:spacing w:val="0"/>
                <w:position w:val="0"/>
                <w:sz w:val="24"/>
                <w:szCs w:val="24"/>
                <w:highlight w:val="none"/>
                <w:u w:val="none" w:color="auto"/>
                <w:lang w:eastAsia="zh-CN"/>
                <w14:textFill>
                  <w14:solidFill>
                    <w14:schemeClr w14:val="tx1"/>
                  </w14:solidFill>
                </w14:textFill>
              </w:rPr>
              <w:t>本项目新增</w:t>
            </w:r>
            <w:r>
              <w:rPr>
                <w:rFonts w:hint="default" w:ascii="Times New Roman" w:hAnsi="Times New Roman" w:eastAsia="宋体" w:cs="Times New Roman"/>
                <w:b/>
                <w:color w:val="000000" w:themeColor="text1"/>
                <w:spacing w:val="0"/>
                <w:position w:val="0"/>
                <w:sz w:val="24"/>
                <w:szCs w:val="24"/>
                <w:highlight w:val="none"/>
                <w:u w:val="none" w:color="auto"/>
                <w:lang w:eastAsia="zh-CN"/>
                <w14:textFill>
                  <w14:solidFill>
                    <w14:schemeClr w14:val="tx1"/>
                  </w14:solidFill>
                </w14:textFill>
              </w:rPr>
              <w:t>噪声源强调查清单（室内声源）</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31"/>
              <w:gridCol w:w="517"/>
              <w:gridCol w:w="1752"/>
              <w:gridCol w:w="789"/>
              <w:gridCol w:w="1020"/>
              <w:gridCol w:w="720"/>
              <w:gridCol w:w="830"/>
              <w:gridCol w:w="913"/>
              <w:gridCol w:w="749"/>
              <w:gridCol w:w="855"/>
            </w:tblGrid>
            <w:tr w14:paraId="73D886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306" w:type="pct"/>
                  <w:vMerge w:val="restart"/>
                  <w:tcBorders>
                    <w:tl2br w:val="nil"/>
                    <w:tr2bl w:val="nil"/>
                  </w:tcBorders>
                  <w:shd w:val="clear" w:color="auto" w:fill="auto"/>
                  <w:vAlign w:val="center"/>
                </w:tcPr>
                <w:p w14:paraId="00D4EE1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序号</w:t>
                  </w:r>
                </w:p>
              </w:tc>
              <w:tc>
                <w:tcPr>
                  <w:tcW w:w="297" w:type="pct"/>
                  <w:vMerge w:val="restart"/>
                  <w:tcBorders>
                    <w:tl2br w:val="nil"/>
                    <w:tr2bl w:val="nil"/>
                  </w:tcBorders>
                  <w:shd w:val="clear" w:color="auto" w:fill="auto"/>
                  <w:vAlign w:val="center"/>
                </w:tcPr>
                <w:p w14:paraId="36444CB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建筑物名称</w:t>
                  </w:r>
                </w:p>
              </w:tc>
              <w:tc>
                <w:tcPr>
                  <w:tcW w:w="1009" w:type="pct"/>
                  <w:vMerge w:val="restart"/>
                  <w:tcBorders>
                    <w:tl2br w:val="nil"/>
                    <w:tr2bl w:val="nil"/>
                  </w:tcBorders>
                  <w:shd w:val="clear" w:color="auto" w:fill="auto"/>
                  <w:vAlign w:val="center"/>
                </w:tcPr>
                <w:p w14:paraId="25C2BAB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声源名称</w:t>
                  </w:r>
                </w:p>
              </w:tc>
              <w:tc>
                <w:tcPr>
                  <w:tcW w:w="454" w:type="pct"/>
                  <w:vMerge w:val="restart"/>
                  <w:tcBorders>
                    <w:tl2br w:val="nil"/>
                    <w:tr2bl w:val="nil"/>
                  </w:tcBorders>
                  <w:shd w:val="clear" w:color="auto" w:fill="auto"/>
                  <w:vAlign w:val="center"/>
                </w:tcPr>
                <w:p w14:paraId="2E1022E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声压级/距源距离dB（A）</w:t>
                  </w:r>
                </w:p>
              </w:tc>
              <w:tc>
                <w:tcPr>
                  <w:tcW w:w="587" w:type="pct"/>
                  <w:vMerge w:val="restart"/>
                  <w:tcBorders>
                    <w:tl2br w:val="nil"/>
                    <w:tr2bl w:val="nil"/>
                  </w:tcBorders>
                  <w:shd w:val="clear" w:color="auto" w:fill="auto"/>
                  <w:vAlign w:val="center"/>
                </w:tcPr>
                <w:p w14:paraId="316DCAB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声源控制措施</w:t>
                  </w:r>
                </w:p>
              </w:tc>
              <w:tc>
                <w:tcPr>
                  <w:tcW w:w="1419" w:type="pct"/>
                  <w:gridSpan w:val="3"/>
                  <w:tcBorders>
                    <w:tl2br w:val="nil"/>
                    <w:tr2bl w:val="nil"/>
                  </w:tcBorders>
                  <w:shd w:val="clear" w:color="auto" w:fill="auto"/>
                  <w:vAlign w:val="center"/>
                </w:tcPr>
                <w:p w14:paraId="3A0B82C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空间相对位置/m</w:t>
                  </w:r>
                </w:p>
              </w:tc>
              <w:tc>
                <w:tcPr>
                  <w:tcW w:w="431" w:type="pct"/>
                  <w:vMerge w:val="restart"/>
                  <w:tcBorders>
                    <w:tl2br w:val="nil"/>
                    <w:tr2bl w:val="nil"/>
                  </w:tcBorders>
                  <w:shd w:val="clear" w:color="auto" w:fill="auto"/>
                  <w:vAlign w:val="center"/>
                </w:tcPr>
                <w:p w14:paraId="061081B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运行时段</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w:t>
                  </w: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h</w:t>
                  </w:r>
                </w:p>
              </w:tc>
              <w:tc>
                <w:tcPr>
                  <w:tcW w:w="492" w:type="pct"/>
                  <w:vMerge w:val="restart"/>
                  <w:tcBorders>
                    <w:tl2br w:val="nil"/>
                    <w:tr2bl w:val="nil"/>
                  </w:tcBorders>
                  <w:shd w:val="clear" w:color="auto" w:fill="auto"/>
                  <w:vAlign w:val="center"/>
                </w:tcPr>
                <w:p w14:paraId="47D52D1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建筑物插入损失/dB（A）</w:t>
                  </w:r>
                </w:p>
              </w:tc>
            </w:tr>
            <w:tr w14:paraId="6A3BB3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vMerge w:val="continue"/>
                  <w:tcBorders>
                    <w:tl2br w:val="nil"/>
                    <w:tr2bl w:val="nil"/>
                  </w:tcBorders>
                  <w:shd w:val="clear" w:color="auto" w:fill="auto"/>
                  <w:vAlign w:val="center"/>
                </w:tcPr>
                <w:p w14:paraId="6B945CA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p>
              </w:tc>
              <w:tc>
                <w:tcPr>
                  <w:tcW w:w="297" w:type="pct"/>
                  <w:vMerge w:val="continue"/>
                  <w:tcBorders>
                    <w:tl2br w:val="nil"/>
                    <w:tr2bl w:val="nil"/>
                  </w:tcBorders>
                  <w:shd w:val="clear" w:color="auto" w:fill="auto"/>
                  <w:vAlign w:val="center"/>
                </w:tcPr>
                <w:p w14:paraId="77D98AA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p>
              </w:tc>
              <w:tc>
                <w:tcPr>
                  <w:tcW w:w="1009" w:type="pct"/>
                  <w:vMerge w:val="continue"/>
                  <w:tcBorders>
                    <w:tl2br w:val="nil"/>
                    <w:tr2bl w:val="nil"/>
                  </w:tcBorders>
                  <w:shd w:val="clear" w:color="auto" w:fill="auto"/>
                  <w:vAlign w:val="center"/>
                </w:tcPr>
                <w:p w14:paraId="783AAB4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p>
              </w:tc>
              <w:tc>
                <w:tcPr>
                  <w:tcW w:w="454" w:type="pct"/>
                  <w:vMerge w:val="continue"/>
                  <w:tcBorders>
                    <w:tl2br w:val="nil"/>
                    <w:tr2bl w:val="nil"/>
                  </w:tcBorders>
                  <w:shd w:val="clear" w:color="auto" w:fill="auto"/>
                  <w:vAlign w:val="center"/>
                </w:tcPr>
                <w:p w14:paraId="51F1E55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p>
              </w:tc>
              <w:tc>
                <w:tcPr>
                  <w:tcW w:w="587" w:type="pct"/>
                  <w:vMerge w:val="continue"/>
                  <w:tcBorders>
                    <w:tl2br w:val="nil"/>
                    <w:tr2bl w:val="nil"/>
                  </w:tcBorders>
                  <w:shd w:val="clear" w:color="auto" w:fill="auto"/>
                  <w:vAlign w:val="center"/>
                </w:tcPr>
                <w:p w14:paraId="2C27AAE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p>
              </w:tc>
              <w:tc>
                <w:tcPr>
                  <w:tcW w:w="414" w:type="pct"/>
                  <w:tcBorders>
                    <w:tl2br w:val="nil"/>
                    <w:tr2bl w:val="nil"/>
                  </w:tcBorders>
                  <w:shd w:val="clear" w:color="auto" w:fill="auto"/>
                  <w:vAlign w:val="center"/>
                </w:tcPr>
                <w:p w14:paraId="3BC6920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X</w:t>
                  </w:r>
                </w:p>
              </w:tc>
              <w:tc>
                <w:tcPr>
                  <w:tcW w:w="478" w:type="pct"/>
                  <w:tcBorders>
                    <w:tl2br w:val="nil"/>
                    <w:tr2bl w:val="nil"/>
                  </w:tcBorders>
                  <w:shd w:val="clear" w:color="auto" w:fill="auto"/>
                  <w:vAlign w:val="center"/>
                </w:tcPr>
                <w:p w14:paraId="5384FBA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Y</w:t>
                  </w:r>
                </w:p>
              </w:tc>
              <w:tc>
                <w:tcPr>
                  <w:tcW w:w="526" w:type="pct"/>
                  <w:tcBorders>
                    <w:tl2br w:val="nil"/>
                    <w:tr2bl w:val="nil"/>
                  </w:tcBorders>
                  <w:shd w:val="clear" w:color="auto" w:fill="auto"/>
                  <w:vAlign w:val="center"/>
                </w:tcPr>
                <w:p w14:paraId="07A6619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Z</w:t>
                  </w:r>
                </w:p>
              </w:tc>
              <w:tc>
                <w:tcPr>
                  <w:tcW w:w="431" w:type="pct"/>
                  <w:vMerge w:val="continue"/>
                  <w:tcBorders>
                    <w:tl2br w:val="nil"/>
                    <w:tr2bl w:val="nil"/>
                  </w:tcBorders>
                  <w:shd w:val="clear" w:color="auto" w:fill="auto"/>
                  <w:vAlign w:val="center"/>
                </w:tcPr>
                <w:p w14:paraId="7DD3200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6676962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714C39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2CD5ED1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297" w:type="pct"/>
                  <w:vMerge w:val="restart"/>
                  <w:tcBorders>
                    <w:tl2br w:val="nil"/>
                    <w:tr2bl w:val="nil"/>
                  </w:tcBorders>
                  <w:shd w:val="clear" w:color="auto" w:fill="auto"/>
                  <w:vAlign w:val="center"/>
                </w:tcPr>
                <w:p w14:paraId="73D5AC2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eastAsia" w:ascii="Times New Roman" w:hAnsi="Times New Roman" w:eastAsia="宋体" w:cs="Times New Roman"/>
                      <w:color w:val="000000" w:themeColor="text1"/>
                      <w:spacing w:val="0"/>
                      <w:w w:val="100"/>
                      <w:position w:val="0"/>
                      <w:sz w:val="21"/>
                      <w:szCs w:val="21"/>
                      <w:highlight w:val="none"/>
                      <w:u w:val="none" w:color="auto"/>
                      <w:lang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eastAsia="zh-CN"/>
                      <w14:textFill>
                        <w14:solidFill>
                          <w14:schemeClr w14:val="tx1"/>
                        </w14:solidFill>
                      </w14:textFill>
                    </w:rPr>
                    <w:t>生产厂房</w:t>
                  </w:r>
                </w:p>
              </w:tc>
              <w:tc>
                <w:tcPr>
                  <w:tcW w:w="1009" w:type="pct"/>
                  <w:tcBorders>
                    <w:tl2br w:val="nil"/>
                    <w:tr2bl w:val="nil"/>
                  </w:tcBorders>
                  <w:shd w:val="clear" w:color="auto" w:fill="auto"/>
                  <w:vAlign w:val="center"/>
                </w:tcPr>
                <w:p w14:paraId="7971BA3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机械冲床</w:t>
                  </w:r>
                </w:p>
              </w:tc>
              <w:tc>
                <w:tcPr>
                  <w:tcW w:w="454" w:type="pct"/>
                  <w:tcBorders>
                    <w:tl2br w:val="nil"/>
                    <w:tr2bl w:val="nil"/>
                  </w:tcBorders>
                  <w:shd w:val="clear" w:color="auto" w:fill="auto"/>
                  <w:vAlign w:val="center"/>
                </w:tcPr>
                <w:p w14:paraId="41C4FA0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85</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restart"/>
                  <w:tcBorders>
                    <w:tl2br w:val="nil"/>
                    <w:tr2bl w:val="nil"/>
                  </w:tcBorders>
                  <w:shd w:val="clear" w:color="auto" w:fill="auto"/>
                  <w:vAlign w:val="center"/>
                </w:tcPr>
                <w:p w14:paraId="5A2F642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合理</w:t>
                  </w:r>
                </w:p>
                <w:p w14:paraId="2738A35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布置、</w:t>
                  </w:r>
                </w:p>
                <w:p w14:paraId="05DB4CC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基础</w:t>
                  </w:r>
                </w:p>
                <w:p w14:paraId="29CC1F7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减震、</w:t>
                  </w:r>
                </w:p>
                <w:p w14:paraId="128D25B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隔声</w:t>
                  </w:r>
                </w:p>
                <w:p w14:paraId="2D818F8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处理，绿化带、围墙隔声，加强管理和设备的保养，防止异常噪</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声</w:t>
                  </w:r>
                </w:p>
              </w:tc>
              <w:tc>
                <w:tcPr>
                  <w:tcW w:w="414" w:type="pct"/>
                  <w:tcBorders>
                    <w:tl2br w:val="nil"/>
                    <w:tr2bl w:val="nil"/>
                  </w:tcBorders>
                  <w:shd w:val="clear" w:color="auto" w:fill="auto"/>
                  <w:vAlign w:val="center"/>
                </w:tcPr>
                <w:p w14:paraId="44F5236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38.7</w:t>
                  </w:r>
                </w:p>
              </w:tc>
              <w:tc>
                <w:tcPr>
                  <w:tcW w:w="478" w:type="pct"/>
                  <w:tcBorders>
                    <w:tl2br w:val="nil"/>
                    <w:tr2bl w:val="nil"/>
                  </w:tcBorders>
                  <w:shd w:val="clear" w:color="auto" w:fill="auto"/>
                  <w:vAlign w:val="center"/>
                </w:tcPr>
                <w:p w14:paraId="253704E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178</w:t>
                  </w:r>
                </w:p>
              </w:tc>
              <w:tc>
                <w:tcPr>
                  <w:tcW w:w="526" w:type="pct"/>
                  <w:tcBorders>
                    <w:tl2br w:val="nil"/>
                    <w:tr2bl w:val="nil"/>
                  </w:tcBorders>
                  <w:shd w:val="clear" w:color="auto" w:fill="auto"/>
                  <w:vAlign w:val="center"/>
                </w:tcPr>
                <w:p w14:paraId="6E0686F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restart"/>
                  <w:tcBorders>
                    <w:tl2br w:val="nil"/>
                    <w:tr2bl w:val="nil"/>
                  </w:tcBorders>
                  <w:shd w:val="clear" w:color="auto" w:fill="auto"/>
                  <w:vAlign w:val="center"/>
                </w:tcPr>
                <w:p w14:paraId="1A9414F9">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t>8h/d,昼间</w:t>
                  </w:r>
                </w:p>
              </w:tc>
              <w:tc>
                <w:tcPr>
                  <w:tcW w:w="492" w:type="pct"/>
                  <w:vMerge w:val="restart"/>
                  <w:tcBorders>
                    <w:tl2br w:val="nil"/>
                    <w:tr2bl w:val="nil"/>
                  </w:tcBorders>
                  <w:shd w:val="clear" w:color="auto" w:fill="auto"/>
                  <w:vAlign w:val="center"/>
                </w:tcPr>
                <w:p w14:paraId="2B40777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20</w:t>
                  </w:r>
                </w:p>
              </w:tc>
            </w:tr>
            <w:tr w14:paraId="724630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4CB50D6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w:t>
                  </w:r>
                </w:p>
              </w:tc>
              <w:tc>
                <w:tcPr>
                  <w:tcW w:w="297" w:type="pct"/>
                  <w:vMerge w:val="continue"/>
                  <w:tcBorders>
                    <w:tl2br w:val="nil"/>
                    <w:tr2bl w:val="nil"/>
                  </w:tcBorders>
                  <w:shd w:val="clear" w:color="auto" w:fill="auto"/>
                  <w:vAlign w:val="center"/>
                </w:tcPr>
                <w:p w14:paraId="2D86BF4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37B229D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管孔翻边机</w:t>
                  </w:r>
                </w:p>
              </w:tc>
              <w:tc>
                <w:tcPr>
                  <w:tcW w:w="454" w:type="pct"/>
                  <w:tcBorders>
                    <w:tl2br w:val="nil"/>
                    <w:tr2bl w:val="nil"/>
                  </w:tcBorders>
                  <w:shd w:val="clear" w:color="auto" w:fill="auto"/>
                  <w:vAlign w:val="center"/>
                </w:tcPr>
                <w:p w14:paraId="5B4065E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41AE06E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240062C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38.7</w:t>
                  </w:r>
                </w:p>
              </w:tc>
              <w:tc>
                <w:tcPr>
                  <w:tcW w:w="478" w:type="pct"/>
                  <w:tcBorders>
                    <w:tl2br w:val="nil"/>
                    <w:tr2bl w:val="nil"/>
                  </w:tcBorders>
                  <w:shd w:val="clear" w:color="auto" w:fill="auto"/>
                  <w:vAlign w:val="center"/>
                </w:tcPr>
                <w:p w14:paraId="0ACA1079">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131.8</w:t>
                  </w:r>
                </w:p>
              </w:tc>
              <w:tc>
                <w:tcPr>
                  <w:tcW w:w="526" w:type="pct"/>
                  <w:tcBorders>
                    <w:tl2br w:val="nil"/>
                    <w:tr2bl w:val="nil"/>
                  </w:tcBorders>
                  <w:shd w:val="clear" w:color="auto" w:fill="auto"/>
                  <w:vAlign w:val="center"/>
                </w:tcPr>
                <w:p w14:paraId="21245E1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214AD8D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50560489">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1B9B01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4125B27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w:t>
                  </w:r>
                </w:p>
              </w:tc>
              <w:tc>
                <w:tcPr>
                  <w:tcW w:w="297" w:type="pct"/>
                  <w:vMerge w:val="continue"/>
                  <w:tcBorders>
                    <w:tl2br w:val="nil"/>
                    <w:tr2bl w:val="nil"/>
                  </w:tcBorders>
                  <w:shd w:val="clear" w:color="auto" w:fill="auto"/>
                  <w:vAlign w:val="center"/>
                </w:tcPr>
                <w:p w14:paraId="3BA72C8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13F7BBC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翅片冲床</w:t>
                  </w:r>
                </w:p>
              </w:tc>
              <w:tc>
                <w:tcPr>
                  <w:tcW w:w="454" w:type="pct"/>
                  <w:tcBorders>
                    <w:tl2br w:val="nil"/>
                    <w:tr2bl w:val="nil"/>
                  </w:tcBorders>
                  <w:shd w:val="clear" w:color="auto" w:fill="auto"/>
                  <w:vAlign w:val="center"/>
                </w:tcPr>
                <w:p w14:paraId="470484F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85</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10664BD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2805223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54.9</w:t>
                  </w:r>
                </w:p>
              </w:tc>
              <w:tc>
                <w:tcPr>
                  <w:tcW w:w="478" w:type="pct"/>
                  <w:tcBorders>
                    <w:tl2br w:val="nil"/>
                    <w:tr2bl w:val="nil"/>
                  </w:tcBorders>
                  <w:shd w:val="clear" w:color="auto" w:fill="auto"/>
                  <w:vAlign w:val="center"/>
                </w:tcPr>
                <w:p w14:paraId="2FD00179">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72.3</w:t>
                  </w:r>
                </w:p>
              </w:tc>
              <w:tc>
                <w:tcPr>
                  <w:tcW w:w="526" w:type="pct"/>
                  <w:tcBorders>
                    <w:tl2br w:val="nil"/>
                    <w:tr2bl w:val="nil"/>
                  </w:tcBorders>
                  <w:shd w:val="clear" w:color="auto" w:fill="auto"/>
                  <w:vAlign w:val="center"/>
                </w:tcPr>
                <w:p w14:paraId="0BE5793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45B0A2B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415379D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63A38E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3B1FAF7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4</w:t>
                  </w:r>
                </w:p>
              </w:tc>
              <w:tc>
                <w:tcPr>
                  <w:tcW w:w="297" w:type="pct"/>
                  <w:vMerge w:val="continue"/>
                  <w:tcBorders>
                    <w:tl2br w:val="nil"/>
                    <w:tr2bl w:val="nil"/>
                  </w:tcBorders>
                  <w:shd w:val="clear" w:color="auto" w:fill="auto"/>
                  <w:vAlign w:val="center"/>
                </w:tcPr>
                <w:p w14:paraId="6BB0440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75977BA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胀管机</w:t>
                  </w:r>
                </w:p>
              </w:tc>
              <w:tc>
                <w:tcPr>
                  <w:tcW w:w="454" w:type="pct"/>
                  <w:tcBorders>
                    <w:tl2br w:val="nil"/>
                    <w:tr2bl w:val="nil"/>
                  </w:tcBorders>
                  <w:shd w:val="clear" w:color="auto" w:fill="auto"/>
                  <w:vAlign w:val="center"/>
                </w:tcPr>
                <w:p w14:paraId="3FDBB6F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75</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1D417FD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299CD44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54.5</w:t>
                  </w:r>
                </w:p>
              </w:tc>
              <w:tc>
                <w:tcPr>
                  <w:tcW w:w="478" w:type="pct"/>
                  <w:tcBorders>
                    <w:tl2br w:val="nil"/>
                    <w:tr2bl w:val="nil"/>
                  </w:tcBorders>
                  <w:shd w:val="clear" w:color="auto" w:fill="auto"/>
                  <w:vAlign w:val="center"/>
                </w:tcPr>
                <w:p w14:paraId="4FC5762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79.3</w:t>
                  </w:r>
                </w:p>
              </w:tc>
              <w:tc>
                <w:tcPr>
                  <w:tcW w:w="526" w:type="pct"/>
                  <w:tcBorders>
                    <w:tl2br w:val="nil"/>
                    <w:tr2bl w:val="nil"/>
                  </w:tcBorders>
                  <w:shd w:val="clear" w:color="auto" w:fill="auto"/>
                  <w:vAlign w:val="center"/>
                </w:tcPr>
                <w:p w14:paraId="2602A49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3618A79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4119371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01A1F5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28260CA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5</w:t>
                  </w:r>
                </w:p>
              </w:tc>
              <w:tc>
                <w:tcPr>
                  <w:tcW w:w="297" w:type="pct"/>
                  <w:vMerge w:val="continue"/>
                  <w:tcBorders>
                    <w:tl2br w:val="nil"/>
                    <w:tr2bl w:val="nil"/>
                  </w:tcBorders>
                  <w:shd w:val="clear" w:color="auto" w:fill="auto"/>
                  <w:vAlign w:val="center"/>
                </w:tcPr>
                <w:p w14:paraId="02A850B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6328C49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空压机</w:t>
                  </w:r>
                </w:p>
              </w:tc>
              <w:tc>
                <w:tcPr>
                  <w:tcW w:w="454" w:type="pct"/>
                  <w:tcBorders>
                    <w:tl2br w:val="nil"/>
                    <w:tr2bl w:val="nil"/>
                  </w:tcBorders>
                  <w:shd w:val="clear" w:color="auto" w:fill="auto"/>
                  <w:vAlign w:val="center"/>
                </w:tcPr>
                <w:p w14:paraId="3EA4E3C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09EC680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38735F0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52.5</w:t>
                  </w:r>
                </w:p>
              </w:tc>
              <w:tc>
                <w:tcPr>
                  <w:tcW w:w="478" w:type="pct"/>
                  <w:tcBorders>
                    <w:tl2br w:val="nil"/>
                    <w:tr2bl w:val="nil"/>
                  </w:tcBorders>
                  <w:shd w:val="clear" w:color="auto" w:fill="auto"/>
                  <w:vAlign w:val="center"/>
                </w:tcPr>
                <w:p w14:paraId="6A44139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72.4</w:t>
                  </w:r>
                </w:p>
              </w:tc>
              <w:tc>
                <w:tcPr>
                  <w:tcW w:w="526" w:type="pct"/>
                  <w:tcBorders>
                    <w:tl2br w:val="nil"/>
                    <w:tr2bl w:val="nil"/>
                  </w:tcBorders>
                  <w:shd w:val="clear" w:color="auto" w:fill="auto"/>
                  <w:vAlign w:val="center"/>
                </w:tcPr>
                <w:p w14:paraId="5B31DC7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18702ED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379AF86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30FE09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299340C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6</w:t>
                  </w:r>
                </w:p>
              </w:tc>
              <w:tc>
                <w:tcPr>
                  <w:tcW w:w="297" w:type="pct"/>
                  <w:vMerge w:val="continue"/>
                  <w:tcBorders>
                    <w:tl2br w:val="nil"/>
                    <w:tr2bl w:val="nil"/>
                  </w:tcBorders>
                  <w:shd w:val="clear" w:color="auto" w:fill="auto"/>
                  <w:vAlign w:val="center"/>
                </w:tcPr>
                <w:p w14:paraId="5B54FFB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35B6A22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校直切断机</w:t>
                  </w:r>
                </w:p>
              </w:tc>
              <w:tc>
                <w:tcPr>
                  <w:tcW w:w="454" w:type="pct"/>
                  <w:tcBorders>
                    <w:tl2br w:val="nil"/>
                    <w:tr2bl w:val="nil"/>
                  </w:tcBorders>
                  <w:shd w:val="clear" w:color="auto" w:fill="auto"/>
                  <w:vAlign w:val="center"/>
                </w:tcPr>
                <w:p w14:paraId="5A42B5F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0229103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77437A3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41.7</w:t>
                  </w:r>
                </w:p>
              </w:tc>
              <w:tc>
                <w:tcPr>
                  <w:tcW w:w="478" w:type="pct"/>
                  <w:tcBorders>
                    <w:tl2br w:val="nil"/>
                    <w:tr2bl w:val="nil"/>
                  </w:tcBorders>
                  <w:shd w:val="clear" w:color="auto" w:fill="auto"/>
                  <w:vAlign w:val="center"/>
                </w:tcPr>
                <w:p w14:paraId="3190AB8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 xml:space="preserve">67.0 </w:t>
                  </w:r>
                </w:p>
              </w:tc>
              <w:tc>
                <w:tcPr>
                  <w:tcW w:w="526" w:type="pct"/>
                  <w:tcBorders>
                    <w:tl2br w:val="nil"/>
                    <w:tr2bl w:val="nil"/>
                  </w:tcBorders>
                  <w:shd w:val="clear" w:color="auto" w:fill="auto"/>
                  <w:vAlign w:val="center"/>
                </w:tcPr>
                <w:p w14:paraId="2F79189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4E388E2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3C35E22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3A1D6F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4944722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w:t>
                  </w:r>
                </w:p>
              </w:tc>
              <w:tc>
                <w:tcPr>
                  <w:tcW w:w="297" w:type="pct"/>
                  <w:vMerge w:val="continue"/>
                  <w:tcBorders>
                    <w:tl2br w:val="nil"/>
                    <w:tr2bl w:val="nil"/>
                  </w:tcBorders>
                  <w:shd w:val="clear" w:color="auto" w:fill="auto"/>
                  <w:vAlign w:val="center"/>
                </w:tcPr>
                <w:p w14:paraId="4DCBBE6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4490735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手动长</w:t>
                  </w: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U</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弯管机</w:t>
                  </w:r>
                </w:p>
              </w:tc>
              <w:tc>
                <w:tcPr>
                  <w:tcW w:w="454" w:type="pct"/>
                  <w:tcBorders>
                    <w:tl2br w:val="nil"/>
                    <w:tr2bl w:val="nil"/>
                  </w:tcBorders>
                  <w:shd w:val="clear" w:color="auto" w:fill="auto"/>
                  <w:vAlign w:val="center"/>
                </w:tcPr>
                <w:p w14:paraId="2879B62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230A386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281DEE8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39.2</w:t>
                  </w:r>
                </w:p>
              </w:tc>
              <w:tc>
                <w:tcPr>
                  <w:tcW w:w="478" w:type="pct"/>
                  <w:tcBorders>
                    <w:tl2br w:val="nil"/>
                    <w:tr2bl w:val="nil"/>
                  </w:tcBorders>
                  <w:shd w:val="clear" w:color="auto" w:fill="auto"/>
                  <w:vAlign w:val="center"/>
                </w:tcPr>
                <w:p w14:paraId="15781C8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72.3</w:t>
                  </w:r>
                </w:p>
              </w:tc>
              <w:tc>
                <w:tcPr>
                  <w:tcW w:w="526" w:type="pct"/>
                  <w:tcBorders>
                    <w:tl2br w:val="nil"/>
                    <w:tr2bl w:val="nil"/>
                  </w:tcBorders>
                  <w:shd w:val="clear" w:color="auto" w:fill="auto"/>
                  <w:vAlign w:val="center"/>
                </w:tcPr>
                <w:p w14:paraId="37C08CF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3A97EB8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53B2BDF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1DFDBF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0253E9B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w:t>
                  </w:r>
                </w:p>
              </w:tc>
              <w:tc>
                <w:tcPr>
                  <w:tcW w:w="297" w:type="pct"/>
                  <w:vMerge w:val="continue"/>
                  <w:tcBorders>
                    <w:tl2br w:val="nil"/>
                    <w:tr2bl w:val="nil"/>
                  </w:tcBorders>
                  <w:shd w:val="clear" w:color="auto" w:fill="auto"/>
                  <w:vAlign w:val="center"/>
                </w:tcPr>
                <w:p w14:paraId="73BD717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1B22447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智能氩弧焊</w:t>
                  </w:r>
                </w:p>
              </w:tc>
              <w:tc>
                <w:tcPr>
                  <w:tcW w:w="454" w:type="pct"/>
                  <w:tcBorders>
                    <w:tl2br w:val="nil"/>
                    <w:tr2bl w:val="nil"/>
                  </w:tcBorders>
                  <w:shd w:val="clear" w:color="auto" w:fill="auto"/>
                  <w:vAlign w:val="center"/>
                </w:tcPr>
                <w:p w14:paraId="252C0AF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0927D41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3A20265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51.8</w:t>
                  </w:r>
                </w:p>
              </w:tc>
              <w:tc>
                <w:tcPr>
                  <w:tcW w:w="478" w:type="pct"/>
                  <w:tcBorders>
                    <w:tl2br w:val="nil"/>
                    <w:tr2bl w:val="nil"/>
                  </w:tcBorders>
                  <w:shd w:val="clear" w:color="auto" w:fill="auto"/>
                  <w:vAlign w:val="center"/>
                </w:tcPr>
                <w:p w14:paraId="73112A2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104.2</w:t>
                  </w:r>
                </w:p>
              </w:tc>
              <w:tc>
                <w:tcPr>
                  <w:tcW w:w="526" w:type="pct"/>
                  <w:tcBorders>
                    <w:tl2br w:val="nil"/>
                    <w:tr2bl w:val="nil"/>
                  </w:tcBorders>
                  <w:shd w:val="clear" w:color="auto" w:fill="auto"/>
                  <w:vAlign w:val="center"/>
                </w:tcPr>
                <w:p w14:paraId="365941A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59B9DA5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5F846B8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1C20CF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6F49B45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w:t>
                  </w:r>
                </w:p>
              </w:tc>
              <w:tc>
                <w:tcPr>
                  <w:tcW w:w="297" w:type="pct"/>
                  <w:vMerge w:val="continue"/>
                  <w:tcBorders>
                    <w:tl2br w:val="nil"/>
                    <w:tr2bl w:val="nil"/>
                  </w:tcBorders>
                  <w:shd w:val="clear" w:color="auto" w:fill="auto"/>
                  <w:vAlign w:val="center"/>
                </w:tcPr>
                <w:p w14:paraId="048D4B1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6121EF3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双丝激光焊机</w:t>
                  </w:r>
                </w:p>
              </w:tc>
              <w:tc>
                <w:tcPr>
                  <w:tcW w:w="454" w:type="pct"/>
                  <w:tcBorders>
                    <w:tl2br w:val="nil"/>
                    <w:tr2bl w:val="nil"/>
                  </w:tcBorders>
                  <w:shd w:val="clear" w:color="auto" w:fill="auto"/>
                  <w:vAlign w:val="center"/>
                </w:tcPr>
                <w:p w14:paraId="5D8EBE3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3B80CE1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4A52FEC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51.6</w:t>
                  </w:r>
                </w:p>
              </w:tc>
              <w:tc>
                <w:tcPr>
                  <w:tcW w:w="478" w:type="pct"/>
                  <w:tcBorders>
                    <w:tl2br w:val="nil"/>
                    <w:tr2bl w:val="nil"/>
                  </w:tcBorders>
                  <w:shd w:val="clear" w:color="auto" w:fill="auto"/>
                  <w:vAlign w:val="center"/>
                </w:tcPr>
                <w:p w14:paraId="0C552C7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99.2</w:t>
                  </w:r>
                </w:p>
              </w:tc>
              <w:tc>
                <w:tcPr>
                  <w:tcW w:w="526" w:type="pct"/>
                  <w:tcBorders>
                    <w:tl2br w:val="nil"/>
                    <w:tr2bl w:val="nil"/>
                  </w:tcBorders>
                  <w:shd w:val="clear" w:color="auto" w:fill="auto"/>
                  <w:vAlign w:val="center"/>
                </w:tcPr>
                <w:p w14:paraId="0F78F56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3B35B30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480C1F3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413E9E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70FF6BC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10</w:t>
                  </w:r>
                </w:p>
              </w:tc>
              <w:tc>
                <w:tcPr>
                  <w:tcW w:w="297" w:type="pct"/>
                  <w:vMerge w:val="continue"/>
                  <w:tcBorders>
                    <w:tl2br w:val="nil"/>
                    <w:tr2bl w:val="nil"/>
                  </w:tcBorders>
                  <w:shd w:val="clear" w:color="auto" w:fill="auto"/>
                  <w:vAlign w:val="center"/>
                </w:tcPr>
                <w:p w14:paraId="79779DC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35E45CB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氧割</w:t>
                  </w:r>
                </w:p>
              </w:tc>
              <w:tc>
                <w:tcPr>
                  <w:tcW w:w="454" w:type="pct"/>
                  <w:tcBorders>
                    <w:tl2br w:val="nil"/>
                    <w:tr2bl w:val="nil"/>
                  </w:tcBorders>
                  <w:shd w:val="clear" w:color="auto" w:fill="auto"/>
                  <w:vAlign w:val="center"/>
                </w:tcPr>
                <w:p w14:paraId="47DFAE0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75</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0456711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455BC4C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38.1</w:t>
                  </w:r>
                </w:p>
              </w:tc>
              <w:tc>
                <w:tcPr>
                  <w:tcW w:w="478" w:type="pct"/>
                  <w:tcBorders>
                    <w:tl2br w:val="nil"/>
                    <w:tr2bl w:val="nil"/>
                  </w:tcBorders>
                  <w:shd w:val="clear" w:color="auto" w:fill="auto"/>
                  <w:vAlign w:val="center"/>
                </w:tcPr>
                <w:p w14:paraId="40EA178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109.6</w:t>
                  </w:r>
                </w:p>
              </w:tc>
              <w:tc>
                <w:tcPr>
                  <w:tcW w:w="526" w:type="pct"/>
                  <w:tcBorders>
                    <w:tl2br w:val="nil"/>
                    <w:tr2bl w:val="nil"/>
                  </w:tcBorders>
                  <w:shd w:val="clear" w:color="auto" w:fill="auto"/>
                  <w:vAlign w:val="center"/>
                </w:tcPr>
                <w:p w14:paraId="54D971C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3475F9F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1499863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5E7272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3F0A476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11</w:t>
                  </w:r>
                </w:p>
              </w:tc>
              <w:tc>
                <w:tcPr>
                  <w:tcW w:w="297" w:type="pct"/>
                  <w:vMerge w:val="continue"/>
                  <w:tcBorders>
                    <w:tl2br w:val="nil"/>
                    <w:tr2bl w:val="nil"/>
                  </w:tcBorders>
                  <w:shd w:val="clear" w:color="auto" w:fill="auto"/>
                  <w:vAlign w:val="center"/>
                </w:tcPr>
                <w:p w14:paraId="4B6D740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247149D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氧割</w:t>
                  </w:r>
                </w:p>
              </w:tc>
              <w:tc>
                <w:tcPr>
                  <w:tcW w:w="454" w:type="pct"/>
                  <w:tcBorders>
                    <w:tl2br w:val="nil"/>
                    <w:tr2bl w:val="nil"/>
                  </w:tcBorders>
                  <w:shd w:val="clear" w:color="auto" w:fill="auto"/>
                  <w:vAlign w:val="center"/>
                </w:tcPr>
                <w:p w14:paraId="5C303E2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75</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6A36F99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7D0E99C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37.6</w:t>
                  </w:r>
                </w:p>
              </w:tc>
              <w:tc>
                <w:tcPr>
                  <w:tcW w:w="478" w:type="pct"/>
                  <w:tcBorders>
                    <w:tl2br w:val="nil"/>
                    <w:tr2bl w:val="nil"/>
                  </w:tcBorders>
                  <w:shd w:val="clear" w:color="auto" w:fill="auto"/>
                  <w:vAlign w:val="center"/>
                </w:tcPr>
                <w:p w14:paraId="533AFC1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105.6</w:t>
                  </w:r>
                </w:p>
              </w:tc>
              <w:tc>
                <w:tcPr>
                  <w:tcW w:w="526" w:type="pct"/>
                  <w:tcBorders>
                    <w:tl2br w:val="nil"/>
                    <w:tr2bl w:val="nil"/>
                  </w:tcBorders>
                  <w:shd w:val="clear" w:color="auto" w:fill="auto"/>
                  <w:vAlign w:val="center"/>
                </w:tcPr>
                <w:p w14:paraId="21CAC8A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68DEE45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2DC4432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62E28D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6B19BD5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12</w:t>
                  </w:r>
                </w:p>
              </w:tc>
              <w:tc>
                <w:tcPr>
                  <w:tcW w:w="297" w:type="pct"/>
                  <w:vMerge w:val="continue"/>
                  <w:tcBorders>
                    <w:tl2br w:val="nil"/>
                    <w:tr2bl w:val="nil"/>
                  </w:tcBorders>
                  <w:shd w:val="clear" w:color="auto" w:fill="auto"/>
                  <w:vAlign w:val="center"/>
                </w:tcPr>
                <w:p w14:paraId="71EA30A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7B71BA2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抛丸机</w:t>
                  </w:r>
                </w:p>
              </w:tc>
              <w:tc>
                <w:tcPr>
                  <w:tcW w:w="454" w:type="pct"/>
                  <w:tcBorders>
                    <w:tl2br w:val="nil"/>
                    <w:tr2bl w:val="nil"/>
                  </w:tcBorders>
                  <w:shd w:val="clear" w:color="auto" w:fill="auto"/>
                  <w:vAlign w:val="center"/>
                </w:tcPr>
                <w:p w14:paraId="7894BA5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85</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08DA583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1A835A29">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13.8</w:t>
                  </w:r>
                </w:p>
              </w:tc>
              <w:tc>
                <w:tcPr>
                  <w:tcW w:w="478" w:type="pct"/>
                  <w:tcBorders>
                    <w:tl2br w:val="nil"/>
                    <w:tr2bl w:val="nil"/>
                  </w:tcBorders>
                  <w:shd w:val="clear" w:color="auto" w:fill="auto"/>
                  <w:vAlign w:val="center"/>
                </w:tcPr>
                <w:p w14:paraId="5665443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187</w:t>
                  </w:r>
                </w:p>
              </w:tc>
              <w:tc>
                <w:tcPr>
                  <w:tcW w:w="526" w:type="pct"/>
                  <w:tcBorders>
                    <w:tl2br w:val="nil"/>
                    <w:tr2bl w:val="nil"/>
                  </w:tcBorders>
                  <w:shd w:val="clear" w:color="auto" w:fill="auto"/>
                  <w:vAlign w:val="center"/>
                </w:tcPr>
                <w:p w14:paraId="580E166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10CA357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3513CFD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32E7DA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5E17FC1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13</w:t>
                  </w:r>
                </w:p>
              </w:tc>
              <w:tc>
                <w:tcPr>
                  <w:tcW w:w="297" w:type="pct"/>
                  <w:vMerge w:val="continue"/>
                  <w:tcBorders>
                    <w:tl2br w:val="nil"/>
                    <w:tr2bl w:val="nil"/>
                  </w:tcBorders>
                  <w:shd w:val="clear" w:color="auto" w:fill="auto"/>
                  <w:vAlign w:val="center"/>
                </w:tcPr>
                <w:p w14:paraId="79DAA21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43D8632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空压机</w:t>
                  </w:r>
                </w:p>
              </w:tc>
              <w:tc>
                <w:tcPr>
                  <w:tcW w:w="454" w:type="pct"/>
                  <w:tcBorders>
                    <w:tl2br w:val="nil"/>
                    <w:tr2bl w:val="nil"/>
                  </w:tcBorders>
                  <w:shd w:val="clear" w:color="auto" w:fill="auto"/>
                  <w:vAlign w:val="center"/>
                </w:tcPr>
                <w:p w14:paraId="692785A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4BC9481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6E71D30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34.5</w:t>
                  </w:r>
                </w:p>
              </w:tc>
              <w:tc>
                <w:tcPr>
                  <w:tcW w:w="478" w:type="pct"/>
                  <w:tcBorders>
                    <w:tl2br w:val="nil"/>
                    <w:tr2bl w:val="nil"/>
                  </w:tcBorders>
                  <w:shd w:val="clear" w:color="auto" w:fill="auto"/>
                  <w:vAlign w:val="center"/>
                </w:tcPr>
                <w:p w14:paraId="701812F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186.2</w:t>
                  </w:r>
                </w:p>
              </w:tc>
              <w:tc>
                <w:tcPr>
                  <w:tcW w:w="526" w:type="pct"/>
                  <w:tcBorders>
                    <w:tl2br w:val="nil"/>
                    <w:tr2bl w:val="nil"/>
                  </w:tcBorders>
                  <w:shd w:val="clear" w:color="auto" w:fill="auto"/>
                  <w:vAlign w:val="center"/>
                </w:tcPr>
                <w:p w14:paraId="11B407B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3F71380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1A65D0B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5B7A98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2502F03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14</w:t>
                  </w:r>
                </w:p>
              </w:tc>
              <w:tc>
                <w:tcPr>
                  <w:tcW w:w="297" w:type="pct"/>
                  <w:vMerge w:val="continue"/>
                  <w:tcBorders>
                    <w:tl2br w:val="nil"/>
                    <w:tr2bl w:val="nil"/>
                  </w:tcBorders>
                  <w:shd w:val="clear" w:color="auto" w:fill="auto"/>
                  <w:vAlign w:val="center"/>
                </w:tcPr>
                <w:p w14:paraId="5E518C2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72A2921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氧割</w:t>
                  </w:r>
                </w:p>
              </w:tc>
              <w:tc>
                <w:tcPr>
                  <w:tcW w:w="454" w:type="pct"/>
                  <w:tcBorders>
                    <w:tl2br w:val="nil"/>
                    <w:tr2bl w:val="nil"/>
                  </w:tcBorders>
                  <w:shd w:val="clear" w:color="auto" w:fill="auto"/>
                  <w:vAlign w:val="center"/>
                </w:tcPr>
                <w:p w14:paraId="25901D9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75</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0AA1AF4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48A4F66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33.4</w:t>
                  </w:r>
                </w:p>
              </w:tc>
              <w:tc>
                <w:tcPr>
                  <w:tcW w:w="478" w:type="pct"/>
                  <w:tcBorders>
                    <w:tl2br w:val="nil"/>
                    <w:tr2bl w:val="nil"/>
                  </w:tcBorders>
                  <w:shd w:val="clear" w:color="auto" w:fill="auto"/>
                  <w:vAlign w:val="center"/>
                </w:tcPr>
                <w:p w14:paraId="59C2AB1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180.1</w:t>
                  </w:r>
                </w:p>
              </w:tc>
              <w:tc>
                <w:tcPr>
                  <w:tcW w:w="526" w:type="pct"/>
                  <w:tcBorders>
                    <w:tl2br w:val="nil"/>
                    <w:tr2bl w:val="nil"/>
                  </w:tcBorders>
                  <w:shd w:val="clear" w:color="auto" w:fill="auto"/>
                  <w:vAlign w:val="center"/>
                </w:tcPr>
                <w:p w14:paraId="75B7206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6F36505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660CE0F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3D2A01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32C1BCD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15</w:t>
                  </w:r>
                </w:p>
              </w:tc>
              <w:tc>
                <w:tcPr>
                  <w:tcW w:w="297" w:type="pct"/>
                  <w:vMerge w:val="continue"/>
                  <w:tcBorders>
                    <w:tl2br w:val="nil"/>
                    <w:tr2bl w:val="nil"/>
                  </w:tcBorders>
                  <w:shd w:val="clear" w:color="auto" w:fill="auto"/>
                  <w:vAlign w:val="center"/>
                </w:tcPr>
                <w:p w14:paraId="6E1A885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27E2E9B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氧割</w:t>
                  </w:r>
                </w:p>
              </w:tc>
              <w:tc>
                <w:tcPr>
                  <w:tcW w:w="454" w:type="pct"/>
                  <w:tcBorders>
                    <w:tl2br w:val="nil"/>
                    <w:tr2bl w:val="nil"/>
                  </w:tcBorders>
                  <w:shd w:val="clear" w:color="auto" w:fill="auto"/>
                  <w:vAlign w:val="center"/>
                </w:tcPr>
                <w:p w14:paraId="1DD17A2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75/1</w:t>
                  </w:r>
                </w:p>
              </w:tc>
              <w:tc>
                <w:tcPr>
                  <w:tcW w:w="587" w:type="pct"/>
                  <w:vMerge w:val="continue"/>
                  <w:tcBorders>
                    <w:tl2br w:val="nil"/>
                    <w:tr2bl w:val="nil"/>
                  </w:tcBorders>
                  <w:shd w:val="clear" w:color="auto" w:fill="auto"/>
                  <w:vAlign w:val="center"/>
                </w:tcPr>
                <w:p w14:paraId="103305E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6686E36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34</w:t>
                  </w:r>
                </w:p>
              </w:tc>
              <w:tc>
                <w:tcPr>
                  <w:tcW w:w="478" w:type="pct"/>
                  <w:tcBorders>
                    <w:tl2br w:val="nil"/>
                    <w:tr2bl w:val="nil"/>
                  </w:tcBorders>
                  <w:shd w:val="clear" w:color="auto" w:fill="auto"/>
                  <w:vAlign w:val="center"/>
                </w:tcPr>
                <w:p w14:paraId="46C9DA1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170</w:t>
                  </w:r>
                </w:p>
              </w:tc>
              <w:tc>
                <w:tcPr>
                  <w:tcW w:w="526" w:type="pct"/>
                  <w:tcBorders>
                    <w:tl2br w:val="nil"/>
                    <w:tr2bl w:val="nil"/>
                  </w:tcBorders>
                  <w:shd w:val="clear" w:color="auto" w:fill="auto"/>
                  <w:vAlign w:val="center"/>
                </w:tcPr>
                <w:p w14:paraId="5971C18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2E2CB81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2880764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1CEE5C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3625354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16</w:t>
                  </w:r>
                </w:p>
              </w:tc>
              <w:tc>
                <w:tcPr>
                  <w:tcW w:w="297" w:type="pct"/>
                  <w:vMerge w:val="continue"/>
                  <w:tcBorders>
                    <w:tl2br w:val="nil"/>
                    <w:tr2bl w:val="nil"/>
                  </w:tcBorders>
                  <w:shd w:val="clear" w:color="auto" w:fill="auto"/>
                  <w:vAlign w:val="center"/>
                </w:tcPr>
                <w:p w14:paraId="5E2F623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7F5F8FB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电焊机</w:t>
                  </w:r>
                </w:p>
              </w:tc>
              <w:tc>
                <w:tcPr>
                  <w:tcW w:w="454" w:type="pct"/>
                  <w:tcBorders>
                    <w:tl2br w:val="nil"/>
                    <w:tr2bl w:val="nil"/>
                  </w:tcBorders>
                  <w:shd w:val="clear" w:color="auto" w:fill="auto"/>
                  <w:vAlign w:val="center"/>
                </w:tcPr>
                <w:p w14:paraId="63EBF3F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7424B00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2255F059">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28.2</w:t>
                  </w:r>
                </w:p>
              </w:tc>
              <w:tc>
                <w:tcPr>
                  <w:tcW w:w="478" w:type="pct"/>
                  <w:tcBorders>
                    <w:tl2br w:val="nil"/>
                    <w:tr2bl w:val="nil"/>
                  </w:tcBorders>
                  <w:shd w:val="clear" w:color="auto" w:fill="auto"/>
                  <w:vAlign w:val="center"/>
                </w:tcPr>
                <w:p w14:paraId="1EAD729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109.5</w:t>
                  </w:r>
                </w:p>
              </w:tc>
              <w:tc>
                <w:tcPr>
                  <w:tcW w:w="526" w:type="pct"/>
                  <w:tcBorders>
                    <w:tl2br w:val="nil"/>
                    <w:tr2bl w:val="nil"/>
                  </w:tcBorders>
                  <w:shd w:val="clear" w:color="auto" w:fill="auto"/>
                  <w:vAlign w:val="center"/>
                </w:tcPr>
                <w:p w14:paraId="07C1DD1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062CC14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32B1E21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22AF3A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156F38E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17</w:t>
                  </w:r>
                </w:p>
              </w:tc>
              <w:tc>
                <w:tcPr>
                  <w:tcW w:w="297" w:type="pct"/>
                  <w:vMerge w:val="continue"/>
                  <w:tcBorders>
                    <w:tl2br w:val="nil"/>
                    <w:tr2bl w:val="nil"/>
                  </w:tcBorders>
                  <w:shd w:val="clear" w:color="auto" w:fill="auto"/>
                  <w:vAlign w:val="center"/>
                </w:tcPr>
                <w:p w14:paraId="426E851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1009" w:type="pct"/>
                  <w:tcBorders>
                    <w:tl2br w:val="nil"/>
                    <w:tr2bl w:val="nil"/>
                  </w:tcBorders>
                  <w:shd w:val="clear" w:color="auto" w:fill="auto"/>
                  <w:vAlign w:val="center"/>
                </w:tcPr>
                <w:p w14:paraId="0C69484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电焊机</w:t>
                  </w:r>
                </w:p>
              </w:tc>
              <w:tc>
                <w:tcPr>
                  <w:tcW w:w="454" w:type="pct"/>
                  <w:tcBorders>
                    <w:tl2br w:val="nil"/>
                    <w:tr2bl w:val="nil"/>
                  </w:tcBorders>
                  <w:shd w:val="clear" w:color="auto" w:fill="auto"/>
                  <w:vAlign w:val="center"/>
                </w:tcPr>
                <w:p w14:paraId="5F1756C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80/1</w:t>
                  </w:r>
                </w:p>
              </w:tc>
              <w:tc>
                <w:tcPr>
                  <w:tcW w:w="587" w:type="pct"/>
                  <w:vMerge w:val="continue"/>
                  <w:tcBorders>
                    <w:tl2br w:val="nil"/>
                    <w:tr2bl w:val="nil"/>
                  </w:tcBorders>
                  <w:shd w:val="clear" w:color="auto" w:fill="auto"/>
                  <w:vAlign w:val="center"/>
                </w:tcPr>
                <w:p w14:paraId="6FA65A4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p>
              </w:tc>
              <w:tc>
                <w:tcPr>
                  <w:tcW w:w="414" w:type="pct"/>
                  <w:tcBorders>
                    <w:tl2br w:val="nil"/>
                    <w:tr2bl w:val="nil"/>
                  </w:tcBorders>
                  <w:shd w:val="clear" w:color="auto" w:fill="auto"/>
                  <w:vAlign w:val="center"/>
                </w:tcPr>
                <w:p w14:paraId="3082745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37.2</w:t>
                  </w:r>
                </w:p>
              </w:tc>
              <w:tc>
                <w:tcPr>
                  <w:tcW w:w="478" w:type="pct"/>
                  <w:tcBorders>
                    <w:tl2br w:val="nil"/>
                    <w:tr2bl w:val="nil"/>
                  </w:tcBorders>
                  <w:shd w:val="clear" w:color="auto" w:fill="auto"/>
                  <w:vAlign w:val="center"/>
                </w:tcPr>
                <w:p w14:paraId="7DE0DBA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101.7</w:t>
                  </w:r>
                </w:p>
              </w:tc>
              <w:tc>
                <w:tcPr>
                  <w:tcW w:w="526" w:type="pct"/>
                  <w:tcBorders>
                    <w:tl2br w:val="nil"/>
                    <w:tr2bl w:val="nil"/>
                  </w:tcBorders>
                  <w:shd w:val="clear" w:color="auto" w:fill="auto"/>
                  <w:vAlign w:val="center"/>
                </w:tcPr>
                <w:p w14:paraId="1DCEDBC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leftChars="0" w:right="0" w:rightChars="0"/>
                    <w:jc w:val="center"/>
                    <w:textAlignment w:val="auto"/>
                    <w:rPr>
                      <w:rFonts w:hint="eastAsia" w:ascii="Times New Roman" w:hAnsi="Times New Roman" w:eastAsia="宋体" w:cs="Times New Roman"/>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570EE51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49F096A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3D9ADA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3314C68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18</w:t>
                  </w:r>
                </w:p>
              </w:tc>
              <w:tc>
                <w:tcPr>
                  <w:tcW w:w="297" w:type="pct"/>
                  <w:vMerge w:val="continue"/>
                  <w:tcBorders>
                    <w:tl2br w:val="nil"/>
                    <w:tr2bl w:val="nil"/>
                  </w:tcBorders>
                  <w:shd w:val="clear" w:color="auto" w:fill="auto"/>
                  <w:vAlign w:val="center"/>
                </w:tcPr>
                <w:p w14:paraId="30F84A0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07F902B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氩弧焊机</w:t>
                  </w:r>
                </w:p>
              </w:tc>
              <w:tc>
                <w:tcPr>
                  <w:tcW w:w="454" w:type="pct"/>
                  <w:tcBorders>
                    <w:tl2br w:val="nil"/>
                    <w:tr2bl w:val="nil"/>
                  </w:tcBorders>
                  <w:shd w:val="clear" w:color="auto" w:fill="auto"/>
                  <w:vAlign w:val="center"/>
                </w:tcPr>
                <w:p w14:paraId="3C5B7EA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38B87D5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29384D6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31</w:t>
                  </w:r>
                </w:p>
              </w:tc>
              <w:tc>
                <w:tcPr>
                  <w:tcW w:w="478" w:type="pct"/>
                  <w:tcBorders>
                    <w:tl2br w:val="nil"/>
                    <w:tr2bl w:val="nil"/>
                  </w:tcBorders>
                  <w:shd w:val="clear" w:color="auto" w:fill="auto"/>
                  <w:vAlign w:val="center"/>
                </w:tcPr>
                <w:p w14:paraId="5938E53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111.1</w:t>
                  </w:r>
                </w:p>
              </w:tc>
              <w:tc>
                <w:tcPr>
                  <w:tcW w:w="526" w:type="pct"/>
                  <w:tcBorders>
                    <w:tl2br w:val="nil"/>
                    <w:tr2bl w:val="nil"/>
                  </w:tcBorders>
                  <w:shd w:val="clear" w:color="auto" w:fill="auto"/>
                  <w:vAlign w:val="center"/>
                </w:tcPr>
                <w:p w14:paraId="53A6551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2BA213E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2CF236C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3EEA34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55735E1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19</w:t>
                  </w:r>
                </w:p>
              </w:tc>
              <w:tc>
                <w:tcPr>
                  <w:tcW w:w="297" w:type="pct"/>
                  <w:vMerge w:val="continue"/>
                  <w:tcBorders>
                    <w:tl2br w:val="nil"/>
                    <w:tr2bl w:val="nil"/>
                  </w:tcBorders>
                  <w:shd w:val="clear" w:color="auto" w:fill="auto"/>
                  <w:vAlign w:val="center"/>
                </w:tcPr>
                <w:p w14:paraId="2FCE6CC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6BE63F5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氩弧焊机</w:t>
                  </w:r>
                </w:p>
              </w:tc>
              <w:tc>
                <w:tcPr>
                  <w:tcW w:w="454" w:type="pct"/>
                  <w:tcBorders>
                    <w:tl2br w:val="nil"/>
                    <w:tr2bl w:val="nil"/>
                  </w:tcBorders>
                  <w:shd w:val="clear" w:color="auto" w:fill="auto"/>
                  <w:vAlign w:val="center"/>
                </w:tcPr>
                <w:p w14:paraId="076039E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3731489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30B48A4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31.2</w:t>
                  </w:r>
                </w:p>
              </w:tc>
              <w:tc>
                <w:tcPr>
                  <w:tcW w:w="478" w:type="pct"/>
                  <w:tcBorders>
                    <w:tl2br w:val="nil"/>
                    <w:tr2bl w:val="nil"/>
                  </w:tcBorders>
                  <w:shd w:val="clear" w:color="auto" w:fill="auto"/>
                  <w:vAlign w:val="center"/>
                </w:tcPr>
                <w:p w14:paraId="6612B38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108</w:t>
                  </w:r>
                </w:p>
              </w:tc>
              <w:tc>
                <w:tcPr>
                  <w:tcW w:w="526" w:type="pct"/>
                  <w:tcBorders>
                    <w:tl2br w:val="nil"/>
                    <w:tr2bl w:val="nil"/>
                  </w:tcBorders>
                  <w:shd w:val="clear" w:color="auto" w:fill="auto"/>
                  <w:vAlign w:val="center"/>
                </w:tcPr>
                <w:p w14:paraId="50686F5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3CA9BED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2576204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6FB91D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0A00706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20</w:t>
                  </w:r>
                </w:p>
              </w:tc>
              <w:tc>
                <w:tcPr>
                  <w:tcW w:w="297" w:type="pct"/>
                  <w:vMerge w:val="continue"/>
                  <w:tcBorders>
                    <w:tl2br w:val="nil"/>
                    <w:tr2bl w:val="nil"/>
                  </w:tcBorders>
                  <w:shd w:val="clear" w:color="auto" w:fill="auto"/>
                  <w:vAlign w:val="center"/>
                </w:tcPr>
                <w:p w14:paraId="4314B8E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1957014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氩弧焊机</w:t>
                  </w:r>
                </w:p>
              </w:tc>
              <w:tc>
                <w:tcPr>
                  <w:tcW w:w="454" w:type="pct"/>
                  <w:tcBorders>
                    <w:tl2br w:val="nil"/>
                    <w:tr2bl w:val="nil"/>
                  </w:tcBorders>
                  <w:shd w:val="clear" w:color="auto" w:fill="auto"/>
                  <w:vAlign w:val="center"/>
                </w:tcPr>
                <w:p w14:paraId="5882894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5C0FE39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7AD67E0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31</w:t>
                  </w:r>
                </w:p>
              </w:tc>
              <w:tc>
                <w:tcPr>
                  <w:tcW w:w="478" w:type="pct"/>
                  <w:tcBorders>
                    <w:tl2br w:val="nil"/>
                    <w:tr2bl w:val="nil"/>
                  </w:tcBorders>
                  <w:shd w:val="clear" w:color="auto" w:fill="auto"/>
                  <w:vAlign w:val="center"/>
                </w:tcPr>
                <w:p w14:paraId="4651B0C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105.3</w:t>
                  </w:r>
                </w:p>
              </w:tc>
              <w:tc>
                <w:tcPr>
                  <w:tcW w:w="526" w:type="pct"/>
                  <w:tcBorders>
                    <w:tl2br w:val="nil"/>
                    <w:tr2bl w:val="nil"/>
                  </w:tcBorders>
                  <w:shd w:val="clear" w:color="auto" w:fill="auto"/>
                  <w:vAlign w:val="center"/>
                </w:tcPr>
                <w:p w14:paraId="68BCEFA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2BCAD59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1E72F25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5C86CD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1B7582E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21</w:t>
                  </w:r>
                </w:p>
              </w:tc>
              <w:tc>
                <w:tcPr>
                  <w:tcW w:w="297" w:type="pct"/>
                  <w:vMerge w:val="continue"/>
                  <w:tcBorders>
                    <w:tl2br w:val="nil"/>
                    <w:tr2bl w:val="nil"/>
                  </w:tcBorders>
                  <w:shd w:val="clear" w:color="auto" w:fill="auto"/>
                  <w:vAlign w:val="center"/>
                </w:tcPr>
                <w:p w14:paraId="47B11B5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05DEF85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氩弧焊机</w:t>
                  </w:r>
                </w:p>
              </w:tc>
              <w:tc>
                <w:tcPr>
                  <w:tcW w:w="454" w:type="pct"/>
                  <w:tcBorders>
                    <w:tl2br w:val="nil"/>
                    <w:tr2bl w:val="nil"/>
                  </w:tcBorders>
                  <w:shd w:val="clear" w:color="auto" w:fill="auto"/>
                  <w:vAlign w:val="center"/>
                </w:tcPr>
                <w:p w14:paraId="13CEB55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21BD39E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48D4D36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30.8</w:t>
                  </w:r>
                </w:p>
              </w:tc>
              <w:tc>
                <w:tcPr>
                  <w:tcW w:w="478" w:type="pct"/>
                  <w:tcBorders>
                    <w:tl2br w:val="nil"/>
                    <w:tr2bl w:val="nil"/>
                  </w:tcBorders>
                  <w:shd w:val="clear" w:color="auto" w:fill="auto"/>
                  <w:vAlign w:val="center"/>
                </w:tcPr>
                <w:p w14:paraId="6650805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101.9</w:t>
                  </w:r>
                </w:p>
              </w:tc>
              <w:tc>
                <w:tcPr>
                  <w:tcW w:w="526" w:type="pct"/>
                  <w:tcBorders>
                    <w:tl2br w:val="nil"/>
                    <w:tr2bl w:val="nil"/>
                  </w:tcBorders>
                  <w:shd w:val="clear" w:color="auto" w:fill="auto"/>
                  <w:vAlign w:val="center"/>
                </w:tcPr>
                <w:p w14:paraId="615D891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7B6E6FA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43EFDA3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6C2EF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00FAEA0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22</w:t>
                  </w:r>
                </w:p>
              </w:tc>
              <w:tc>
                <w:tcPr>
                  <w:tcW w:w="297" w:type="pct"/>
                  <w:vMerge w:val="continue"/>
                  <w:tcBorders>
                    <w:tl2br w:val="nil"/>
                    <w:tr2bl w:val="nil"/>
                  </w:tcBorders>
                  <w:shd w:val="clear" w:color="auto" w:fill="auto"/>
                  <w:vAlign w:val="center"/>
                </w:tcPr>
                <w:p w14:paraId="1D0CF1B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0472EBB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等离子切割机</w:t>
                  </w:r>
                </w:p>
              </w:tc>
              <w:tc>
                <w:tcPr>
                  <w:tcW w:w="454" w:type="pct"/>
                  <w:tcBorders>
                    <w:tl2br w:val="nil"/>
                    <w:tr2bl w:val="nil"/>
                  </w:tcBorders>
                  <w:shd w:val="clear" w:color="auto" w:fill="auto"/>
                  <w:vAlign w:val="center"/>
                </w:tcPr>
                <w:p w14:paraId="4B5E3CF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0DA09C2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3670A8F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33.5</w:t>
                  </w:r>
                </w:p>
              </w:tc>
              <w:tc>
                <w:tcPr>
                  <w:tcW w:w="478" w:type="pct"/>
                  <w:tcBorders>
                    <w:tl2br w:val="nil"/>
                    <w:tr2bl w:val="nil"/>
                  </w:tcBorders>
                  <w:shd w:val="clear" w:color="auto" w:fill="auto"/>
                  <w:vAlign w:val="center"/>
                </w:tcPr>
                <w:p w14:paraId="18E548D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159.7</w:t>
                  </w:r>
                </w:p>
              </w:tc>
              <w:tc>
                <w:tcPr>
                  <w:tcW w:w="526" w:type="pct"/>
                  <w:tcBorders>
                    <w:tl2br w:val="nil"/>
                    <w:tr2bl w:val="nil"/>
                  </w:tcBorders>
                  <w:shd w:val="clear" w:color="auto" w:fill="auto"/>
                  <w:vAlign w:val="center"/>
                </w:tcPr>
                <w:p w14:paraId="33A5CD0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2FA8E02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45F5ED5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7B53E4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41FA07C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23</w:t>
                  </w:r>
                </w:p>
              </w:tc>
              <w:tc>
                <w:tcPr>
                  <w:tcW w:w="297" w:type="pct"/>
                  <w:vMerge w:val="continue"/>
                  <w:tcBorders>
                    <w:tl2br w:val="nil"/>
                    <w:tr2bl w:val="nil"/>
                  </w:tcBorders>
                  <w:shd w:val="clear" w:color="auto" w:fill="auto"/>
                  <w:vAlign w:val="center"/>
                </w:tcPr>
                <w:p w14:paraId="372AEF3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31A9109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液压联合冲剪机</w:t>
                  </w:r>
                </w:p>
              </w:tc>
              <w:tc>
                <w:tcPr>
                  <w:tcW w:w="454" w:type="pct"/>
                  <w:tcBorders>
                    <w:tl2br w:val="nil"/>
                    <w:tr2bl w:val="nil"/>
                  </w:tcBorders>
                  <w:shd w:val="clear" w:color="auto" w:fill="auto"/>
                  <w:vAlign w:val="center"/>
                </w:tcPr>
                <w:p w14:paraId="1BA483A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75</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7DE3E7CA">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0CAB67E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41.8</w:t>
                  </w:r>
                </w:p>
              </w:tc>
              <w:tc>
                <w:tcPr>
                  <w:tcW w:w="478" w:type="pct"/>
                  <w:tcBorders>
                    <w:tl2br w:val="nil"/>
                    <w:tr2bl w:val="nil"/>
                  </w:tcBorders>
                  <w:shd w:val="clear" w:color="auto" w:fill="auto"/>
                  <w:vAlign w:val="center"/>
                </w:tcPr>
                <w:p w14:paraId="26E59EB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186.3</w:t>
                  </w:r>
                </w:p>
              </w:tc>
              <w:tc>
                <w:tcPr>
                  <w:tcW w:w="526" w:type="pct"/>
                  <w:tcBorders>
                    <w:tl2br w:val="nil"/>
                    <w:tr2bl w:val="nil"/>
                  </w:tcBorders>
                  <w:shd w:val="clear" w:color="auto" w:fill="auto"/>
                  <w:vAlign w:val="center"/>
                </w:tcPr>
                <w:p w14:paraId="4BDBC07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2FE3860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698D72C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4C4B5D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1F658B3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24</w:t>
                  </w:r>
                </w:p>
              </w:tc>
              <w:tc>
                <w:tcPr>
                  <w:tcW w:w="297" w:type="pct"/>
                  <w:vMerge w:val="continue"/>
                  <w:tcBorders>
                    <w:tl2br w:val="nil"/>
                    <w:tr2bl w:val="nil"/>
                  </w:tcBorders>
                  <w:shd w:val="clear" w:color="auto" w:fill="auto"/>
                  <w:vAlign w:val="center"/>
                </w:tcPr>
                <w:p w14:paraId="38E64BC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18890AA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型材卷圆机</w:t>
                  </w:r>
                </w:p>
              </w:tc>
              <w:tc>
                <w:tcPr>
                  <w:tcW w:w="454" w:type="pct"/>
                  <w:tcBorders>
                    <w:tl2br w:val="nil"/>
                    <w:tr2bl w:val="nil"/>
                  </w:tcBorders>
                  <w:shd w:val="clear" w:color="auto" w:fill="auto"/>
                  <w:vAlign w:val="center"/>
                </w:tcPr>
                <w:p w14:paraId="37F7324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75</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564F202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284CE0A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33.6</w:t>
                  </w:r>
                </w:p>
              </w:tc>
              <w:tc>
                <w:tcPr>
                  <w:tcW w:w="478" w:type="pct"/>
                  <w:tcBorders>
                    <w:tl2br w:val="nil"/>
                    <w:tr2bl w:val="nil"/>
                  </w:tcBorders>
                  <w:shd w:val="clear" w:color="auto" w:fill="auto"/>
                  <w:vAlign w:val="center"/>
                </w:tcPr>
                <w:p w14:paraId="31D197B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148.2</w:t>
                  </w:r>
                </w:p>
              </w:tc>
              <w:tc>
                <w:tcPr>
                  <w:tcW w:w="526" w:type="pct"/>
                  <w:tcBorders>
                    <w:tl2br w:val="nil"/>
                    <w:tr2bl w:val="nil"/>
                  </w:tcBorders>
                  <w:shd w:val="clear" w:color="auto" w:fill="auto"/>
                  <w:vAlign w:val="center"/>
                </w:tcPr>
                <w:p w14:paraId="4CC3DAD9">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00E6C66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126AE75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25891E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7A7CD9C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25</w:t>
                  </w:r>
                </w:p>
              </w:tc>
              <w:tc>
                <w:tcPr>
                  <w:tcW w:w="297" w:type="pct"/>
                  <w:vMerge w:val="continue"/>
                  <w:tcBorders>
                    <w:tl2br w:val="nil"/>
                    <w:tr2bl w:val="nil"/>
                  </w:tcBorders>
                  <w:shd w:val="clear" w:color="auto" w:fill="auto"/>
                  <w:vAlign w:val="center"/>
                </w:tcPr>
                <w:p w14:paraId="2559FA3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6E098CA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旋边机</w:t>
                  </w:r>
                </w:p>
              </w:tc>
              <w:tc>
                <w:tcPr>
                  <w:tcW w:w="454" w:type="pct"/>
                  <w:tcBorders>
                    <w:tl2br w:val="nil"/>
                    <w:tr2bl w:val="nil"/>
                  </w:tcBorders>
                  <w:shd w:val="clear" w:color="auto" w:fill="auto"/>
                  <w:vAlign w:val="center"/>
                </w:tcPr>
                <w:p w14:paraId="5C127AA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292681B9">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203D46B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38.5</w:t>
                  </w:r>
                </w:p>
              </w:tc>
              <w:tc>
                <w:tcPr>
                  <w:tcW w:w="478" w:type="pct"/>
                  <w:tcBorders>
                    <w:tl2br w:val="nil"/>
                    <w:tr2bl w:val="nil"/>
                  </w:tcBorders>
                  <w:shd w:val="clear" w:color="auto" w:fill="auto"/>
                  <w:vAlign w:val="center"/>
                </w:tcPr>
                <w:p w14:paraId="7FAC0E2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148.2</w:t>
                  </w:r>
                </w:p>
              </w:tc>
              <w:tc>
                <w:tcPr>
                  <w:tcW w:w="526" w:type="pct"/>
                  <w:tcBorders>
                    <w:tl2br w:val="nil"/>
                    <w:tr2bl w:val="nil"/>
                  </w:tcBorders>
                  <w:shd w:val="clear" w:color="auto" w:fill="auto"/>
                  <w:vAlign w:val="center"/>
                </w:tcPr>
                <w:p w14:paraId="6356505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7B7C893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50E987F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43C81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467E2C7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26</w:t>
                  </w:r>
                </w:p>
              </w:tc>
              <w:tc>
                <w:tcPr>
                  <w:tcW w:w="297" w:type="pct"/>
                  <w:vMerge w:val="continue"/>
                  <w:tcBorders>
                    <w:tl2br w:val="nil"/>
                    <w:tr2bl w:val="nil"/>
                  </w:tcBorders>
                  <w:shd w:val="clear" w:color="auto" w:fill="auto"/>
                  <w:vAlign w:val="center"/>
                </w:tcPr>
                <w:p w14:paraId="2F1A5B9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06203DC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喷漆房</w:t>
                  </w:r>
                </w:p>
              </w:tc>
              <w:tc>
                <w:tcPr>
                  <w:tcW w:w="454" w:type="pct"/>
                  <w:tcBorders>
                    <w:tl2br w:val="nil"/>
                    <w:tr2bl w:val="nil"/>
                  </w:tcBorders>
                  <w:shd w:val="clear" w:color="auto" w:fill="auto"/>
                  <w:vAlign w:val="center"/>
                </w:tcPr>
                <w:p w14:paraId="323B946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74CDCC9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5AC7B3E8">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16.2</w:t>
                  </w:r>
                </w:p>
              </w:tc>
              <w:tc>
                <w:tcPr>
                  <w:tcW w:w="478" w:type="pct"/>
                  <w:tcBorders>
                    <w:tl2br w:val="nil"/>
                    <w:tr2bl w:val="nil"/>
                  </w:tcBorders>
                  <w:shd w:val="clear" w:color="auto" w:fill="auto"/>
                  <w:vAlign w:val="center"/>
                </w:tcPr>
                <w:p w14:paraId="284FDF7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97.9</w:t>
                  </w:r>
                </w:p>
              </w:tc>
              <w:tc>
                <w:tcPr>
                  <w:tcW w:w="526" w:type="pct"/>
                  <w:tcBorders>
                    <w:tl2br w:val="nil"/>
                    <w:tr2bl w:val="nil"/>
                  </w:tcBorders>
                  <w:shd w:val="clear" w:color="auto" w:fill="auto"/>
                  <w:vAlign w:val="center"/>
                </w:tcPr>
                <w:p w14:paraId="61C04A6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0860C3F6">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298021E7">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0C2A6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74CA2D05">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27</w:t>
                  </w:r>
                </w:p>
              </w:tc>
              <w:tc>
                <w:tcPr>
                  <w:tcW w:w="297" w:type="pct"/>
                  <w:vMerge w:val="continue"/>
                  <w:tcBorders>
                    <w:tl2br w:val="nil"/>
                    <w:tr2bl w:val="nil"/>
                  </w:tcBorders>
                  <w:shd w:val="clear" w:color="auto" w:fill="auto"/>
                  <w:vAlign w:val="center"/>
                </w:tcPr>
                <w:p w14:paraId="5F6F59E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0E64016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风机</w:t>
                  </w:r>
                </w:p>
              </w:tc>
              <w:tc>
                <w:tcPr>
                  <w:tcW w:w="454" w:type="pct"/>
                  <w:tcBorders>
                    <w:tl2br w:val="nil"/>
                    <w:tr2bl w:val="nil"/>
                  </w:tcBorders>
                  <w:shd w:val="clear" w:color="auto" w:fill="auto"/>
                  <w:vAlign w:val="center"/>
                </w:tcPr>
                <w:p w14:paraId="60F5E3E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14EE6A4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02AEAD7E">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8.6</w:t>
                  </w:r>
                </w:p>
              </w:tc>
              <w:tc>
                <w:tcPr>
                  <w:tcW w:w="478" w:type="pct"/>
                  <w:tcBorders>
                    <w:tl2br w:val="nil"/>
                    <w:tr2bl w:val="nil"/>
                  </w:tcBorders>
                  <w:shd w:val="clear" w:color="auto" w:fill="auto"/>
                  <w:vAlign w:val="center"/>
                </w:tcPr>
                <w:p w14:paraId="00EC171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187.2</w:t>
                  </w:r>
                </w:p>
              </w:tc>
              <w:tc>
                <w:tcPr>
                  <w:tcW w:w="526" w:type="pct"/>
                  <w:tcBorders>
                    <w:tl2br w:val="nil"/>
                    <w:tr2bl w:val="nil"/>
                  </w:tcBorders>
                  <w:shd w:val="clear" w:color="auto" w:fill="auto"/>
                  <w:vAlign w:val="center"/>
                </w:tcPr>
                <w:p w14:paraId="317B60B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146A305B">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34BA220C">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r w14:paraId="453903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tcBorders>
                    <w:tl2br w:val="nil"/>
                    <w:tr2bl w:val="nil"/>
                  </w:tcBorders>
                  <w:shd w:val="clear" w:color="auto" w:fill="auto"/>
                  <w:vAlign w:val="center"/>
                </w:tcPr>
                <w:p w14:paraId="2E7C791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28</w:t>
                  </w:r>
                </w:p>
              </w:tc>
              <w:tc>
                <w:tcPr>
                  <w:tcW w:w="297" w:type="pct"/>
                  <w:vMerge w:val="continue"/>
                  <w:tcBorders>
                    <w:tl2br w:val="nil"/>
                    <w:tr2bl w:val="nil"/>
                  </w:tcBorders>
                  <w:shd w:val="clear" w:color="auto" w:fill="auto"/>
                  <w:vAlign w:val="center"/>
                </w:tcPr>
                <w:p w14:paraId="3ABF5422">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1009" w:type="pct"/>
                  <w:tcBorders>
                    <w:tl2br w:val="nil"/>
                    <w:tr2bl w:val="nil"/>
                  </w:tcBorders>
                  <w:shd w:val="clear" w:color="auto" w:fill="auto"/>
                  <w:vAlign w:val="center"/>
                </w:tcPr>
                <w:p w14:paraId="15AC12C4">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风机</w:t>
                  </w:r>
                </w:p>
              </w:tc>
              <w:tc>
                <w:tcPr>
                  <w:tcW w:w="454" w:type="pct"/>
                  <w:tcBorders>
                    <w:tl2br w:val="nil"/>
                    <w:tr2bl w:val="nil"/>
                  </w:tcBorders>
                  <w:shd w:val="clear" w:color="auto" w:fill="auto"/>
                  <w:vAlign w:val="center"/>
                </w:tcPr>
                <w:p w14:paraId="2379D48D">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default"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90</w:t>
                  </w: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587" w:type="pct"/>
                  <w:vMerge w:val="continue"/>
                  <w:tcBorders>
                    <w:tl2br w:val="nil"/>
                    <w:tr2bl w:val="nil"/>
                  </w:tcBorders>
                  <w:shd w:val="clear" w:color="auto" w:fill="auto"/>
                  <w:vAlign w:val="center"/>
                </w:tcPr>
                <w:p w14:paraId="0A88C9B3">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14" w:type="pct"/>
                  <w:tcBorders>
                    <w:tl2br w:val="nil"/>
                    <w:tr2bl w:val="nil"/>
                  </w:tcBorders>
                  <w:shd w:val="clear" w:color="auto" w:fill="auto"/>
                  <w:vAlign w:val="center"/>
                </w:tcPr>
                <w:p w14:paraId="4F68570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9.2</w:t>
                  </w:r>
                </w:p>
              </w:tc>
              <w:tc>
                <w:tcPr>
                  <w:tcW w:w="478" w:type="pct"/>
                  <w:tcBorders>
                    <w:tl2br w:val="nil"/>
                    <w:tr2bl w:val="nil"/>
                  </w:tcBorders>
                  <w:shd w:val="clear" w:color="auto" w:fill="auto"/>
                  <w:vAlign w:val="center"/>
                </w:tcPr>
                <w:p w14:paraId="345B9B1F">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95.1</w:t>
                  </w:r>
                </w:p>
              </w:tc>
              <w:tc>
                <w:tcPr>
                  <w:tcW w:w="526" w:type="pct"/>
                  <w:tcBorders>
                    <w:tl2br w:val="nil"/>
                    <w:tr2bl w:val="nil"/>
                  </w:tcBorders>
                  <w:shd w:val="clear" w:color="auto" w:fill="auto"/>
                  <w:vAlign w:val="center"/>
                </w:tcPr>
                <w:p w14:paraId="17B85A01">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r>
                    <w:rPr>
                      <w:rFonts w:hint="eastAsia" w:ascii="Times New Roman" w:hAnsi="Times New Roman" w:eastAsia="宋体" w:cs="Times New Roman"/>
                      <w:color w:val="000000" w:themeColor="text1"/>
                      <w:spacing w:val="0"/>
                      <w:w w:val="100"/>
                      <w:position w:val="0"/>
                      <w:sz w:val="21"/>
                      <w:szCs w:val="21"/>
                      <w:highlight w:val="none"/>
                      <w:u w:val="none" w:color="auto"/>
                      <w:lang w:val="en-US" w:eastAsia="zh-CN"/>
                      <w14:textFill>
                        <w14:solidFill>
                          <w14:schemeClr w14:val="tx1"/>
                        </w14:solidFill>
                      </w14:textFill>
                    </w:rPr>
                    <w:t>1</w:t>
                  </w:r>
                </w:p>
              </w:tc>
              <w:tc>
                <w:tcPr>
                  <w:tcW w:w="431" w:type="pct"/>
                  <w:vMerge w:val="continue"/>
                  <w:tcBorders>
                    <w:tl2br w:val="nil"/>
                    <w:tr2bl w:val="nil"/>
                  </w:tcBorders>
                  <w:shd w:val="clear" w:color="auto" w:fill="auto"/>
                  <w:vAlign w:val="center"/>
                </w:tcPr>
                <w:p w14:paraId="0D59CCD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c>
                <w:tcPr>
                  <w:tcW w:w="492" w:type="pct"/>
                  <w:vMerge w:val="continue"/>
                  <w:tcBorders>
                    <w:tl2br w:val="nil"/>
                    <w:tr2bl w:val="nil"/>
                  </w:tcBorders>
                  <w:shd w:val="clear" w:color="auto" w:fill="auto"/>
                  <w:vAlign w:val="center"/>
                </w:tcPr>
                <w:p w14:paraId="44B27E70">
                  <w:pPr>
                    <w:pStyle w:val="60"/>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ind w:left="0" w:right="0"/>
                    <w:jc w:val="center"/>
                    <w:textAlignment w:val="auto"/>
                    <w:rPr>
                      <w:rFonts w:hint="default" w:ascii="Times New Roman" w:hAnsi="Times New Roman" w:eastAsia="宋体" w:cs="Times New Roman"/>
                      <w:color w:val="000000" w:themeColor="text1"/>
                      <w:spacing w:val="0"/>
                      <w:w w:val="100"/>
                      <w:position w:val="0"/>
                      <w:sz w:val="21"/>
                      <w:szCs w:val="21"/>
                      <w:highlight w:val="none"/>
                      <w:u w:val="none" w:color="auto"/>
                      <w14:textFill>
                        <w14:solidFill>
                          <w14:schemeClr w14:val="tx1"/>
                        </w14:solidFill>
                      </w14:textFill>
                    </w:rPr>
                  </w:pPr>
                </w:p>
              </w:tc>
            </w:tr>
          </w:tbl>
          <w:p w14:paraId="57BEB8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eastAsia" w:ascii="Times New Roman" w:hAnsi="Times New Roman" w:eastAsia="宋体" w:cs="Times New Roman"/>
                <w:b/>
                <w:bCs/>
                <w:color w:val="000000" w:themeColor="text1"/>
                <w:spacing w:val="0"/>
                <w:position w:val="0"/>
                <w:sz w:val="24"/>
                <w:szCs w:val="24"/>
                <w:u w:val="none" w:color="auto"/>
                <w:lang w:eastAsia="zh-CN"/>
                <w14:textFill>
                  <w14:solidFill>
                    <w14:schemeClr w14:val="tx1"/>
                  </w14:solidFill>
                </w14:textFill>
              </w:rPr>
            </w:pPr>
            <w:r>
              <w:rPr>
                <w:rFonts w:hint="eastAsia" w:cs="Times New Roman"/>
                <w:b/>
                <w:bCs/>
                <w:color w:val="000000" w:themeColor="text1"/>
                <w:spacing w:val="0"/>
                <w:position w:val="0"/>
                <w:sz w:val="24"/>
                <w:szCs w:val="24"/>
                <w:u w:val="none" w:color="auto"/>
                <w:lang w:eastAsia="zh-CN"/>
                <w14:textFill>
                  <w14:solidFill>
                    <w14:schemeClr w14:val="tx1"/>
                  </w14:solidFill>
                </w14:textFill>
              </w:rPr>
              <w:t>注：以厂界西南角为坐标原点。</w:t>
            </w:r>
          </w:p>
          <w:p w14:paraId="14F35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14:textFill>
                  <w14:solidFill>
                    <w14:schemeClr w14:val="tx1"/>
                  </w14:solidFill>
                </w14:textFill>
              </w:rPr>
              <w:t>3.</w:t>
            </w: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position w:val="0"/>
                <w:sz w:val="24"/>
                <w:szCs w:val="24"/>
                <w:u w:val="none" w:color="auto"/>
                <w14:textFill>
                  <w14:solidFill>
                    <w14:schemeClr w14:val="tx1"/>
                  </w14:solidFill>
                </w14:textFill>
              </w:rPr>
              <w:t>噪声影响分析</w:t>
            </w:r>
          </w:p>
          <w:p w14:paraId="12DEC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cs="Times New Roman"/>
                <w:color w:val="000000" w:themeColor="text1"/>
                <w:spacing w:val="0"/>
                <w:position w:val="0"/>
                <w:sz w:val="24"/>
                <w:szCs w:val="24"/>
                <w:u w:val="none" w:color="auto"/>
                <w:lang w:val="en-US" w:eastAsia="zh-CN"/>
                <w14:textFill>
                  <w14:solidFill>
                    <w14:schemeClr w14:val="tx1"/>
                  </w14:solidFill>
                </w14:textFill>
              </w:rPr>
              <w:t>1</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噪声预测模式及参数</w:t>
            </w:r>
          </w:p>
          <w:p w14:paraId="539D7B2A">
            <w:pPr>
              <w:keepNext w:val="0"/>
              <w:keepLines w:val="0"/>
              <w:suppressLineNumbers w:val="0"/>
              <w:tabs>
                <w:tab w:val="left" w:pos="1021"/>
              </w:tabs>
              <w:spacing w:before="0" w:beforeAutospacing="0" w:after="0" w:afterAutospacing="0" w:line="360" w:lineRule="auto"/>
              <w:ind w:left="0" w:right="0" w:firstLine="464" w:firstLineChars="200"/>
              <w:jc w:val="left"/>
              <w:rPr>
                <w:rFonts w:hint="default" w:ascii="Times New Roman" w:hAnsi="Times New Roman" w:cs="Times New Roman"/>
                <w:color w:val="000000" w:themeColor="text1"/>
                <w:spacing w:val="-4"/>
                <w:sz w:val="24"/>
                <w:szCs w:val="24"/>
                <w:u w:val="none" w:color="auto"/>
                <w14:textFill>
                  <w14:solidFill>
                    <w14:schemeClr w14:val="tx1"/>
                  </w14:solidFill>
                </w14:textFill>
              </w:rPr>
            </w:pPr>
            <w:r>
              <w:rPr>
                <w:rFonts w:hint="default" w:ascii="Times New Roman" w:hAnsi="Times New Roman" w:cs="Times New Roman"/>
                <w:color w:val="000000" w:themeColor="text1"/>
                <w:spacing w:val="-4"/>
                <w:sz w:val="24"/>
                <w:szCs w:val="24"/>
                <w:u w:val="none" w:color="auto"/>
                <w14:textFill>
                  <w14:solidFill>
                    <w14:schemeClr w14:val="tx1"/>
                  </w14:solidFill>
                </w14:textFill>
              </w:rPr>
              <w:t>采用《环境影响评价技术导则 声环境》（HJ2.4-20</w:t>
            </w:r>
            <w:r>
              <w:rPr>
                <w:rFonts w:hint="eastAsia" w:cs="Times New Roman"/>
                <w:color w:val="000000" w:themeColor="text1"/>
                <w:spacing w:val="-4"/>
                <w:sz w:val="24"/>
                <w:szCs w:val="24"/>
                <w:u w:val="none" w:color="auto"/>
                <w:lang w:val="en-US" w:eastAsia="zh-CN"/>
                <w14:textFill>
                  <w14:solidFill>
                    <w14:schemeClr w14:val="tx1"/>
                  </w14:solidFill>
                </w14:textFill>
              </w:rPr>
              <w:t>21</w:t>
            </w:r>
            <w:r>
              <w:rPr>
                <w:rFonts w:hint="default" w:ascii="Times New Roman" w:hAnsi="Times New Roman" w:cs="Times New Roman"/>
                <w:color w:val="000000" w:themeColor="text1"/>
                <w:spacing w:val="-4"/>
                <w:sz w:val="24"/>
                <w:szCs w:val="24"/>
                <w:u w:val="none" w:color="auto"/>
                <w14:textFill>
                  <w14:solidFill>
                    <w14:schemeClr w14:val="tx1"/>
                  </w14:solidFill>
                </w14:textFill>
              </w:rPr>
              <w:t>）</w:t>
            </w:r>
            <w:r>
              <w:rPr>
                <w:rFonts w:hint="eastAsia" w:cs="Times New Roman"/>
                <w:color w:val="000000" w:themeColor="text1"/>
                <w:spacing w:val="-4"/>
                <w:sz w:val="24"/>
                <w:szCs w:val="24"/>
                <w:u w:val="none" w:color="auto"/>
                <w:lang w:eastAsia="zh-CN"/>
                <w14:textFill>
                  <w14:solidFill>
                    <w14:schemeClr w14:val="tx1"/>
                  </w14:solidFill>
                </w14:textFill>
              </w:rPr>
              <w:t>附录</w:t>
            </w:r>
            <w:r>
              <w:rPr>
                <w:rFonts w:hint="eastAsia" w:cs="Times New Roman"/>
                <w:color w:val="000000" w:themeColor="text1"/>
                <w:spacing w:val="-4"/>
                <w:sz w:val="24"/>
                <w:szCs w:val="24"/>
                <w:u w:val="none" w:color="auto"/>
                <w:lang w:val="en-US" w:eastAsia="zh-CN"/>
                <w14:textFill>
                  <w14:solidFill>
                    <w14:schemeClr w14:val="tx1"/>
                  </w14:solidFill>
                </w14:textFill>
              </w:rPr>
              <w:t>A和附录B</w:t>
            </w:r>
            <w:r>
              <w:rPr>
                <w:rFonts w:hint="default" w:ascii="Times New Roman" w:hAnsi="Times New Roman" w:cs="Times New Roman"/>
                <w:color w:val="000000" w:themeColor="text1"/>
                <w:spacing w:val="-4"/>
                <w:sz w:val="24"/>
                <w:szCs w:val="24"/>
                <w:u w:val="none" w:color="auto"/>
                <w14:textFill>
                  <w14:solidFill>
                    <w14:schemeClr w14:val="tx1"/>
                  </w14:solidFill>
                </w14:textFill>
              </w:rPr>
              <w:t>中推荐的</w:t>
            </w:r>
            <w:r>
              <w:rPr>
                <w:rFonts w:hint="eastAsia" w:cs="Times New Roman"/>
                <w:color w:val="000000" w:themeColor="text1"/>
                <w:spacing w:val="-4"/>
                <w:sz w:val="24"/>
                <w:szCs w:val="24"/>
                <w:u w:val="none" w:color="auto"/>
                <w:lang w:eastAsia="zh-CN"/>
                <w14:textFill>
                  <w14:solidFill>
                    <w14:schemeClr w14:val="tx1"/>
                  </w14:solidFill>
                </w14:textFill>
              </w:rPr>
              <w:t>噪声预测模型。</w:t>
            </w:r>
          </w:p>
          <w:p w14:paraId="26E3B2F6">
            <w:pPr>
              <w:keepNext w:val="0"/>
              <w:keepLines w:val="0"/>
              <w:suppressLineNumbers w:val="0"/>
              <w:tabs>
                <w:tab w:val="left" w:pos="1021"/>
              </w:tabs>
              <w:spacing w:before="0" w:beforeAutospacing="0" w:after="0" w:afterAutospacing="0" w:line="360" w:lineRule="auto"/>
              <w:ind w:left="0" w:right="0" w:firstLine="464" w:firstLineChars="200"/>
              <w:jc w:val="left"/>
              <w:rPr>
                <w:rFonts w:hint="default" w:ascii="Times New Roman" w:hAnsi="Times New Roman" w:eastAsia="宋体" w:cs="Times New Roman"/>
                <w:color w:val="000000" w:themeColor="text1"/>
                <w:spacing w:val="-4"/>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4"/>
                <w:sz w:val="24"/>
                <w:szCs w:val="24"/>
                <w:u w:val="none" w:color="auto"/>
                <w14:textFill>
                  <w14:solidFill>
                    <w14:schemeClr w14:val="tx1"/>
                  </w14:solidFill>
                </w14:textFill>
              </w:rPr>
              <w:fldChar w:fldCharType="begin"/>
            </w:r>
            <w:r>
              <w:rPr>
                <w:rFonts w:hint="default" w:ascii="Times New Roman" w:hAnsi="Times New Roman" w:eastAsia="宋体" w:cs="Times New Roman"/>
                <w:color w:val="000000" w:themeColor="text1"/>
                <w:spacing w:val="-4"/>
                <w:sz w:val="24"/>
                <w:szCs w:val="24"/>
                <w:u w:val="none" w:color="auto"/>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pacing w:val="-4"/>
                <w:sz w:val="24"/>
                <w:szCs w:val="24"/>
                <w:u w:val="none" w:color="auto"/>
                <w14:textFill>
                  <w14:solidFill>
                    <w14:schemeClr w14:val="tx1"/>
                  </w14:solidFill>
                </w14:textFill>
              </w:rPr>
              <w:fldChar w:fldCharType="separate"/>
            </w:r>
            <w:r>
              <w:rPr>
                <w:rFonts w:hint="default" w:ascii="Times New Roman" w:hAnsi="Times New Roman" w:eastAsia="宋体" w:cs="Times New Roman"/>
                <w:color w:val="000000" w:themeColor="text1"/>
                <w:spacing w:val="-4"/>
                <w:sz w:val="24"/>
                <w:szCs w:val="24"/>
                <w:u w:val="none" w:color="auto"/>
                <w14:textFill>
                  <w14:solidFill>
                    <w14:schemeClr w14:val="tx1"/>
                  </w14:solidFill>
                </w14:textFill>
              </w:rPr>
              <w:t>①</w:t>
            </w:r>
            <w:r>
              <w:rPr>
                <w:rFonts w:hint="default" w:ascii="Times New Roman" w:hAnsi="Times New Roman" w:eastAsia="宋体" w:cs="Times New Roman"/>
                <w:color w:val="000000" w:themeColor="text1"/>
                <w:spacing w:val="-4"/>
                <w:sz w:val="24"/>
                <w:szCs w:val="24"/>
                <w:u w:val="none" w:color="auto"/>
                <w14:textFill>
                  <w14:solidFill>
                    <w14:schemeClr w14:val="tx1"/>
                  </w14:solidFill>
                </w14:textFill>
              </w:rPr>
              <w:fldChar w:fldCharType="end"/>
            </w:r>
            <w:r>
              <w:rPr>
                <w:rFonts w:hint="default" w:ascii="Times New Roman" w:hAnsi="Times New Roman" w:eastAsia="宋体" w:cs="Times New Roman"/>
                <w:color w:val="000000" w:themeColor="text1"/>
                <w:spacing w:val="-4"/>
                <w:sz w:val="24"/>
                <w:szCs w:val="24"/>
                <w:u w:val="none" w:color="auto"/>
                <w:lang w:val="en-US" w:eastAsia="zh-CN"/>
                <w14:textFill>
                  <w14:solidFill>
                    <w14:schemeClr w14:val="tx1"/>
                  </w14:solidFill>
                </w14:textFill>
              </w:rPr>
              <w:t xml:space="preserve">室内声源等效室外声源声功率级计算方法 </w:t>
            </w:r>
          </w:p>
          <w:p w14:paraId="12004B2C">
            <w:pPr>
              <w:pStyle w:val="2"/>
              <w:keepNext w:val="0"/>
              <w:keepLines w:val="0"/>
              <w:suppressLineNumbers w:val="0"/>
              <w:spacing w:before="0" w:beforeAutospacing="0" w:line="360" w:lineRule="auto"/>
              <w:ind w:left="0" w:right="0" w:firstLine="480" w:firstLineChars="200"/>
              <w:jc w:val="both"/>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 xml:space="preserve">声源位于室内，室内声源可采用等效室外声源声功率级法进行计算。设靠近开口处（或窗户）室内、室外某倍频带的声压级或 </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 xml:space="preserve">A </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声级分别为</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Lp</w:t>
            </w:r>
            <w:r>
              <w:rPr>
                <w:rFonts w:hint="default" w:ascii="Times New Roman" w:hAnsi="Times New Roman" w:eastAsia="宋体" w:cs="Times New Roman"/>
                <w:color w:val="000000" w:themeColor="text1"/>
                <w:sz w:val="24"/>
                <w:szCs w:val="24"/>
                <w:u w:val="none" w:color="auto"/>
                <w:vertAlign w:val="subscript"/>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Lp</w:t>
            </w:r>
            <w:r>
              <w:rPr>
                <w:rFonts w:hint="default" w:ascii="Times New Roman" w:hAnsi="Times New Roman" w:eastAsia="宋体" w:cs="Times New Roman"/>
                <w:color w:val="000000" w:themeColor="text1"/>
                <w:sz w:val="24"/>
                <w:szCs w:val="24"/>
                <w:u w:val="none" w:color="auto"/>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。若声源所在室内声场为近似扩散声场，则室外的倍频带声压级可按式（</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B.1</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）近似求出：</w:t>
            </w:r>
          </w:p>
          <w:p w14:paraId="52482F85">
            <w:pPr>
              <w:pStyle w:val="2"/>
              <w:keepNext w:val="0"/>
              <w:keepLines w:val="0"/>
              <w:suppressLineNumbers w:val="0"/>
              <w:spacing w:before="0" w:beforeAutospacing="0" w:line="360" w:lineRule="auto"/>
              <w:ind w:left="0" w:right="0" w:firstLine="480" w:firstLineChars="200"/>
              <w:jc w:val="cente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pPr>
            <w:r>
              <w:rPr>
                <w:rFonts w:hint="eastAsia" w:ascii="Times New Roman"/>
                <w:color w:val="000000" w:themeColor="text1"/>
                <w:sz w:val="24"/>
                <w:szCs w:val="24"/>
                <w:u w:val="none" w:color="auto"/>
                <w:lang w:val="en-US" w:eastAsia="zh-CN"/>
                <w14:textFill>
                  <w14:solidFill>
                    <w14:schemeClr w14:val="tx1"/>
                  </w14:solidFill>
                </w14:textFill>
              </w:rPr>
              <w:t xml:space="preserve">   </w:t>
            </w: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1769745" cy="271780"/>
                  <wp:effectExtent l="0" t="0" r="13335" b="254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20"/>
                          <a:stretch>
                            <a:fillRect/>
                          </a:stretch>
                        </pic:blipFill>
                        <pic:spPr>
                          <a:xfrm>
                            <a:off x="0" y="0"/>
                            <a:ext cx="1769745" cy="271780"/>
                          </a:xfrm>
                          <a:prstGeom prst="rect">
                            <a:avLst/>
                          </a:prstGeom>
                          <a:noFill/>
                          <a:ln>
                            <a:noFill/>
                          </a:ln>
                        </pic:spPr>
                      </pic:pic>
                    </a:graphicData>
                  </a:graphic>
                </wp:inline>
              </w:drawing>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 xml:space="preserve">                  （B.1）</w:t>
            </w:r>
          </w:p>
          <w:p w14:paraId="22C2D1A0">
            <w:pPr>
              <w:keepNext w:val="0"/>
              <w:keepLines w:val="0"/>
              <w:widowControl/>
              <w:suppressLineNumbers w:val="0"/>
              <w:spacing w:before="0" w:beforeAutospacing="0" w:after="0" w:afterAutospacing="0" w:line="360" w:lineRule="auto"/>
              <w:ind w:left="0" w:right="0"/>
              <w:jc w:val="left"/>
              <w:rPr>
                <w:rFonts w:hint="default"/>
                <w:color w:val="000000" w:themeColor="text1"/>
                <w:sz w:val="24"/>
                <w:szCs w:val="24"/>
                <w:u w:val="none" w:color="auto"/>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式中： </w:t>
            </w:r>
          </w:p>
          <w:p w14:paraId="5F423ACA">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Lp</w:t>
            </w:r>
            <w:r>
              <w:rPr>
                <w:rFonts w:hint="default" w:ascii="Times New Roman" w:hAnsi="Times New Roman" w:eastAsia="宋体" w:cs="Times New Roman"/>
                <w:color w:val="000000" w:themeColor="text1"/>
                <w:sz w:val="24"/>
                <w:szCs w:val="24"/>
                <w:u w:val="none" w:color="auto"/>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靠近开口处（或窗户处）室内某倍频带的声压级或A声级，dB；</w:t>
            </w:r>
          </w:p>
          <w:p w14:paraId="7C8FCE97">
            <w:pPr>
              <w:pStyle w:val="2"/>
              <w:keepNext w:val="0"/>
              <w:keepLines w:val="0"/>
              <w:suppressLineNumbers w:val="0"/>
              <w:spacing w:before="0" w:beforeAutospacing="0" w:line="360" w:lineRule="auto"/>
              <w:ind w:left="0" w:right="0" w:firstLine="480" w:firstLineChars="200"/>
              <w:rPr>
                <w:rFonts w:hint="default"/>
                <w:color w:val="000000" w:themeColor="text1"/>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Lp</w:t>
            </w:r>
            <w:r>
              <w:rPr>
                <w:rFonts w:hint="eastAsia" w:ascii="Times New Roman" w:hAnsi="Times New Roman" w:eastAsia="宋体" w:cs="Times New Roman"/>
                <w:color w:val="000000" w:themeColor="text1"/>
                <w:sz w:val="24"/>
                <w:szCs w:val="24"/>
                <w:u w:val="none" w:color="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靠近开口处（或窗户处）室外某倍频带的声压级或A声级，dB；</w:t>
            </w:r>
          </w:p>
          <w:p w14:paraId="6FE56F6C">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TL</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隔墙（或窗户）倍频带的隔声量，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w:t>
            </w:r>
          </w:p>
          <w:p w14:paraId="5D01126D">
            <w:pPr>
              <w:keepNext w:val="0"/>
              <w:keepLines w:val="0"/>
              <w:suppressLineNumbers w:val="0"/>
              <w:tabs>
                <w:tab w:val="left" w:pos="1725"/>
                <w:tab w:val="center" w:pos="4156"/>
              </w:tabs>
              <w:spacing w:before="0" w:beforeAutospacing="0" w:after="0" w:afterAutospacing="0" w:line="360" w:lineRule="auto"/>
              <w:ind w:left="0" w:right="0" w:firstLine="2880" w:firstLineChars="1200"/>
              <w:rPr>
                <w:rFonts w:hint="default" w:ascii="Times New Roman"/>
                <w:color w:val="000000" w:themeColor="text1"/>
                <w:sz w:val="24"/>
                <w:szCs w:val="24"/>
                <w:u w:val="none" w:color="auto"/>
                <w14:textFill>
                  <w14:solidFill>
                    <w14:schemeClr w14:val="tx1"/>
                  </w14:solidFill>
                </w14:textFill>
              </w:rPr>
            </w:pPr>
          </w:p>
          <w:p w14:paraId="16DD7DBE">
            <w:pPr>
              <w:keepNext w:val="0"/>
              <w:keepLines w:val="0"/>
              <w:suppressLineNumbers w:val="0"/>
              <w:tabs>
                <w:tab w:val="left" w:pos="1725"/>
                <w:tab w:val="center" w:pos="4156"/>
              </w:tabs>
              <w:spacing w:before="0" w:beforeAutospacing="0" w:after="0" w:afterAutospacing="0" w:line="360" w:lineRule="auto"/>
              <w:ind w:left="0" w:right="0" w:firstLine="2880" w:firstLineChars="1200"/>
              <w:rPr>
                <w:rFonts w:hint="default" w:ascii="Times New Roman"/>
                <w:bCs/>
                <w:color w:val="000000" w:themeColor="text1"/>
                <w:sz w:val="24"/>
                <w:szCs w:val="24"/>
                <w:u w:val="none" w:color="auto"/>
                <w14:textFill>
                  <w14:solidFill>
                    <w14:schemeClr w14:val="tx1"/>
                  </w14:solidFill>
                </w14:textFill>
              </w:rPr>
            </w:pP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2580005" cy="1139190"/>
                  <wp:effectExtent l="0" t="0" r="10795" b="381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1"/>
                          <a:stretch>
                            <a:fillRect/>
                          </a:stretch>
                        </pic:blipFill>
                        <pic:spPr>
                          <a:xfrm>
                            <a:off x="0" y="0"/>
                            <a:ext cx="2580005" cy="1139190"/>
                          </a:xfrm>
                          <a:prstGeom prst="rect">
                            <a:avLst/>
                          </a:prstGeom>
                          <a:noFill/>
                          <a:ln>
                            <a:noFill/>
                          </a:ln>
                        </pic:spPr>
                      </pic:pic>
                    </a:graphicData>
                  </a:graphic>
                </wp:inline>
              </w:drawing>
            </w:r>
          </w:p>
          <w:p w14:paraId="7FDC3204">
            <w:pPr>
              <w:keepNext w:val="0"/>
              <w:keepLines w:val="0"/>
              <w:suppressLineNumbers w:val="0"/>
              <w:tabs>
                <w:tab w:val="left" w:pos="1725"/>
                <w:tab w:val="center" w:pos="4156"/>
              </w:tabs>
              <w:spacing w:before="0" w:beforeAutospacing="0" w:after="0" w:afterAutospacing="0" w:line="360" w:lineRule="auto"/>
              <w:ind w:left="0" w:right="0"/>
              <w:jc w:val="center"/>
              <w:rPr>
                <w:rFonts w:hint="default" w:ascii="Times New Roman"/>
                <w:b/>
                <w:bCs/>
                <w:color w:val="000000" w:themeColor="text1"/>
                <w:sz w:val="24"/>
                <w:szCs w:val="24"/>
                <w:u w:val="none" w:color="auto"/>
                <w14:textFill>
                  <w14:solidFill>
                    <w14:schemeClr w14:val="tx1"/>
                  </w14:solidFill>
                </w14:textFill>
              </w:rPr>
            </w:pPr>
            <w:r>
              <w:rPr>
                <w:rFonts w:hint="default" w:ascii="Times New Roman"/>
                <w:b/>
                <w:bCs/>
                <w:color w:val="000000" w:themeColor="text1"/>
                <w:sz w:val="24"/>
                <w:szCs w:val="24"/>
                <w:u w:val="none" w:color="auto"/>
                <w14:textFill>
                  <w14:solidFill>
                    <w14:schemeClr w14:val="tx1"/>
                  </w14:solidFill>
                </w14:textFill>
              </w:rPr>
              <w:t>图</w:t>
            </w:r>
            <w:r>
              <w:rPr>
                <w:rFonts w:hint="eastAsia" w:ascii="Times New Roman"/>
                <w:b/>
                <w:bCs/>
                <w:color w:val="000000" w:themeColor="text1"/>
                <w:sz w:val="24"/>
                <w:szCs w:val="24"/>
                <w:u w:val="none" w:color="auto"/>
                <w:lang w:val="en-US" w:eastAsia="zh-CN"/>
                <w14:textFill>
                  <w14:solidFill>
                    <w14:schemeClr w14:val="tx1"/>
                  </w14:solidFill>
                </w14:textFill>
              </w:rPr>
              <w:t>B</w:t>
            </w:r>
            <w:r>
              <w:rPr>
                <w:rFonts w:hint="default" w:ascii="Times New Roman"/>
                <w:b/>
                <w:bCs/>
                <w:color w:val="000000" w:themeColor="text1"/>
                <w:sz w:val="24"/>
                <w:szCs w:val="24"/>
                <w:u w:val="none" w:color="auto"/>
                <w14:textFill>
                  <w14:solidFill>
                    <w14:schemeClr w14:val="tx1"/>
                  </w14:solidFill>
                </w14:textFill>
              </w:rPr>
              <w:t>.1  室内声源等效为室外声源图例</w:t>
            </w:r>
          </w:p>
          <w:p w14:paraId="6A3FAF2F">
            <w:pPr>
              <w:pStyle w:val="2"/>
              <w:keepNext w:val="0"/>
              <w:keepLines w:val="0"/>
              <w:suppressLineNumbers w:val="0"/>
              <w:spacing w:before="0" w:beforeAutospacing="0" w:line="360" w:lineRule="auto"/>
              <w:ind w:left="0" w:right="0" w:firstLine="480" w:firstLineChars="200"/>
              <w:jc w:val="both"/>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也可按式（</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B.2</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 xml:space="preserve">）计算某一室内声源靠近围护结构处产生的倍频带声压级或 </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 xml:space="preserve">A </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声级：</w:t>
            </w:r>
          </w:p>
          <w:p w14:paraId="76D89BA6">
            <w:pPr>
              <w:pStyle w:val="2"/>
              <w:keepNext w:val="0"/>
              <w:keepLines w:val="0"/>
              <w:suppressLineNumbers w:val="0"/>
              <w:spacing w:before="0" w:beforeAutospacing="0" w:line="360" w:lineRule="auto"/>
              <w:ind w:left="0" w:right="0" w:firstLine="480" w:firstLineChars="20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color w:val="000000" w:themeColor="text1"/>
                <w:sz w:val="24"/>
                <w:szCs w:val="24"/>
                <w:u w:val="none" w:color="auto"/>
                <w14:textFill>
                  <w14:solidFill>
                    <w14:schemeClr w14:val="tx1"/>
                  </w14:solidFill>
                </w14:textFill>
              </w:rPr>
              <w:drawing>
                <wp:inline distT="0" distB="0" distL="114300" distR="114300">
                  <wp:extent cx="4162425" cy="398780"/>
                  <wp:effectExtent l="0" t="0" r="13335" b="1270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2"/>
                          <a:stretch>
                            <a:fillRect/>
                          </a:stretch>
                        </pic:blipFill>
                        <pic:spPr>
                          <a:xfrm>
                            <a:off x="0" y="0"/>
                            <a:ext cx="4162425" cy="398780"/>
                          </a:xfrm>
                          <a:prstGeom prst="rect">
                            <a:avLst/>
                          </a:prstGeom>
                          <a:noFill/>
                          <a:ln>
                            <a:noFill/>
                          </a:ln>
                        </pic:spPr>
                      </pic:pic>
                    </a:graphicData>
                  </a:graphic>
                </wp:inline>
              </w:drawing>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 xml:space="preserve"> </w:t>
            </w:r>
          </w:p>
          <w:p w14:paraId="1266C9C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式中：</w:t>
            </w:r>
          </w:p>
          <w:p w14:paraId="027485CA">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靠近开口处（或窗户）室内某倍频带的声压级或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A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声级，</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21FB4E2E">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 xml:space="preserve">Lw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——点声源声功率级（A 计权或倍频带），dB； </w:t>
            </w:r>
          </w:p>
          <w:p w14:paraId="495DCF10">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Q</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——指向性因数；通常对无指向性声源，当声源放在房间中心时，</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Q</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=1；当放在一面墙的中心时，</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Q</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=2；当放在两面墙夹角处时，</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Q</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=4；当放在三面墙夹角处时，</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Q</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=8； </w:t>
            </w:r>
          </w:p>
          <w:p w14:paraId="36A83A06">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——房间常数；R=Sa/(1-α)，</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S</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为房间内表面面积，m</w:t>
            </w:r>
            <w:r>
              <w:rPr>
                <w:rFonts w:hint="default" w:ascii="Times New Roman" w:hAnsi="Times New Roman" w:eastAsia="宋体" w:cs="Times New Roman"/>
                <w:color w:val="000000" w:themeColor="text1"/>
                <w:kern w:val="0"/>
                <w:sz w:val="24"/>
                <w:szCs w:val="24"/>
                <w:u w:val="none" w:color="auto"/>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α</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为平均吸声系数； </w:t>
            </w:r>
          </w:p>
          <w:p w14:paraId="4CA668B2">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——声源到靠近围护结构某点处的距离，m。</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4DAA3F81">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然后按式（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B.3</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）计算出所有室内声源在围护结构处产生的</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i</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倍频带叠加声压级：</w:t>
            </w:r>
          </w:p>
          <w:p w14:paraId="2583EDAE">
            <w:pPr>
              <w:keepNext w:val="0"/>
              <w:keepLines w:val="0"/>
              <w:widowControl/>
              <w:suppressLineNumbers w:val="0"/>
              <w:spacing w:before="0" w:beforeAutospacing="0" w:after="0" w:afterAutospacing="0" w:line="360" w:lineRule="auto"/>
              <w:ind w:left="0" w:right="0" w:firstLine="480" w:firstLineChars="20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drawing>
                <wp:inline distT="0" distB="0" distL="114300" distR="114300">
                  <wp:extent cx="4185285" cy="501015"/>
                  <wp:effectExtent l="0" t="0" r="5715" b="190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23"/>
                          <a:stretch>
                            <a:fillRect/>
                          </a:stretch>
                        </pic:blipFill>
                        <pic:spPr>
                          <a:xfrm>
                            <a:off x="0" y="0"/>
                            <a:ext cx="4185285" cy="501015"/>
                          </a:xfrm>
                          <a:prstGeom prst="rect">
                            <a:avLst/>
                          </a:prstGeom>
                          <a:noFill/>
                          <a:ln>
                            <a:noFill/>
                          </a:ln>
                        </pic:spPr>
                      </pic:pic>
                    </a:graphicData>
                  </a:graphic>
                </wp:inline>
              </w:drawing>
            </w:r>
          </w:p>
          <w:p w14:paraId="456D332D">
            <w:pPr>
              <w:keepNext w:val="0"/>
              <w:keepLines w:val="0"/>
              <w:widowControl/>
              <w:suppressLineNumbers w:val="0"/>
              <w:spacing w:before="0" w:beforeAutospacing="0" w:after="0" w:afterAutospacing="0"/>
              <w:ind w:left="0" w:right="0"/>
              <w:jc w:val="left"/>
              <w:rPr>
                <w:rFonts w:hint="default"/>
                <w:color w:val="000000" w:themeColor="text1"/>
                <w:sz w:val="24"/>
                <w:szCs w:val="24"/>
                <w:u w:val="none" w:color="auto"/>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式中： </w:t>
            </w:r>
          </w:p>
          <w:p w14:paraId="1629FDF5">
            <w:pPr>
              <w:keepNext w:val="0"/>
              <w:keepLines w:val="0"/>
              <w:suppressLineNumbers w:val="0"/>
              <w:tabs>
                <w:tab w:val="left" w:pos="1725"/>
                <w:tab w:val="center" w:pos="4156"/>
              </w:tabs>
              <w:spacing w:before="0" w:beforeAutospacing="0" w:after="0" w:afterAutospacing="0" w:line="360" w:lineRule="auto"/>
              <w:ind w:left="0" w:right="0" w:firstLine="480" w:firstLineChars="200"/>
              <w:rPr>
                <w:rFonts w:hint="default" w:ascii="Times New Roman"/>
                <w:bCs/>
                <w:color w:val="000000" w:themeColor="text1"/>
                <w:sz w:val="24"/>
                <w:szCs w:val="24"/>
                <w:u w:val="none" w:color="auto"/>
                <w14:textFill>
                  <w14:solidFill>
                    <w14:schemeClr w14:val="tx1"/>
                  </w14:solidFill>
                </w14:textFill>
              </w:rPr>
            </w:pPr>
          </w:p>
          <w:p w14:paraId="042A97EB">
            <w:pPr>
              <w:keepNext w:val="0"/>
              <w:keepLines w:val="0"/>
              <w:suppressLineNumbers w:val="0"/>
              <w:tabs>
                <w:tab w:val="left" w:pos="1725"/>
                <w:tab w:val="center" w:pos="4156"/>
              </w:tabs>
              <w:spacing w:before="0" w:beforeAutospacing="0" w:after="0" w:afterAutospacing="0" w:line="360" w:lineRule="auto"/>
              <w:ind w:left="0" w:right="0" w:firstLine="480" w:firstLineChars="200"/>
              <w:rPr>
                <w:rFonts w:hint="default" w:ascii="Times New Roman"/>
                <w:bCs/>
                <w:color w:val="000000" w:themeColor="text1"/>
                <w:sz w:val="24"/>
                <w:szCs w:val="24"/>
                <w:u w:val="none" w:color="auto"/>
                <w14:textFill>
                  <w14:solidFill>
                    <w14:schemeClr w14:val="tx1"/>
                  </w14:solidFill>
                </w14:textFill>
              </w:rPr>
            </w:pP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459740" cy="226060"/>
                  <wp:effectExtent l="0" t="0" r="12700" b="254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4"/>
                          <a:srcRect t="-850" r="12666"/>
                          <a:stretch>
                            <a:fillRect/>
                          </a:stretch>
                        </pic:blipFill>
                        <pic:spPr>
                          <a:xfrm>
                            <a:off x="0" y="0"/>
                            <a:ext cx="459740" cy="226060"/>
                          </a:xfrm>
                          <a:prstGeom prst="rect">
                            <a:avLst/>
                          </a:prstGeom>
                          <a:noFill/>
                          <a:ln>
                            <a:noFill/>
                          </a:ln>
                        </pic:spPr>
                      </pic:pic>
                    </a:graphicData>
                  </a:graphic>
                </wp:inline>
              </w:drawing>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bCs/>
                <w:color w:val="000000" w:themeColor="text1"/>
                <w:sz w:val="24"/>
                <w:szCs w:val="24"/>
                <w:u w:val="none" w:color="auto"/>
                <w14:textFill>
                  <w14:solidFill>
                    <w14:schemeClr w14:val="tx1"/>
                  </w14:solidFill>
                </w14:textFill>
              </w:rPr>
              <w:t>靠近围护结构处室内N个声源i倍频带的叠加声压级，dB；</w:t>
            </w:r>
          </w:p>
          <w:p w14:paraId="059E1D94">
            <w:pPr>
              <w:keepNext w:val="0"/>
              <w:keepLines w:val="0"/>
              <w:suppressLineNumbers w:val="0"/>
              <w:tabs>
                <w:tab w:val="left" w:pos="1725"/>
                <w:tab w:val="center" w:pos="4156"/>
              </w:tabs>
              <w:spacing w:before="0" w:beforeAutospacing="0" w:after="0" w:afterAutospacing="0" w:line="360" w:lineRule="auto"/>
              <w:ind w:left="0" w:right="0" w:firstLine="480" w:firstLineChars="200"/>
              <w:rPr>
                <w:rFonts w:hint="default" w:ascii="Times New Roman"/>
                <w:bCs/>
                <w:color w:val="000000" w:themeColor="text1"/>
                <w:sz w:val="24"/>
                <w:szCs w:val="24"/>
                <w:u w:val="none" w:color="auto"/>
                <w14:textFill>
                  <w14:solidFill>
                    <w14:schemeClr w14:val="tx1"/>
                  </w14:solidFill>
                </w14:textFill>
              </w:rPr>
            </w:pP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267335" cy="241300"/>
                  <wp:effectExtent l="0" t="0" r="6985" b="254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25"/>
                          <a:stretch>
                            <a:fillRect/>
                          </a:stretch>
                        </pic:blipFill>
                        <pic:spPr>
                          <a:xfrm>
                            <a:off x="0" y="0"/>
                            <a:ext cx="267335" cy="241300"/>
                          </a:xfrm>
                          <a:prstGeom prst="rect">
                            <a:avLst/>
                          </a:prstGeom>
                          <a:noFill/>
                          <a:ln>
                            <a:noFill/>
                          </a:ln>
                        </pic:spPr>
                      </pic:pic>
                    </a:graphicData>
                  </a:graphic>
                </wp:inline>
              </w:drawing>
            </w:r>
            <w:r>
              <w:rPr>
                <w:rFonts w:hint="default" w:ascii="Times New Roman"/>
                <w:bCs/>
                <w:color w:val="000000" w:themeColor="text1"/>
                <w:sz w:val="24"/>
                <w:szCs w:val="24"/>
                <w:u w:val="none" w:color="auto"/>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bCs/>
                <w:color w:val="000000" w:themeColor="text1"/>
                <w:sz w:val="24"/>
                <w:szCs w:val="24"/>
                <w:u w:val="none" w:color="auto"/>
                <w14:textFill>
                  <w14:solidFill>
                    <w14:schemeClr w14:val="tx1"/>
                  </w14:solidFill>
                </w14:textFill>
              </w:rPr>
              <w:t xml:space="preserve">室内j声源i倍频带的声压级，dB； </w:t>
            </w:r>
          </w:p>
          <w:p w14:paraId="46C6C1C4">
            <w:pPr>
              <w:keepNext w:val="0"/>
              <w:keepLines w:val="0"/>
              <w:suppressLineNumbers w:val="0"/>
              <w:tabs>
                <w:tab w:val="left" w:pos="1725"/>
                <w:tab w:val="center" w:pos="4156"/>
              </w:tabs>
              <w:spacing w:before="0" w:beforeAutospacing="0" w:after="0" w:afterAutospacing="0" w:line="360" w:lineRule="auto"/>
              <w:ind w:left="0" w:right="0" w:firstLine="480" w:firstLineChars="200"/>
              <w:rPr>
                <w:rFonts w:hint="default" w:ascii="Times New Roman"/>
                <w:bCs/>
                <w:color w:val="000000" w:themeColor="text1"/>
                <w:sz w:val="24"/>
                <w:szCs w:val="24"/>
                <w:u w:val="none" w:color="auto"/>
                <w14:textFill>
                  <w14:solidFill>
                    <w14:schemeClr w14:val="tx1"/>
                  </w14:solidFill>
                </w14:textFill>
              </w:rPr>
            </w:pPr>
            <w:r>
              <w:rPr>
                <w:rFonts w:hint="default" w:ascii="Times New Roman"/>
                <w:bCs/>
                <w:color w:val="000000" w:themeColor="text1"/>
                <w:sz w:val="24"/>
                <w:szCs w:val="24"/>
                <w:u w:val="none" w:color="auto"/>
                <w14:textFill>
                  <w14:solidFill>
                    <w14:schemeClr w14:val="tx1"/>
                  </w14:solidFill>
                </w14:textFill>
              </w:rPr>
              <w:t xml:space="preserve">N—室内声源总数。 </w:t>
            </w:r>
          </w:p>
          <w:p w14:paraId="32059F6E">
            <w:pPr>
              <w:keepNext w:val="0"/>
              <w:keepLines w:val="0"/>
              <w:suppressLineNumbers w:val="0"/>
              <w:tabs>
                <w:tab w:val="left" w:pos="1725"/>
                <w:tab w:val="center" w:pos="4156"/>
              </w:tabs>
              <w:spacing w:before="0" w:beforeAutospacing="0" w:after="0" w:afterAutospacing="0" w:line="360" w:lineRule="auto"/>
              <w:ind w:left="0" w:right="0" w:firstLine="480" w:firstLineChars="200"/>
              <w:rPr>
                <w:rFonts w:hint="default" w:ascii="Times New Roman"/>
                <w:bCs/>
                <w:color w:val="000000" w:themeColor="text1"/>
                <w:sz w:val="24"/>
                <w:szCs w:val="24"/>
                <w:u w:val="none" w:color="auto"/>
                <w14:textFill>
                  <w14:solidFill>
                    <w14:schemeClr w14:val="tx1"/>
                  </w14:solidFill>
                </w14:textFill>
              </w:rPr>
            </w:pPr>
            <w:r>
              <w:rPr>
                <w:rFonts w:hint="default" w:ascii="Times New Roman"/>
                <w:bCs/>
                <w:color w:val="000000" w:themeColor="text1"/>
                <w:sz w:val="24"/>
                <w:szCs w:val="24"/>
                <w:u w:val="none" w:color="auto"/>
                <w14:textFill>
                  <w14:solidFill>
                    <w14:schemeClr w14:val="tx1"/>
                  </w14:solidFill>
                </w14:textFill>
              </w:rPr>
              <w:t>在室内近似为扩散声场时，按公式（</w:t>
            </w:r>
            <w:r>
              <w:rPr>
                <w:rFonts w:hint="eastAsia" w:ascii="Times New Roman"/>
                <w:bCs/>
                <w:color w:val="000000" w:themeColor="text1"/>
                <w:sz w:val="24"/>
                <w:szCs w:val="24"/>
                <w:u w:val="none" w:color="auto"/>
                <w:lang w:val="en-US" w:eastAsia="zh-CN"/>
                <w14:textFill>
                  <w14:solidFill>
                    <w14:schemeClr w14:val="tx1"/>
                  </w14:solidFill>
                </w14:textFill>
              </w:rPr>
              <w:t>B.4</w:t>
            </w:r>
            <w:r>
              <w:rPr>
                <w:rFonts w:hint="default" w:ascii="Times New Roman"/>
                <w:bCs/>
                <w:color w:val="000000" w:themeColor="text1"/>
                <w:sz w:val="24"/>
                <w:szCs w:val="24"/>
                <w:u w:val="none" w:color="auto"/>
                <w14:textFill>
                  <w14:solidFill>
                    <w14:schemeClr w14:val="tx1"/>
                  </w14:solidFill>
                </w14:textFill>
              </w:rPr>
              <w:t xml:space="preserve">）计算出靠近室外围护结构处的声压级： </w:t>
            </w:r>
          </w:p>
          <w:p w14:paraId="4CAE1165">
            <w:pPr>
              <w:keepNext w:val="0"/>
              <w:keepLines w:val="0"/>
              <w:suppressLineNumbers w:val="0"/>
              <w:tabs>
                <w:tab w:val="left" w:pos="1725"/>
                <w:tab w:val="center" w:pos="4156"/>
              </w:tabs>
              <w:spacing w:before="0" w:beforeAutospacing="0" w:after="0" w:afterAutospacing="0" w:line="360" w:lineRule="auto"/>
              <w:ind w:left="0" w:right="0" w:firstLine="2520" w:firstLineChars="1050"/>
              <w:rPr>
                <w:rFonts w:hint="default" w:ascii="Times New Roman"/>
                <w:bCs/>
                <w:color w:val="000000" w:themeColor="text1"/>
                <w:sz w:val="24"/>
                <w:szCs w:val="24"/>
                <w:u w:val="none" w:color="auto"/>
                <w14:textFill>
                  <w14:solidFill>
                    <w14:schemeClr w14:val="tx1"/>
                  </w14:solidFill>
                </w14:textFill>
              </w:rPr>
            </w:pP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1802130" cy="215900"/>
                  <wp:effectExtent l="0" t="0" r="11430" b="1270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26"/>
                          <a:stretch>
                            <a:fillRect/>
                          </a:stretch>
                        </pic:blipFill>
                        <pic:spPr>
                          <a:xfrm>
                            <a:off x="0" y="0"/>
                            <a:ext cx="1802130" cy="215900"/>
                          </a:xfrm>
                          <a:prstGeom prst="rect">
                            <a:avLst/>
                          </a:prstGeom>
                          <a:noFill/>
                          <a:ln>
                            <a:noFill/>
                          </a:ln>
                        </pic:spPr>
                      </pic:pic>
                    </a:graphicData>
                  </a:graphic>
                </wp:inline>
              </w:drawing>
            </w:r>
            <w:r>
              <w:rPr>
                <w:rFonts w:hint="default" w:ascii="Times New Roman"/>
                <w:bCs/>
                <w:color w:val="000000" w:themeColor="text1"/>
                <w:sz w:val="24"/>
                <w:szCs w:val="24"/>
                <w:u w:val="none" w:color="auto"/>
                <w14:textFill>
                  <w14:solidFill>
                    <w14:schemeClr w14:val="tx1"/>
                  </w14:solidFill>
                </w14:textFill>
              </w:rPr>
              <w:t xml:space="preserve">                 （</w:t>
            </w:r>
            <w:r>
              <w:rPr>
                <w:rFonts w:hint="eastAsia" w:ascii="Times New Roman"/>
                <w:bCs/>
                <w:color w:val="000000" w:themeColor="text1"/>
                <w:sz w:val="24"/>
                <w:szCs w:val="24"/>
                <w:u w:val="none" w:color="auto"/>
                <w:lang w:val="en-US" w:eastAsia="zh-CN"/>
                <w14:textFill>
                  <w14:solidFill>
                    <w14:schemeClr w14:val="tx1"/>
                  </w14:solidFill>
                </w14:textFill>
              </w:rPr>
              <w:t>B</w:t>
            </w:r>
            <w:r>
              <w:rPr>
                <w:rFonts w:hint="default" w:ascii="Times New Roman"/>
                <w:bCs/>
                <w:color w:val="000000" w:themeColor="text1"/>
                <w:sz w:val="24"/>
                <w:szCs w:val="24"/>
                <w:u w:val="none" w:color="auto"/>
                <w14:textFill>
                  <w14:solidFill>
                    <w14:schemeClr w14:val="tx1"/>
                  </w14:solidFill>
                </w14:textFill>
              </w:rPr>
              <w:t>.</w:t>
            </w:r>
            <w:r>
              <w:rPr>
                <w:rFonts w:hint="eastAsia" w:ascii="Times New Roman"/>
                <w:bCs/>
                <w:color w:val="000000" w:themeColor="text1"/>
                <w:sz w:val="24"/>
                <w:szCs w:val="24"/>
                <w:u w:val="none" w:color="auto"/>
                <w:lang w:val="en-US" w:eastAsia="zh-CN"/>
                <w14:textFill>
                  <w14:solidFill>
                    <w14:schemeClr w14:val="tx1"/>
                  </w14:solidFill>
                </w14:textFill>
              </w:rPr>
              <w:t>4</w:t>
            </w:r>
            <w:r>
              <w:rPr>
                <w:rFonts w:hint="default" w:ascii="Times New Roman"/>
                <w:bCs/>
                <w:color w:val="000000" w:themeColor="text1"/>
                <w:sz w:val="24"/>
                <w:szCs w:val="24"/>
                <w:u w:val="none" w:color="auto"/>
                <w14:textFill>
                  <w14:solidFill>
                    <w14:schemeClr w14:val="tx1"/>
                  </w14:solidFill>
                </w14:textFill>
              </w:rPr>
              <w:t>）</w:t>
            </w:r>
          </w:p>
          <w:p w14:paraId="77714BEF">
            <w:pPr>
              <w:keepNext w:val="0"/>
              <w:keepLines w:val="0"/>
              <w:suppressLineNumbers w:val="0"/>
              <w:tabs>
                <w:tab w:val="left" w:pos="1725"/>
                <w:tab w:val="center" w:pos="4156"/>
              </w:tabs>
              <w:spacing w:before="0" w:beforeAutospacing="0" w:after="0" w:afterAutospacing="0" w:line="360" w:lineRule="auto"/>
              <w:ind w:left="0" w:right="0" w:firstLine="480" w:firstLineChars="200"/>
              <w:rPr>
                <w:rFonts w:hint="default" w:ascii="Times New Roman"/>
                <w:bCs/>
                <w:color w:val="000000" w:themeColor="text1"/>
                <w:sz w:val="24"/>
                <w:szCs w:val="24"/>
                <w:u w:val="none" w:color="auto"/>
                <w14:textFill>
                  <w14:solidFill>
                    <w14:schemeClr w14:val="tx1"/>
                  </w14:solidFill>
                </w14:textFill>
              </w:rPr>
            </w:pPr>
            <w:r>
              <w:rPr>
                <w:rFonts w:hint="default" w:ascii="Times New Roman"/>
                <w:bCs/>
                <w:color w:val="000000" w:themeColor="text1"/>
                <w:sz w:val="24"/>
                <w:szCs w:val="24"/>
                <w:u w:val="none" w:color="auto"/>
                <w14:textFill>
                  <w14:solidFill>
                    <w14:schemeClr w14:val="tx1"/>
                  </w14:solidFill>
                </w14:textFill>
              </w:rPr>
              <w:t>式中：</w:t>
            </w:r>
          </w:p>
          <w:p w14:paraId="0AB192D3">
            <w:pPr>
              <w:keepNext w:val="0"/>
              <w:keepLines w:val="0"/>
              <w:suppressLineNumbers w:val="0"/>
              <w:tabs>
                <w:tab w:val="left" w:pos="1725"/>
                <w:tab w:val="center" w:pos="4156"/>
              </w:tabs>
              <w:spacing w:before="0" w:beforeAutospacing="0" w:after="0" w:afterAutospacing="0" w:line="360" w:lineRule="auto"/>
              <w:ind w:left="0" w:right="0" w:firstLine="480" w:firstLineChars="200"/>
              <w:rPr>
                <w:rFonts w:hint="default" w:ascii="Times New Roman"/>
                <w:bCs/>
                <w:color w:val="000000" w:themeColor="text1"/>
                <w:sz w:val="24"/>
                <w:szCs w:val="24"/>
                <w:u w:val="none" w:color="auto"/>
                <w14:textFill>
                  <w14:solidFill>
                    <w14:schemeClr w14:val="tx1"/>
                  </w14:solidFill>
                </w14:textFill>
              </w:rPr>
            </w:pP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560705" cy="224155"/>
                  <wp:effectExtent l="0" t="0" r="3175" b="4445"/>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27"/>
                          <a:stretch>
                            <a:fillRect/>
                          </a:stretch>
                        </pic:blipFill>
                        <pic:spPr>
                          <a:xfrm>
                            <a:off x="0" y="0"/>
                            <a:ext cx="560705" cy="224155"/>
                          </a:xfrm>
                          <a:prstGeom prst="rect">
                            <a:avLst/>
                          </a:prstGeom>
                          <a:noFill/>
                          <a:ln>
                            <a:noFill/>
                          </a:ln>
                        </pic:spPr>
                      </pic:pic>
                    </a:graphicData>
                  </a:graphic>
                </wp:inline>
              </w:drawing>
            </w:r>
            <w:r>
              <w:rPr>
                <w:rFonts w:hint="default" w:ascii="Times New Roman"/>
                <w:bCs/>
                <w:color w:val="000000" w:themeColor="text1"/>
                <w:sz w:val="24"/>
                <w:szCs w:val="24"/>
                <w:u w:val="none" w:color="auto"/>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bCs/>
                <w:color w:val="000000" w:themeColor="text1"/>
                <w:sz w:val="24"/>
                <w:szCs w:val="24"/>
                <w:u w:val="none" w:color="auto"/>
                <w14:textFill>
                  <w14:solidFill>
                    <w14:schemeClr w14:val="tx1"/>
                  </w14:solidFill>
                </w14:textFill>
              </w:rPr>
              <w:t>靠近围护结构处室外N个声源i倍频带的叠加声压级，dB；</w:t>
            </w:r>
          </w:p>
          <w:p w14:paraId="5EA7AE9D">
            <w:pPr>
              <w:pStyle w:val="2"/>
              <w:keepNext w:val="0"/>
              <w:keepLines w:val="0"/>
              <w:suppressLineNumbers w:val="0"/>
              <w:spacing w:before="0" w:beforeAutospacing="0"/>
              <w:ind w:left="0" w:right="0" w:firstLine="480" w:firstLineChars="200"/>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drawing>
                <wp:inline distT="0" distB="0" distL="114300" distR="114300">
                  <wp:extent cx="400050" cy="193040"/>
                  <wp:effectExtent l="0" t="0" r="11430" b="508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28"/>
                          <a:stretch>
                            <a:fillRect/>
                          </a:stretch>
                        </pic:blipFill>
                        <pic:spPr>
                          <a:xfrm>
                            <a:off x="0" y="0"/>
                            <a:ext cx="400050" cy="193040"/>
                          </a:xfrm>
                          <a:prstGeom prst="rect">
                            <a:avLst/>
                          </a:prstGeom>
                          <a:noFill/>
                          <a:ln>
                            <a:noFill/>
                          </a:ln>
                        </pic:spPr>
                      </pic:pic>
                    </a:graphicData>
                  </a:graphic>
                </wp:inline>
              </w:drawing>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bCs/>
                <w:color w:val="000000" w:themeColor="text1"/>
                <w:sz w:val="24"/>
                <w:szCs w:val="24"/>
                <w:u w:val="none" w:color="auto"/>
                <w14:textFill>
                  <w14:solidFill>
                    <w14:schemeClr w14:val="tx1"/>
                  </w14:solidFill>
                </w14:textFill>
              </w:rPr>
              <w:t>靠近围护结构处室</w:t>
            </w:r>
            <w:r>
              <w:rPr>
                <w:rFonts w:hint="eastAsia" w:ascii="Times New Roman"/>
                <w:bCs/>
                <w:color w:val="000000" w:themeColor="text1"/>
                <w:sz w:val="24"/>
                <w:szCs w:val="24"/>
                <w:u w:val="none" w:color="auto"/>
                <w:lang w:eastAsia="zh-CN"/>
                <w14:textFill>
                  <w14:solidFill>
                    <w14:schemeClr w14:val="tx1"/>
                  </w14:solidFill>
                </w14:textFill>
              </w:rPr>
              <w:t>内</w:t>
            </w:r>
            <w:r>
              <w:rPr>
                <w:rFonts w:hint="default" w:ascii="Times New Roman"/>
                <w:bCs/>
                <w:color w:val="000000" w:themeColor="text1"/>
                <w:sz w:val="24"/>
                <w:szCs w:val="24"/>
                <w:u w:val="none" w:color="auto"/>
                <w14:textFill>
                  <w14:solidFill>
                    <w14:schemeClr w14:val="tx1"/>
                  </w14:solidFill>
                </w14:textFill>
              </w:rPr>
              <w:t>N个声源i倍频带的叠加声压级，dB；</w:t>
            </w:r>
          </w:p>
          <w:p w14:paraId="00DE3DE7">
            <w:pPr>
              <w:keepNext w:val="0"/>
              <w:keepLines w:val="0"/>
              <w:suppressLineNumbers w:val="0"/>
              <w:tabs>
                <w:tab w:val="left" w:pos="1725"/>
                <w:tab w:val="center" w:pos="4156"/>
              </w:tabs>
              <w:spacing w:before="0" w:beforeAutospacing="0" w:after="0" w:afterAutospacing="0" w:line="360" w:lineRule="auto"/>
              <w:ind w:left="0" w:right="0" w:firstLine="480" w:firstLineChars="200"/>
              <w:rPr>
                <w:rFonts w:hint="default" w:ascii="Times New Roman"/>
                <w:bCs/>
                <w:color w:val="000000" w:themeColor="text1"/>
                <w:sz w:val="24"/>
                <w:szCs w:val="24"/>
                <w:u w:val="none" w:color="auto"/>
                <w14:textFill>
                  <w14:solidFill>
                    <w14:schemeClr w14:val="tx1"/>
                  </w14:solidFill>
                </w14:textFill>
              </w:rPr>
            </w:pPr>
            <w:r>
              <w:rPr>
                <w:rFonts w:hint="default" w:ascii="Times New Roman"/>
                <w:bCs/>
                <w:color w:val="000000" w:themeColor="text1"/>
                <w:sz w:val="24"/>
                <w:szCs w:val="24"/>
                <w:u w:val="none" w:color="auto"/>
                <w14:textFill>
                  <w14:solidFill>
                    <w14:schemeClr w14:val="tx1"/>
                  </w14:solidFill>
                </w14:textFill>
              </w:rPr>
              <w:t xml:space="preserve"> </w:t>
            </w: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189865" cy="215900"/>
                  <wp:effectExtent l="0" t="0" r="825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tretch>
                            <a:fillRect/>
                          </a:stretch>
                        </pic:blipFill>
                        <pic:spPr>
                          <a:xfrm>
                            <a:off x="0" y="0"/>
                            <a:ext cx="189865" cy="215900"/>
                          </a:xfrm>
                          <a:prstGeom prst="rect">
                            <a:avLst/>
                          </a:prstGeom>
                          <a:noFill/>
                          <a:ln>
                            <a:noFill/>
                          </a:ln>
                        </pic:spPr>
                      </pic:pic>
                    </a:graphicData>
                  </a:graphic>
                </wp:inline>
              </w:drawing>
            </w:r>
            <w:r>
              <w:rPr>
                <w:rFonts w:hint="default" w:ascii="Times New Roman"/>
                <w:bCs/>
                <w:color w:val="000000" w:themeColor="text1"/>
                <w:sz w:val="24"/>
                <w:szCs w:val="24"/>
                <w:u w:val="none" w:color="auto"/>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bCs/>
                <w:color w:val="000000" w:themeColor="text1"/>
                <w:sz w:val="24"/>
                <w:szCs w:val="24"/>
                <w:u w:val="none" w:color="auto"/>
                <w14:textFill>
                  <w14:solidFill>
                    <w14:schemeClr w14:val="tx1"/>
                  </w14:solidFill>
                </w14:textFill>
              </w:rPr>
              <w:t xml:space="preserve">围护结构i倍频带的隔声量，dB。 </w:t>
            </w:r>
          </w:p>
          <w:p w14:paraId="4AA3FEEF">
            <w:pPr>
              <w:keepNext w:val="0"/>
              <w:keepLines w:val="0"/>
              <w:suppressLineNumbers w:val="0"/>
              <w:tabs>
                <w:tab w:val="left" w:pos="1725"/>
                <w:tab w:val="center" w:pos="4156"/>
              </w:tabs>
              <w:spacing w:before="0" w:beforeAutospacing="0" w:after="0" w:afterAutospacing="0" w:line="360" w:lineRule="auto"/>
              <w:ind w:left="0" w:right="0" w:firstLine="480" w:firstLineChars="200"/>
              <w:rPr>
                <w:rFonts w:hint="default" w:ascii="Times New Roman"/>
                <w:bCs/>
                <w:color w:val="000000" w:themeColor="text1"/>
                <w:sz w:val="24"/>
                <w:szCs w:val="24"/>
                <w:u w:val="none" w:color="auto"/>
                <w14:textFill>
                  <w14:solidFill>
                    <w14:schemeClr w14:val="tx1"/>
                  </w14:solidFill>
                </w14:textFill>
              </w:rPr>
            </w:pPr>
            <w:r>
              <w:rPr>
                <w:rFonts w:hint="default" w:ascii="Times New Roman"/>
                <w:bCs/>
                <w:color w:val="000000" w:themeColor="text1"/>
                <w:sz w:val="24"/>
                <w:szCs w:val="24"/>
                <w:u w:val="none" w:color="auto"/>
                <w14:textFill>
                  <w14:solidFill>
                    <w14:schemeClr w14:val="tx1"/>
                  </w14:solidFill>
                </w14:textFill>
              </w:rPr>
              <w:t>然后按公式（</w:t>
            </w:r>
            <w:r>
              <w:rPr>
                <w:rFonts w:hint="eastAsia" w:ascii="Times New Roman"/>
                <w:bCs/>
                <w:color w:val="000000" w:themeColor="text1"/>
                <w:sz w:val="24"/>
                <w:szCs w:val="24"/>
                <w:u w:val="none" w:color="auto"/>
                <w:lang w:val="en-US" w:eastAsia="zh-CN"/>
                <w14:textFill>
                  <w14:solidFill>
                    <w14:schemeClr w14:val="tx1"/>
                  </w14:solidFill>
                </w14:textFill>
              </w:rPr>
              <w:t>B</w:t>
            </w:r>
            <w:r>
              <w:rPr>
                <w:rFonts w:hint="default" w:ascii="Times New Roman"/>
                <w:bCs/>
                <w:color w:val="000000" w:themeColor="text1"/>
                <w:sz w:val="24"/>
                <w:szCs w:val="24"/>
                <w:u w:val="none" w:color="auto"/>
                <w14:textFill>
                  <w14:solidFill>
                    <w14:schemeClr w14:val="tx1"/>
                  </w14:solidFill>
                </w14:textFill>
              </w:rPr>
              <w:t>.</w:t>
            </w:r>
            <w:r>
              <w:rPr>
                <w:rFonts w:hint="eastAsia" w:ascii="Times New Roman"/>
                <w:bCs/>
                <w:color w:val="000000" w:themeColor="text1"/>
                <w:sz w:val="24"/>
                <w:szCs w:val="24"/>
                <w:u w:val="none" w:color="auto"/>
                <w:lang w:val="en-US" w:eastAsia="zh-CN"/>
                <w14:textFill>
                  <w14:solidFill>
                    <w14:schemeClr w14:val="tx1"/>
                  </w14:solidFill>
                </w14:textFill>
              </w:rPr>
              <w:t>5</w:t>
            </w:r>
            <w:r>
              <w:rPr>
                <w:rFonts w:hint="default" w:ascii="Times New Roman"/>
                <w:bCs/>
                <w:color w:val="000000" w:themeColor="text1"/>
                <w:sz w:val="24"/>
                <w:szCs w:val="24"/>
                <w:u w:val="none" w:color="auto"/>
                <w14:textFill>
                  <w14:solidFill>
                    <w14:schemeClr w14:val="tx1"/>
                  </w14:solidFill>
                </w14:textFill>
              </w:rPr>
              <w:t xml:space="preserve">）将室外声源的声压级和透过面积换算成等效的室外声源，计算出中心位置位于透声面积（S）处的等效声源的倍频带声功率级。 </w:t>
            </w:r>
          </w:p>
          <w:p w14:paraId="2913A327">
            <w:pPr>
              <w:keepNext w:val="0"/>
              <w:keepLines w:val="0"/>
              <w:suppressLineNumbers w:val="0"/>
              <w:tabs>
                <w:tab w:val="left" w:pos="1725"/>
                <w:tab w:val="center" w:pos="4156"/>
              </w:tabs>
              <w:spacing w:before="0" w:beforeAutospacing="0" w:after="0" w:afterAutospacing="0" w:line="360" w:lineRule="auto"/>
              <w:ind w:left="0" w:right="0" w:firstLine="2520" w:firstLineChars="1050"/>
              <w:rPr>
                <w:rFonts w:hint="default" w:ascii="Times New Roman"/>
                <w:bCs/>
                <w:color w:val="000000" w:themeColor="text1"/>
                <w:sz w:val="24"/>
                <w:szCs w:val="24"/>
                <w:u w:val="none" w:color="auto"/>
                <w14:textFill>
                  <w14:solidFill>
                    <w14:schemeClr w14:val="tx1"/>
                  </w14:solidFill>
                </w14:textFill>
              </w:rPr>
            </w:pP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1250950" cy="224155"/>
                  <wp:effectExtent l="0" t="0" r="13970" b="444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0"/>
                          <a:stretch>
                            <a:fillRect/>
                          </a:stretch>
                        </pic:blipFill>
                        <pic:spPr>
                          <a:xfrm>
                            <a:off x="0" y="0"/>
                            <a:ext cx="1250950" cy="224155"/>
                          </a:xfrm>
                          <a:prstGeom prst="rect">
                            <a:avLst/>
                          </a:prstGeom>
                          <a:noFill/>
                          <a:ln>
                            <a:noFill/>
                          </a:ln>
                        </pic:spPr>
                      </pic:pic>
                    </a:graphicData>
                  </a:graphic>
                </wp:inline>
              </w:drawing>
            </w:r>
            <w:r>
              <w:rPr>
                <w:rFonts w:hint="default" w:ascii="Times New Roman"/>
                <w:bCs/>
                <w:color w:val="000000" w:themeColor="text1"/>
                <w:sz w:val="24"/>
                <w:szCs w:val="24"/>
                <w:u w:val="none" w:color="auto"/>
                <w14:textFill>
                  <w14:solidFill>
                    <w14:schemeClr w14:val="tx1"/>
                  </w14:solidFill>
                </w14:textFill>
              </w:rPr>
              <w:t xml:space="preserve">                       （</w:t>
            </w:r>
            <w:r>
              <w:rPr>
                <w:rFonts w:hint="eastAsia" w:ascii="Times New Roman"/>
                <w:bCs/>
                <w:color w:val="000000" w:themeColor="text1"/>
                <w:sz w:val="24"/>
                <w:szCs w:val="24"/>
                <w:u w:val="none" w:color="auto"/>
                <w:lang w:val="en-US" w:eastAsia="zh-CN"/>
                <w14:textFill>
                  <w14:solidFill>
                    <w14:schemeClr w14:val="tx1"/>
                  </w14:solidFill>
                </w14:textFill>
              </w:rPr>
              <w:t>B</w:t>
            </w:r>
            <w:r>
              <w:rPr>
                <w:rFonts w:hint="default" w:ascii="Times New Roman"/>
                <w:bCs/>
                <w:color w:val="000000" w:themeColor="text1"/>
                <w:sz w:val="24"/>
                <w:szCs w:val="24"/>
                <w:u w:val="none" w:color="auto"/>
                <w14:textFill>
                  <w14:solidFill>
                    <w14:schemeClr w14:val="tx1"/>
                  </w14:solidFill>
                </w14:textFill>
              </w:rPr>
              <w:t>.</w:t>
            </w:r>
            <w:r>
              <w:rPr>
                <w:rFonts w:hint="eastAsia" w:ascii="Times New Roman"/>
                <w:bCs/>
                <w:color w:val="000000" w:themeColor="text1"/>
                <w:sz w:val="24"/>
                <w:szCs w:val="24"/>
                <w:u w:val="none" w:color="auto"/>
                <w:lang w:val="en-US" w:eastAsia="zh-CN"/>
                <w14:textFill>
                  <w14:solidFill>
                    <w14:schemeClr w14:val="tx1"/>
                  </w14:solidFill>
                </w14:textFill>
              </w:rPr>
              <w:t>5</w:t>
            </w:r>
            <w:r>
              <w:rPr>
                <w:rFonts w:hint="default" w:ascii="Times New Roman"/>
                <w:bCs/>
                <w:color w:val="000000" w:themeColor="text1"/>
                <w:sz w:val="24"/>
                <w:szCs w:val="24"/>
                <w:u w:val="none" w:color="auto"/>
                <w14:textFill>
                  <w14:solidFill>
                    <w14:schemeClr w14:val="tx1"/>
                  </w14:solidFill>
                </w14:textFill>
              </w:rPr>
              <w:t>）</w:t>
            </w:r>
          </w:p>
          <w:p w14:paraId="5FA38790">
            <w:pPr>
              <w:pStyle w:val="43"/>
              <w:ind w:firstLine="480" w:firstLineChars="200"/>
              <w:rPr>
                <w:rFonts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pPr>
            <w:r>
              <w:rPr>
                <w:rFonts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然后按室外声源预测方法计算预测点处的A声级。</w:t>
            </w:r>
          </w:p>
          <w:p w14:paraId="74F7FA4F">
            <w:pPr>
              <w:keepNext w:val="0"/>
              <w:keepLines w:val="0"/>
              <w:suppressLineNumbers w:val="0"/>
              <w:tabs>
                <w:tab w:val="left" w:pos="1021"/>
              </w:tabs>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pacing w:val="-4"/>
                <w:sz w:val="24"/>
                <w:szCs w:val="24"/>
                <w:u w:val="none" w:color="auto"/>
                <w:lang w:eastAsia="zh-CN"/>
                <w14:textFill>
                  <w14:solidFill>
                    <w14:schemeClr w14:val="tx1"/>
                  </w14:solidFill>
                </w14:textFill>
              </w:rPr>
            </w:pPr>
            <w:r>
              <w:rPr>
                <w:rFonts w:hint="default" w:ascii="Times New Roman" w:hAnsi="Times New Roman"/>
                <w:color w:val="000000" w:themeColor="text1"/>
                <w:sz w:val="24"/>
                <w:szCs w:val="24"/>
                <w:u w:val="none" w:color="auto"/>
                <w14:textFill>
                  <w14:solidFill>
                    <w14:schemeClr w14:val="tx1"/>
                  </w14:solidFill>
                </w14:textFill>
              </w:rPr>
              <w:fldChar w:fldCharType="begin"/>
            </w:r>
            <w:r>
              <w:rPr>
                <w:rFonts w:hint="default" w:ascii="Times New Roman" w:hAnsi="Times New Roman"/>
                <w:color w:val="000000" w:themeColor="text1"/>
                <w:sz w:val="24"/>
                <w:szCs w:val="24"/>
                <w:u w:val="none" w:color="auto"/>
                <w14:textFill>
                  <w14:solidFill>
                    <w14:schemeClr w14:val="tx1"/>
                  </w14:solidFill>
                </w14:textFill>
              </w:rPr>
              <w:instrText xml:space="preserve"> = 2 \* GB3 \* MERGEFORMAT </w:instrText>
            </w:r>
            <w:r>
              <w:rPr>
                <w:rFonts w:hint="default" w:ascii="Times New Roman" w:hAnsi="Times New Roman"/>
                <w:color w:val="000000" w:themeColor="text1"/>
                <w:sz w:val="24"/>
                <w:szCs w:val="24"/>
                <w:u w:val="none" w:color="auto"/>
                <w14:textFill>
                  <w14:solidFill>
                    <w14:schemeClr w14:val="tx1"/>
                  </w14:solidFill>
                </w14:textFill>
              </w:rPr>
              <w:fldChar w:fldCharType="separate"/>
            </w:r>
            <w:r>
              <w:rPr>
                <w:rFonts w:hint="default"/>
                <w:color w:val="000000" w:themeColor="text1"/>
                <w:sz w:val="24"/>
                <w:szCs w:val="24"/>
                <w:u w:val="none" w:color="auto"/>
                <w14:textFill>
                  <w14:solidFill>
                    <w14:schemeClr w14:val="tx1"/>
                  </w14:solidFill>
                </w14:textFill>
              </w:rPr>
              <w:t>②</w:t>
            </w:r>
            <w:r>
              <w:rPr>
                <w:rFonts w:hint="default" w:ascii="Times New Roman" w:hAnsi="Times New Roman"/>
                <w:color w:val="000000" w:themeColor="text1"/>
                <w:sz w:val="24"/>
                <w:szCs w:val="24"/>
                <w:u w:val="none" w:color="auto"/>
                <w14:textFill>
                  <w14:solidFill>
                    <w14:schemeClr w14:val="tx1"/>
                  </w14:solidFill>
                </w14:textFill>
              </w:rPr>
              <w:fldChar w:fldCharType="end"/>
            </w:r>
            <w:r>
              <w:rPr>
                <w:rFonts w:hint="eastAsia" w:ascii="Times New Roman" w:hAnsi="Times New Roman"/>
                <w:color w:val="000000" w:themeColor="text1"/>
                <w:sz w:val="24"/>
                <w:szCs w:val="24"/>
                <w:u w:val="none" w:color="auto"/>
                <w:lang w:eastAsia="zh-CN"/>
                <w14:textFill>
                  <w14:solidFill>
                    <w14:schemeClr w14:val="tx1"/>
                  </w14:solidFill>
                </w14:textFill>
              </w:rPr>
              <w:t>室外声源在预测点产生的声级计算模型</w:t>
            </w:r>
          </w:p>
          <w:p w14:paraId="28DFA192">
            <w:pPr>
              <w:keepNext w:val="0"/>
              <w:keepLines w:val="0"/>
              <w:suppressLineNumbers w:val="0"/>
              <w:tabs>
                <w:tab w:val="left" w:pos="1021"/>
              </w:tabs>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pacing w:val="-4"/>
                <w:sz w:val="24"/>
                <w:szCs w:val="24"/>
                <w:u w:val="none" w:color="auto"/>
                <w:lang w:val="en-US" w:eastAsia="zh-CN"/>
                <w14:textFill>
                  <w14:solidFill>
                    <w14:schemeClr w14:val="tx1"/>
                  </w14:solidFill>
                </w14:textFill>
              </w:rPr>
            </w:pPr>
            <w:r>
              <w:rPr>
                <w:rFonts w:hint="eastAsia" w:ascii="Times New Roman"/>
                <w:bCs/>
                <w:color w:val="000000" w:themeColor="text1"/>
                <w:sz w:val="24"/>
                <w:szCs w:val="24"/>
                <w:u w:val="none" w:color="auto"/>
                <w:lang w:val="en-US" w:eastAsia="zh-CN"/>
                <w14:textFill>
                  <w14:solidFill>
                    <w14:schemeClr w14:val="tx1"/>
                  </w14:solidFill>
                </w14:textFill>
              </w:rPr>
              <w:t>户外声传播衰减包括几何发散（</w:t>
            </w:r>
            <w:r>
              <w:rPr>
                <w:rFonts w:hint="default" w:ascii="Times New Roman"/>
                <w:bCs/>
                <w:color w:val="000000" w:themeColor="text1"/>
                <w:sz w:val="24"/>
                <w:szCs w:val="24"/>
                <w:u w:val="none" w:color="auto"/>
                <w:lang w:val="en-US" w:eastAsia="zh-CN"/>
                <w14:textFill>
                  <w14:solidFill>
                    <w14:schemeClr w14:val="tx1"/>
                  </w14:solidFill>
                </w14:textFill>
              </w:rPr>
              <w:t>Adiv</w:t>
            </w:r>
            <w:r>
              <w:rPr>
                <w:rFonts w:hint="eastAsia" w:ascii="Times New Roman"/>
                <w:bCs/>
                <w:color w:val="000000" w:themeColor="text1"/>
                <w:sz w:val="24"/>
                <w:szCs w:val="24"/>
                <w:u w:val="none" w:color="auto"/>
                <w:lang w:val="en-US" w:eastAsia="zh-CN"/>
                <w14:textFill>
                  <w14:solidFill>
                    <w14:schemeClr w14:val="tx1"/>
                  </w14:solidFill>
                </w14:textFill>
              </w:rPr>
              <w:t>）、大气吸收（</w:t>
            </w:r>
            <w:r>
              <w:rPr>
                <w:rFonts w:hint="default" w:ascii="Times New Roman"/>
                <w:bCs/>
                <w:color w:val="000000" w:themeColor="text1"/>
                <w:sz w:val="24"/>
                <w:szCs w:val="24"/>
                <w:u w:val="none" w:color="auto"/>
                <w:lang w:val="en-US" w:eastAsia="zh-CN"/>
                <w14:textFill>
                  <w14:solidFill>
                    <w14:schemeClr w14:val="tx1"/>
                  </w14:solidFill>
                </w14:textFill>
              </w:rPr>
              <w:t>Aatm</w:t>
            </w:r>
            <w:r>
              <w:rPr>
                <w:rFonts w:hint="eastAsia" w:ascii="Times New Roman"/>
                <w:bCs/>
                <w:color w:val="000000" w:themeColor="text1"/>
                <w:sz w:val="24"/>
                <w:szCs w:val="24"/>
                <w:u w:val="none" w:color="auto"/>
                <w:lang w:val="en-US" w:eastAsia="zh-CN"/>
                <w14:textFill>
                  <w14:solidFill>
                    <w14:schemeClr w14:val="tx1"/>
                  </w14:solidFill>
                </w14:textFill>
              </w:rPr>
              <w:t>）、地面效应（</w:t>
            </w:r>
            <w:r>
              <w:rPr>
                <w:rFonts w:hint="default" w:ascii="Times New Roman"/>
                <w:bCs/>
                <w:color w:val="000000" w:themeColor="text1"/>
                <w:sz w:val="24"/>
                <w:szCs w:val="24"/>
                <w:u w:val="none" w:color="auto"/>
                <w:lang w:val="en-US" w:eastAsia="zh-CN"/>
                <w14:textFill>
                  <w14:solidFill>
                    <w14:schemeClr w14:val="tx1"/>
                  </w14:solidFill>
                </w14:textFill>
              </w:rPr>
              <w:t>Agr</w:t>
            </w:r>
            <w:r>
              <w:rPr>
                <w:rFonts w:hint="eastAsia" w:ascii="Times New Roman"/>
                <w:bCs/>
                <w:color w:val="000000" w:themeColor="text1"/>
                <w:sz w:val="24"/>
                <w:szCs w:val="24"/>
                <w:u w:val="none" w:color="auto"/>
                <w:lang w:val="en-US" w:eastAsia="zh-CN"/>
                <w14:textFill>
                  <w14:solidFill>
                    <w14:schemeClr w14:val="tx1"/>
                  </w14:solidFill>
                </w14:textFill>
              </w:rPr>
              <w:t>）、障碍物屏蔽（</w:t>
            </w:r>
            <w:r>
              <w:rPr>
                <w:rFonts w:hint="default" w:ascii="Times New Roman"/>
                <w:bCs/>
                <w:color w:val="000000" w:themeColor="text1"/>
                <w:sz w:val="24"/>
                <w:szCs w:val="24"/>
                <w:u w:val="none" w:color="auto"/>
                <w:lang w:val="en-US" w:eastAsia="zh-CN"/>
                <w14:textFill>
                  <w14:solidFill>
                    <w14:schemeClr w14:val="tx1"/>
                  </w14:solidFill>
                </w14:textFill>
              </w:rPr>
              <w:t>Abar</w:t>
            </w:r>
            <w:r>
              <w:rPr>
                <w:rFonts w:hint="eastAsia" w:ascii="Times New Roman"/>
                <w:bCs/>
                <w:color w:val="000000" w:themeColor="text1"/>
                <w:sz w:val="24"/>
                <w:szCs w:val="24"/>
                <w:u w:val="none" w:color="auto"/>
                <w:lang w:val="en-US" w:eastAsia="zh-CN"/>
                <w14:textFill>
                  <w14:solidFill>
                    <w14:schemeClr w14:val="tx1"/>
                  </w14:solidFill>
                </w14:textFill>
              </w:rPr>
              <w:t>）、其他多方面效应（</w:t>
            </w:r>
            <w:r>
              <w:rPr>
                <w:rFonts w:hint="default" w:ascii="Times New Roman"/>
                <w:bCs/>
                <w:color w:val="000000" w:themeColor="text1"/>
                <w:sz w:val="24"/>
                <w:szCs w:val="24"/>
                <w:u w:val="none" w:color="auto"/>
                <w:lang w:val="en-US" w:eastAsia="zh-CN"/>
                <w14:textFill>
                  <w14:solidFill>
                    <w14:schemeClr w14:val="tx1"/>
                  </w14:solidFill>
                </w14:textFill>
              </w:rPr>
              <w:t>Amisc</w:t>
            </w:r>
            <w:r>
              <w:rPr>
                <w:rFonts w:hint="eastAsia" w:ascii="Times New Roman"/>
                <w:bCs/>
                <w:color w:val="000000" w:themeColor="text1"/>
                <w:sz w:val="24"/>
                <w:szCs w:val="24"/>
                <w:u w:val="none" w:color="auto"/>
                <w:lang w:val="en-US" w:eastAsia="zh-CN"/>
                <w14:textFill>
                  <w14:solidFill>
                    <w14:schemeClr w14:val="tx1"/>
                  </w14:solidFill>
                </w14:textFill>
              </w:rPr>
              <w:t>）引起的衰减。</w:t>
            </w:r>
          </w:p>
          <w:p w14:paraId="5E593FD7">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在环境影响评价中，应根据声源声功率级或参考位置处的声压级、户外声传播衰减，计算预测点的声级，分别按式（A.1）或式（A.2）计算</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w:t>
            </w:r>
          </w:p>
          <w:p w14:paraId="696A0B5C">
            <w:pPr>
              <w:pStyle w:val="2"/>
              <w:keepNext w:val="0"/>
              <w:keepLines w:val="0"/>
              <w:suppressLineNumbers w:val="0"/>
              <w:spacing w:before="0" w:beforeAutospacing="0"/>
              <w:ind w:left="0" w:right="0" w:firstLine="480" w:firstLineChars="200"/>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drawing>
                <wp:inline distT="0" distB="0" distL="114300" distR="114300">
                  <wp:extent cx="5269230" cy="245745"/>
                  <wp:effectExtent l="0" t="0" r="3810" b="13335"/>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pic:cNvPicPr>
                            <a:picLocks noChangeAspect="1"/>
                          </pic:cNvPicPr>
                        </pic:nvPicPr>
                        <pic:blipFill>
                          <a:blip r:embed="rId31"/>
                          <a:stretch>
                            <a:fillRect/>
                          </a:stretch>
                        </pic:blipFill>
                        <pic:spPr>
                          <a:xfrm>
                            <a:off x="0" y="0"/>
                            <a:ext cx="5269230" cy="245745"/>
                          </a:xfrm>
                          <a:prstGeom prst="rect">
                            <a:avLst/>
                          </a:prstGeom>
                          <a:noFill/>
                          <a:ln>
                            <a:noFill/>
                          </a:ln>
                        </pic:spPr>
                      </pic:pic>
                    </a:graphicData>
                  </a:graphic>
                </wp:inline>
              </w:drawing>
            </w:r>
          </w:p>
          <w:p w14:paraId="3D3820CB">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式中：</w:t>
            </w:r>
          </w:p>
          <w:p w14:paraId="1120A512">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L</w:t>
            </w:r>
            <w:r>
              <w:rPr>
                <w:rFonts w:hint="default" w:ascii="Times New Roman" w:hAnsi="Times New Roman" w:eastAsia="宋体" w:cs="Times New Roman"/>
                <w:i/>
                <w:iCs/>
                <w:color w:val="000000" w:themeColor="text1"/>
                <w:kern w:val="0"/>
                <w:sz w:val="24"/>
                <w:szCs w:val="24"/>
                <w:u w:val="none" w:color="auto"/>
                <w:vertAlign w:val="subscript"/>
                <w:lang w:val="en-US" w:eastAsia="zh-CN" w:bidi="ar"/>
                <w14:textFill>
                  <w14:solidFill>
                    <w14:schemeClr w14:val="tx1"/>
                  </w14:solidFill>
                </w14:textFill>
              </w:rPr>
              <w:t>p</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u w:val="none" w:color="auto"/>
                <w:vertAlign w:val="subscript"/>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预测点处声压级，</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w:t>
            </w:r>
          </w:p>
          <w:p w14:paraId="1F52FA49">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L</w:t>
            </w:r>
            <w:r>
              <w:rPr>
                <w:rFonts w:hint="default" w:ascii="Times New Roman" w:hAnsi="Times New Roman" w:eastAsia="宋体" w:cs="Times New Roman"/>
                <w:i/>
                <w:iCs/>
                <w:color w:val="000000" w:themeColor="text1"/>
                <w:kern w:val="0"/>
                <w:sz w:val="24"/>
                <w:szCs w:val="24"/>
                <w:u w:val="none" w:color="auto"/>
                <w:vertAlign w:val="subscript"/>
                <w:lang w:val="en-US" w:eastAsia="zh-CN" w:bidi="ar"/>
                <w14:textFill>
                  <w14:solidFill>
                    <w14:schemeClr w14:val="tx1"/>
                  </w14:solidFill>
                </w14:textFill>
              </w:rPr>
              <w:t xml:space="preserve">w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由点声源产生的声功率级（</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A</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计权或倍频带），</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69F221F2">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D</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C</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指向性校正，它描述点声源的等效连续声压级与产生声功率级</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Lw</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的全向点声源在规定方向的声级的偏差程度，</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407F619E">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 xml:space="preserve">div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几何发散引起的衰减，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4DE84829">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atm</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大气吸收引起的衰减，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552B7900">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gr</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地面效应引起的衰减，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500C7760">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bar</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障碍物屏蔽引起的衰减，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022AD187">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misc</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其他多方面效应引起的衰减，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w:t>
            </w:r>
          </w:p>
          <w:p w14:paraId="194C198C">
            <w:pPr>
              <w:keepNext w:val="0"/>
              <w:keepLines w:val="0"/>
              <w:widowControl/>
              <w:suppressLineNumbers w:val="0"/>
              <w:spacing w:before="0" w:beforeAutospacing="0" w:after="0" w:afterAutospacing="0" w:line="360" w:lineRule="auto"/>
              <w:ind w:left="0" w:right="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drawing>
                <wp:inline distT="0" distB="0" distL="114300" distR="114300">
                  <wp:extent cx="5269230" cy="245745"/>
                  <wp:effectExtent l="0" t="0" r="381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5269230" cy="245745"/>
                          </a:xfrm>
                          <a:prstGeom prst="rect">
                            <a:avLst/>
                          </a:prstGeom>
                          <a:noFill/>
                          <a:ln>
                            <a:noFill/>
                          </a:ln>
                        </pic:spPr>
                      </pic:pic>
                    </a:graphicData>
                  </a:graphic>
                </wp:inline>
              </w:drawing>
            </w:r>
          </w:p>
          <w:p w14:paraId="0E4BEF3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式中：</w:t>
            </w:r>
          </w:p>
          <w:p w14:paraId="25E285BD">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预测点处声压级，</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731EBA98">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参考位置</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0</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处的声压级，</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4C3E4FDB">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D</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 xml:space="preserve">C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指向性校正，它描述点声源的等效连续声压级与产生声功率级</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Lw</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的全向点声源在规定方向的声级的偏差程度，</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434DC044">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 xml:space="preserve">div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几何发散引起的衰减，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1E948D5A">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 xml:space="preserve">atm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大气吸收引起的衰减，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180F58A0">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gr</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地面效应引起的衰减，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386DED9E">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bar</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障碍物屏蔽引起的衰减，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25CBD9B1">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misc</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其他多方面效应引起的衰减，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w:t>
            </w:r>
          </w:p>
          <w:p w14:paraId="4419664F">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pPr>
            <w:r>
              <w:rPr>
                <w:rFonts w:hint="default" w:ascii="Times New Roman" w:hAnsi="Times New Roman" w:cs="Times New Roman"/>
                <w:color w:val="000000" w:themeColor="text1"/>
                <w:sz w:val="24"/>
                <w:szCs w:val="24"/>
                <w:u w:val="none" w:color="auto"/>
                <w:lang w:val="en-US" w:eastAsia="zh-CN"/>
                <w14:textFill>
                  <w14:solidFill>
                    <w14:schemeClr w14:val="tx1"/>
                  </w14:solidFill>
                </w14:textFill>
              </w:rPr>
              <w:t>b)</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预测点的A声级 LA(r)可按式（A.3）计算，即将8个倍频带声压级合成，计算出预测点的A声级[LA(r)]。</w:t>
            </w:r>
          </w:p>
          <w:p w14:paraId="49B78230">
            <w:pPr>
              <w:keepNext w:val="0"/>
              <w:keepLines w:val="0"/>
              <w:suppressLineNumbers w:val="0"/>
              <w:tabs>
                <w:tab w:val="left" w:pos="1725"/>
                <w:tab w:val="center" w:pos="4156"/>
              </w:tabs>
              <w:spacing w:before="0" w:beforeAutospacing="0" w:after="0" w:afterAutospacing="0" w:line="360" w:lineRule="auto"/>
              <w:ind w:left="0" w:right="0" w:firstLine="1800" w:firstLineChars="750"/>
              <w:jc w:val="center"/>
              <w:rPr>
                <w:rFonts w:hint="default" w:ascii="Times New Roman"/>
                <w:bCs/>
                <w:color w:val="000000" w:themeColor="text1"/>
                <w:sz w:val="24"/>
                <w:szCs w:val="24"/>
                <w:u w:val="none" w:color="auto"/>
                <w14:textFill>
                  <w14:solidFill>
                    <w14:schemeClr w14:val="tx1"/>
                  </w14:solidFill>
                </w14:textFill>
              </w:rPr>
            </w:pP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2776220" cy="422910"/>
                  <wp:effectExtent l="0" t="0" r="12700" b="381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pic:cNvPicPr>
                        </pic:nvPicPr>
                        <pic:blipFill>
                          <a:blip r:embed="rId33"/>
                          <a:stretch>
                            <a:fillRect/>
                          </a:stretch>
                        </pic:blipFill>
                        <pic:spPr>
                          <a:xfrm>
                            <a:off x="0" y="0"/>
                            <a:ext cx="2776220" cy="422910"/>
                          </a:xfrm>
                          <a:prstGeom prst="rect">
                            <a:avLst/>
                          </a:prstGeom>
                          <a:noFill/>
                          <a:ln>
                            <a:noFill/>
                          </a:ln>
                        </pic:spPr>
                      </pic:pic>
                    </a:graphicData>
                  </a:graphic>
                </wp:inline>
              </w:drawing>
            </w:r>
            <w:r>
              <w:rPr>
                <w:rFonts w:hint="default" w:ascii="Times New Roman"/>
                <w:bCs/>
                <w:color w:val="000000" w:themeColor="text1"/>
                <w:sz w:val="24"/>
                <w:szCs w:val="24"/>
                <w:u w:val="none" w:color="auto"/>
                <w14:textFill>
                  <w14:solidFill>
                    <w14:schemeClr w14:val="tx1"/>
                  </w14:solidFill>
                </w14:textFill>
              </w:rPr>
              <w:t xml:space="preserve">    （A.3）</w:t>
            </w:r>
          </w:p>
          <w:p w14:paraId="321D1649">
            <w:pPr>
              <w:keepNext w:val="0"/>
              <w:keepLines w:val="0"/>
              <w:suppressLineNumbers w:val="0"/>
              <w:spacing w:before="0" w:beforeAutospacing="0" w:after="0" w:afterAutospacing="0" w:line="360" w:lineRule="auto"/>
              <w:ind w:left="0" w:right="0"/>
              <w:rPr>
                <w:rFonts w:hint="default" w:ascii="Times New Roman"/>
                <w:snapToGrid w:val="0"/>
                <w:color w:val="000000" w:themeColor="text1"/>
                <w:sz w:val="24"/>
                <w:szCs w:val="24"/>
                <w:u w:val="none" w:color="auto"/>
                <w14:textFill>
                  <w14:solidFill>
                    <w14:schemeClr w14:val="tx1"/>
                  </w14:solidFill>
                </w14:textFill>
              </w:rPr>
            </w:pPr>
            <w:r>
              <w:rPr>
                <w:rFonts w:hint="default" w:ascii="Times New Roman"/>
                <w:snapToGrid w:val="0"/>
                <w:color w:val="000000" w:themeColor="text1"/>
                <w:sz w:val="24"/>
                <w:szCs w:val="24"/>
                <w:u w:val="none" w:color="auto"/>
                <w14:textFill>
                  <w14:solidFill>
                    <w14:schemeClr w14:val="tx1"/>
                  </w14:solidFill>
                </w14:textFill>
              </w:rPr>
              <w:t>式中：</w:t>
            </w:r>
          </w:p>
          <w:p w14:paraId="0DC7AFA5">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L</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A(</w:t>
            </w:r>
            <w:r>
              <w:rPr>
                <w:rFonts w:hint="default" w:ascii="Times New Roman" w:hAnsi="Times New Roman" w:eastAsia="宋体" w:cs="Times New Roman"/>
                <w:i/>
                <w:iCs/>
                <w:color w:val="000000" w:themeColor="text1"/>
                <w:kern w:val="0"/>
                <w:sz w:val="24"/>
                <w:szCs w:val="24"/>
                <w:u w:val="none" w:color="auto"/>
                <w:vertAlign w:val="subscript"/>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距声源 </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 xml:space="preserve">r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处的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A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声级，</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dB(A)</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w:t>
            </w:r>
          </w:p>
          <w:p w14:paraId="023EDD3B">
            <w:pPr>
              <w:keepNext w:val="0"/>
              <w:keepLines w:val="0"/>
              <w:suppressLineNumbers w:val="0"/>
              <w:spacing w:before="0" w:beforeAutospacing="0" w:after="0" w:afterAutospacing="0" w:line="360" w:lineRule="auto"/>
              <w:ind w:left="0" w:right="0" w:firstLine="480" w:firstLineChars="200"/>
              <w:rPr>
                <w:rFonts w:hint="default" w:ascii="Times New Roman"/>
                <w:snapToGrid w:val="0"/>
                <w:color w:val="000000" w:themeColor="text1"/>
                <w:sz w:val="24"/>
                <w:szCs w:val="24"/>
                <w:u w:val="none" w:color="auto"/>
                <w14:textFill>
                  <w14:solidFill>
                    <w14:schemeClr w14:val="tx1"/>
                  </w14:solidFill>
                </w14:textFill>
              </w:rPr>
            </w:pP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383540" cy="224155"/>
                  <wp:effectExtent l="0" t="0" r="12700" b="4445"/>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34"/>
                          <a:srcRect r="16112"/>
                          <a:stretch>
                            <a:fillRect/>
                          </a:stretch>
                        </pic:blipFill>
                        <pic:spPr>
                          <a:xfrm>
                            <a:off x="0" y="0"/>
                            <a:ext cx="383540" cy="224155"/>
                          </a:xfrm>
                          <a:prstGeom prst="rect">
                            <a:avLst/>
                          </a:prstGeom>
                          <a:noFill/>
                          <a:ln>
                            <a:noFill/>
                          </a:ln>
                        </pic:spPr>
                      </pic:pic>
                    </a:graphicData>
                  </a:graphic>
                </wp:inline>
              </w:drawing>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snapToGrid w:val="0"/>
                <w:color w:val="000000" w:themeColor="text1"/>
                <w:sz w:val="24"/>
                <w:szCs w:val="24"/>
                <w:u w:val="none" w:color="auto"/>
                <w14:textFill>
                  <w14:solidFill>
                    <w14:schemeClr w14:val="tx1"/>
                  </w14:solidFill>
                </w14:textFill>
              </w:rPr>
              <w:t>预测点（r）处，第i倍频带声压级，dB；</w:t>
            </w:r>
          </w:p>
          <w:p w14:paraId="7E391E96">
            <w:pPr>
              <w:keepNext w:val="0"/>
              <w:keepLines w:val="0"/>
              <w:suppressLineNumbers w:val="0"/>
              <w:spacing w:before="0" w:beforeAutospacing="0" w:after="0" w:afterAutospacing="0" w:line="360" w:lineRule="auto"/>
              <w:ind w:left="0" w:right="0" w:firstLine="480" w:firstLineChars="200"/>
              <w:rPr>
                <w:rFonts w:hint="default" w:ascii="Times New Roman"/>
                <w:snapToGrid w:val="0"/>
                <w:color w:val="000000" w:themeColor="text1"/>
                <w:sz w:val="24"/>
                <w:szCs w:val="24"/>
                <w:u w:val="none" w:color="auto"/>
                <w14:textFill>
                  <w14:solidFill>
                    <w14:schemeClr w14:val="tx1"/>
                  </w14:solidFill>
                </w14:textFill>
              </w:rPr>
            </w:pPr>
            <w:r>
              <w:rPr>
                <w:rFonts w:hint="default" w:ascii="Times New Roman"/>
                <w:color w:val="000000" w:themeColor="text1"/>
                <w:sz w:val="24"/>
                <w:szCs w:val="24"/>
                <w:u w:val="none" w:color="auto"/>
                <w14:textFill>
                  <w14:solidFill>
                    <w14:schemeClr w14:val="tx1"/>
                  </w14:solidFill>
                </w14:textFill>
              </w:rPr>
              <w:drawing>
                <wp:inline distT="0" distB="0" distL="114300" distR="114300">
                  <wp:extent cx="189865" cy="224155"/>
                  <wp:effectExtent l="0" t="0" r="8255" b="444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pic:cNvPicPr>
                        </pic:nvPicPr>
                        <pic:blipFill>
                          <a:blip r:embed="rId35"/>
                          <a:stretch>
                            <a:fillRect/>
                          </a:stretch>
                        </pic:blipFill>
                        <pic:spPr>
                          <a:xfrm>
                            <a:off x="0" y="0"/>
                            <a:ext cx="189865" cy="224155"/>
                          </a:xfrm>
                          <a:prstGeom prst="rect">
                            <a:avLst/>
                          </a:prstGeom>
                          <a:noFill/>
                          <a:ln>
                            <a:noFill/>
                          </a:ln>
                        </pic:spPr>
                      </pic:pic>
                    </a:graphicData>
                  </a:graphic>
                </wp:inline>
              </w:drawing>
            </w:r>
            <w:r>
              <w:rPr>
                <w:rFonts w:hint="default" w:ascii="Times New Roman"/>
                <w:snapToGrid w:val="0"/>
                <w:color w:val="000000" w:themeColor="text1"/>
                <w:sz w:val="24"/>
                <w:szCs w:val="24"/>
                <w:u w:val="none" w:color="auto"/>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snapToGrid w:val="0"/>
                <w:color w:val="000000" w:themeColor="text1"/>
                <w:sz w:val="24"/>
                <w:szCs w:val="24"/>
                <w:u w:val="none" w:color="auto"/>
                <w14:textFill>
                  <w14:solidFill>
                    <w14:schemeClr w14:val="tx1"/>
                  </w14:solidFill>
                </w14:textFill>
              </w:rPr>
              <w:t>i倍频带A计权网络修正值，dB。</w:t>
            </w:r>
          </w:p>
          <w:p w14:paraId="2945DBD1">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c)无</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指向性点声源几何发散衰减 </w:t>
            </w:r>
          </w:p>
          <w:p w14:paraId="614C0523">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无指向性点声源几何发散衰减的基本公式是： </w:t>
            </w:r>
          </w:p>
          <w:p w14:paraId="584A0228">
            <w:pPr>
              <w:keepNext w:val="0"/>
              <w:keepLines w:val="0"/>
              <w:widowControl/>
              <w:suppressLineNumbers w:val="0"/>
              <w:spacing w:before="0" w:beforeAutospacing="0" w:after="0" w:afterAutospacing="0" w:line="360" w:lineRule="auto"/>
              <w:ind w:left="0" w:right="0" w:firstLine="480" w:firstLineChars="200"/>
              <w:jc w:val="center"/>
              <w:rPr>
                <w:rFonts w:hint="default"/>
                <w:color w:val="000000" w:themeColor="text1"/>
                <w:sz w:val="24"/>
                <w:szCs w:val="24"/>
                <w:u w:val="none" w:color="auto"/>
                <w14:textFill>
                  <w14:solidFill>
                    <w14:schemeClr w14:val="tx1"/>
                  </w14:solidFill>
                </w14:textFill>
              </w:rPr>
            </w:pPr>
            <w:r>
              <w:rPr>
                <w:rFonts w:hint="default"/>
                <w:color w:val="000000" w:themeColor="text1"/>
                <w:sz w:val="24"/>
                <w:szCs w:val="24"/>
                <w:u w:val="none" w:color="auto"/>
                <w14:textFill>
                  <w14:solidFill>
                    <w14:schemeClr w14:val="tx1"/>
                  </w14:solidFill>
                </w14:textFill>
              </w:rPr>
              <w:drawing>
                <wp:inline distT="0" distB="0" distL="114300" distR="114300">
                  <wp:extent cx="4137660" cy="337820"/>
                  <wp:effectExtent l="0" t="0" r="7620" b="12700"/>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6"/>
                          <a:stretch>
                            <a:fillRect/>
                          </a:stretch>
                        </pic:blipFill>
                        <pic:spPr>
                          <a:xfrm>
                            <a:off x="0" y="0"/>
                            <a:ext cx="4137660" cy="337820"/>
                          </a:xfrm>
                          <a:prstGeom prst="rect">
                            <a:avLst/>
                          </a:prstGeom>
                          <a:noFill/>
                          <a:ln>
                            <a:noFill/>
                          </a:ln>
                        </pic:spPr>
                      </pic:pic>
                    </a:graphicData>
                  </a:graphic>
                </wp:inline>
              </w:drawing>
            </w:r>
          </w:p>
          <w:p w14:paraId="351311B4">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式中：</w:t>
            </w:r>
          </w:p>
          <w:p w14:paraId="1D2F1E1D">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预测点处声压级，</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1AB92CC9">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Lp</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0)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参考位置</w:t>
            </w: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0</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处的声压级，</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7FDE86E5">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 xml:space="preserve">r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预测点距声源的距离； </w:t>
            </w:r>
          </w:p>
          <w:p w14:paraId="62D66B8B">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参考位置距声源的距离。</w:t>
            </w:r>
          </w:p>
          <w:p w14:paraId="780F0FF9">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A.5</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）中第二项表示了点声源的几何发散衰减：</w:t>
            </w:r>
          </w:p>
          <w:p w14:paraId="7B7EE580">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eastAsia"/>
                <w:color w:val="000000" w:themeColor="text1"/>
                <w:sz w:val="24"/>
                <w:szCs w:val="24"/>
                <w:u w:val="none" w:color="auto"/>
                <w:lang w:val="en-US" w:eastAsia="zh-CN"/>
                <w14:textFill>
                  <w14:solidFill>
                    <w14:schemeClr w14:val="tx1"/>
                  </w14:solidFill>
                </w14:textFill>
              </w:rPr>
              <w:t xml:space="preserve">        </w:t>
            </w:r>
            <w:r>
              <w:rPr>
                <w:rFonts w:hint="default"/>
                <w:color w:val="000000" w:themeColor="text1"/>
                <w:sz w:val="24"/>
                <w:szCs w:val="24"/>
                <w:u w:val="none" w:color="auto"/>
                <w14:textFill>
                  <w14:solidFill>
                    <w14:schemeClr w14:val="tx1"/>
                  </w14:solidFill>
                </w14:textFill>
              </w:rPr>
              <w:drawing>
                <wp:inline distT="0" distB="0" distL="114300" distR="114300">
                  <wp:extent cx="1542415" cy="331470"/>
                  <wp:effectExtent l="0" t="0" r="12065" b="3810"/>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pic:cNvPicPr>
                            <a:picLocks noChangeAspect="1"/>
                          </pic:cNvPicPr>
                        </pic:nvPicPr>
                        <pic:blipFill>
                          <a:blip r:embed="rId37"/>
                          <a:srcRect r="61311"/>
                          <a:stretch>
                            <a:fillRect/>
                          </a:stretch>
                        </pic:blipFill>
                        <pic:spPr>
                          <a:xfrm>
                            <a:off x="0" y="0"/>
                            <a:ext cx="1542415" cy="331470"/>
                          </a:xfrm>
                          <a:prstGeom prst="rect">
                            <a:avLst/>
                          </a:prstGeom>
                          <a:noFill/>
                          <a:ln>
                            <a:noFill/>
                          </a:ln>
                        </pic:spPr>
                      </pic:pic>
                    </a:graphicData>
                  </a:graphic>
                </wp:inline>
              </w:drawing>
            </w:r>
            <w:r>
              <w:rPr>
                <w:rFonts w:hint="eastAsia"/>
                <w:color w:val="000000" w:themeColor="text1"/>
                <w:sz w:val="24"/>
                <w:szCs w:val="24"/>
                <w:u w:val="none" w:color="auto"/>
                <w:lang w:val="en-US" w:eastAsia="zh-CN"/>
                <w14:textFill>
                  <w14:solidFill>
                    <w14:schemeClr w14:val="tx1"/>
                  </w14:solidFill>
                </w14:textFill>
              </w:rPr>
              <w:t xml:space="preserve">                   </w:t>
            </w:r>
            <w:r>
              <w:rPr>
                <w:rFonts w:hint="default"/>
                <w:color w:val="000000" w:themeColor="text1"/>
                <w:sz w:val="24"/>
                <w:szCs w:val="24"/>
                <w:u w:val="none" w:color="auto"/>
                <w14:textFill>
                  <w14:solidFill>
                    <w14:schemeClr w14:val="tx1"/>
                  </w14:solidFill>
                </w14:textFill>
              </w:rPr>
              <w:drawing>
                <wp:inline distT="0" distB="0" distL="114300" distR="114300">
                  <wp:extent cx="664845" cy="322580"/>
                  <wp:effectExtent l="0" t="0" r="5715" b="12700"/>
                  <wp:docPr id="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pic:cNvPicPr>
                            <a:picLocks noChangeAspect="1"/>
                          </pic:cNvPicPr>
                        </pic:nvPicPr>
                        <pic:blipFill>
                          <a:blip r:embed="rId37"/>
                          <a:srcRect l="82884"/>
                          <a:stretch>
                            <a:fillRect/>
                          </a:stretch>
                        </pic:blipFill>
                        <pic:spPr>
                          <a:xfrm>
                            <a:off x="0" y="0"/>
                            <a:ext cx="664845" cy="322580"/>
                          </a:xfrm>
                          <a:prstGeom prst="rect">
                            <a:avLst/>
                          </a:prstGeom>
                          <a:noFill/>
                          <a:ln>
                            <a:noFill/>
                          </a:ln>
                        </pic:spPr>
                      </pic:pic>
                    </a:graphicData>
                  </a:graphic>
                </wp:inline>
              </w:drawing>
            </w:r>
          </w:p>
          <w:p w14:paraId="699E6E4F">
            <w:pPr>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式中：</w:t>
            </w:r>
          </w:p>
          <w:p w14:paraId="69A0AD2A">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div</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几何发散引起的衰减，</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dB</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 </w:t>
            </w:r>
          </w:p>
          <w:p w14:paraId="18FAEC6A">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 xml:space="preserve">r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预测点距声源的距离； </w:t>
            </w:r>
          </w:p>
          <w:p w14:paraId="1A3F4078">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default" w:ascii="Times New Roman" w:hAnsi="Times New Roman" w:eastAsia="宋体" w:cs="Times New Roman"/>
                <w:i/>
                <w:iCs/>
                <w:color w:val="000000" w:themeColor="text1"/>
                <w:kern w:val="0"/>
                <w:sz w:val="24"/>
                <w:szCs w:val="24"/>
                <w:u w:val="none" w:color="auto"/>
                <w:lang w:val="en-US" w:eastAsia="zh-CN" w:bidi="ar"/>
                <w14:textFill>
                  <w14:solidFill>
                    <w14:schemeClr w14:val="tx1"/>
                  </w14:solidFill>
                </w14:textFill>
              </w:rPr>
              <w:t>r</w:t>
            </w:r>
            <w:r>
              <w:rPr>
                <w:rFonts w:hint="default" w:ascii="Times New Roman" w:hAnsi="Times New Roman" w:eastAsia="宋体" w:cs="Times New Roman"/>
                <w:color w:val="000000" w:themeColor="text1"/>
                <w:kern w:val="0"/>
                <w:sz w:val="24"/>
                <w:szCs w:val="24"/>
                <w:u w:val="none" w:color="auto"/>
                <w:vertAlign w:val="subscript"/>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 xml:space="preserve">参考位置距声源的距离。 </w:t>
            </w:r>
          </w:p>
          <w:p w14:paraId="17D83B4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000000" w:themeColor="text1"/>
                <w:sz w:val="24"/>
                <w:szCs w:val="24"/>
                <w:u w:val="none" w:color="auto"/>
                <w14:textFill>
                  <w14:solidFill>
                    <w14:schemeClr w14:val="tx1"/>
                  </w14:solidFill>
                </w14:textFill>
              </w:rPr>
            </w:pPr>
            <w:r>
              <w:rPr>
                <w:rFonts w:hint="default" w:ascii="Times New Roman" w:hAnsi="Times New Roman"/>
                <w:color w:val="000000" w:themeColor="text1"/>
                <w:sz w:val="24"/>
                <w:szCs w:val="24"/>
                <w:u w:val="none" w:color="auto"/>
                <w14:textFill>
                  <w14:solidFill>
                    <w14:schemeClr w14:val="tx1"/>
                  </w14:solidFill>
                </w14:textFill>
              </w:rPr>
              <w:fldChar w:fldCharType="begin"/>
            </w:r>
            <w:r>
              <w:rPr>
                <w:rFonts w:hint="default" w:ascii="Times New Roman" w:hAnsi="Times New Roman"/>
                <w:color w:val="000000" w:themeColor="text1"/>
                <w:sz w:val="24"/>
                <w:szCs w:val="24"/>
                <w:u w:val="none" w:color="auto"/>
                <w14:textFill>
                  <w14:solidFill>
                    <w14:schemeClr w14:val="tx1"/>
                  </w14:solidFill>
                </w14:textFill>
              </w:rPr>
              <w:instrText xml:space="preserve"> = 3 \* GB3 \* MERGEFORMAT </w:instrText>
            </w:r>
            <w:r>
              <w:rPr>
                <w:rFonts w:hint="default" w:ascii="Times New Roman" w:hAnsi="Times New Roman"/>
                <w:color w:val="000000" w:themeColor="text1"/>
                <w:sz w:val="24"/>
                <w:szCs w:val="24"/>
                <w:u w:val="none" w:color="auto"/>
                <w14:textFill>
                  <w14:solidFill>
                    <w14:schemeClr w14:val="tx1"/>
                  </w14:solidFill>
                </w14:textFill>
              </w:rPr>
              <w:fldChar w:fldCharType="separate"/>
            </w:r>
            <w:r>
              <w:rPr>
                <w:rFonts w:hint="default"/>
                <w:color w:val="000000" w:themeColor="text1"/>
                <w:sz w:val="24"/>
                <w:szCs w:val="24"/>
                <w:u w:val="none" w:color="auto"/>
                <w14:textFill>
                  <w14:solidFill>
                    <w14:schemeClr w14:val="tx1"/>
                  </w14:solidFill>
                </w14:textFill>
              </w:rPr>
              <w:t>③</w:t>
            </w:r>
            <w:r>
              <w:rPr>
                <w:rFonts w:hint="default" w:ascii="Times New Roman" w:hAnsi="Times New Roman"/>
                <w:color w:val="000000" w:themeColor="text1"/>
                <w:sz w:val="24"/>
                <w:szCs w:val="24"/>
                <w:u w:val="none" w:color="auto"/>
                <w14:textFill>
                  <w14:solidFill>
                    <w14:schemeClr w14:val="tx1"/>
                  </w14:solidFill>
                </w14:textFill>
              </w:rPr>
              <w:fldChar w:fldCharType="end"/>
            </w:r>
            <w:r>
              <w:rPr>
                <w:rFonts w:hint="default" w:ascii="Times New Roman"/>
                <w:bCs/>
                <w:color w:val="000000" w:themeColor="text1"/>
                <w:sz w:val="24"/>
                <w:szCs w:val="24"/>
                <w:u w:val="none" w:color="auto"/>
                <w14:textFill>
                  <w14:solidFill>
                    <w14:schemeClr w14:val="tx1"/>
                  </w14:solidFill>
                </w14:textFill>
              </w:rPr>
              <w:t>噪声贡献值计算</w:t>
            </w:r>
          </w:p>
          <w:p w14:paraId="26943608">
            <w:pPr>
              <w:keepNext w:val="0"/>
              <w:keepLines w:val="0"/>
              <w:suppressLineNumbers w:val="0"/>
              <w:spacing w:before="0" w:beforeAutospacing="0" w:after="0" w:afterAutospacing="0" w:line="360" w:lineRule="auto"/>
              <w:ind w:left="0" w:right="0" w:firstLine="464" w:firstLineChars="200"/>
              <w:rPr>
                <w:rFonts w:hint="default" w:ascii="Times New Roman" w:hAnsi="Times New Roman" w:cs="Times New Roman"/>
                <w:color w:val="000000" w:themeColor="text1"/>
                <w:spacing w:val="-4"/>
                <w:sz w:val="24"/>
                <w:szCs w:val="24"/>
                <w:u w:val="none" w:color="auto"/>
                <w14:textFill>
                  <w14:solidFill>
                    <w14:schemeClr w14:val="tx1"/>
                  </w14:solidFill>
                </w14:textFill>
              </w:rPr>
            </w:pPr>
            <w:r>
              <w:rPr>
                <w:rFonts w:hint="eastAsia" w:cs="Times New Roman"/>
                <w:color w:val="000000" w:themeColor="text1"/>
                <w:spacing w:val="-4"/>
                <w:sz w:val="24"/>
                <w:szCs w:val="24"/>
                <w:u w:val="none" w:color="auto"/>
                <w:lang w:eastAsia="zh-CN"/>
                <w14:textFill>
                  <w14:solidFill>
                    <w14:schemeClr w14:val="tx1"/>
                  </w14:solidFill>
                </w14:textFill>
              </w:rPr>
              <w:t>噪声</w:t>
            </w:r>
            <w:r>
              <w:rPr>
                <w:rFonts w:hint="default" w:ascii="Times New Roman" w:hAnsi="Times New Roman" w:cs="Times New Roman"/>
                <w:color w:val="000000" w:themeColor="text1"/>
                <w:spacing w:val="-4"/>
                <w:sz w:val="24"/>
                <w:szCs w:val="24"/>
                <w:u w:val="none" w:color="auto"/>
                <w14:textFill>
                  <w14:solidFill>
                    <w14:schemeClr w14:val="tx1"/>
                  </w14:solidFill>
                </w14:textFill>
              </w:rPr>
              <w:t>贡献值(Leqg)计算公式：</w:t>
            </w:r>
          </w:p>
          <w:p w14:paraId="6E411482">
            <w:pPr>
              <w:keepNext w:val="0"/>
              <w:keepLines w:val="0"/>
              <w:suppressLineNumbers w:val="0"/>
              <w:tabs>
                <w:tab w:val="left" w:pos="1021"/>
              </w:tabs>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u w:val="none" w:color="auto"/>
                <w14:textFill>
                  <w14:solidFill>
                    <w14:schemeClr w14:val="tx1"/>
                  </w14:solidFill>
                </w14:textFill>
              </w:rPr>
              <w:drawing>
                <wp:inline distT="0" distB="0" distL="114300" distR="114300">
                  <wp:extent cx="1564640" cy="454660"/>
                  <wp:effectExtent l="0" t="0" r="0" b="1905"/>
                  <wp:docPr id="15" name="图片 32" descr="wps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2" descr="wps6972"/>
                          <pic:cNvPicPr>
                            <a:picLocks noChangeAspect="1"/>
                          </pic:cNvPicPr>
                        </pic:nvPicPr>
                        <pic:blipFill>
                          <a:blip r:embed="rId38">
                            <a:lum bright="-12000" contrast="17999"/>
                          </a:blip>
                          <a:stretch>
                            <a:fillRect/>
                          </a:stretch>
                        </pic:blipFill>
                        <pic:spPr>
                          <a:xfrm>
                            <a:off x="0" y="0"/>
                            <a:ext cx="1564640" cy="454660"/>
                          </a:xfrm>
                          <a:prstGeom prst="rect">
                            <a:avLst/>
                          </a:prstGeom>
                          <a:noFill/>
                          <a:ln>
                            <a:noFill/>
                          </a:ln>
                        </pic:spPr>
                      </pic:pic>
                    </a:graphicData>
                  </a:graphic>
                </wp:inline>
              </w:drawing>
            </w:r>
            <w:r>
              <w:rPr>
                <w:rFonts w:hint="eastAsia" w:cs="Times New Roman"/>
                <w:color w:val="000000" w:themeColor="text1"/>
                <w:sz w:val="24"/>
                <w:szCs w:val="24"/>
                <w:u w:val="none" w:color="auto"/>
                <w:lang w:val="en-US" w:eastAsia="zh-CN"/>
                <w14:textFill>
                  <w14:solidFill>
                    <w14:schemeClr w14:val="tx1"/>
                  </w14:solidFill>
                </w14:textFill>
              </w:rPr>
              <w:t xml:space="preserve">                    （2）</w:t>
            </w:r>
          </w:p>
          <w:p w14:paraId="5231E27C">
            <w:pPr>
              <w:keepNext w:val="0"/>
              <w:keepLines w:val="0"/>
              <w:suppressLineNumbers w:val="0"/>
              <w:tabs>
                <w:tab w:val="left" w:pos="1021"/>
              </w:tabs>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式中：</w:t>
            </w:r>
          </w:p>
          <w:p w14:paraId="072F183D">
            <w:pPr>
              <w:keepNext w:val="0"/>
              <w:keepLines w:val="0"/>
              <w:suppressLineNumbers w:val="0"/>
              <w:tabs>
                <w:tab w:val="left" w:pos="1021"/>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i/>
                <w:iCs/>
                <w:color w:val="000000" w:themeColor="text1"/>
                <w:sz w:val="24"/>
                <w:szCs w:val="24"/>
                <w:u w:val="none" w:color="auto"/>
                <w14:textFill>
                  <w14:solidFill>
                    <w14:schemeClr w14:val="tx1"/>
                  </w14:solidFill>
                </w14:textFill>
              </w:rPr>
              <w:t>L</w:t>
            </w:r>
            <w:r>
              <w:rPr>
                <w:rFonts w:hint="default" w:ascii="Times New Roman" w:hAnsi="Times New Roman" w:cs="Times New Roman"/>
                <w:i/>
                <w:iCs/>
                <w:color w:val="000000" w:themeColor="text1"/>
                <w:sz w:val="24"/>
                <w:szCs w:val="24"/>
                <w:u w:val="none" w:color="auto"/>
                <w:vertAlign w:val="subscript"/>
                <w14:textFill>
                  <w14:solidFill>
                    <w14:schemeClr w14:val="tx1"/>
                  </w14:solidFill>
                </w14:textFill>
              </w:rPr>
              <w:t xml:space="preserve">eqg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声源在预测点的等效声级贡献值，dB(A)</w:t>
            </w:r>
            <w:r>
              <w:rPr>
                <w:rFonts w:hint="eastAsia" w:cs="Times New Roman"/>
                <w:color w:val="000000" w:themeColor="text1"/>
                <w:sz w:val="24"/>
                <w:szCs w:val="24"/>
                <w:u w:val="none" w:color="auto"/>
                <w:lang w:val="en-US" w:eastAsia="zh-CN"/>
                <w14:textFill>
                  <w14:solidFill>
                    <w14:schemeClr w14:val="tx1"/>
                  </w14:solidFill>
                </w14:textFill>
              </w:rPr>
              <w:t xml:space="preserve">； </w:t>
            </w:r>
          </w:p>
          <w:p w14:paraId="6E91933A">
            <w:pPr>
              <w:keepNext w:val="0"/>
              <w:keepLines w:val="0"/>
              <w:suppressLineNumbers w:val="0"/>
              <w:tabs>
                <w:tab w:val="left" w:pos="1021"/>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i/>
                <w:iCs/>
                <w:color w:val="000000" w:themeColor="text1"/>
                <w:sz w:val="24"/>
                <w:szCs w:val="24"/>
                <w:u w:val="none" w:color="auto"/>
                <w14:textFill>
                  <w14:solidFill>
                    <w14:schemeClr w14:val="tx1"/>
                  </w14:solidFill>
                </w14:textFill>
              </w:rPr>
              <w:t>L</w:t>
            </w:r>
            <w:r>
              <w:rPr>
                <w:rFonts w:hint="default" w:ascii="Times New Roman" w:hAnsi="Times New Roman" w:cs="Times New Roman"/>
                <w:i/>
                <w:iCs/>
                <w:color w:val="000000" w:themeColor="text1"/>
                <w:sz w:val="24"/>
                <w:szCs w:val="24"/>
                <w:u w:val="none" w:color="auto"/>
                <w:vertAlign w:val="subscript"/>
                <w14:textFill>
                  <w14:solidFill>
                    <w14:schemeClr w14:val="tx1"/>
                  </w14:solidFill>
                </w14:textFill>
              </w:rPr>
              <w:t xml:space="preserve">Ai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 xml:space="preserve"> </w:t>
            </w:r>
            <w:r>
              <w:rPr>
                <w:rFonts w:hint="default" w:ascii="Times New Roman" w:hAnsi="Times New Roman" w:cs="Times New Roman"/>
                <w:i/>
                <w:iCs/>
                <w:color w:val="000000" w:themeColor="text1"/>
                <w:sz w:val="24"/>
                <w:szCs w:val="24"/>
                <w:u w:val="none" w:color="auto"/>
                <w14:textFill>
                  <w14:solidFill>
                    <w14:schemeClr w14:val="tx1"/>
                  </w14:solidFill>
                </w14:textFill>
              </w:rPr>
              <w:t>i</w:t>
            </w:r>
            <w:r>
              <w:rPr>
                <w:rFonts w:hint="default" w:ascii="Times New Roman" w:hAnsi="Times New Roman" w:cs="Times New Roman"/>
                <w:color w:val="000000" w:themeColor="text1"/>
                <w:sz w:val="24"/>
                <w:szCs w:val="24"/>
                <w:u w:val="none" w:color="auto"/>
                <w14:textFill>
                  <w14:solidFill>
                    <w14:schemeClr w14:val="tx1"/>
                  </w14:solidFill>
                </w14:textFill>
              </w:rPr>
              <w:t>声源在预测点产生的A声级，dB(A)</w:t>
            </w:r>
            <w:r>
              <w:rPr>
                <w:rFonts w:hint="eastAsia" w:cs="Times New Roman"/>
                <w:color w:val="000000" w:themeColor="text1"/>
                <w:sz w:val="24"/>
                <w:szCs w:val="24"/>
                <w:u w:val="none" w:color="auto"/>
                <w:lang w:val="en-US" w:eastAsia="zh-CN"/>
                <w14:textFill>
                  <w14:solidFill>
                    <w14:schemeClr w14:val="tx1"/>
                  </w14:solidFill>
                </w14:textFill>
              </w:rPr>
              <w:t xml:space="preserve">； </w:t>
            </w:r>
          </w:p>
          <w:p w14:paraId="06171FD9">
            <w:pPr>
              <w:keepNext w:val="0"/>
              <w:keepLines w:val="0"/>
              <w:suppressLineNumbers w:val="0"/>
              <w:tabs>
                <w:tab w:val="left" w:pos="1021"/>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i/>
                <w:iCs/>
                <w:color w:val="000000" w:themeColor="text1"/>
                <w:sz w:val="24"/>
                <w:szCs w:val="24"/>
                <w:u w:val="none" w:color="auto"/>
                <w14:textFill>
                  <w14:solidFill>
                    <w14:schemeClr w14:val="tx1"/>
                  </w14:solidFill>
                </w14:textFill>
              </w:rPr>
              <w:t xml:space="preserve">T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预测计算的时间段，</w:t>
            </w:r>
            <w:r>
              <w:rPr>
                <w:rFonts w:hint="default" w:ascii="Times New Roman" w:hAnsi="Times New Roman" w:cs="Times New Roman"/>
                <w:i/>
                <w:iCs/>
                <w:color w:val="000000" w:themeColor="text1"/>
                <w:sz w:val="24"/>
                <w:szCs w:val="24"/>
                <w:u w:val="none" w:color="auto"/>
                <w14:textFill>
                  <w14:solidFill>
                    <w14:schemeClr w14:val="tx1"/>
                  </w14:solidFill>
                </w14:textFill>
              </w:rPr>
              <w:t>s</w:t>
            </w:r>
            <w:r>
              <w:rPr>
                <w:rFonts w:hint="eastAsia" w:cs="Times New Roman"/>
                <w:i/>
                <w:iCs/>
                <w:color w:val="000000" w:themeColor="text1"/>
                <w:sz w:val="24"/>
                <w:szCs w:val="24"/>
                <w:u w:val="none" w:color="auto"/>
                <w:lang w:val="en-US" w:eastAsia="zh-CN"/>
                <w14:textFill>
                  <w14:solidFill>
                    <w14:schemeClr w14:val="tx1"/>
                  </w14:solidFill>
                </w14:textFill>
              </w:rPr>
              <w:t xml:space="preserve">； </w:t>
            </w:r>
          </w:p>
          <w:p w14:paraId="0EDD6C4C">
            <w:pPr>
              <w:keepNext w:val="0"/>
              <w:keepLines w:val="0"/>
              <w:suppressLineNumbers w:val="0"/>
              <w:tabs>
                <w:tab w:val="left" w:pos="1021"/>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cs="Times New Roman"/>
                <w:i/>
                <w:iCs/>
                <w:color w:val="000000" w:themeColor="text1"/>
                <w:sz w:val="24"/>
                <w:szCs w:val="24"/>
                <w:u w:val="none" w:color="auto"/>
                <w14:textFill>
                  <w14:solidFill>
                    <w14:schemeClr w14:val="tx1"/>
                  </w14:solidFill>
                </w14:textFill>
              </w:rPr>
              <w:t>t</w:t>
            </w:r>
            <w:r>
              <w:rPr>
                <w:rFonts w:hint="default" w:ascii="Times New Roman" w:hAnsi="Times New Roman" w:cs="Times New Roman"/>
                <w:i/>
                <w:iCs/>
                <w:color w:val="000000" w:themeColor="text1"/>
                <w:sz w:val="24"/>
                <w:szCs w:val="24"/>
                <w:u w:val="none" w:color="auto"/>
                <w:vertAlign w:val="subscript"/>
                <w14:textFill>
                  <w14:solidFill>
                    <w14:schemeClr w14:val="tx1"/>
                  </w14:solidFill>
                </w14:textFill>
              </w:rPr>
              <w:t xml:space="preserve">i </w:t>
            </w:r>
            <w:r>
              <w:rPr>
                <w:rFonts w:hint="default" w:ascii="Times New Roman" w:hAnsi="Times New Roman" w:eastAsia="宋体" w:cs="Times New Roman"/>
                <w:color w:val="000000" w:themeColor="text1"/>
                <w:kern w:val="0"/>
                <w:sz w:val="24"/>
                <w:szCs w:val="24"/>
                <w:u w:val="none" w:color="auto"/>
                <w:lang w:val="en-US" w:eastAsia="zh-CN" w:bidi="ar"/>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 xml:space="preserve"> </w:t>
            </w:r>
            <w:r>
              <w:rPr>
                <w:rFonts w:hint="default" w:ascii="Times New Roman" w:hAnsi="Times New Roman" w:cs="Times New Roman"/>
                <w:i/>
                <w:iCs/>
                <w:color w:val="000000" w:themeColor="text1"/>
                <w:sz w:val="24"/>
                <w:szCs w:val="24"/>
                <w:u w:val="none" w:color="auto"/>
                <w14:textFill>
                  <w14:solidFill>
                    <w14:schemeClr w14:val="tx1"/>
                  </w14:solidFill>
                </w14:textFill>
              </w:rPr>
              <w:t>i</w:t>
            </w:r>
            <w:r>
              <w:rPr>
                <w:rFonts w:hint="default" w:ascii="Times New Roman" w:hAnsi="Times New Roman" w:cs="Times New Roman"/>
                <w:color w:val="000000" w:themeColor="text1"/>
                <w:sz w:val="24"/>
                <w:szCs w:val="24"/>
                <w:u w:val="none" w:color="auto"/>
                <w14:textFill>
                  <w14:solidFill>
                    <w14:schemeClr w14:val="tx1"/>
                  </w14:solidFill>
                </w14:textFill>
              </w:rPr>
              <w:t>声源在</w:t>
            </w:r>
            <w:r>
              <w:rPr>
                <w:rFonts w:hint="default" w:ascii="Times New Roman" w:hAnsi="Times New Roman" w:cs="Times New Roman"/>
                <w:i/>
                <w:iCs/>
                <w:color w:val="000000" w:themeColor="text1"/>
                <w:sz w:val="24"/>
                <w:szCs w:val="24"/>
                <w:u w:val="none" w:color="auto"/>
                <w14:textFill>
                  <w14:solidFill>
                    <w14:schemeClr w14:val="tx1"/>
                  </w14:solidFill>
                </w14:textFill>
              </w:rPr>
              <w:t>T</w:t>
            </w:r>
            <w:r>
              <w:rPr>
                <w:rFonts w:hint="default" w:ascii="Times New Roman" w:hAnsi="Times New Roman" w:cs="Times New Roman"/>
                <w:color w:val="000000" w:themeColor="text1"/>
                <w:sz w:val="24"/>
                <w:szCs w:val="24"/>
                <w:u w:val="none" w:color="auto"/>
                <w14:textFill>
                  <w14:solidFill>
                    <w14:schemeClr w14:val="tx1"/>
                  </w14:solidFill>
                </w14:textFill>
              </w:rPr>
              <w:t>时间段内的运行时间，</w:t>
            </w:r>
            <w:r>
              <w:rPr>
                <w:rFonts w:hint="default" w:ascii="Times New Roman" w:hAnsi="Times New Roman" w:cs="Times New Roman"/>
                <w:i/>
                <w:iCs/>
                <w:color w:val="000000" w:themeColor="text1"/>
                <w:sz w:val="24"/>
                <w:szCs w:val="24"/>
                <w:u w:val="none" w:color="auto"/>
                <w14:textFill>
                  <w14:solidFill>
                    <w14:schemeClr w14:val="tx1"/>
                  </w14:solidFill>
                </w14:textFill>
              </w:rPr>
              <w:t>s</w:t>
            </w:r>
            <w:r>
              <w:rPr>
                <w:rFonts w:hint="eastAsia" w:cs="Times New Roman"/>
                <w:i/>
                <w:iCs/>
                <w:color w:val="000000" w:themeColor="text1"/>
                <w:sz w:val="24"/>
                <w:szCs w:val="24"/>
                <w:u w:val="none" w:color="auto"/>
                <w:lang w:val="en-US" w:eastAsia="zh-CN"/>
                <w14:textFill>
                  <w14:solidFill>
                    <w14:schemeClr w14:val="tx1"/>
                  </w14:solidFill>
                </w14:textFill>
              </w:rPr>
              <w:t xml:space="preserve">。 </w:t>
            </w:r>
          </w:p>
          <w:p w14:paraId="69337E44">
            <w:pPr>
              <w:pStyle w:val="93"/>
              <w:keepNext w:val="0"/>
              <w:keepLines w:val="0"/>
              <w:suppressLineNumbers w:val="0"/>
              <w:spacing w:before="0" w:beforeAutospacing="0" w:after="0" w:afterAutospacing="0"/>
              <w:ind w:left="0" w:right="0"/>
              <w:rPr>
                <w:rFonts w:hint="default" w:ascii="Times New Roman"/>
                <w:bCs/>
                <w:color w:val="000000" w:themeColor="text1"/>
                <w:sz w:val="24"/>
                <w:szCs w:val="24"/>
                <w:u w:val="none" w:color="auto"/>
                <w14:textFill>
                  <w14:solidFill>
                    <w14:schemeClr w14:val="tx1"/>
                  </w14:solidFill>
                </w14:textFill>
              </w:rPr>
            </w:pPr>
            <w:bookmarkStart w:id="16" w:name="_Toc297299075"/>
            <w:bookmarkEnd w:id="16"/>
            <w:bookmarkStart w:id="17" w:name="_Toc299010057"/>
            <w:bookmarkEnd w:id="17"/>
            <w:bookmarkStart w:id="18" w:name="_Toc298537976"/>
            <w:r>
              <w:rPr>
                <w:rFonts w:hint="default" w:ascii="Times New Roman" w:hAnsi="Times New Roman"/>
                <w:color w:val="000000" w:themeColor="text1"/>
                <w:sz w:val="24"/>
                <w:szCs w:val="24"/>
                <w:u w:val="none" w:color="auto"/>
                <w14:textFill>
                  <w14:solidFill>
                    <w14:schemeClr w14:val="tx1"/>
                  </w14:solidFill>
                </w14:textFill>
              </w:rPr>
              <w:fldChar w:fldCharType="begin"/>
            </w:r>
            <w:r>
              <w:rPr>
                <w:rFonts w:hint="default" w:ascii="Times New Roman" w:hAnsi="Times New Roman"/>
                <w:color w:val="000000" w:themeColor="text1"/>
                <w:sz w:val="24"/>
                <w:szCs w:val="24"/>
                <w:u w:val="none" w:color="auto"/>
                <w14:textFill>
                  <w14:solidFill>
                    <w14:schemeClr w14:val="tx1"/>
                  </w14:solidFill>
                </w14:textFill>
              </w:rPr>
              <w:instrText xml:space="preserve"> = 4 \* GB3 \* MERGEFORMAT </w:instrText>
            </w:r>
            <w:r>
              <w:rPr>
                <w:rFonts w:hint="default" w:ascii="Times New Roman" w:hAnsi="Times New Roman"/>
                <w:color w:val="000000" w:themeColor="text1"/>
                <w:sz w:val="24"/>
                <w:szCs w:val="24"/>
                <w:u w:val="none" w:color="auto"/>
                <w14:textFill>
                  <w14:solidFill>
                    <w14:schemeClr w14:val="tx1"/>
                  </w14:solidFill>
                </w14:textFill>
              </w:rPr>
              <w:fldChar w:fldCharType="separate"/>
            </w:r>
            <w:r>
              <w:rPr>
                <w:rFonts w:hint="default"/>
                <w:color w:val="000000" w:themeColor="text1"/>
                <w:sz w:val="24"/>
                <w:szCs w:val="24"/>
                <w:u w:val="none" w:color="auto"/>
                <w14:textFill>
                  <w14:solidFill>
                    <w14:schemeClr w14:val="tx1"/>
                  </w14:solidFill>
                </w14:textFill>
              </w:rPr>
              <w:t>④</w:t>
            </w:r>
            <w:r>
              <w:rPr>
                <w:rFonts w:hint="default" w:ascii="Times New Roman" w:hAnsi="Times New Roman"/>
                <w:color w:val="000000" w:themeColor="text1"/>
                <w:sz w:val="24"/>
                <w:szCs w:val="24"/>
                <w:u w:val="none" w:color="auto"/>
                <w14:textFill>
                  <w14:solidFill>
                    <w14:schemeClr w14:val="tx1"/>
                  </w14:solidFill>
                </w14:textFill>
              </w:rPr>
              <w:fldChar w:fldCharType="end"/>
            </w:r>
            <w:r>
              <w:rPr>
                <w:rFonts w:hint="default" w:ascii="Times New Roman"/>
                <w:bCs/>
                <w:color w:val="000000" w:themeColor="text1"/>
                <w:sz w:val="24"/>
                <w:szCs w:val="24"/>
                <w:u w:val="none" w:color="auto"/>
                <w14:textFill>
                  <w14:solidFill>
                    <w14:schemeClr w14:val="tx1"/>
                  </w14:solidFill>
                </w14:textFill>
              </w:rPr>
              <w:t xml:space="preserve">预测值计算 </w:t>
            </w:r>
          </w:p>
          <w:p w14:paraId="7696EB4F">
            <w:pPr>
              <w:keepNext w:val="0"/>
              <w:keepLines w:val="0"/>
              <w:widowControl/>
              <w:suppressLineNumbers w:val="0"/>
              <w:spacing w:before="0" w:beforeAutospacing="0" w:after="0" w:afterAutospacing="0" w:line="360" w:lineRule="auto"/>
              <w:ind w:left="0" w:right="0" w:firstLine="480" w:firstLineChars="200"/>
              <w:jc w:val="left"/>
              <w:rPr>
                <w:rFonts w:hint="default"/>
                <w:color w:val="000000" w:themeColor="text1"/>
                <w:sz w:val="24"/>
                <w:szCs w:val="24"/>
                <w:u w:val="none" w:color="auto"/>
                <w14:textFill>
                  <w14:solidFill>
                    <w14:schemeClr w14:val="tx1"/>
                  </w14:solidFill>
                </w14:textFill>
              </w:rPr>
            </w:pPr>
            <w:r>
              <w:rPr>
                <w:rFonts w:hint="eastAsia" w:ascii="宋体" w:hAnsi="宋体" w:eastAsia="宋体" w:cs="宋体"/>
                <w:color w:val="000000" w:themeColor="text1"/>
                <w:kern w:val="0"/>
                <w:sz w:val="24"/>
                <w:szCs w:val="24"/>
                <w:u w:val="none" w:color="auto"/>
                <w:lang w:val="en-US" w:eastAsia="zh-CN" w:bidi="ar"/>
                <w14:textFill>
                  <w14:solidFill>
                    <w14:schemeClr w14:val="tx1"/>
                  </w14:solidFill>
                </w14:textFill>
              </w:rPr>
              <w:t>预测点的贡献值和背景值按能量叠加方法计算得到的声级。</w:t>
            </w:r>
          </w:p>
          <w:p w14:paraId="2E0A98D9">
            <w:pPr>
              <w:pStyle w:val="93"/>
              <w:keepNext w:val="0"/>
              <w:keepLines w:val="0"/>
              <w:suppressLineNumbers w:val="0"/>
              <w:spacing w:before="0" w:beforeAutospacing="0" w:after="0" w:afterAutospacing="0"/>
              <w:ind w:left="0" w:right="0"/>
              <w:rPr>
                <w:rFonts w:hint="default" w:ascii="Times New Roman" w:hAnsi="Times New Roman"/>
                <w:color w:val="000000" w:themeColor="text1"/>
                <w:sz w:val="24"/>
                <w:szCs w:val="24"/>
                <w:u w:val="none" w:color="auto"/>
                <w14:textFill>
                  <w14:solidFill>
                    <w14:schemeClr w14:val="tx1"/>
                  </w14:solidFill>
                </w14:textFill>
              </w:rPr>
            </w:pPr>
            <w:r>
              <w:rPr>
                <w:rFonts w:hint="eastAsia" w:ascii="Times New Roman" w:hAnsi="Times New Roman"/>
                <w:color w:val="000000" w:themeColor="text1"/>
                <w:sz w:val="24"/>
                <w:szCs w:val="24"/>
                <w:u w:val="none" w:color="auto"/>
                <w:lang w:eastAsia="zh-CN"/>
                <w14:textFill>
                  <w14:solidFill>
                    <w14:schemeClr w14:val="tx1"/>
                  </w14:solidFill>
                </w14:textFill>
              </w:rPr>
              <w:t>噪声预测值</w:t>
            </w:r>
            <w:r>
              <w:rPr>
                <w:rFonts w:hint="default" w:ascii="Times New Roman" w:hAnsi="Times New Roman"/>
                <w:color w:val="000000" w:themeColor="text1"/>
                <w:sz w:val="24"/>
                <w:szCs w:val="24"/>
                <w:u w:val="none" w:color="auto"/>
                <w14:textFill>
                  <w14:solidFill>
                    <w14:schemeClr w14:val="tx1"/>
                  </w14:solidFill>
                </w14:textFill>
              </w:rPr>
              <w:t>（L</w:t>
            </w:r>
            <w:bookmarkEnd w:id="18"/>
            <w:r>
              <w:rPr>
                <w:rFonts w:hint="default" w:ascii="Times New Roman" w:hAnsi="Times New Roman"/>
                <w:color w:val="000000" w:themeColor="text1"/>
                <w:sz w:val="24"/>
                <w:szCs w:val="24"/>
                <w:u w:val="none" w:color="auto"/>
                <w:vertAlign w:val="subscript"/>
                <w14:textFill>
                  <w14:solidFill>
                    <w14:schemeClr w14:val="tx1"/>
                  </w14:solidFill>
                </w14:textFill>
              </w:rPr>
              <w:t>eq</w:t>
            </w:r>
            <w:r>
              <w:rPr>
                <w:rFonts w:hint="default" w:ascii="Times New Roman" w:hAnsi="Times New Roman"/>
                <w:color w:val="000000" w:themeColor="text1"/>
                <w:sz w:val="24"/>
                <w:szCs w:val="24"/>
                <w:u w:val="none" w:color="auto"/>
                <w14:textFill>
                  <w14:solidFill>
                    <w14:schemeClr w14:val="tx1"/>
                  </w14:solidFill>
                </w14:textFill>
              </w:rPr>
              <w:t>）</w:t>
            </w:r>
            <w:r>
              <w:rPr>
                <w:rFonts w:hint="eastAsia" w:ascii="Times New Roman" w:hAnsi="Times New Roman"/>
                <w:color w:val="000000" w:themeColor="text1"/>
                <w:sz w:val="24"/>
                <w:szCs w:val="24"/>
                <w:u w:val="none" w:color="auto"/>
                <w:lang w:eastAsia="zh-CN"/>
                <w14:textFill>
                  <w14:solidFill>
                    <w14:schemeClr w14:val="tx1"/>
                  </w14:solidFill>
                </w14:textFill>
              </w:rPr>
              <w:t>的</w:t>
            </w:r>
            <w:r>
              <w:rPr>
                <w:rFonts w:hint="default" w:ascii="Times New Roman" w:hAnsi="Times New Roman"/>
                <w:color w:val="000000" w:themeColor="text1"/>
                <w:sz w:val="24"/>
                <w:szCs w:val="24"/>
                <w:u w:val="none" w:color="auto"/>
                <w14:textFill>
                  <w14:solidFill>
                    <w14:schemeClr w14:val="tx1"/>
                  </w14:solidFill>
                </w14:textFill>
              </w:rPr>
              <w:t>计算公式</w:t>
            </w:r>
            <w:r>
              <w:rPr>
                <w:rFonts w:hint="eastAsia" w:ascii="Times New Roman" w:hAnsi="Times New Roman"/>
                <w:color w:val="000000" w:themeColor="text1"/>
                <w:sz w:val="24"/>
                <w:szCs w:val="24"/>
                <w:u w:val="none" w:color="auto"/>
                <w:lang w:eastAsia="zh-CN"/>
                <w14:textFill>
                  <w14:solidFill>
                    <w14:schemeClr w14:val="tx1"/>
                  </w14:solidFill>
                </w14:textFill>
              </w:rPr>
              <w:t>为</w:t>
            </w:r>
            <w:r>
              <w:rPr>
                <w:rFonts w:hint="default" w:ascii="Times New Roman" w:hAnsi="Times New Roman"/>
                <w:color w:val="000000" w:themeColor="text1"/>
                <w:sz w:val="24"/>
                <w:szCs w:val="24"/>
                <w:u w:val="none" w:color="auto"/>
                <w14:textFill>
                  <w14:solidFill>
                    <w14:schemeClr w14:val="tx1"/>
                  </w14:solidFill>
                </w14:textFill>
              </w:rPr>
              <w:t>：</w:t>
            </w:r>
          </w:p>
          <w:p w14:paraId="7BB65B0D">
            <w:pPr>
              <w:keepNext w:val="0"/>
              <w:keepLines w:val="0"/>
              <w:suppressLineNumbers w:val="0"/>
              <w:tabs>
                <w:tab w:val="left" w:pos="1021"/>
              </w:tabs>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cs="Times New Roman"/>
                <w:color w:val="000000" w:themeColor="text1"/>
                <w:sz w:val="24"/>
                <w:szCs w:val="24"/>
                <w:u w:val="none" w:color="auto"/>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u w:val="none" w:color="auto"/>
                <w14:textFill>
                  <w14:solidFill>
                    <w14:schemeClr w14:val="tx1"/>
                  </w14:solidFill>
                </w14:textFill>
              </w:rPr>
              <w:drawing>
                <wp:inline distT="0" distB="0" distL="114300" distR="114300">
                  <wp:extent cx="2482850" cy="358140"/>
                  <wp:effectExtent l="0" t="0" r="1270" b="0"/>
                  <wp:docPr id="14" name="图片 33" descr="wps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wps6973"/>
                          <pic:cNvPicPr>
                            <a:picLocks noChangeAspect="1"/>
                          </pic:cNvPicPr>
                        </pic:nvPicPr>
                        <pic:blipFill>
                          <a:blip r:embed="rId39">
                            <a:lum bright="-12000" contrast="17998"/>
                          </a:blip>
                          <a:stretch>
                            <a:fillRect/>
                          </a:stretch>
                        </pic:blipFill>
                        <pic:spPr>
                          <a:xfrm>
                            <a:off x="0" y="0"/>
                            <a:ext cx="2482850" cy="358140"/>
                          </a:xfrm>
                          <a:prstGeom prst="rect">
                            <a:avLst/>
                          </a:prstGeom>
                          <a:noFill/>
                          <a:ln>
                            <a:noFill/>
                          </a:ln>
                        </pic:spPr>
                      </pic:pic>
                    </a:graphicData>
                  </a:graphic>
                </wp:inline>
              </w:drawing>
            </w:r>
            <w:r>
              <w:rPr>
                <w:rFonts w:hint="eastAsia" w:cs="Times New Roman"/>
                <w:color w:val="000000" w:themeColor="text1"/>
                <w:sz w:val="24"/>
                <w:szCs w:val="24"/>
                <w:u w:val="none" w:color="auto"/>
                <w:lang w:val="en-US" w:eastAsia="zh-CN"/>
                <w14:textFill>
                  <w14:solidFill>
                    <w14:schemeClr w14:val="tx1"/>
                  </w14:solidFill>
                </w14:textFill>
              </w:rPr>
              <w:t xml:space="preserve">                （3）</w:t>
            </w:r>
          </w:p>
          <w:p w14:paraId="4C93BB78">
            <w:pPr>
              <w:keepNext w:val="0"/>
              <w:keepLines w:val="0"/>
              <w:suppressLineNumbers w:val="0"/>
              <w:tabs>
                <w:tab w:val="left" w:pos="1021"/>
              </w:tabs>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u w:val="none" w:color="auto"/>
                <w14:textFill>
                  <w14:solidFill>
                    <w14:schemeClr w14:val="tx1"/>
                  </w14:solidFill>
                </w14:textFill>
              </w:rPr>
            </w:pPr>
            <w:r>
              <w:rPr>
                <w:rFonts w:hint="default" w:ascii="Times New Roman" w:hAnsi="Times New Roman" w:cs="Times New Roman"/>
                <w:color w:val="000000" w:themeColor="text1"/>
                <w:sz w:val="24"/>
                <w:szCs w:val="24"/>
                <w:u w:val="none" w:color="auto"/>
                <w14:textFill>
                  <w14:solidFill>
                    <w14:schemeClr w14:val="tx1"/>
                  </w14:solidFill>
                </w14:textFill>
              </w:rPr>
              <w:t>式中：</w:t>
            </w:r>
          </w:p>
          <w:p w14:paraId="418B0934">
            <w:pPr>
              <w:keepNext w:val="0"/>
              <w:keepLines w:val="0"/>
              <w:suppressLineNumbers w:val="0"/>
              <w:tabs>
                <w:tab w:val="left" w:pos="1021"/>
              </w:tabs>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Leq ——</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预测点的噪声预测值，</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dB</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w:t>
            </w:r>
          </w:p>
          <w:p w14:paraId="77B81557">
            <w:pPr>
              <w:keepNext w:val="0"/>
              <w:keepLines w:val="0"/>
              <w:suppressLineNumbers w:val="0"/>
              <w:tabs>
                <w:tab w:val="left" w:pos="1021"/>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Leqg——</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建设项目声源在预测点产生的噪声贡献值，</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dB</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 xml:space="preserve">； </w:t>
            </w:r>
          </w:p>
          <w:p w14:paraId="093719E0">
            <w:pPr>
              <w:keepNext w:val="0"/>
              <w:keepLines w:val="0"/>
              <w:suppressLineNumbers w:val="0"/>
              <w:tabs>
                <w:tab w:val="left" w:pos="1021"/>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Leqb——</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预测点的背景噪声值，</w:t>
            </w:r>
            <w:r>
              <w:rPr>
                <w:rFonts w:hint="default" w:ascii="Times New Roman" w:hAnsi="Times New Roman" w:eastAsia="宋体" w:cs="Times New Roman"/>
                <w:color w:val="000000" w:themeColor="text1"/>
                <w:sz w:val="24"/>
                <w:szCs w:val="24"/>
                <w:u w:val="none" w:color="auto"/>
                <w:lang w:val="en-US" w:eastAsia="zh-CN"/>
                <w14:textFill>
                  <w14:solidFill>
                    <w14:schemeClr w14:val="tx1"/>
                  </w14:solidFill>
                </w14:textFill>
              </w:rPr>
              <w:t>dB</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w:t>
            </w:r>
          </w:p>
          <w:p w14:paraId="7CD016D7">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default" w:ascii="Times New Roman" w:hAnsi="Times New Roman"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cs="Times New Roman"/>
                <w:b w:val="0"/>
                <w:bCs w:val="0"/>
                <w:color w:val="000000" w:themeColor="text1"/>
                <w:spacing w:val="0"/>
                <w:position w:val="0"/>
                <w:sz w:val="24"/>
                <w:szCs w:val="24"/>
                <w:u w:val="none" w:color="auto"/>
                <w:lang w:val="en-US" w:eastAsia="zh-CN"/>
                <w14:textFill>
                  <w14:solidFill>
                    <w14:schemeClr w14:val="tx1"/>
                  </w14:solidFill>
                </w14:textFill>
              </w:rPr>
              <w:t>2</w:t>
            </w:r>
            <w:r>
              <w:rPr>
                <w:rFonts w:hint="default" w:ascii="Times New Roman" w:hAnsi="Times New Roman"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预测结果</w:t>
            </w:r>
          </w:p>
          <w:p w14:paraId="21046C1E">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本项目</w:t>
            </w:r>
            <w:r>
              <w:rPr>
                <w:rFonts w:hint="eastAsia" w:cs="Times New Roman"/>
                <w:color w:val="000000" w:themeColor="text1"/>
                <w:spacing w:val="0"/>
                <w:position w:val="0"/>
                <w:sz w:val="24"/>
                <w:szCs w:val="24"/>
                <w:u w:val="none" w:color="auto"/>
                <w:lang w:eastAsia="zh-CN"/>
                <w14:textFill>
                  <w14:solidFill>
                    <w14:schemeClr w14:val="tx1"/>
                  </w14:solidFill>
                </w14:textFill>
              </w:rPr>
              <w:t>夜间不</w:t>
            </w:r>
            <w:r>
              <w:rPr>
                <w:rFonts w:hint="default" w:ascii="Times New Roman" w:hAnsi="Times New Roman" w:cs="Times New Roman"/>
                <w:color w:val="000000" w:themeColor="text1"/>
                <w:spacing w:val="0"/>
                <w:position w:val="0"/>
                <w:sz w:val="24"/>
                <w:szCs w:val="24"/>
                <w:u w:val="none" w:color="auto"/>
                <w:lang w:val="en-US" w:eastAsia="zh-CN"/>
                <w14:textFill>
                  <w14:solidFill>
                    <w14:schemeClr w14:val="tx1"/>
                  </w14:solidFill>
                </w14:textFill>
              </w:rPr>
              <w:t>生产</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，经计算，</w:t>
            </w:r>
            <w:r>
              <w:rPr>
                <w:rFonts w:hint="eastAsia" w:cs="Times New Roman"/>
                <w:color w:val="000000" w:themeColor="text1"/>
                <w:spacing w:val="0"/>
                <w:position w:val="0"/>
                <w:sz w:val="24"/>
                <w:szCs w:val="24"/>
                <w:u w:val="none" w:color="auto"/>
                <w:lang w:eastAsia="zh-CN"/>
                <w14:textFill>
                  <w14:solidFill>
                    <w14:schemeClr w14:val="tx1"/>
                  </w14:solidFill>
                </w14:textFill>
              </w:rPr>
              <w:t>本项目</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建成后</w:t>
            </w:r>
            <w:r>
              <w:rPr>
                <w:rFonts w:hint="eastAsia" w:cs="Times New Roman"/>
                <w:color w:val="000000" w:themeColor="text1"/>
                <w:spacing w:val="0"/>
                <w:position w:val="0"/>
                <w:sz w:val="24"/>
                <w:szCs w:val="24"/>
                <w:u w:val="none" w:color="auto"/>
                <w:lang w:eastAsia="zh-CN"/>
                <w14:textFill>
                  <w14:solidFill>
                    <w14:schemeClr w14:val="tx1"/>
                  </w14:solidFill>
                </w14:textFill>
              </w:rPr>
              <w:t>对</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厂界噪声值预测</w:t>
            </w:r>
            <w:r>
              <w:rPr>
                <w:rFonts w:hint="eastAsia" w:cs="Times New Roman"/>
                <w:color w:val="000000" w:themeColor="text1"/>
                <w:spacing w:val="0"/>
                <w:position w:val="0"/>
                <w:sz w:val="24"/>
                <w:szCs w:val="24"/>
                <w:u w:val="none" w:color="auto"/>
                <w:lang w:eastAsia="zh-CN"/>
                <w14:textFill>
                  <w14:solidFill>
                    <w14:schemeClr w14:val="tx1"/>
                  </w14:solidFill>
                </w14:textFill>
              </w:rPr>
              <w:t>结果</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见下表</w:t>
            </w:r>
            <w:r>
              <w:rPr>
                <w:rFonts w:hint="default" w:ascii="Times New Roman" w:hAnsi="Times New Roman" w:cs="Times New Roman"/>
                <w:color w:val="000000" w:themeColor="text1"/>
                <w:spacing w:val="0"/>
                <w:position w:val="0"/>
                <w:sz w:val="24"/>
                <w:szCs w:val="24"/>
                <w:u w:val="none" w:color="auto"/>
                <w:lang w:val="en-US" w:eastAsia="zh-CN"/>
                <w14:textFill>
                  <w14:solidFill>
                    <w14:schemeClr w14:val="tx1"/>
                  </w14:solidFill>
                </w14:textFill>
              </w:rPr>
              <w:t>4-</w:t>
            </w:r>
            <w:r>
              <w:rPr>
                <w:rFonts w:hint="eastAsia" w:cs="Times New Roman"/>
                <w:color w:val="000000" w:themeColor="text1"/>
                <w:spacing w:val="0"/>
                <w:position w:val="0"/>
                <w:sz w:val="24"/>
                <w:szCs w:val="24"/>
                <w:u w:val="none" w:color="auto"/>
                <w:lang w:val="en-US" w:eastAsia="zh-CN"/>
                <w14:textFill>
                  <w14:solidFill>
                    <w14:schemeClr w14:val="tx1"/>
                  </w14:solidFill>
                </w14:textFill>
              </w:rPr>
              <w:t>14</w:t>
            </w:r>
            <w:r>
              <w:rPr>
                <w:rFonts w:hint="default" w:ascii="Times New Roman" w:hAnsi="Times New Roman" w:cs="Times New Roman"/>
                <w:color w:val="000000" w:themeColor="text1"/>
                <w:spacing w:val="0"/>
                <w:position w:val="0"/>
                <w:sz w:val="24"/>
                <w:szCs w:val="24"/>
                <w:u w:val="none" w:color="auto"/>
                <w:lang w:val="en-US" w:eastAsia="zh-CN"/>
                <w14:textFill>
                  <w14:solidFill>
                    <w14:schemeClr w14:val="tx1"/>
                  </w14:solidFill>
                </w14:textFill>
              </w:rPr>
              <w:t>。</w:t>
            </w:r>
          </w:p>
          <w:p w14:paraId="22CC715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000000" w:themeColor="text1"/>
                <w:sz w:val="24"/>
                <w:szCs w:val="24"/>
                <w:u w:val="none" w:color="auto"/>
                <w:lang w:val="en-GB"/>
                <w14:textFill>
                  <w14:solidFill>
                    <w14:schemeClr w14:val="tx1"/>
                  </w14:solidFill>
                </w14:textFill>
              </w:rPr>
            </w:pPr>
            <w:r>
              <w:rPr>
                <w:rFonts w:hint="eastAsia" w:cs="Times New Roman"/>
                <w:b/>
                <w:color w:val="000000" w:themeColor="text1"/>
                <w:spacing w:val="0"/>
                <w:position w:val="0"/>
                <w:sz w:val="24"/>
                <w:szCs w:val="24"/>
                <w:u w:val="none" w:color="auto"/>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pacing w:val="0"/>
                <w:position w:val="0"/>
                <w:sz w:val="24"/>
                <w:szCs w:val="24"/>
                <w:u w:val="none" w:color="auto"/>
                <w14:textFill>
                  <w14:solidFill>
                    <w14:schemeClr w14:val="tx1"/>
                  </w14:solidFill>
                </w14:textFill>
              </w:rPr>
              <w:t>表</w:t>
            </w:r>
            <w:r>
              <w:rPr>
                <w:rFonts w:hint="default" w:ascii="Times New Roman" w:hAnsi="Times New Roman" w:eastAsia="宋体" w:cs="Times New Roman"/>
                <w:b/>
                <w:color w:val="000000" w:themeColor="text1"/>
                <w:spacing w:val="0"/>
                <w:position w:val="0"/>
                <w:sz w:val="24"/>
                <w:szCs w:val="24"/>
                <w:u w:val="none" w:color="auto"/>
                <w:lang w:val="en-US" w:eastAsia="zh-CN"/>
                <w14:textFill>
                  <w14:solidFill>
                    <w14:schemeClr w14:val="tx1"/>
                  </w14:solidFill>
                </w14:textFill>
              </w:rPr>
              <w:t>4-</w:t>
            </w:r>
            <w:r>
              <w:rPr>
                <w:rFonts w:hint="eastAsia" w:cs="Times New Roman"/>
                <w:b/>
                <w:color w:val="000000" w:themeColor="text1"/>
                <w:spacing w:val="0"/>
                <w:position w:val="0"/>
                <w:sz w:val="24"/>
                <w:szCs w:val="24"/>
                <w:u w:val="none" w:color="auto"/>
                <w:lang w:val="en-US" w:eastAsia="zh-CN"/>
                <w14:textFill>
                  <w14:solidFill>
                    <w14:schemeClr w14:val="tx1"/>
                  </w14:solidFill>
                </w14:textFill>
              </w:rPr>
              <w:t>14</w:t>
            </w:r>
            <w:r>
              <w:rPr>
                <w:rFonts w:hint="default" w:ascii="Times New Roman" w:hAnsi="Times New Roman" w:eastAsia="宋体" w:cs="Times New Roman"/>
                <w:b/>
                <w:color w:val="000000" w:themeColor="text1"/>
                <w:spacing w:val="0"/>
                <w:position w:val="0"/>
                <w:sz w:val="24"/>
                <w:szCs w:val="24"/>
                <w:u w:val="none" w:color="auto"/>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运营期</w:t>
            </w:r>
            <w:r>
              <w:rPr>
                <w:rFonts w:hint="default" w:ascii="Times New Roman" w:hAnsi="Times New Roman" w:eastAsia="宋体" w:cs="Times New Roman"/>
                <w:b/>
                <w:bCs/>
                <w:color w:val="000000" w:themeColor="text1"/>
                <w:spacing w:val="0"/>
                <w:sz w:val="24"/>
                <w:szCs w:val="24"/>
                <w:highlight w:val="none"/>
                <w:u w:val="none" w:color="auto"/>
                <w:lang w:val="zh-CN"/>
                <w14:textFill>
                  <w14:solidFill>
                    <w14:schemeClr w14:val="tx1"/>
                  </w14:solidFill>
                </w14:textFill>
              </w:rPr>
              <w:t>噪声预测结果</w:t>
            </w:r>
            <w:r>
              <w:rPr>
                <w:rFonts w:hint="eastAsia" w:ascii="Times New Roman" w:hAnsi="Times New Roman" w:eastAsia="宋体" w:cs="Times New Roman"/>
                <w:b/>
                <w:bCs/>
                <w:color w:val="000000" w:themeColor="text1"/>
                <w:spacing w:val="0"/>
                <w:sz w:val="24"/>
                <w:szCs w:val="24"/>
                <w:highlight w:val="none"/>
                <w:u w:val="none" w:color="auto"/>
                <w:lang w:val="zh-CN"/>
                <w14:textFill>
                  <w14:solidFill>
                    <w14:schemeClr w14:val="tx1"/>
                  </w14:solidFill>
                </w14:textFill>
              </w:rPr>
              <w:t>表</w:t>
            </w:r>
            <w:r>
              <w:rPr>
                <w:rFonts w:hint="eastAsia" w:ascii="Times New Roman" w:hAnsi="Times New Roman" w:eastAsia="宋体" w:cs="Times New Roman"/>
                <w:b/>
                <w:bCs/>
                <w:color w:val="000000" w:themeColor="text1"/>
                <w:spacing w:val="0"/>
                <w:sz w:val="24"/>
                <w:szCs w:val="24"/>
                <w:highlight w:val="none"/>
                <w:u w:val="none" w:color="auto"/>
                <w:lang w:val="en-US" w:eastAsia="zh-CN"/>
                <w14:textFill>
                  <w14:solidFill>
                    <w14:schemeClr w14:val="tx1"/>
                  </w14:solidFill>
                </w14:textFill>
              </w:rPr>
              <w:t xml:space="preserve">  </w:t>
            </w:r>
            <w:r>
              <w:rPr>
                <w:rFonts w:hint="eastAsia" w:ascii="Times New Roman" w:hAnsi="Times New Roman" w:cs="Times New Roman"/>
                <w:b/>
                <w:bCs/>
                <w:color w:val="000000" w:themeColor="text1"/>
                <w:spacing w:val="0"/>
                <w:sz w:val="24"/>
                <w:szCs w:val="24"/>
                <w:highlight w:val="none"/>
                <w:u w:val="none" w:color="auto"/>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pacing w:val="0"/>
                <w:sz w:val="24"/>
                <w:szCs w:val="24"/>
                <w:highlight w:val="none"/>
                <w:u w:val="none" w:color="auto"/>
                <w:lang w:val="en-US" w:eastAsia="zh-CN"/>
                <w14:textFill>
                  <w14:solidFill>
                    <w14:schemeClr w14:val="tx1"/>
                  </w14:solidFill>
                </w14:textFill>
              </w:rPr>
              <w:t>单位：</w:t>
            </w:r>
            <w:r>
              <w:rPr>
                <w:rFonts w:hint="default" w:ascii="Times New Roman" w:hAnsi="Times New Roman" w:cs="Times New Roman"/>
                <w:color w:val="000000" w:themeColor="text1"/>
                <w:sz w:val="24"/>
                <w:szCs w:val="24"/>
                <w:u w:val="none" w:color="auto"/>
                <w14:textFill>
                  <w14:solidFill>
                    <w14:schemeClr w14:val="tx1"/>
                  </w14:solidFill>
                </w14:textFill>
              </w:rPr>
              <w:t>dB</w:t>
            </w:r>
            <w:r>
              <w:rPr>
                <w:rFonts w:hint="default" w:ascii="Times New Roman" w:hAnsi="Times New Roman" w:cs="Times New Roman"/>
                <w:color w:val="000000" w:themeColor="text1"/>
                <w:sz w:val="24"/>
                <w:szCs w:val="24"/>
                <w:u w:val="none" w:color="auto"/>
                <w:lang w:val="en-GB"/>
                <w14:textFill>
                  <w14:solidFill>
                    <w14:schemeClr w14:val="tx1"/>
                  </w14:solidFill>
                </w14:textFill>
              </w:rPr>
              <w:t>（</w:t>
            </w:r>
            <w:r>
              <w:rPr>
                <w:rFonts w:hint="default" w:ascii="Times New Roman" w:hAnsi="Times New Roman" w:cs="Times New Roman"/>
                <w:color w:val="000000" w:themeColor="text1"/>
                <w:sz w:val="24"/>
                <w:szCs w:val="24"/>
                <w:u w:val="none" w:color="auto"/>
                <w14:textFill>
                  <w14:solidFill>
                    <w14:schemeClr w14:val="tx1"/>
                  </w14:solidFill>
                </w14:textFill>
              </w:rPr>
              <w:t>A</w:t>
            </w:r>
            <w:r>
              <w:rPr>
                <w:rFonts w:hint="default" w:ascii="Times New Roman" w:hAnsi="Times New Roman" w:cs="Times New Roman"/>
                <w:color w:val="000000" w:themeColor="text1"/>
                <w:sz w:val="24"/>
                <w:szCs w:val="24"/>
                <w:u w:val="none" w:color="auto"/>
                <w:lang w:val="en-GB"/>
                <w14:textFill>
                  <w14:solidFill>
                    <w14:schemeClr w14:val="tx1"/>
                  </w14:solidFill>
                </w14:textFill>
              </w:rPr>
              <w:t>）</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569"/>
              <w:gridCol w:w="1593"/>
              <w:gridCol w:w="1789"/>
              <w:gridCol w:w="2092"/>
            </w:tblGrid>
            <w:tr w14:paraId="66E34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41" w:type="pct"/>
                  <w:tcBorders>
                    <w:tl2br w:val="nil"/>
                    <w:tr2bl w:val="nil"/>
                  </w:tcBorders>
                  <w:noWrap w:val="0"/>
                  <w:vAlign w:val="center"/>
                </w:tcPr>
                <w:p w14:paraId="3A611F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bCs/>
                      <w:color w:val="000000" w:themeColor="text1"/>
                      <w:spacing w:val="0"/>
                      <w:position w:val="0"/>
                      <w:sz w:val="21"/>
                      <w:szCs w:val="21"/>
                      <w:u w:val="none" w:color="auto"/>
                      <w:lang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u w:val="none" w:color="auto"/>
                      <w:lang w:eastAsia="zh-CN"/>
                      <w14:textFill>
                        <w14:solidFill>
                          <w14:schemeClr w14:val="tx1"/>
                        </w14:solidFill>
                      </w14:textFill>
                    </w:rPr>
                    <w:t>项目</w:t>
                  </w:r>
                </w:p>
              </w:tc>
              <w:tc>
                <w:tcPr>
                  <w:tcW w:w="904" w:type="pct"/>
                  <w:tcBorders>
                    <w:tl2br w:val="nil"/>
                    <w:tr2bl w:val="nil"/>
                  </w:tcBorders>
                  <w:noWrap w:val="0"/>
                  <w:vAlign w:val="center"/>
                </w:tcPr>
                <w:p w14:paraId="2CAF6F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东厂界</w:t>
                  </w:r>
                </w:p>
              </w:tc>
              <w:tc>
                <w:tcPr>
                  <w:tcW w:w="918" w:type="pct"/>
                  <w:tcBorders>
                    <w:tl2br w:val="nil"/>
                    <w:tr2bl w:val="nil"/>
                  </w:tcBorders>
                  <w:noWrap w:val="0"/>
                  <w:vAlign w:val="center"/>
                </w:tcPr>
                <w:p w14:paraId="619AC7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南厂界</w:t>
                  </w:r>
                </w:p>
              </w:tc>
              <w:tc>
                <w:tcPr>
                  <w:tcW w:w="1031" w:type="pct"/>
                  <w:tcBorders>
                    <w:tl2br w:val="nil"/>
                    <w:tr2bl w:val="nil"/>
                  </w:tcBorders>
                  <w:noWrap w:val="0"/>
                  <w:vAlign w:val="center"/>
                </w:tcPr>
                <w:p w14:paraId="76FA9C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西厂界</w:t>
                  </w:r>
                </w:p>
              </w:tc>
              <w:tc>
                <w:tcPr>
                  <w:tcW w:w="1205" w:type="pct"/>
                  <w:tcBorders>
                    <w:tl2br w:val="nil"/>
                    <w:tr2bl w:val="nil"/>
                  </w:tcBorders>
                  <w:noWrap w:val="0"/>
                  <w:vAlign w:val="center"/>
                </w:tcPr>
                <w:p w14:paraId="686BBD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bCs/>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北厂界</w:t>
                  </w:r>
                </w:p>
              </w:tc>
            </w:tr>
            <w:tr w14:paraId="254FE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41" w:type="pct"/>
                  <w:tcBorders>
                    <w:tl2br w:val="nil"/>
                    <w:tr2bl w:val="nil"/>
                  </w:tcBorders>
                  <w:noWrap w:val="0"/>
                  <w:vAlign w:val="center"/>
                </w:tcPr>
                <w:p w14:paraId="58F592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贡献值</w:t>
                  </w:r>
                </w:p>
              </w:tc>
              <w:tc>
                <w:tcPr>
                  <w:tcW w:w="904" w:type="pct"/>
                  <w:tcBorders>
                    <w:tl2br w:val="nil"/>
                    <w:tr2bl w:val="nil"/>
                  </w:tcBorders>
                  <w:noWrap w:val="0"/>
                  <w:vAlign w:val="center"/>
                </w:tcPr>
                <w:p w14:paraId="142900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position w:val="0"/>
                      <w:sz w:val="21"/>
                      <w:szCs w:val="21"/>
                      <w:u w:val="none" w:color="auto"/>
                      <w:lang w:val="en-US" w:eastAsia="zh-CN"/>
                      <w14:textFill>
                        <w14:solidFill>
                          <w14:schemeClr w14:val="tx1"/>
                        </w14:solidFill>
                      </w14:textFill>
                    </w:rPr>
                  </w:pPr>
                  <w:r>
                    <w:rPr>
                      <w:rFonts w:hint="eastAsia" w:cs="Times New Roman"/>
                      <w:color w:val="000000" w:themeColor="text1"/>
                      <w:spacing w:val="0"/>
                      <w:position w:val="0"/>
                      <w:sz w:val="21"/>
                      <w:szCs w:val="21"/>
                      <w:highlight w:val="none"/>
                      <w:u w:val="none" w:color="auto"/>
                      <w:lang w:val="en-US" w:eastAsia="zh-CN"/>
                      <w14:textFill>
                        <w14:solidFill>
                          <w14:schemeClr w14:val="tx1"/>
                        </w14:solidFill>
                      </w14:textFill>
                    </w:rPr>
                    <w:t>55.09</w:t>
                  </w:r>
                </w:p>
              </w:tc>
              <w:tc>
                <w:tcPr>
                  <w:tcW w:w="918" w:type="pct"/>
                  <w:tcBorders>
                    <w:tl2br w:val="nil"/>
                    <w:tr2bl w:val="nil"/>
                  </w:tcBorders>
                  <w:noWrap w:val="0"/>
                  <w:vAlign w:val="center"/>
                </w:tcPr>
                <w:p w14:paraId="306ABF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position w:val="0"/>
                      <w:sz w:val="21"/>
                      <w:szCs w:val="21"/>
                      <w:u w:val="none" w:color="auto"/>
                      <w:lang w:val="en-US" w:eastAsia="zh-CN"/>
                      <w14:textFill>
                        <w14:solidFill>
                          <w14:schemeClr w14:val="tx1"/>
                        </w14:solidFill>
                      </w14:textFill>
                    </w:rPr>
                  </w:pPr>
                  <w:r>
                    <w:rPr>
                      <w:rFonts w:hint="eastAsia" w:cs="Times New Roman"/>
                      <w:color w:val="000000" w:themeColor="text1"/>
                      <w:spacing w:val="0"/>
                      <w:position w:val="0"/>
                      <w:sz w:val="21"/>
                      <w:szCs w:val="21"/>
                      <w:highlight w:val="none"/>
                      <w:u w:val="none" w:color="auto"/>
                      <w:lang w:val="en-US" w:eastAsia="zh-CN"/>
                      <w14:textFill>
                        <w14:solidFill>
                          <w14:schemeClr w14:val="tx1"/>
                        </w14:solidFill>
                      </w14:textFill>
                    </w:rPr>
                    <w:t>44</w:t>
                  </w:r>
                  <w:r>
                    <w:rPr>
                      <w:rFonts w:hint="default" w:ascii="Times New Roman" w:hAnsi="Times New Roman" w:eastAsia="宋体" w:cs="Times New Roman"/>
                      <w:color w:val="000000" w:themeColor="text1"/>
                      <w:spacing w:val="0"/>
                      <w:position w:val="0"/>
                      <w:sz w:val="21"/>
                      <w:szCs w:val="21"/>
                      <w:highlight w:val="none"/>
                      <w:u w:val="none" w:color="auto"/>
                      <w:lang w:val="en-US"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1"/>
                      <w:szCs w:val="21"/>
                      <w:highlight w:val="none"/>
                      <w:u w:val="none" w:color="auto"/>
                      <w:lang w:val="en-US" w:eastAsia="zh-CN"/>
                      <w14:textFill>
                        <w14:solidFill>
                          <w14:schemeClr w14:val="tx1"/>
                        </w14:solidFill>
                      </w14:textFill>
                    </w:rPr>
                    <w:t>5</w:t>
                  </w:r>
                </w:p>
              </w:tc>
              <w:tc>
                <w:tcPr>
                  <w:tcW w:w="1031" w:type="pct"/>
                  <w:tcBorders>
                    <w:tl2br w:val="nil"/>
                    <w:tr2bl w:val="nil"/>
                  </w:tcBorders>
                  <w:noWrap w:val="0"/>
                  <w:vAlign w:val="center"/>
                </w:tcPr>
                <w:p w14:paraId="0F318B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position w:val="0"/>
                      <w:sz w:val="21"/>
                      <w:szCs w:val="21"/>
                      <w:u w:val="none" w:color="auto"/>
                      <w:lang w:val="en-US" w:eastAsia="zh-CN"/>
                      <w14:textFill>
                        <w14:solidFill>
                          <w14:schemeClr w14:val="tx1"/>
                        </w14:solidFill>
                      </w14:textFill>
                    </w:rPr>
                  </w:pPr>
                  <w:r>
                    <w:rPr>
                      <w:rFonts w:hint="eastAsia" w:cs="Times New Roman"/>
                      <w:color w:val="000000" w:themeColor="text1"/>
                      <w:spacing w:val="0"/>
                      <w:position w:val="0"/>
                      <w:sz w:val="21"/>
                      <w:szCs w:val="21"/>
                      <w:highlight w:val="none"/>
                      <w:u w:val="none" w:color="auto"/>
                      <w:lang w:val="en-US" w:eastAsia="zh-CN"/>
                      <w14:textFill>
                        <w14:solidFill>
                          <w14:schemeClr w14:val="tx1"/>
                        </w14:solidFill>
                      </w14:textFill>
                    </w:rPr>
                    <w:t>60.72</w:t>
                  </w:r>
                </w:p>
              </w:tc>
              <w:tc>
                <w:tcPr>
                  <w:tcW w:w="1205" w:type="pct"/>
                  <w:tcBorders>
                    <w:tl2br w:val="nil"/>
                    <w:tr2bl w:val="nil"/>
                  </w:tcBorders>
                  <w:noWrap w:val="0"/>
                  <w:vAlign w:val="center"/>
                </w:tcPr>
                <w:p w14:paraId="7A588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position w:val="0"/>
                      <w:sz w:val="21"/>
                      <w:szCs w:val="21"/>
                      <w:u w:val="none" w:color="auto"/>
                      <w:lang w:val="en-US" w:eastAsia="zh-CN"/>
                      <w14:textFill>
                        <w14:solidFill>
                          <w14:schemeClr w14:val="tx1"/>
                        </w14:solidFill>
                      </w14:textFill>
                    </w:rPr>
                  </w:pPr>
                  <w:r>
                    <w:rPr>
                      <w:rFonts w:hint="eastAsia" w:cs="Times New Roman"/>
                      <w:color w:val="000000" w:themeColor="text1"/>
                      <w:spacing w:val="0"/>
                      <w:position w:val="0"/>
                      <w:sz w:val="21"/>
                      <w:szCs w:val="21"/>
                      <w:highlight w:val="none"/>
                      <w:u w:val="none" w:color="auto"/>
                      <w:lang w:val="en-US" w:eastAsia="zh-CN"/>
                      <w14:textFill>
                        <w14:solidFill>
                          <w14:schemeClr w14:val="tx1"/>
                        </w14:solidFill>
                      </w14:textFill>
                    </w:rPr>
                    <w:t>56.36</w:t>
                  </w:r>
                </w:p>
              </w:tc>
            </w:tr>
            <w:tr w14:paraId="79BB5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41" w:type="pct"/>
                  <w:tcBorders>
                    <w:tl2br w:val="nil"/>
                    <w:tr2bl w:val="nil"/>
                  </w:tcBorders>
                  <w:noWrap w:val="0"/>
                  <w:vAlign w:val="center"/>
                </w:tcPr>
                <w:p w14:paraId="7F20DD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t>标准值</w:t>
                  </w:r>
                </w:p>
              </w:tc>
              <w:tc>
                <w:tcPr>
                  <w:tcW w:w="4058" w:type="pct"/>
                  <w:gridSpan w:val="4"/>
                  <w:tcBorders>
                    <w:tl2br w:val="nil"/>
                    <w:tr2bl w:val="nil"/>
                  </w:tcBorders>
                  <w:noWrap w:val="0"/>
                  <w:vAlign w:val="center"/>
                </w:tcPr>
                <w:p w14:paraId="78BD4B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000000" w:themeColor="text1"/>
                      <w:spacing w:val="0"/>
                      <w:position w:val="0"/>
                      <w:sz w:val="21"/>
                      <w:szCs w:val="21"/>
                      <w:u w:val="none" w:color="auto"/>
                      <w14:textFill>
                        <w14:solidFill>
                          <w14:schemeClr w14:val="tx1"/>
                        </w14:solidFill>
                      </w14:textFill>
                    </w:rPr>
                  </w:pPr>
                  <w:r>
                    <w:rPr>
                      <w:rFonts w:hint="eastAsia" w:cs="Times New Roman"/>
                      <w:color w:val="000000" w:themeColor="text1"/>
                      <w:spacing w:val="0"/>
                      <w:position w:val="0"/>
                      <w:sz w:val="21"/>
                      <w:szCs w:val="21"/>
                      <w:highlight w:val="none"/>
                      <w:u w:val="none" w:color="auto"/>
                      <w:lang w:val="en-US" w:eastAsia="zh-CN"/>
                      <w14:textFill>
                        <w14:solidFill>
                          <w14:schemeClr w14:val="tx1"/>
                        </w14:solidFill>
                      </w14:textFill>
                    </w:rPr>
                    <w:t>昼间：</w:t>
                  </w:r>
                  <w:r>
                    <w:rPr>
                      <w:rFonts w:hint="default" w:ascii="Times New Roman" w:hAnsi="Times New Roman" w:eastAsia="宋体" w:cs="Times New Roman"/>
                      <w:color w:val="000000" w:themeColor="text1"/>
                      <w:spacing w:val="0"/>
                      <w:position w:val="0"/>
                      <w:sz w:val="21"/>
                      <w:szCs w:val="21"/>
                      <w:highlight w:val="none"/>
                      <w:u w:val="none" w:color="auto"/>
                      <w:lang w:val="en-US" w:eastAsia="zh-CN"/>
                      <w14:textFill>
                        <w14:solidFill>
                          <w14:schemeClr w14:val="tx1"/>
                        </w14:solidFill>
                      </w14:textFill>
                    </w:rPr>
                    <w:t>65</w:t>
                  </w:r>
                </w:p>
              </w:tc>
            </w:tr>
            <w:tr w14:paraId="0214A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41" w:type="pct"/>
                  <w:tcBorders>
                    <w:tl2br w:val="nil"/>
                    <w:tr2bl w:val="nil"/>
                  </w:tcBorders>
                  <w:noWrap w:val="0"/>
                  <w:vAlign w:val="center"/>
                </w:tcPr>
                <w:p w14:paraId="71E699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达标情况</w:t>
                  </w:r>
                </w:p>
              </w:tc>
              <w:tc>
                <w:tcPr>
                  <w:tcW w:w="904" w:type="pct"/>
                  <w:tcBorders>
                    <w:tl2br w:val="nil"/>
                    <w:tr2bl w:val="nil"/>
                  </w:tcBorders>
                  <w:noWrap w:val="0"/>
                  <w:vAlign w:val="center"/>
                </w:tcPr>
                <w:p w14:paraId="275BE7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达标</w:t>
                  </w:r>
                </w:p>
              </w:tc>
              <w:tc>
                <w:tcPr>
                  <w:tcW w:w="918" w:type="pct"/>
                  <w:tcBorders>
                    <w:tl2br w:val="nil"/>
                    <w:tr2bl w:val="nil"/>
                  </w:tcBorders>
                  <w:noWrap w:val="0"/>
                  <w:vAlign w:val="center"/>
                </w:tcPr>
                <w:p w14:paraId="6395D4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达标</w:t>
                  </w:r>
                </w:p>
              </w:tc>
              <w:tc>
                <w:tcPr>
                  <w:tcW w:w="1031" w:type="pct"/>
                  <w:tcBorders>
                    <w:tl2br w:val="nil"/>
                    <w:tr2bl w:val="nil"/>
                  </w:tcBorders>
                  <w:noWrap w:val="0"/>
                  <w:vAlign w:val="center"/>
                </w:tcPr>
                <w:p w14:paraId="47A079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达标</w:t>
                  </w:r>
                </w:p>
              </w:tc>
              <w:tc>
                <w:tcPr>
                  <w:tcW w:w="1205" w:type="pct"/>
                  <w:tcBorders>
                    <w:tl2br w:val="nil"/>
                    <w:tr2bl w:val="nil"/>
                  </w:tcBorders>
                  <w:noWrap w:val="0"/>
                  <w:vAlign w:val="center"/>
                </w:tcPr>
                <w:p w14:paraId="7A937E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u w:val="none" w:color="auto"/>
                      <w:lang w:eastAsia="zh-CN"/>
                      <w14:textFill>
                        <w14:solidFill>
                          <w14:schemeClr w14:val="tx1"/>
                        </w14:solidFill>
                      </w14:textFill>
                    </w:rPr>
                    <w:t>达标</w:t>
                  </w:r>
                </w:p>
              </w:tc>
            </w:tr>
          </w:tbl>
          <w:p w14:paraId="6E4D50F2">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由以上预测结果可知，正常工况下，</w:t>
            </w:r>
            <w:r>
              <w:rPr>
                <w:rFonts w:hint="eastAsia" w:cs="Times New Roman"/>
                <w:color w:val="000000" w:themeColor="text1"/>
                <w:spacing w:val="0"/>
                <w:position w:val="0"/>
                <w:sz w:val="24"/>
                <w:szCs w:val="24"/>
                <w:u w:val="none" w:color="auto"/>
                <w:lang w:eastAsia="zh-CN"/>
                <w14:textFill>
                  <w14:solidFill>
                    <w14:schemeClr w14:val="tx1"/>
                  </w14:solidFill>
                </w14:textFill>
              </w:rPr>
              <w:t>本</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项目东、南、西、北侧厂界昼</w:t>
            </w:r>
            <w:r>
              <w:rPr>
                <w:rFonts w:hint="eastAsia" w:cs="Times New Roman"/>
                <w:color w:val="000000" w:themeColor="text1"/>
                <w:spacing w:val="0"/>
                <w:position w:val="0"/>
                <w:sz w:val="24"/>
                <w:szCs w:val="24"/>
                <w:u w:val="none" w:color="auto"/>
                <w:lang w:eastAsia="zh-CN"/>
                <w14:textFill>
                  <w14:solidFill>
                    <w14:schemeClr w14:val="tx1"/>
                  </w14:solidFill>
                </w14:textFill>
              </w:rPr>
              <w:t>间</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噪声贡献值均满足《工业企业厂界环境噪声排放标准》</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GB 12348-2008）中的</w:t>
            </w:r>
            <w:r>
              <w:rPr>
                <w:rFonts w:hint="default" w:ascii="Times New Roman" w:hAnsi="Times New Roman" w:cs="Times New Roman"/>
                <w:color w:val="000000" w:themeColor="text1"/>
                <w:spacing w:val="0"/>
                <w:position w:val="0"/>
                <w:sz w:val="24"/>
                <w:szCs w:val="24"/>
                <w:u w:val="none" w:color="auto"/>
                <w:lang w:val="en-US" w:eastAsia="zh-CN"/>
                <w14:textFill>
                  <w14:solidFill>
                    <w14:schemeClr w14:val="tx1"/>
                  </w14:solidFill>
                </w14:textFill>
              </w:rPr>
              <w:t>3</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类标准限值要求。</w:t>
            </w:r>
          </w:p>
          <w:p w14:paraId="2F030F2A">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b/>
                <w:bCs/>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14:textFill>
                  <w14:solidFill>
                    <w14:schemeClr w14:val="tx1"/>
                  </w14:solidFill>
                </w14:textFill>
              </w:rPr>
              <w:t>3.3噪声污染防治措施</w:t>
            </w:r>
          </w:p>
          <w:p w14:paraId="2F7549B5">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为了更好地降低噪声对周围环境的影响，加强噪声防治工作，建设单位应采取以下措施：</w:t>
            </w:r>
          </w:p>
          <w:p w14:paraId="5DFB4C48">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①尽量选用低噪声设备，做好设备保养，保持设备运行良好；</w:t>
            </w:r>
          </w:p>
          <w:p w14:paraId="4BA355B4">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②落实高噪声设备的减振、隔声措施；</w:t>
            </w:r>
          </w:p>
          <w:p w14:paraId="516C66CD">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③生产车间全封闭处理，同时选用低噪声、低能耗、低排放并满足环境保护标准的生产、运输等设备，对一些因空气动力而产生的噪声，如风机等，</w:t>
            </w:r>
            <w:r>
              <w:rPr>
                <w:rFonts w:hint="eastAsia" w:cs="Times New Roman"/>
                <w:color w:val="000000" w:themeColor="text1"/>
                <w:spacing w:val="0"/>
                <w:position w:val="0"/>
                <w:sz w:val="24"/>
                <w:szCs w:val="24"/>
                <w:u w:val="none" w:color="auto"/>
                <w:lang w:eastAsia="zh-CN"/>
                <w14:textFill>
                  <w14:solidFill>
                    <w14:schemeClr w14:val="tx1"/>
                  </w14:solidFill>
                </w14:textFill>
              </w:rPr>
              <w:t>可</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在气流进出口上加装消声器；</w:t>
            </w:r>
          </w:p>
          <w:p w14:paraId="6FCB224C">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④加强员工培训，实施精细化生产，所有零部件及设备均需轻拿轻放，避免偶发噪声产生；</w:t>
            </w:r>
          </w:p>
          <w:p w14:paraId="0D1B0AAA">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⑤高噪声设备的操作人员，操作时应佩戴防护头盔或耳套，加强厂区绿化，既能美化环境，也对噪声具有一定的吸纳作用。</w:t>
            </w:r>
          </w:p>
          <w:p w14:paraId="555F0A05">
            <w:pPr>
              <w:pStyle w:val="66"/>
              <w:keepNext w:val="0"/>
              <w:keepLines w:val="0"/>
              <w:pageBreakBefore w:val="0"/>
              <w:suppressLineNumbers w:val="0"/>
              <w:kinsoku/>
              <w:overflowPunct/>
              <w:bidi w:val="0"/>
              <w:adjustRightInd w:val="0"/>
              <w:snapToGrid w:val="0"/>
              <w:spacing w:before="0" w:beforeAutospacing="0" w:after="0" w:afterAutospacing="0" w:line="360" w:lineRule="auto"/>
              <w:ind w:left="0" w:right="0" w:firstLine="480"/>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经落实上述措施后，项目厂界噪声可达到《工业企业厂界环境噪声排放标准》</w:t>
            </w:r>
            <w:r>
              <w:rPr>
                <w:rFonts w:hint="default" w:ascii="Times New Roman" w:hAnsi="Times New Roman" w:cs="Times New Roman"/>
                <w:color w:val="000000" w:themeColor="text1"/>
                <w:spacing w:val="0"/>
                <w:position w:val="0"/>
                <w:sz w:val="24"/>
                <w:szCs w:val="24"/>
                <w:u w:val="none" w:color="auto"/>
                <w:lang w:val="en-US" w:eastAsia="zh-CN"/>
                <w14:textFill>
                  <w14:solidFill>
                    <w14:schemeClr w14:val="tx1"/>
                  </w14:solidFill>
                </w14:textFill>
              </w:rPr>
              <w:t>3</w:t>
            </w:r>
            <w:r>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t>类标准，项目运营期间排放噪声对周边声环境影响在可接受范围内。</w:t>
            </w:r>
          </w:p>
          <w:p w14:paraId="267006F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outlineLvl w:val="9"/>
              <w:rPr>
                <w:rFonts w:hint="default" w:ascii="Times New Roman" w:hAnsi="Times New Roman" w:eastAsia="宋体" w:cs="Times New Roman"/>
                <w:b/>
                <w:bCs/>
                <w:color w:val="000000" w:themeColor="text1"/>
                <w:spacing w:val="0"/>
                <w:position w:val="0"/>
                <w:sz w:val="24"/>
                <w:szCs w:val="24"/>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position w:val="0"/>
                <w:sz w:val="24"/>
                <w:szCs w:val="24"/>
                <w:u w:val="none" w:color="auto"/>
                <w:shd w:val="clear" w:color="auto" w:fill="auto"/>
                <w:lang w:val="en-US" w:eastAsia="zh-CN"/>
                <w14:textFill>
                  <w14:solidFill>
                    <w14:schemeClr w14:val="tx1"/>
                  </w14:solidFill>
                </w14:textFill>
              </w:rPr>
              <w:t>运营期固体废物环境影响和保护措施</w:t>
            </w:r>
          </w:p>
          <w:p w14:paraId="40A8A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000000" w:themeColor="text1"/>
                <w:spacing w:val="0"/>
                <w:position w:val="0"/>
                <w:sz w:val="24"/>
                <w:szCs w:val="24"/>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4"/>
                <w:szCs w:val="24"/>
                <w:u w:val="none" w:color="auto"/>
                <w:shd w:val="clear" w:color="auto" w:fill="auto"/>
                <w:lang w:val="en-US" w:eastAsia="zh-CN"/>
                <w14:textFill>
                  <w14:solidFill>
                    <w14:schemeClr w14:val="tx1"/>
                  </w14:solidFill>
                </w14:textFill>
              </w:rPr>
              <w:t>4.1固体废物产生及处置情况</w:t>
            </w:r>
          </w:p>
          <w:p w14:paraId="174E53B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本项目运营期新增固体废物主要包括生活垃圾、一般工业固体废物和危险废物。其中一般工业固体废物包括：一般性废包装材料、机加工产生的金属边角料；焊接工序产生的废焊渣；抛丸工序产生的废钢丸和抛丸收集粉尘等。危险废物包括：喷漆工序产生的废油漆、废稀释剂、废固化剂等废包装桶、废辊涂工具、废毛刷；设备维修产生的废润滑油、废油桶、废油抹布及手套等；机加工产生的废冷却液、废液压油等。废气处理过程产生的废过滤棉、废活性炭已计算在</w:t>
            </w:r>
            <w:r>
              <w:rPr>
                <w:rFonts w:hint="eastAsia" w:cs="Times New Roman"/>
                <w:b w:val="0"/>
                <w:bCs w:val="0"/>
                <w:color w:val="auto"/>
                <w:spacing w:val="0"/>
                <w:sz w:val="24"/>
                <w:szCs w:val="24"/>
                <w:lang w:val="en-US" w:eastAsia="zh-CN"/>
              </w:rPr>
              <w:t>建</w:t>
            </w:r>
            <w:r>
              <w:rPr>
                <w:rFonts w:hint="eastAsia" w:ascii="Times New Roman" w:hAnsi="Times New Roman" w:eastAsia="宋体" w:cs="Times New Roman"/>
                <w:b w:val="0"/>
                <w:bCs w:val="0"/>
                <w:color w:val="auto"/>
                <w:spacing w:val="0"/>
                <w:sz w:val="24"/>
                <w:szCs w:val="24"/>
                <w:lang w:val="en-US" w:eastAsia="zh-CN"/>
              </w:rPr>
              <w:t>工程产生量，本项目不重复列出。</w:t>
            </w:r>
          </w:p>
          <w:p w14:paraId="2BCA260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shd w:val="clear" w:color="auto" w:fill="auto"/>
                <w:lang w:eastAsia="zh-CN"/>
              </w:rPr>
            </w:pPr>
            <w:r>
              <w:rPr>
                <w:rFonts w:hint="default" w:ascii="Times New Roman" w:hAnsi="Times New Roman" w:cs="Times New Roman"/>
                <w:color w:val="auto"/>
                <w:sz w:val="24"/>
                <w:szCs w:val="24"/>
                <w:shd w:val="clear" w:color="auto" w:fill="auto"/>
              </w:rPr>
              <w:t>（</w:t>
            </w:r>
            <w:r>
              <w:rPr>
                <w:rFonts w:hint="eastAsia" w:cs="Times New Roman"/>
                <w:color w:val="auto"/>
                <w:sz w:val="24"/>
                <w:szCs w:val="24"/>
                <w:shd w:val="clear" w:color="auto" w:fill="auto"/>
                <w:lang w:val="en-US" w:eastAsia="zh-CN"/>
              </w:rPr>
              <w:t>1</w:t>
            </w:r>
            <w:r>
              <w:rPr>
                <w:rFonts w:hint="default" w:ascii="Times New Roman" w:hAnsi="Times New Roman" w:cs="Times New Roman"/>
                <w:color w:val="auto"/>
                <w:sz w:val="24"/>
                <w:szCs w:val="24"/>
                <w:shd w:val="clear" w:color="auto" w:fill="auto"/>
              </w:rPr>
              <w:t>）</w:t>
            </w:r>
            <w:r>
              <w:rPr>
                <w:rFonts w:hint="eastAsia" w:cs="Times New Roman"/>
                <w:color w:val="auto"/>
                <w:sz w:val="24"/>
                <w:szCs w:val="24"/>
                <w:shd w:val="clear" w:color="auto" w:fill="auto"/>
                <w:lang w:eastAsia="zh-CN"/>
              </w:rPr>
              <w:t>一般固废</w:t>
            </w:r>
          </w:p>
          <w:p w14:paraId="6618971E">
            <w:pPr>
              <w:keepNext w:val="0"/>
              <w:keepLines w:val="0"/>
              <w:suppressLineNumbers w:val="0"/>
              <w:spacing w:before="0" w:beforeAutospacing="0" w:after="0" w:afterAutospacing="0" w:line="360" w:lineRule="auto"/>
              <w:ind w:left="0" w:right="0" w:firstLine="480" w:firstLineChars="200"/>
              <w:rPr>
                <w:rFonts w:hint="default"/>
                <w:color w:val="auto"/>
                <w:sz w:val="24"/>
                <w:szCs w:val="24"/>
                <w:shd w:val="clear" w:color="auto" w:fill="auto"/>
                <w:lang w:val="en-US"/>
              </w:rPr>
            </w:pPr>
            <w:r>
              <w:rPr>
                <w:rFonts w:hint="default" w:ascii="Times New Roman" w:hAnsi="Times New Roman" w:cs="Times New Roman"/>
                <w:color w:val="auto"/>
                <w:sz w:val="24"/>
                <w:szCs w:val="24"/>
                <w:shd w:val="clear" w:color="auto" w:fill="auto"/>
              </w:rPr>
              <w:fldChar w:fldCharType="begin"/>
            </w:r>
            <w:r>
              <w:rPr>
                <w:rFonts w:hint="default" w:ascii="Times New Roman" w:hAnsi="Times New Roman" w:cs="Times New Roman"/>
                <w:color w:val="auto"/>
                <w:sz w:val="24"/>
                <w:szCs w:val="24"/>
                <w:shd w:val="clear" w:color="auto" w:fill="auto"/>
              </w:rPr>
              <w:instrText xml:space="preserve"> = 1 \* GB3 \* MERGEFORMAT </w:instrText>
            </w:r>
            <w:r>
              <w:rPr>
                <w:rFonts w:hint="default" w:ascii="Times New Roman" w:hAnsi="Times New Roman" w:cs="Times New Roman"/>
                <w:color w:val="auto"/>
                <w:sz w:val="24"/>
                <w:szCs w:val="24"/>
                <w:shd w:val="clear" w:color="auto" w:fill="auto"/>
              </w:rPr>
              <w:fldChar w:fldCharType="separate"/>
            </w:r>
            <w:r>
              <w:rPr>
                <w:rFonts w:hint="default"/>
                <w:color w:val="auto"/>
                <w:shd w:val="clear" w:color="auto" w:fill="auto"/>
              </w:rPr>
              <w:t>①</w:t>
            </w:r>
            <w:r>
              <w:rPr>
                <w:rFonts w:hint="default" w:ascii="Times New Roman" w:hAnsi="Times New Roman" w:cs="Times New Roman"/>
                <w:color w:val="auto"/>
                <w:sz w:val="24"/>
                <w:szCs w:val="24"/>
                <w:shd w:val="clear" w:color="auto" w:fill="auto"/>
              </w:rPr>
              <w:fldChar w:fldCharType="end"/>
            </w:r>
            <w:r>
              <w:rPr>
                <w:rFonts w:hint="eastAsia" w:cs="Times New Roman"/>
                <w:color w:val="auto"/>
                <w:sz w:val="24"/>
                <w:szCs w:val="24"/>
                <w:shd w:val="clear" w:color="auto" w:fill="auto"/>
                <w:lang w:val="en-US" w:eastAsia="zh-CN"/>
              </w:rPr>
              <w:t>一般性</w:t>
            </w:r>
            <w:r>
              <w:rPr>
                <w:rFonts w:hint="default" w:ascii="Times New Roman" w:hAnsi="Times New Roman" w:eastAsia="宋体" w:cs="Times New Roman"/>
                <w:color w:val="auto"/>
                <w:spacing w:val="0"/>
                <w:w w:val="100"/>
                <w:kern w:val="0"/>
                <w:position w:val="0"/>
                <w:sz w:val="24"/>
                <w:szCs w:val="24"/>
                <w:u w:val="none" w:color="auto"/>
                <w:lang w:val="en-US" w:eastAsia="zh-CN"/>
              </w:rPr>
              <w:t>废包装</w:t>
            </w:r>
            <w:r>
              <w:rPr>
                <w:rFonts w:hint="eastAsia" w:eastAsia="宋体" w:cs="Times New Roman"/>
                <w:color w:val="auto"/>
                <w:spacing w:val="0"/>
                <w:w w:val="100"/>
                <w:kern w:val="0"/>
                <w:position w:val="0"/>
                <w:sz w:val="24"/>
                <w:szCs w:val="24"/>
                <w:u w:val="none" w:color="auto"/>
                <w:lang w:val="en-US" w:eastAsia="zh-CN"/>
              </w:rPr>
              <w:t>材料</w:t>
            </w:r>
          </w:p>
          <w:p w14:paraId="75228FF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项目焊条、焊丝、焊剂、外购件等原辅材料的使用会产生废包装袋、废塑料盒、废木箱等，属于一般固废。根据建设单位提供资料，废包装材料的年产生量约</w:t>
            </w:r>
            <w:r>
              <w:rPr>
                <w:rFonts w:hint="default" w:ascii="Times New Roman" w:hAnsi="Times New Roman" w:eastAsia="宋体" w:cs="Times New Roman"/>
                <w:color w:val="auto"/>
                <w:spacing w:val="0"/>
                <w:w w:val="100"/>
                <w:kern w:val="0"/>
                <w:position w:val="0"/>
                <w:sz w:val="24"/>
                <w:szCs w:val="24"/>
                <w:u w:val="none" w:color="auto"/>
                <w:lang w:val="en-US" w:eastAsia="zh-CN"/>
              </w:rPr>
              <w:t>0.02t/a</w:t>
            </w:r>
            <w:r>
              <w:rPr>
                <w:rFonts w:hint="eastAsia" w:ascii="Times New Roman" w:hAnsi="Times New Roman" w:eastAsia="宋体" w:cs="Times New Roman"/>
                <w:color w:val="auto"/>
                <w:spacing w:val="0"/>
                <w:w w:val="100"/>
                <w:kern w:val="0"/>
                <w:position w:val="0"/>
                <w:sz w:val="24"/>
                <w:szCs w:val="24"/>
                <w:u w:val="none" w:color="auto"/>
                <w:lang w:val="en-US" w:eastAsia="zh-CN"/>
              </w:rPr>
              <w:t>，收集至一般固废暂存间后委托物资回收公司回收处理。</w:t>
            </w:r>
          </w:p>
          <w:p w14:paraId="4892449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fldChar w:fldCharType="begin"/>
            </w:r>
            <w:r>
              <w:rPr>
                <w:rFonts w:hint="eastAsia" w:ascii="Times New Roman" w:hAnsi="Times New Roman" w:eastAsia="宋体" w:cs="Times New Roman"/>
                <w:color w:val="auto"/>
                <w:spacing w:val="0"/>
                <w:w w:val="100"/>
                <w:kern w:val="0"/>
                <w:position w:val="0"/>
                <w:sz w:val="24"/>
                <w:szCs w:val="24"/>
                <w:u w:val="none" w:color="auto"/>
                <w:lang w:val="en-US" w:eastAsia="zh-CN"/>
              </w:rPr>
              <w:instrText xml:space="preserve"> = 2 \* GB3 \* MERGEFORMAT </w:instrText>
            </w:r>
            <w:r>
              <w:rPr>
                <w:rFonts w:hint="eastAsia" w:ascii="Times New Roman" w:hAnsi="Times New Roman" w:eastAsia="宋体" w:cs="Times New Roman"/>
                <w:color w:val="auto"/>
                <w:spacing w:val="0"/>
                <w:w w:val="100"/>
                <w:kern w:val="0"/>
                <w:position w:val="0"/>
                <w:sz w:val="24"/>
                <w:szCs w:val="24"/>
                <w:u w:val="none" w:color="auto"/>
                <w:lang w:val="en-US" w:eastAsia="zh-CN"/>
              </w:rPr>
              <w:fldChar w:fldCharType="separate"/>
            </w:r>
            <w:r>
              <w:rPr>
                <w:rFonts w:hint="eastAsia" w:ascii="Times New Roman" w:hAnsi="Times New Roman" w:eastAsia="宋体" w:cs="Times New Roman"/>
                <w:color w:val="auto"/>
                <w:spacing w:val="0"/>
                <w:w w:val="100"/>
                <w:kern w:val="0"/>
                <w:position w:val="0"/>
                <w:sz w:val="24"/>
                <w:szCs w:val="24"/>
                <w:u w:val="none" w:color="auto"/>
                <w:lang w:val="en-US" w:eastAsia="zh-CN"/>
              </w:rPr>
              <w:t>②</w:t>
            </w:r>
            <w:r>
              <w:rPr>
                <w:rFonts w:hint="eastAsia" w:ascii="Times New Roman" w:hAnsi="Times New Roman" w:eastAsia="宋体" w:cs="Times New Roman"/>
                <w:color w:val="auto"/>
                <w:spacing w:val="0"/>
                <w:w w:val="100"/>
                <w:kern w:val="0"/>
                <w:position w:val="0"/>
                <w:sz w:val="24"/>
                <w:szCs w:val="24"/>
                <w:u w:val="none" w:color="auto"/>
                <w:lang w:val="en-US" w:eastAsia="zh-CN"/>
              </w:rPr>
              <w:fldChar w:fldCharType="end"/>
            </w:r>
            <w:r>
              <w:rPr>
                <w:rFonts w:hint="eastAsia" w:ascii="Times New Roman" w:hAnsi="Times New Roman" w:eastAsia="宋体" w:cs="Times New Roman"/>
                <w:color w:val="auto"/>
                <w:spacing w:val="0"/>
                <w:w w:val="100"/>
                <w:kern w:val="0"/>
                <w:position w:val="0"/>
                <w:sz w:val="24"/>
                <w:szCs w:val="24"/>
                <w:u w:val="none" w:color="auto"/>
                <w:lang w:val="en-US" w:eastAsia="zh-CN"/>
              </w:rPr>
              <w:t>金属边角料</w:t>
            </w:r>
          </w:p>
          <w:p w14:paraId="4255771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项目机加工过程中会产生一定量的废边角料，项目需机加工的原料量约为2113.3</w:t>
            </w:r>
            <w:r>
              <w:rPr>
                <w:rFonts w:hint="default" w:ascii="Times New Roman" w:hAnsi="Times New Roman" w:eastAsia="宋体" w:cs="Times New Roman"/>
                <w:color w:val="auto"/>
                <w:spacing w:val="0"/>
                <w:w w:val="100"/>
                <w:kern w:val="0"/>
                <w:position w:val="0"/>
                <w:sz w:val="24"/>
                <w:szCs w:val="24"/>
                <w:u w:val="none" w:color="auto"/>
                <w:lang w:val="en-US" w:eastAsia="zh-CN"/>
              </w:rPr>
              <w:t>t/a</w:t>
            </w:r>
            <w:r>
              <w:rPr>
                <w:rFonts w:hint="eastAsia" w:ascii="Times New Roman" w:hAnsi="Times New Roman" w:eastAsia="宋体" w:cs="Times New Roman"/>
                <w:color w:val="auto"/>
                <w:spacing w:val="0"/>
                <w:w w:val="100"/>
                <w:kern w:val="0"/>
                <w:position w:val="0"/>
                <w:sz w:val="24"/>
                <w:szCs w:val="24"/>
                <w:u w:val="none" w:color="auto"/>
                <w:lang w:val="en-US" w:eastAsia="zh-CN"/>
              </w:rPr>
              <w:t>，根据建设方提供资料，生产过程中废边角料产生量约占原材料的</w:t>
            </w:r>
            <w:r>
              <w:rPr>
                <w:rFonts w:hint="default" w:ascii="Times New Roman" w:hAnsi="Times New Roman" w:eastAsia="宋体" w:cs="Times New Roman"/>
                <w:color w:val="auto"/>
                <w:spacing w:val="0"/>
                <w:w w:val="100"/>
                <w:kern w:val="0"/>
                <w:position w:val="0"/>
                <w:sz w:val="24"/>
                <w:szCs w:val="24"/>
                <w:u w:val="none" w:color="auto"/>
                <w:lang w:val="en-US" w:eastAsia="zh-CN"/>
              </w:rPr>
              <w:t>0.1%</w:t>
            </w:r>
            <w:r>
              <w:rPr>
                <w:rFonts w:hint="eastAsia" w:ascii="Times New Roman" w:hAnsi="Times New Roman" w:eastAsia="宋体" w:cs="Times New Roman"/>
                <w:color w:val="auto"/>
                <w:spacing w:val="0"/>
                <w:w w:val="100"/>
                <w:kern w:val="0"/>
                <w:position w:val="0"/>
                <w:sz w:val="24"/>
                <w:szCs w:val="24"/>
                <w:u w:val="none" w:color="auto"/>
                <w:lang w:val="en-US" w:eastAsia="zh-CN"/>
              </w:rPr>
              <w:t>，则本项目边角废料年产生量约为2.1</w:t>
            </w:r>
            <w:r>
              <w:rPr>
                <w:rFonts w:hint="default" w:ascii="Times New Roman" w:hAnsi="Times New Roman" w:eastAsia="宋体" w:cs="Times New Roman"/>
                <w:color w:val="auto"/>
                <w:spacing w:val="0"/>
                <w:w w:val="100"/>
                <w:kern w:val="0"/>
                <w:position w:val="0"/>
                <w:sz w:val="24"/>
                <w:szCs w:val="24"/>
                <w:u w:val="none" w:color="auto"/>
                <w:lang w:val="en-US" w:eastAsia="zh-CN"/>
              </w:rPr>
              <w:t>t/a</w:t>
            </w:r>
            <w:r>
              <w:rPr>
                <w:rFonts w:hint="eastAsia" w:ascii="Times New Roman" w:hAnsi="Times New Roman" w:eastAsia="宋体" w:cs="Times New Roman"/>
                <w:color w:val="auto"/>
                <w:spacing w:val="0"/>
                <w:w w:val="100"/>
                <w:kern w:val="0"/>
                <w:position w:val="0"/>
                <w:sz w:val="24"/>
                <w:szCs w:val="24"/>
                <w:u w:val="none" w:color="auto"/>
                <w:lang w:val="en-US" w:eastAsia="zh-CN"/>
              </w:rPr>
              <w:t>，金属边角废料收集至一般固废暂存间后交由物资回收公司回收处理。</w:t>
            </w:r>
          </w:p>
          <w:p w14:paraId="5820E4F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fldChar w:fldCharType="begin"/>
            </w:r>
            <w:r>
              <w:rPr>
                <w:rFonts w:hint="eastAsia" w:ascii="Times New Roman" w:hAnsi="Times New Roman" w:eastAsia="宋体" w:cs="Times New Roman"/>
                <w:color w:val="auto"/>
                <w:spacing w:val="0"/>
                <w:w w:val="100"/>
                <w:kern w:val="0"/>
                <w:position w:val="0"/>
                <w:sz w:val="24"/>
                <w:szCs w:val="24"/>
                <w:u w:val="none" w:color="auto"/>
                <w:lang w:val="en-US" w:eastAsia="zh-CN"/>
              </w:rPr>
              <w:instrText xml:space="preserve"> = 3 \* GB3 \* MERGEFORMAT </w:instrText>
            </w:r>
            <w:r>
              <w:rPr>
                <w:rFonts w:hint="eastAsia" w:ascii="Times New Roman" w:hAnsi="Times New Roman" w:eastAsia="宋体" w:cs="Times New Roman"/>
                <w:color w:val="auto"/>
                <w:spacing w:val="0"/>
                <w:w w:val="100"/>
                <w:kern w:val="0"/>
                <w:position w:val="0"/>
                <w:sz w:val="24"/>
                <w:szCs w:val="24"/>
                <w:u w:val="none" w:color="auto"/>
                <w:lang w:val="en-US" w:eastAsia="zh-CN"/>
              </w:rPr>
              <w:fldChar w:fldCharType="separate"/>
            </w:r>
            <w:r>
              <w:rPr>
                <w:rFonts w:hint="default"/>
                <w:color w:val="auto"/>
              </w:rPr>
              <w:t>③</w:t>
            </w:r>
            <w:r>
              <w:rPr>
                <w:rFonts w:hint="eastAsia" w:ascii="Times New Roman" w:hAnsi="Times New Roman" w:eastAsia="宋体" w:cs="Times New Roman"/>
                <w:color w:val="auto"/>
                <w:spacing w:val="0"/>
                <w:w w:val="100"/>
                <w:kern w:val="0"/>
                <w:position w:val="0"/>
                <w:sz w:val="24"/>
                <w:szCs w:val="24"/>
                <w:u w:val="none" w:color="auto"/>
                <w:lang w:val="en-US" w:eastAsia="zh-CN"/>
              </w:rPr>
              <w:fldChar w:fldCharType="end"/>
            </w:r>
            <w:r>
              <w:rPr>
                <w:rFonts w:hint="eastAsia" w:ascii="Times New Roman" w:hAnsi="Times New Roman" w:eastAsia="宋体" w:cs="Times New Roman"/>
                <w:color w:val="auto"/>
                <w:spacing w:val="0"/>
                <w:w w:val="100"/>
                <w:kern w:val="0"/>
                <w:position w:val="0"/>
                <w:sz w:val="24"/>
                <w:szCs w:val="24"/>
                <w:u w:val="none" w:color="auto"/>
                <w:lang w:val="en-US" w:eastAsia="zh-CN"/>
              </w:rPr>
              <w:t>焊渣</w:t>
            </w:r>
          </w:p>
          <w:p w14:paraId="699B0C1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焊渣是在焊接过程中清理焊缝时产生的，焊渣量为焊丝使用量的0.5</w:t>
            </w:r>
            <w:r>
              <w:rPr>
                <w:rFonts w:hint="default" w:ascii="Times New Roman" w:hAnsi="Times New Roman" w:eastAsia="宋体" w:cs="Times New Roman"/>
                <w:color w:val="auto"/>
                <w:spacing w:val="0"/>
                <w:w w:val="100"/>
                <w:kern w:val="0"/>
                <w:position w:val="0"/>
                <w:sz w:val="24"/>
                <w:szCs w:val="24"/>
                <w:u w:val="none" w:color="auto"/>
                <w:lang w:val="en-US" w:eastAsia="zh-CN"/>
              </w:rPr>
              <w:t>%</w:t>
            </w:r>
            <w:r>
              <w:rPr>
                <w:rFonts w:hint="eastAsia" w:ascii="Times New Roman" w:hAnsi="Times New Roman" w:eastAsia="宋体" w:cs="Times New Roman"/>
                <w:color w:val="auto"/>
                <w:spacing w:val="0"/>
                <w:w w:val="100"/>
                <w:kern w:val="0"/>
                <w:position w:val="0"/>
                <w:sz w:val="24"/>
                <w:szCs w:val="24"/>
                <w:u w:val="none" w:color="auto"/>
                <w:lang w:val="en-US" w:eastAsia="zh-CN"/>
              </w:rPr>
              <w:t>左右，项目年使用焊丝、焊条用量为15</w:t>
            </w:r>
            <w:r>
              <w:rPr>
                <w:rFonts w:hint="default" w:ascii="Times New Roman" w:hAnsi="Times New Roman" w:eastAsia="宋体" w:cs="Times New Roman"/>
                <w:color w:val="auto"/>
                <w:spacing w:val="0"/>
                <w:w w:val="100"/>
                <w:kern w:val="0"/>
                <w:position w:val="0"/>
                <w:sz w:val="24"/>
                <w:szCs w:val="24"/>
                <w:u w:val="none" w:color="auto"/>
                <w:lang w:val="en-US" w:eastAsia="zh-CN"/>
              </w:rPr>
              <w:t>t/a</w:t>
            </w:r>
            <w:r>
              <w:rPr>
                <w:rFonts w:hint="eastAsia" w:ascii="Times New Roman" w:hAnsi="Times New Roman" w:eastAsia="宋体" w:cs="Times New Roman"/>
                <w:color w:val="auto"/>
                <w:spacing w:val="0"/>
                <w:w w:val="100"/>
                <w:kern w:val="0"/>
                <w:position w:val="0"/>
                <w:sz w:val="24"/>
                <w:szCs w:val="24"/>
                <w:u w:val="none" w:color="auto"/>
                <w:lang w:val="en-US" w:eastAsia="zh-CN"/>
              </w:rPr>
              <w:t>，则焊渣产生量为</w:t>
            </w:r>
            <w:r>
              <w:rPr>
                <w:rFonts w:hint="default" w:ascii="Times New Roman" w:hAnsi="Times New Roman" w:eastAsia="宋体" w:cs="Times New Roman"/>
                <w:color w:val="auto"/>
                <w:spacing w:val="0"/>
                <w:w w:val="100"/>
                <w:kern w:val="0"/>
                <w:position w:val="0"/>
                <w:sz w:val="24"/>
                <w:szCs w:val="24"/>
                <w:u w:val="none" w:color="auto"/>
                <w:lang w:val="en-US" w:eastAsia="zh-CN"/>
              </w:rPr>
              <w:t>0.</w:t>
            </w:r>
            <w:r>
              <w:rPr>
                <w:rFonts w:hint="eastAsia" w:ascii="Times New Roman" w:hAnsi="Times New Roman" w:eastAsia="宋体" w:cs="Times New Roman"/>
                <w:color w:val="auto"/>
                <w:spacing w:val="0"/>
                <w:w w:val="100"/>
                <w:kern w:val="0"/>
                <w:position w:val="0"/>
                <w:sz w:val="24"/>
                <w:szCs w:val="24"/>
                <w:u w:val="none" w:color="auto"/>
                <w:lang w:val="en-US" w:eastAsia="zh-CN"/>
              </w:rPr>
              <w:t>075</w:t>
            </w:r>
            <w:r>
              <w:rPr>
                <w:rFonts w:hint="default" w:ascii="Times New Roman" w:hAnsi="Times New Roman" w:eastAsia="宋体" w:cs="Times New Roman"/>
                <w:color w:val="auto"/>
                <w:spacing w:val="0"/>
                <w:w w:val="100"/>
                <w:kern w:val="0"/>
                <w:position w:val="0"/>
                <w:sz w:val="24"/>
                <w:szCs w:val="24"/>
                <w:u w:val="none" w:color="auto"/>
                <w:lang w:val="en-US" w:eastAsia="zh-CN"/>
              </w:rPr>
              <w:t>t/a</w:t>
            </w:r>
            <w:r>
              <w:rPr>
                <w:rFonts w:hint="eastAsia" w:ascii="Times New Roman" w:hAnsi="Times New Roman" w:eastAsia="宋体" w:cs="Times New Roman"/>
                <w:color w:val="auto"/>
                <w:spacing w:val="0"/>
                <w:w w:val="100"/>
                <w:kern w:val="0"/>
                <w:position w:val="0"/>
                <w:sz w:val="24"/>
                <w:szCs w:val="24"/>
                <w:u w:val="none" w:color="auto"/>
                <w:lang w:val="en-US" w:eastAsia="zh-CN"/>
              </w:rPr>
              <w:t>，经集中收集一般固废暂存间后交由物资回收公司回收处理。</w:t>
            </w:r>
          </w:p>
          <w:p w14:paraId="4E020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微软雅黑" w:cs="Times New Roman"/>
                <w:color w:val="auto"/>
                <w:sz w:val="24"/>
                <w:szCs w:val="24"/>
                <w:shd w:val="clear" w:color="auto" w:fill="auto"/>
                <w:lang w:val="en-US" w:eastAsia="zh-CN"/>
              </w:rPr>
            </w:pPr>
            <w:r>
              <w:rPr>
                <w:rFonts w:hint="default" w:ascii="Times New Roman" w:hAnsi="Times New Roman" w:eastAsia="微软雅黑" w:cs="Times New Roman"/>
                <w:color w:val="auto"/>
                <w:sz w:val="24"/>
                <w:szCs w:val="24"/>
                <w:shd w:val="clear" w:color="auto" w:fill="auto"/>
                <w:lang w:eastAsia="zh-CN"/>
              </w:rPr>
              <w:t>④</w:t>
            </w:r>
            <w:r>
              <w:rPr>
                <w:rFonts w:hint="eastAsia" w:ascii="Times New Roman" w:hAnsi="Times New Roman" w:eastAsia="宋体" w:cs="Times New Roman"/>
                <w:color w:val="auto"/>
                <w:spacing w:val="0"/>
                <w:w w:val="100"/>
                <w:kern w:val="0"/>
                <w:position w:val="0"/>
                <w:sz w:val="24"/>
                <w:szCs w:val="24"/>
                <w:u w:val="none" w:color="auto"/>
                <w:lang w:val="en-US" w:eastAsia="zh-CN"/>
              </w:rPr>
              <w:t>废钢丸</w:t>
            </w:r>
          </w:p>
          <w:p w14:paraId="14028DB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抛丸过程中钢丸会持续磨损，经过一段时间后钢丸需要更换。根据建设方提供资料，项目废钢丸年产生量约为2</w:t>
            </w:r>
            <w:r>
              <w:rPr>
                <w:rFonts w:hint="default" w:ascii="Times New Roman" w:hAnsi="Times New Roman" w:eastAsia="宋体" w:cs="Times New Roman"/>
                <w:color w:val="auto"/>
                <w:spacing w:val="0"/>
                <w:w w:val="100"/>
                <w:kern w:val="0"/>
                <w:position w:val="0"/>
                <w:sz w:val="24"/>
                <w:szCs w:val="24"/>
                <w:u w:val="none" w:color="auto"/>
                <w:lang w:val="en-US" w:eastAsia="zh-CN"/>
              </w:rPr>
              <w:t>t</w:t>
            </w:r>
            <w:r>
              <w:rPr>
                <w:rFonts w:hint="eastAsia" w:ascii="Times New Roman" w:hAnsi="Times New Roman" w:eastAsia="宋体" w:cs="Times New Roman"/>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rPr>
              <w:t>a</w:t>
            </w:r>
            <w:r>
              <w:rPr>
                <w:rFonts w:hint="eastAsia" w:ascii="Times New Roman" w:hAnsi="Times New Roman" w:eastAsia="宋体" w:cs="Times New Roman"/>
                <w:color w:val="auto"/>
                <w:spacing w:val="0"/>
                <w:w w:val="100"/>
                <w:kern w:val="0"/>
                <w:position w:val="0"/>
                <w:sz w:val="24"/>
                <w:szCs w:val="24"/>
                <w:u w:val="none" w:color="auto"/>
                <w:lang w:val="en-US" w:eastAsia="zh-CN"/>
              </w:rPr>
              <w:t>，经集中收集至一般固废暂存间后交由物资回收公司回收处理。</w:t>
            </w:r>
          </w:p>
          <w:p w14:paraId="746B90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begin"/>
            </w:r>
            <w:r>
              <w:rPr>
                <w:rFonts w:hint="default" w:ascii="Times New Roman" w:hAnsi="Times New Roman" w:eastAsia="宋体" w:cs="Times New Roman"/>
                <w:color w:val="auto"/>
                <w:spacing w:val="0"/>
                <w:w w:val="100"/>
                <w:kern w:val="0"/>
                <w:position w:val="0"/>
                <w:sz w:val="24"/>
                <w:szCs w:val="24"/>
                <w:u w:val="none" w:color="auto"/>
                <w:lang w:val="en-US" w:eastAsia="zh-CN"/>
              </w:rPr>
              <w:instrText xml:space="preserve"> = 5 \* GB3 \* MERGEFORMAT </w:instrText>
            </w: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separate"/>
            </w:r>
            <w:r>
              <w:rPr>
                <w:rFonts w:hint="default"/>
              </w:rPr>
              <w:t>⑤</w:t>
            </w: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end"/>
            </w:r>
            <w:r>
              <w:rPr>
                <w:rFonts w:hint="eastAsia" w:ascii="Times New Roman" w:hAnsi="Times New Roman" w:eastAsia="宋体" w:cs="Times New Roman"/>
                <w:b w:val="0"/>
                <w:bCs w:val="0"/>
                <w:color w:val="auto"/>
                <w:spacing w:val="0"/>
                <w:sz w:val="24"/>
                <w:szCs w:val="24"/>
                <w:lang w:val="en-US" w:eastAsia="zh-CN"/>
              </w:rPr>
              <w:t>抛丸收集粉尘</w:t>
            </w:r>
          </w:p>
          <w:p w14:paraId="1CFA8B9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项目抛丸粉尘主要成分包括铁砂及工件基材金属碎屑、工件表面的氧化皮等，均为性质较为稳定的无机金属单质及简单化合物，属于具有回收利用价值一般工业固体废物。经工程分析可知，抛丸收集粉尘量为9.58t/a，经集中收集至一般固废暂存间后交由物资回收公司回收处理。</w:t>
            </w:r>
          </w:p>
          <w:p w14:paraId="400F581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w:t>
            </w:r>
            <w:r>
              <w:rPr>
                <w:rFonts w:hint="eastAsia" w:cs="Times New Roman"/>
                <w:color w:val="auto"/>
                <w:sz w:val="24"/>
                <w:szCs w:val="24"/>
                <w:lang w:val="en-US" w:eastAsia="zh-CN"/>
              </w:rPr>
              <w:t>2</w:t>
            </w:r>
            <w:r>
              <w:rPr>
                <w:rFonts w:hint="default" w:ascii="Times New Roman" w:hAnsi="Times New Roman" w:cs="Times New Roman"/>
                <w:color w:val="auto"/>
                <w:sz w:val="24"/>
                <w:szCs w:val="24"/>
              </w:rPr>
              <w:t>）</w:t>
            </w:r>
            <w:r>
              <w:rPr>
                <w:rFonts w:hint="eastAsia" w:cs="Times New Roman"/>
                <w:color w:val="auto"/>
                <w:sz w:val="24"/>
                <w:szCs w:val="24"/>
                <w:lang w:eastAsia="zh-CN"/>
              </w:rPr>
              <w:t>危险废物</w:t>
            </w:r>
          </w:p>
          <w:p w14:paraId="09509A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begin"/>
            </w:r>
            <w:r>
              <w:rPr>
                <w:rFonts w:hint="default" w:ascii="Times New Roman" w:hAnsi="Times New Roman" w:eastAsia="宋体" w:cs="Times New Roman"/>
                <w:color w:val="auto"/>
                <w:spacing w:val="0"/>
                <w:w w:val="100"/>
                <w:kern w:val="0"/>
                <w:position w:val="0"/>
                <w:sz w:val="24"/>
                <w:szCs w:val="24"/>
                <w:u w:val="none" w:color="auto"/>
                <w:lang w:val="en-US" w:eastAsia="zh-CN"/>
              </w:rPr>
              <w:instrText xml:space="preserve"> = 1 \* GB3 \* MERGEFORMAT </w:instrText>
            </w: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separate"/>
            </w:r>
            <w:r>
              <w:rPr>
                <w:rFonts w:hint="default" w:ascii="Times New Roman" w:hAnsi="Times New Roman" w:eastAsia="宋体" w:cs="Times New Roman"/>
                <w:color w:val="auto"/>
                <w:spacing w:val="0"/>
                <w:sz w:val="24"/>
                <w:szCs w:val="24"/>
              </w:rPr>
              <w:t>①</w:t>
            </w: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end"/>
            </w:r>
            <w:r>
              <w:rPr>
                <w:rFonts w:hint="default" w:ascii="Times New Roman" w:hAnsi="Times New Roman" w:eastAsia="宋体" w:cs="Times New Roman"/>
                <w:color w:val="auto"/>
                <w:spacing w:val="0"/>
                <w:w w:val="100"/>
                <w:kern w:val="0"/>
                <w:position w:val="0"/>
                <w:sz w:val="24"/>
                <w:szCs w:val="24"/>
                <w:u w:val="none" w:color="auto"/>
                <w:lang w:val="en-US" w:eastAsia="zh-CN"/>
              </w:rPr>
              <w:t>废包装</w:t>
            </w:r>
            <w:r>
              <w:rPr>
                <w:rFonts w:hint="eastAsia" w:eastAsia="宋体" w:cs="Times New Roman"/>
                <w:color w:val="auto"/>
                <w:spacing w:val="0"/>
                <w:w w:val="100"/>
                <w:kern w:val="0"/>
                <w:position w:val="0"/>
                <w:sz w:val="24"/>
                <w:szCs w:val="24"/>
                <w:u w:val="none" w:color="auto"/>
                <w:lang w:val="en-US" w:eastAsia="zh-CN"/>
              </w:rPr>
              <w:t>桶</w:t>
            </w:r>
          </w:p>
          <w:p w14:paraId="53F48D6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项目运营期会产生废油漆桶、废溶剂桶、废固化剂桶等废包装桶，根据《国家危险废物名录》，废物类</w:t>
            </w:r>
            <w:r>
              <w:rPr>
                <w:rFonts w:hint="default" w:ascii="Times New Roman" w:hAnsi="Times New Roman" w:eastAsia="宋体" w:cs="Times New Roman"/>
                <w:color w:val="auto"/>
                <w:spacing w:val="0"/>
                <w:w w:val="100"/>
                <w:kern w:val="0"/>
                <w:position w:val="0"/>
                <w:sz w:val="24"/>
                <w:szCs w:val="24"/>
                <w:u w:val="none" w:color="auto"/>
                <w:lang w:val="en-US" w:eastAsia="zh-CN"/>
              </w:rPr>
              <w:t>HW49</w:t>
            </w:r>
            <w:r>
              <w:rPr>
                <w:rFonts w:hint="eastAsia" w:ascii="Times New Roman" w:hAnsi="Times New Roman" w:eastAsia="宋体" w:cs="Times New Roman"/>
                <w:color w:val="auto"/>
                <w:spacing w:val="0"/>
                <w:w w:val="100"/>
                <w:kern w:val="0"/>
                <w:position w:val="0"/>
                <w:sz w:val="24"/>
                <w:szCs w:val="24"/>
                <w:u w:val="none" w:color="auto"/>
                <w:lang w:val="en-US" w:eastAsia="zh-CN"/>
              </w:rPr>
              <w:t>，废物代码：</w:t>
            </w:r>
            <w:r>
              <w:rPr>
                <w:rFonts w:hint="default" w:ascii="Times New Roman" w:hAnsi="Times New Roman" w:eastAsia="宋体" w:cs="Times New Roman"/>
                <w:color w:val="auto"/>
                <w:spacing w:val="0"/>
                <w:w w:val="100"/>
                <w:kern w:val="0"/>
                <w:position w:val="0"/>
                <w:sz w:val="24"/>
                <w:szCs w:val="24"/>
                <w:u w:val="none" w:color="auto"/>
                <w:lang w:val="en-US" w:eastAsia="zh-CN"/>
              </w:rPr>
              <w:t>900-041-49</w:t>
            </w:r>
            <w:r>
              <w:rPr>
                <w:rFonts w:hint="eastAsia" w:ascii="Times New Roman" w:hAnsi="Times New Roman" w:eastAsia="宋体" w:cs="Times New Roman"/>
                <w:color w:val="auto"/>
                <w:spacing w:val="0"/>
                <w:w w:val="100"/>
                <w:kern w:val="0"/>
                <w:position w:val="0"/>
                <w:sz w:val="24"/>
                <w:szCs w:val="24"/>
                <w:u w:val="none" w:color="auto"/>
                <w:lang w:val="en-US" w:eastAsia="zh-CN"/>
              </w:rPr>
              <w:t>。根据建设方提供资料，年用油漆、稀释剂、固化剂用量为6.12</w:t>
            </w:r>
            <w:r>
              <w:rPr>
                <w:rFonts w:hint="default" w:ascii="Times New Roman" w:hAnsi="Times New Roman" w:eastAsia="宋体" w:cs="Times New Roman"/>
                <w:color w:val="auto"/>
                <w:spacing w:val="0"/>
                <w:w w:val="100"/>
                <w:kern w:val="0"/>
                <w:position w:val="0"/>
                <w:sz w:val="24"/>
                <w:szCs w:val="24"/>
                <w:u w:val="none" w:color="auto"/>
                <w:lang w:val="en-US" w:eastAsia="zh-CN"/>
              </w:rPr>
              <w:t>t/a</w:t>
            </w:r>
            <w:r>
              <w:rPr>
                <w:rFonts w:hint="eastAsia" w:ascii="Times New Roman" w:hAnsi="Times New Roman" w:eastAsia="宋体" w:cs="Times New Roman"/>
                <w:color w:val="auto"/>
                <w:spacing w:val="0"/>
                <w:w w:val="100"/>
                <w:kern w:val="0"/>
                <w:position w:val="0"/>
                <w:sz w:val="24"/>
                <w:szCs w:val="24"/>
                <w:u w:val="none" w:color="auto"/>
                <w:lang w:val="en-US" w:eastAsia="zh-CN"/>
              </w:rPr>
              <w:t>，包装规格为50kg/桶、25kg/桶，共计约200个，每个空桶按平均质量约1kg计，则废包装桶的产生量约为0.2t/a，收集至危废暂存间暂存后，交由有危废处理资质单位统一处理。</w:t>
            </w:r>
          </w:p>
          <w:p w14:paraId="7DF74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kern w:val="0"/>
                <w:position w:val="0"/>
                <w:sz w:val="24"/>
                <w:szCs w:val="24"/>
                <w:u w:val="none" w:color="auto"/>
                <w:lang w:val="en-US" w:eastAsia="zh-CN"/>
              </w:rPr>
              <w:t>②</w:t>
            </w:r>
            <w:r>
              <w:rPr>
                <w:rFonts w:hint="eastAsia" w:ascii="Times New Roman" w:hAnsi="Times New Roman" w:eastAsia="宋体" w:cs="Times New Roman"/>
                <w:b w:val="0"/>
                <w:bCs w:val="0"/>
                <w:color w:val="auto"/>
                <w:spacing w:val="0"/>
                <w:sz w:val="24"/>
                <w:szCs w:val="24"/>
                <w:lang w:val="en-US" w:eastAsia="zh-CN"/>
              </w:rPr>
              <w:t>废辊涂工具、废毛刷</w:t>
            </w:r>
          </w:p>
          <w:p w14:paraId="14A7188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z w:val="24"/>
                <w:szCs w:val="24"/>
                <w:u w:val="none"/>
                <w:lang w:val="en-US" w:eastAsia="zh-CN"/>
              </w:rPr>
              <w:t>根据建设方提供资料，项目刷漆工序采用人工刷涂，过程中会产生废</w:t>
            </w:r>
            <w:r>
              <w:rPr>
                <w:rFonts w:hint="eastAsia" w:ascii="Times New Roman" w:hAnsi="Times New Roman" w:eastAsia="宋体" w:cs="Times New Roman"/>
                <w:b w:val="0"/>
                <w:bCs w:val="0"/>
                <w:color w:val="auto"/>
                <w:spacing w:val="0"/>
                <w:sz w:val="24"/>
                <w:szCs w:val="24"/>
                <w:lang w:val="en-US" w:eastAsia="zh-CN"/>
              </w:rPr>
              <w:t>废辊涂工具、废毛刷等废刷漆工具</w:t>
            </w:r>
            <w:r>
              <w:rPr>
                <w:rFonts w:hint="eastAsia" w:ascii="Times New Roman" w:hAnsi="Times New Roman" w:eastAsia="宋体" w:cs="Times New Roman"/>
                <w:color w:val="auto"/>
                <w:sz w:val="24"/>
                <w:szCs w:val="24"/>
                <w:u w:val="none"/>
                <w:lang w:val="en-US" w:eastAsia="zh-CN"/>
              </w:rPr>
              <w:t>，产生量约为</w:t>
            </w:r>
            <w:r>
              <w:rPr>
                <w:rFonts w:hint="default" w:ascii="Times New Roman" w:hAnsi="Times New Roman" w:eastAsia="宋体" w:cs="Times New Roman"/>
                <w:color w:val="auto"/>
                <w:sz w:val="24"/>
                <w:szCs w:val="24"/>
                <w:u w:val="none"/>
                <w:lang w:val="en-US" w:eastAsia="zh-CN"/>
              </w:rPr>
              <w:t>0.</w:t>
            </w:r>
            <w:r>
              <w:rPr>
                <w:rFonts w:hint="eastAsia" w:ascii="Times New Roman" w:hAnsi="Times New Roman" w:eastAsia="宋体" w:cs="Times New Roman"/>
                <w:color w:val="auto"/>
                <w:sz w:val="24"/>
                <w:szCs w:val="24"/>
                <w:u w:val="none"/>
                <w:lang w:val="en-US" w:eastAsia="zh-CN"/>
              </w:rPr>
              <w:t>05</w:t>
            </w:r>
            <w:r>
              <w:rPr>
                <w:rFonts w:hint="default" w:ascii="Times New Roman" w:hAnsi="Times New Roman" w:eastAsia="宋体" w:cs="Times New Roman"/>
                <w:color w:val="auto"/>
                <w:sz w:val="24"/>
                <w:szCs w:val="24"/>
                <w:u w:val="none"/>
                <w:lang w:val="en-US" w:eastAsia="zh-CN"/>
              </w:rPr>
              <w:t>t/a</w:t>
            </w:r>
            <w:r>
              <w:rPr>
                <w:rFonts w:hint="eastAsia" w:ascii="Times New Roman" w:hAnsi="Times New Roman" w:eastAsia="宋体" w:cs="Times New Roman"/>
                <w:color w:val="auto"/>
                <w:sz w:val="24"/>
                <w:szCs w:val="24"/>
                <w:u w:val="none"/>
                <w:lang w:val="en-US" w:eastAsia="zh-CN"/>
              </w:rPr>
              <w:t>。</w:t>
            </w:r>
            <w:r>
              <w:rPr>
                <w:rFonts w:hint="default" w:cs="Times New Roman"/>
                <w:color w:val="auto"/>
                <w:sz w:val="24"/>
                <w:szCs w:val="24"/>
                <w:highlight w:val="none"/>
                <w:u w:val="none"/>
                <w:lang w:val="en-US" w:eastAsia="zh-CN"/>
              </w:rPr>
              <w:t>根据《国家危险废物名录》（</w:t>
            </w:r>
            <w:r>
              <w:rPr>
                <w:rFonts w:hint="eastAsia" w:cs="Times New Roman"/>
                <w:color w:val="auto"/>
                <w:sz w:val="24"/>
                <w:szCs w:val="24"/>
                <w:highlight w:val="none"/>
                <w:u w:val="none"/>
                <w:lang w:val="en-US" w:eastAsia="zh-CN"/>
              </w:rPr>
              <w:t>2025年版</w:t>
            </w:r>
            <w:r>
              <w:rPr>
                <w:rFonts w:hint="default" w:cs="Times New Roman"/>
                <w:color w:val="auto"/>
                <w:sz w:val="24"/>
                <w:szCs w:val="24"/>
                <w:highlight w:val="none"/>
                <w:u w:val="none"/>
                <w:lang w:val="en-US" w:eastAsia="zh-CN"/>
              </w:rPr>
              <w:t>），</w:t>
            </w:r>
            <w:r>
              <w:rPr>
                <w:rFonts w:hint="eastAsia" w:ascii="Times New Roman" w:hAnsi="Times New Roman" w:eastAsia="宋体" w:cs="Times New Roman"/>
                <w:b w:val="0"/>
                <w:bCs w:val="0"/>
                <w:color w:val="auto"/>
                <w:spacing w:val="0"/>
                <w:sz w:val="24"/>
                <w:szCs w:val="24"/>
                <w:lang w:val="en-US" w:eastAsia="zh-CN"/>
              </w:rPr>
              <w:t>废辊涂工具、废毛刷</w:t>
            </w:r>
            <w:r>
              <w:rPr>
                <w:rFonts w:hint="eastAsia" w:ascii="Times New Roman" w:hAnsi="Times New Roman" w:eastAsia="宋体" w:cs="Times New Roman"/>
                <w:color w:val="auto"/>
                <w:sz w:val="24"/>
                <w:szCs w:val="24"/>
                <w:u w:val="none"/>
                <w:lang w:val="en-US" w:eastAsia="zh-CN"/>
              </w:rPr>
              <w:t>属于危险废物，</w:t>
            </w:r>
            <w:r>
              <w:rPr>
                <w:rFonts w:hint="eastAsia" w:ascii="Times New Roman" w:hAnsi="Times New Roman" w:eastAsia="宋体" w:cs="Times New Roman"/>
                <w:color w:val="auto"/>
                <w:spacing w:val="0"/>
                <w:w w:val="100"/>
                <w:kern w:val="0"/>
                <w:position w:val="0"/>
                <w:sz w:val="24"/>
                <w:szCs w:val="24"/>
                <w:u w:val="none" w:color="auto"/>
                <w:lang w:val="en-US" w:eastAsia="zh-CN"/>
              </w:rPr>
              <w:t>废物类别为</w:t>
            </w:r>
            <w:r>
              <w:rPr>
                <w:rFonts w:hint="default" w:ascii="Times New Roman" w:hAnsi="Times New Roman" w:eastAsia="宋体" w:cs="Times New Roman"/>
                <w:color w:val="auto"/>
                <w:spacing w:val="0"/>
                <w:w w:val="100"/>
                <w:kern w:val="0"/>
                <w:position w:val="0"/>
                <w:sz w:val="24"/>
                <w:szCs w:val="24"/>
                <w:u w:val="none" w:color="auto"/>
                <w:lang w:val="en-US" w:eastAsia="zh-CN"/>
              </w:rPr>
              <w:t>HW</w:t>
            </w:r>
            <w:r>
              <w:rPr>
                <w:rFonts w:hint="eastAsia" w:ascii="Times New Roman" w:hAnsi="Times New Roman" w:eastAsia="宋体" w:cs="Times New Roman"/>
                <w:color w:val="auto"/>
                <w:spacing w:val="0"/>
                <w:w w:val="100"/>
                <w:kern w:val="0"/>
                <w:position w:val="0"/>
                <w:sz w:val="24"/>
                <w:szCs w:val="24"/>
                <w:u w:val="none" w:color="auto"/>
                <w:lang w:val="en-US" w:eastAsia="zh-CN"/>
              </w:rPr>
              <w:t>49，废物代码为</w:t>
            </w:r>
            <w:r>
              <w:rPr>
                <w:rFonts w:hint="default" w:ascii="Times New Roman" w:hAnsi="Times New Roman" w:eastAsia="宋体" w:cs="Times New Roman"/>
                <w:color w:val="auto"/>
                <w:spacing w:val="0"/>
                <w:w w:val="100"/>
                <w:kern w:val="0"/>
                <w:position w:val="0"/>
                <w:sz w:val="24"/>
                <w:szCs w:val="24"/>
                <w:u w:val="none" w:color="auto"/>
                <w:lang w:val="en-US" w:eastAsia="zh-CN"/>
              </w:rPr>
              <w:t>900-</w:t>
            </w:r>
            <w:r>
              <w:rPr>
                <w:rFonts w:hint="eastAsia" w:ascii="Times New Roman" w:hAnsi="Times New Roman" w:eastAsia="宋体" w:cs="Times New Roman"/>
                <w:color w:val="auto"/>
                <w:spacing w:val="0"/>
                <w:w w:val="100"/>
                <w:kern w:val="0"/>
                <w:position w:val="0"/>
                <w:sz w:val="24"/>
                <w:szCs w:val="24"/>
                <w:u w:val="none" w:color="auto"/>
                <w:lang w:val="en-US" w:eastAsia="zh-CN"/>
              </w:rPr>
              <w:t>041</w:t>
            </w:r>
            <w:r>
              <w:rPr>
                <w:rFonts w:hint="default" w:ascii="Times New Roman" w:hAnsi="Times New Roman" w:eastAsia="宋体" w:cs="Times New Roman"/>
                <w:color w:val="auto"/>
                <w:spacing w:val="0"/>
                <w:w w:val="100"/>
                <w:kern w:val="0"/>
                <w:position w:val="0"/>
                <w:sz w:val="24"/>
                <w:szCs w:val="24"/>
                <w:u w:val="none" w:color="auto"/>
                <w:lang w:val="en-US" w:eastAsia="zh-CN"/>
              </w:rPr>
              <w:t>-</w:t>
            </w:r>
            <w:r>
              <w:rPr>
                <w:rFonts w:hint="eastAsia" w:ascii="Times New Roman" w:hAnsi="Times New Roman" w:eastAsia="宋体" w:cs="Times New Roman"/>
                <w:color w:val="auto"/>
                <w:spacing w:val="0"/>
                <w:w w:val="100"/>
                <w:kern w:val="0"/>
                <w:position w:val="0"/>
                <w:sz w:val="24"/>
                <w:szCs w:val="24"/>
                <w:u w:val="none" w:color="auto"/>
                <w:lang w:val="en-US" w:eastAsia="zh-CN"/>
              </w:rPr>
              <w:t>49，收集暂存于危废暂存间后，定期交由有资质单位处理。</w:t>
            </w:r>
          </w:p>
          <w:p w14:paraId="71FC8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fldChar w:fldCharType="begin"/>
            </w:r>
            <w:r>
              <w:rPr>
                <w:rFonts w:hint="eastAsia" w:ascii="Times New Roman" w:hAnsi="Times New Roman" w:eastAsia="宋体" w:cs="Times New Roman"/>
                <w:color w:val="auto"/>
                <w:spacing w:val="0"/>
                <w:w w:val="100"/>
                <w:kern w:val="0"/>
                <w:position w:val="0"/>
                <w:sz w:val="24"/>
                <w:szCs w:val="24"/>
                <w:u w:val="none" w:color="auto"/>
                <w:lang w:val="en-US" w:eastAsia="zh-CN"/>
              </w:rPr>
              <w:instrText xml:space="preserve"> = 3 \* GB3 \* MERGEFORMAT </w:instrText>
            </w:r>
            <w:r>
              <w:rPr>
                <w:rFonts w:hint="eastAsia" w:ascii="Times New Roman" w:hAnsi="Times New Roman" w:eastAsia="宋体" w:cs="Times New Roman"/>
                <w:color w:val="auto"/>
                <w:spacing w:val="0"/>
                <w:w w:val="100"/>
                <w:kern w:val="0"/>
                <w:position w:val="0"/>
                <w:sz w:val="24"/>
                <w:szCs w:val="24"/>
                <w:u w:val="none" w:color="auto"/>
                <w:lang w:val="en-US" w:eastAsia="zh-CN"/>
              </w:rPr>
              <w:fldChar w:fldCharType="separate"/>
            </w:r>
            <w:r>
              <w:rPr>
                <w:rFonts w:hint="default"/>
                <w:color w:val="auto"/>
              </w:rPr>
              <w:t>③</w:t>
            </w:r>
            <w:r>
              <w:rPr>
                <w:rFonts w:hint="eastAsia" w:ascii="Times New Roman" w:hAnsi="Times New Roman" w:eastAsia="宋体" w:cs="Times New Roman"/>
                <w:color w:val="auto"/>
                <w:spacing w:val="0"/>
                <w:w w:val="100"/>
                <w:kern w:val="0"/>
                <w:position w:val="0"/>
                <w:sz w:val="24"/>
                <w:szCs w:val="24"/>
                <w:u w:val="none" w:color="auto"/>
                <w:lang w:val="en-US" w:eastAsia="zh-CN"/>
              </w:rPr>
              <w:fldChar w:fldCharType="end"/>
            </w:r>
            <w:r>
              <w:rPr>
                <w:rFonts w:hint="eastAsia" w:ascii="Times New Roman" w:hAnsi="Times New Roman" w:eastAsia="宋体" w:cs="Times New Roman"/>
                <w:color w:val="auto"/>
                <w:sz w:val="24"/>
                <w:szCs w:val="24"/>
                <w:u w:val="none"/>
                <w:lang w:val="en-US" w:eastAsia="zh-CN"/>
              </w:rPr>
              <w:t>废液压油</w:t>
            </w:r>
          </w:p>
          <w:p w14:paraId="353A95F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本项目部分设备中的液压油需每年更换一次。项目液压油一年更换用量约为0.1</w:t>
            </w:r>
            <w:r>
              <w:rPr>
                <w:rFonts w:hint="default" w:ascii="Times New Roman" w:hAnsi="Times New Roman" w:eastAsia="宋体" w:cs="Times New Roman"/>
                <w:color w:val="auto"/>
                <w:spacing w:val="0"/>
                <w:w w:val="100"/>
                <w:kern w:val="0"/>
                <w:position w:val="0"/>
                <w:sz w:val="24"/>
                <w:szCs w:val="24"/>
                <w:u w:val="none" w:color="auto"/>
                <w:lang w:val="en-US" w:eastAsia="zh-CN"/>
              </w:rPr>
              <w:t>t</w:t>
            </w:r>
            <w:r>
              <w:rPr>
                <w:rFonts w:hint="eastAsia" w:ascii="Times New Roman" w:hAnsi="Times New Roman" w:eastAsia="宋体" w:cs="Times New Roman"/>
                <w:color w:val="auto"/>
                <w:spacing w:val="0"/>
                <w:w w:val="100"/>
                <w:kern w:val="0"/>
                <w:position w:val="0"/>
                <w:sz w:val="24"/>
                <w:szCs w:val="24"/>
                <w:u w:val="none" w:color="auto"/>
                <w:lang w:val="en-US" w:eastAsia="zh-CN"/>
              </w:rPr>
              <w:t>。根据《国家危险废物名录》（</w:t>
            </w:r>
            <w:r>
              <w:rPr>
                <w:rFonts w:hint="eastAsia" w:cs="Times New Roman"/>
                <w:color w:val="auto"/>
                <w:spacing w:val="0"/>
                <w:w w:val="100"/>
                <w:kern w:val="0"/>
                <w:position w:val="0"/>
                <w:sz w:val="24"/>
                <w:szCs w:val="24"/>
                <w:u w:val="none" w:color="auto"/>
                <w:lang w:val="en-US" w:eastAsia="zh-CN"/>
              </w:rPr>
              <w:t>2025年版</w:t>
            </w:r>
            <w:r>
              <w:rPr>
                <w:rFonts w:hint="eastAsia" w:ascii="Times New Roman" w:hAnsi="Times New Roman" w:eastAsia="宋体" w:cs="Times New Roman"/>
                <w:color w:val="auto"/>
                <w:spacing w:val="0"/>
                <w:w w:val="100"/>
                <w:kern w:val="0"/>
                <w:position w:val="0"/>
                <w:sz w:val="24"/>
                <w:szCs w:val="24"/>
                <w:u w:val="none" w:color="auto"/>
                <w:lang w:val="en-US" w:eastAsia="zh-CN"/>
              </w:rPr>
              <w:t>），危险废物类别为</w:t>
            </w:r>
            <w:r>
              <w:rPr>
                <w:rFonts w:hint="default" w:ascii="Times New Roman" w:hAnsi="Times New Roman" w:eastAsia="宋体" w:cs="Times New Roman"/>
                <w:color w:val="auto"/>
                <w:spacing w:val="0"/>
                <w:w w:val="100"/>
                <w:kern w:val="0"/>
                <w:position w:val="0"/>
                <w:sz w:val="24"/>
                <w:szCs w:val="24"/>
                <w:u w:val="none" w:color="auto"/>
                <w:lang w:val="en-US" w:eastAsia="zh-CN"/>
              </w:rPr>
              <w:t>HW08</w:t>
            </w:r>
            <w:r>
              <w:rPr>
                <w:rFonts w:hint="eastAsia" w:ascii="Times New Roman" w:hAnsi="Times New Roman" w:eastAsia="宋体" w:cs="Times New Roman"/>
                <w:color w:val="auto"/>
                <w:spacing w:val="0"/>
                <w:w w:val="100"/>
                <w:kern w:val="0"/>
                <w:position w:val="0"/>
                <w:sz w:val="24"/>
                <w:szCs w:val="24"/>
                <w:u w:val="none" w:color="auto"/>
                <w:lang w:val="en-US" w:eastAsia="zh-CN"/>
              </w:rPr>
              <w:t>，废物代码为</w:t>
            </w:r>
            <w:r>
              <w:rPr>
                <w:rFonts w:hint="default" w:ascii="Times New Roman" w:hAnsi="Times New Roman" w:eastAsia="宋体" w:cs="Times New Roman"/>
                <w:color w:val="auto"/>
                <w:spacing w:val="0"/>
                <w:w w:val="100"/>
                <w:kern w:val="0"/>
                <w:position w:val="0"/>
                <w:sz w:val="24"/>
                <w:szCs w:val="24"/>
                <w:u w:val="none" w:color="auto"/>
                <w:lang w:val="en-US" w:eastAsia="zh-CN"/>
              </w:rPr>
              <w:t>900-218-08</w:t>
            </w:r>
            <w:r>
              <w:rPr>
                <w:rFonts w:hint="eastAsia" w:ascii="Times New Roman" w:hAnsi="Times New Roman" w:eastAsia="宋体" w:cs="Times New Roman"/>
                <w:color w:val="auto"/>
                <w:spacing w:val="0"/>
                <w:w w:val="100"/>
                <w:kern w:val="0"/>
                <w:position w:val="0"/>
                <w:sz w:val="24"/>
                <w:szCs w:val="24"/>
                <w:u w:val="none" w:color="auto"/>
                <w:lang w:val="en-US" w:eastAsia="zh-CN"/>
              </w:rPr>
              <w:t>，收集至危废暂存间暂存后委托有资质的单位处置。</w:t>
            </w:r>
          </w:p>
          <w:p w14:paraId="5E6E0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begin"/>
            </w:r>
            <w:r>
              <w:rPr>
                <w:rFonts w:hint="default" w:ascii="Times New Roman" w:hAnsi="Times New Roman" w:eastAsia="宋体" w:cs="Times New Roman"/>
                <w:color w:val="auto"/>
                <w:spacing w:val="0"/>
                <w:w w:val="100"/>
                <w:kern w:val="0"/>
                <w:position w:val="0"/>
                <w:sz w:val="24"/>
                <w:szCs w:val="24"/>
                <w:u w:val="none" w:color="auto"/>
                <w:lang w:val="en-US" w:eastAsia="zh-CN"/>
              </w:rPr>
              <w:instrText xml:space="preserve"> = 4 \* GB3 \* MERGEFORMAT </w:instrText>
            </w: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separate"/>
            </w:r>
            <w:r>
              <w:rPr>
                <w:rFonts w:hint="default" w:ascii="Times New Roman" w:hAnsi="Times New Roman" w:eastAsia="宋体" w:cs="Times New Roman"/>
                <w:color w:val="auto"/>
                <w:spacing w:val="0"/>
                <w:sz w:val="24"/>
                <w:szCs w:val="24"/>
              </w:rPr>
              <w:t>④</w:t>
            </w: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end"/>
            </w:r>
            <w:r>
              <w:rPr>
                <w:rFonts w:hint="eastAsia" w:ascii="Times New Roman" w:hAnsi="Times New Roman" w:eastAsia="宋体" w:cs="Times New Roman"/>
                <w:color w:val="auto"/>
                <w:spacing w:val="0"/>
                <w:w w:val="100"/>
                <w:kern w:val="0"/>
                <w:position w:val="0"/>
                <w:sz w:val="24"/>
                <w:szCs w:val="24"/>
                <w:u w:val="none" w:color="auto"/>
                <w:lang w:val="en-US" w:eastAsia="zh-CN"/>
              </w:rPr>
              <w:t>废冷却液</w:t>
            </w:r>
          </w:p>
          <w:p w14:paraId="74F9FEA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项目机加工过程会产生少量废冷却液，产生量约为0.1t/a。据《国家危险废物名录》（2025年版），危险废物类别为</w:t>
            </w:r>
            <w:r>
              <w:rPr>
                <w:rFonts w:hint="default" w:ascii="Times New Roman" w:hAnsi="Times New Roman" w:eastAsia="宋体" w:cs="Times New Roman"/>
                <w:color w:val="auto"/>
                <w:spacing w:val="0"/>
                <w:w w:val="100"/>
                <w:kern w:val="0"/>
                <w:position w:val="0"/>
                <w:sz w:val="24"/>
                <w:szCs w:val="24"/>
                <w:u w:val="none" w:color="auto"/>
                <w:lang w:val="en-US" w:eastAsia="zh-CN"/>
              </w:rPr>
              <w:t>HW0</w:t>
            </w:r>
            <w:r>
              <w:rPr>
                <w:rFonts w:hint="eastAsia" w:ascii="Times New Roman" w:hAnsi="Times New Roman" w:eastAsia="宋体" w:cs="Times New Roman"/>
                <w:color w:val="auto"/>
                <w:spacing w:val="0"/>
                <w:w w:val="100"/>
                <w:kern w:val="0"/>
                <w:position w:val="0"/>
                <w:sz w:val="24"/>
                <w:szCs w:val="24"/>
                <w:u w:val="none" w:color="auto"/>
                <w:lang w:val="en-US" w:eastAsia="zh-CN"/>
              </w:rPr>
              <w:t>9，废物代码为</w:t>
            </w:r>
            <w:r>
              <w:rPr>
                <w:rFonts w:hint="default" w:ascii="Times New Roman" w:hAnsi="Times New Roman" w:eastAsia="宋体" w:cs="Times New Roman"/>
                <w:color w:val="auto"/>
                <w:spacing w:val="0"/>
                <w:w w:val="100"/>
                <w:kern w:val="0"/>
                <w:position w:val="0"/>
                <w:sz w:val="24"/>
                <w:szCs w:val="24"/>
                <w:u w:val="none" w:color="auto"/>
                <w:lang w:val="en-US" w:eastAsia="zh-CN"/>
              </w:rPr>
              <w:t>900-</w:t>
            </w:r>
            <w:r>
              <w:rPr>
                <w:rFonts w:hint="eastAsia" w:ascii="Times New Roman" w:hAnsi="Times New Roman" w:eastAsia="宋体" w:cs="Times New Roman"/>
                <w:color w:val="auto"/>
                <w:spacing w:val="0"/>
                <w:w w:val="100"/>
                <w:kern w:val="0"/>
                <w:position w:val="0"/>
                <w:sz w:val="24"/>
                <w:szCs w:val="24"/>
                <w:u w:val="none" w:color="auto"/>
                <w:lang w:val="en-US" w:eastAsia="zh-CN"/>
              </w:rPr>
              <w:t>006</w:t>
            </w:r>
            <w:r>
              <w:rPr>
                <w:rFonts w:hint="default" w:ascii="Times New Roman" w:hAnsi="Times New Roman" w:eastAsia="宋体" w:cs="Times New Roman"/>
                <w:color w:val="auto"/>
                <w:spacing w:val="0"/>
                <w:w w:val="100"/>
                <w:kern w:val="0"/>
                <w:position w:val="0"/>
                <w:sz w:val="24"/>
                <w:szCs w:val="24"/>
                <w:u w:val="none" w:color="auto"/>
                <w:lang w:val="en-US" w:eastAsia="zh-CN"/>
              </w:rPr>
              <w:t>-0</w:t>
            </w:r>
            <w:r>
              <w:rPr>
                <w:rFonts w:hint="eastAsia" w:ascii="Times New Roman" w:hAnsi="Times New Roman" w:eastAsia="宋体" w:cs="Times New Roman"/>
                <w:color w:val="auto"/>
                <w:spacing w:val="0"/>
                <w:w w:val="100"/>
                <w:kern w:val="0"/>
                <w:position w:val="0"/>
                <w:sz w:val="24"/>
                <w:szCs w:val="24"/>
                <w:u w:val="none" w:color="auto"/>
                <w:lang w:val="en-US" w:eastAsia="zh-CN"/>
              </w:rPr>
              <w:t>9，收集至危废暂存间暂存后委托有资质的单位处置。</w:t>
            </w:r>
          </w:p>
          <w:p w14:paraId="3532C8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z w:val="24"/>
                <w:szCs w:val="24"/>
                <w:u w:val="none"/>
                <w:lang w:val="en-US" w:eastAsia="zh-CN"/>
              </w:rPr>
              <w:fldChar w:fldCharType="begin"/>
            </w:r>
            <w:r>
              <w:rPr>
                <w:rFonts w:hint="default" w:ascii="Times New Roman" w:hAnsi="Times New Roman" w:eastAsia="宋体" w:cs="Times New Roman"/>
                <w:color w:val="auto"/>
                <w:sz w:val="24"/>
                <w:szCs w:val="24"/>
                <w:u w:val="none"/>
                <w:lang w:val="en-US" w:eastAsia="zh-CN"/>
              </w:rPr>
              <w:instrText xml:space="preserve"> = 5 \* GB3 \* MERGEFORMAT </w:instrText>
            </w:r>
            <w:r>
              <w:rPr>
                <w:rFonts w:hint="default" w:ascii="Times New Roman" w:hAnsi="Times New Roman" w:eastAsia="宋体" w:cs="Times New Roman"/>
                <w:color w:val="auto"/>
                <w:sz w:val="24"/>
                <w:szCs w:val="24"/>
                <w:u w:val="none"/>
                <w:lang w:val="en-US" w:eastAsia="zh-CN"/>
              </w:rPr>
              <w:fldChar w:fldCharType="separate"/>
            </w:r>
            <w:r>
              <w:rPr>
                <w:rFonts w:hint="default"/>
              </w:rPr>
              <w:t>⑤</w:t>
            </w:r>
            <w:r>
              <w:rPr>
                <w:rFonts w:hint="default" w:ascii="Times New Roman" w:hAnsi="Times New Roman" w:eastAsia="宋体" w:cs="Times New Roman"/>
                <w:color w:val="auto"/>
                <w:sz w:val="24"/>
                <w:szCs w:val="24"/>
                <w:u w:val="none"/>
                <w:lang w:val="en-US" w:eastAsia="zh-CN"/>
              </w:rPr>
              <w:fldChar w:fldCharType="end"/>
            </w:r>
            <w:r>
              <w:rPr>
                <w:rFonts w:hint="default" w:ascii="Times New Roman" w:hAnsi="Times New Roman" w:eastAsia="宋体" w:cs="Times New Roman"/>
                <w:color w:val="auto"/>
                <w:spacing w:val="0"/>
                <w:w w:val="100"/>
                <w:kern w:val="0"/>
                <w:position w:val="0"/>
                <w:sz w:val="24"/>
                <w:szCs w:val="24"/>
                <w:u w:val="none" w:color="auto"/>
                <w:lang w:val="en-US" w:eastAsia="zh-CN"/>
              </w:rPr>
              <w:t>废</w:t>
            </w:r>
            <w:r>
              <w:rPr>
                <w:rFonts w:hint="eastAsia" w:ascii="Times New Roman" w:hAnsi="Times New Roman" w:eastAsia="宋体" w:cs="Times New Roman"/>
                <w:color w:val="auto"/>
                <w:spacing w:val="0"/>
                <w:w w:val="100"/>
                <w:kern w:val="0"/>
                <w:position w:val="0"/>
                <w:sz w:val="24"/>
                <w:szCs w:val="24"/>
                <w:u w:val="none" w:color="auto"/>
                <w:lang w:val="en-US" w:eastAsia="zh-CN"/>
              </w:rPr>
              <w:t>润滑油</w:t>
            </w:r>
          </w:p>
          <w:p w14:paraId="3BCDFF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24"/>
              </w:rPr>
            </w:pPr>
            <w:r>
              <w:rPr>
                <w:rFonts w:hint="eastAsia" w:ascii="Times New Roman" w:hAnsi="Times New Roman" w:eastAsia="宋体" w:cs="Times New Roman"/>
                <w:color w:val="auto"/>
                <w:spacing w:val="0"/>
                <w:w w:val="100"/>
                <w:kern w:val="0"/>
                <w:position w:val="0"/>
                <w:sz w:val="24"/>
                <w:szCs w:val="24"/>
                <w:u w:val="none" w:color="auto"/>
                <w:lang w:val="en-US" w:eastAsia="zh-CN"/>
              </w:rPr>
              <w:t>项目的设备在维修、保养润滑过程中会产生废润滑油，</w:t>
            </w:r>
            <w:r>
              <w:rPr>
                <w:rFonts w:hint="default" w:ascii="Times New Roman" w:hAnsi="Times New Roman" w:eastAsia="宋体" w:cs="Times New Roman"/>
                <w:color w:val="auto"/>
                <w:spacing w:val="0"/>
                <w:w w:val="100"/>
                <w:kern w:val="0"/>
                <w:position w:val="0"/>
                <w:sz w:val="24"/>
                <w:szCs w:val="24"/>
                <w:u w:val="none" w:color="auto"/>
                <w:lang w:val="en-US" w:eastAsia="zh-CN"/>
              </w:rPr>
              <w:t>废</w:t>
            </w:r>
            <w:r>
              <w:rPr>
                <w:rFonts w:hint="eastAsia" w:ascii="Times New Roman" w:hAnsi="Times New Roman" w:eastAsia="宋体" w:cs="Times New Roman"/>
                <w:color w:val="auto"/>
                <w:spacing w:val="0"/>
                <w:w w:val="100"/>
                <w:kern w:val="0"/>
                <w:position w:val="0"/>
                <w:sz w:val="24"/>
                <w:szCs w:val="24"/>
                <w:u w:val="none" w:color="auto"/>
                <w:lang w:val="en-US" w:eastAsia="zh-CN"/>
              </w:rPr>
              <w:t>润滑油</w:t>
            </w:r>
            <w:r>
              <w:rPr>
                <w:rFonts w:hint="default" w:ascii="Times New Roman" w:hAnsi="Times New Roman" w:eastAsia="宋体" w:cs="Times New Roman"/>
                <w:color w:val="auto"/>
                <w:spacing w:val="0"/>
                <w:w w:val="100"/>
                <w:kern w:val="0"/>
                <w:position w:val="0"/>
                <w:sz w:val="24"/>
                <w:szCs w:val="24"/>
                <w:u w:val="none" w:color="auto"/>
                <w:lang w:val="en-US" w:eastAsia="zh-CN"/>
              </w:rPr>
              <w:t>的年产量约为0.</w:t>
            </w:r>
            <w:r>
              <w:rPr>
                <w:rFonts w:hint="eastAsia" w:ascii="Times New Roman" w:hAnsi="Times New Roman" w:eastAsia="宋体" w:cs="Times New Roman"/>
                <w:color w:val="auto"/>
                <w:spacing w:val="0"/>
                <w:w w:val="100"/>
                <w:kern w:val="0"/>
                <w:position w:val="0"/>
                <w:sz w:val="24"/>
                <w:szCs w:val="24"/>
                <w:u w:val="none" w:color="auto"/>
                <w:lang w:val="en-US" w:eastAsia="zh-CN"/>
              </w:rPr>
              <w:t>05</w:t>
            </w:r>
            <w:r>
              <w:rPr>
                <w:rFonts w:hint="default" w:ascii="Times New Roman" w:hAnsi="Times New Roman" w:eastAsia="宋体" w:cs="Times New Roman"/>
                <w:color w:val="auto"/>
                <w:spacing w:val="0"/>
                <w:w w:val="100"/>
                <w:kern w:val="0"/>
                <w:position w:val="0"/>
                <w:sz w:val="24"/>
                <w:szCs w:val="24"/>
                <w:u w:val="none" w:color="auto"/>
                <w:lang w:val="en-US" w:eastAsia="zh-CN"/>
              </w:rPr>
              <w:t>t/a，根据《国家危险废物名录》（</w:t>
            </w:r>
            <w:r>
              <w:rPr>
                <w:rFonts w:hint="eastAsia" w:cs="Times New Roman"/>
                <w:color w:val="auto"/>
                <w:spacing w:val="0"/>
                <w:w w:val="100"/>
                <w:kern w:val="0"/>
                <w:position w:val="0"/>
                <w:sz w:val="24"/>
                <w:szCs w:val="24"/>
                <w:u w:val="none" w:color="auto"/>
                <w:lang w:val="en-US" w:eastAsia="zh-CN"/>
              </w:rPr>
              <w:t>2025年版</w:t>
            </w:r>
            <w:r>
              <w:rPr>
                <w:rFonts w:hint="default" w:ascii="Times New Roman" w:hAnsi="Times New Roman" w:eastAsia="宋体" w:cs="Times New Roman"/>
                <w:color w:val="auto"/>
                <w:spacing w:val="0"/>
                <w:w w:val="100"/>
                <w:kern w:val="0"/>
                <w:position w:val="0"/>
                <w:sz w:val="24"/>
                <w:szCs w:val="24"/>
                <w:u w:val="none" w:color="auto"/>
                <w:lang w:val="en-US" w:eastAsia="zh-CN"/>
              </w:rPr>
              <w:t>），</w:t>
            </w:r>
            <w:r>
              <w:rPr>
                <w:rFonts w:hint="eastAsia" w:ascii="Times New Roman" w:hAnsi="Times New Roman" w:eastAsia="宋体" w:cs="Times New Roman"/>
                <w:color w:val="auto"/>
                <w:spacing w:val="0"/>
                <w:w w:val="100"/>
                <w:kern w:val="0"/>
                <w:position w:val="0"/>
                <w:sz w:val="24"/>
                <w:szCs w:val="24"/>
                <w:u w:val="none" w:color="auto"/>
                <w:lang w:val="en-US" w:eastAsia="zh-CN"/>
              </w:rPr>
              <w:t>危险废物类别为</w:t>
            </w:r>
            <w:r>
              <w:rPr>
                <w:rFonts w:hint="default" w:ascii="Times New Roman" w:hAnsi="Times New Roman" w:eastAsia="宋体" w:cs="Times New Roman"/>
                <w:color w:val="auto"/>
                <w:spacing w:val="0"/>
                <w:w w:val="100"/>
                <w:kern w:val="0"/>
                <w:position w:val="0"/>
                <w:sz w:val="24"/>
                <w:szCs w:val="24"/>
                <w:u w:val="none" w:color="auto"/>
                <w:lang w:val="en-US" w:eastAsia="zh-CN"/>
              </w:rPr>
              <w:t>HW08</w:t>
            </w:r>
            <w:r>
              <w:rPr>
                <w:rFonts w:hint="eastAsia" w:ascii="Times New Roman" w:hAnsi="Times New Roman" w:eastAsia="宋体" w:cs="Times New Roman"/>
                <w:color w:val="auto"/>
                <w:spacing w:val="0"/>
                <w:w w:val="100"/>
                <w:kern w:val="0"/>
                <w:position w:val="0"/>
                <w:sz w:val="24"/>
                <w:szCs w:val="24"/>
                <w:u w:val="none" w:color="auto"/>
                <w:lang w:val="en-US" w:eastAsia="zh-CN"/>
              </w:rPr>
              <w:t>，废物代码为</w:t>
            </w:r>
            <w:r>
              <w:rPr>
                <w:rFonts w:hint="default" w:ascii="Times New Roman" w:hAnsi="Times New Roman" w:eastAsia="宋体" w:cs="Times New Roman"/>
                <w:color w:val="auto"/>
                <w:spacing w:val="0"/>
                <w:w w:val="100"/>
                <w:kern w:val="0"/>
                <w:position w:val="0"/>
                <w:sz w:val="24"/>
                <w:szCs w:val="24"/>
                <w:u w:val="none" w:color="auto"/>
                <w:lang w:val="en-US" w:eastAsia="zh-CN"/>
              </w:rPr>
              <w:t>900-214-08</w:t>
            </w:r>
            <w:r>
              <w:rPr>
                <w:rFonts w:hint="eastAsia" w:ascii="Times New Roman" w:hAnsi="Times New Roman" w:eastAsia="宋体" w:cs="Times New Roman"/>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rPr>
              <w:t>统一收集后暂存于危废暂存间，委托有资质单位处置。</w:t>
            </w:r>
          </w:p>
          <w:p w14:paraId="44176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rPr>
            </w:pP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begin"/>
            </w:r>
            <w:r>
              <w:rPr>
                <w:rFonts w:hint="default" w:ascii="Times New Roman" w:hAnsi="Times New Roman" w:eastAsia="宋体" w:cs="Times New Roman"/>
                <w:color w:val="auto"/>
                <w:spacing w:val="0"/>
                <w:w w:val="100"/>
                <w:kern w:val="0"/>
                <w:position w:val="0"/>
                <w:sz w:val="24"/>
                <w:szCs w:val="24"/>
                <w:u w:val="none" w:color="auto"/>
                <w:lang w:val="en-US" w:eastAsia="zh-CN"/>
              </w:rPr>
              <w:instrText xml:space="preserve"> = 6 \* GB3 \* MERGEFORMAT </w:instrText>
            </w: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separate"/>
            </w:r>
            <w:r>
              <w:rPr>
                <w:rFonts w:hint="default"/>
              </w:rPr>
              <w:t>⑥</w:t>
            </w:r>
            <w:r>
              <w:rPr>
                <w:rFonts w:hint="default" w:ascii="Times New Roman" w:hAnsi="Times New Roman" w:eastAsia="宋体" w:cs="Times New Roman"/>
                <w:color w:val="auto"/>
                <w:spacing w:val="0"/>
                <w:w w:val="100"/>
                <w:kern w:val="0"/>
                <w:position w:val="0"/>
                <w:sz w:val="24"/>
                <w:szCs w:val="24"/>
                <w:u w:val="none" w:color="auto"/>
                <w:lang w:val="en-US" w:eastAsia="zh-CN"/>
              </w:rPr>
              <w:fldChar w:fldCharType="end"/>
            </w:r>
            <w:r>
              <w:rPr>
                <w:rFonts w:hint="eastAsia" w:ascii="宋体" w:hAnsi="宋体" w:eastAsia="宋体" w:cs="宋体"/>
                <w:color w:val="000000"/>
                <w:kern w:val="0"/>
                <w:sz w:val="24"/>
                <w:szCs w:val="24"/>
                <w:lang w:val="en-US" w:eastAsia="zh-CN" w:bidi="ar"/>
              </w:rPr>
              <w:t>废油抹布及手套</w:t>
            </w:r>
          </w:p>
          <w:p w14:paraId="286B4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项目机械设备维修过程中会产生机油跑冒滴漏的情况需要戴手套用抹布擦拭。根据建设方提供资料，则项目废劳保用品年产生量约为</w:t>
            </w:r>
            <w:r>
              <w:rPr>
                <w:rFonts w:hint="default" w:ascii="Times New Roman" w:hAnsi="Times New Roman" w:eastAsia="宋体" w:cs="Times New Roman"/>
                <w:color w:val="auto"/>
                <w:spacing w:val="0"/>
                <w:w w:val="100"/>
                <w:kern w:val="0"/>
                <w:position w:val="0"/>
                <w:sz w:val="24"/>
                <w:szCs w:val="24"/>
                <w:u w:val="none" w:color="auto"/>
                <w:lang w:val="en-US" w:eastAsia="zh-CN"/>
              </w:rPr>
              <w:t>0.01t/a</w:t>
            </w:r>
            <w:r>
              <w:rPr>
                <w:rFonts w:hint="eastAsia" w:ascii="Times New Roman" w:hAnsi="Times New Roman" w:eastAsia="宋体" w:cs="Times New Roman"/>
                <w:color w:val="auto"/>
                <w:spacing w:val="0"/>
                <w:w w:val="100"/>
                <w:kern w:val="0"/>
                <w:position w:val="0"/>
                <w:sz w:val="24"/>
                <w:szCs w:val="24"/>
                <w:u w:val="none" w:color="auto"/>
                <w:lang w:val="en-US" w:eastAsia="zh-CN"/>
              </w:rPr>
              <w:t>，属于危险废物</w:t>
            </w:r>
            <w:r>
              <w:rPr>
                <w:rFonts w:hint="default" w:ascii="Times New Roman" w:hAnsi="Times New Roman" w:eastAsia="宋体" w:cs="Times New Roman"/>
                <w:color w:val="auto"/>
                <w:spacing w:val="0"/>
                <w:w w:val="100"/>
                <w:kern w:val="0"/>
                <w:position w:val="0"/>
                <w:sz w:val="24"/>
                <w:szCs w:val="24"/>
                <w:u w:val="none" w:color="auto"/>
                <w:lang w:val="en-US" w:eastAsia="zh-CN"/>
              </w:rPr>
              <w:t>HW49</w:t>
            </w:r>
            <w:r>
              <w:rPr>
                <w:rFonts w:hint="eastAsia" w:ascii="Times New Roman" w:hAnsi="Times New Roman" w:eastAsia="宋体" w:cs="Times New Roman"/>
                <w:color w:val="auto"/>
                <w:spacing w:val="0"/>
                <w:w w:val="100"/>
                <w:kern w:val="0"/>
                <w:position w:val="0"/>
                <w:sz w:val="24"/>
                <w:szCs w:val="24"/>
                <w:u w:val="none" w:color="auto"/>
                <w:lang w:val="en-US" w:eastAsia="zh-CN"/>
              </w:rPr>
              <w:t>，废物代码为</w:t>
            </w:r>
            <w:r>
              <w:rPr>
                <w:rFonts w:hint="default" w:ascii="Times New Roman" w:hAnsi="Times New Roman" w:eastAsia="宋体" w:cs="Times New Roman"/>
                <w:color w:val="auto"/>
                <w:spacing w:val="0"/>
                <w:w w:val="100"/>
                <w:kern w:val="0"/>
                <w:position w:val="0"/>
                <w:sz w:val="24"/>
                <w:szCs w:val="24"/>
                <w:u w:val="none" w:color="auto"/>
                <w:lang w:val="en-US" w:eastAsia="zh-CN"/>
              </w:rPr>
              <w:t>900-041-49</w:t>
            </w:r>
            <w:r>
              <w:rPr>
                <w:rFonts w:hint="eastAsia" w:ascii="Times New Roman" w:hAnsi="Times New Roman" w:eastAsia="宋体" w:cs="Times New Roman"/>
                <w:color w:val="auto"/>
                <w:spacing w:val="0"/>
                <w:w w:val="100"/>
                <w:kern w:val="0"/>
                <w:position w:val="0"/>
                <w:sz w:val="24"/>
                <w:szCs w:val="24"/>
                <w:u w:val="none" w:color="auto"/>
                <w:lang w:val="en-US" w:eastAsia="zh-CN"/>
              </w:rPr>
              <w:t>。收集至危废暂存间暂存后委托有资质的单位处置。</w:t>
            </w:r>
          </w:p>
          <w:p w14:paraId="4FB87F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eastAsia" w:ascii="宋体" w:hAnsi="宋体" w:eastAsia="宋体" w:cs="宋体"/>
                <w:color w:val="000000"/>
                <w:kern w:val="0"/>
                <w:sz w:val="24"/>
                <w:szCs w:val="24"/>
                <w:lang w:val="en-US" w:eastAsia="zh-CN" w:bidi="ar"/>
              </w:rPr>
              <w:fldChar w:fldCharType="begin"/>
            </w:r>
            <w:r>
              <w:rPr>
                <w:rFonts w:hint="eastAsia" w:ascii="宋体" w:hAnsi="宋体" w:eastAsia="宋体" w:cs="宋体"/>
                <w:color w:val="000000"/>
                <w:kern w:val="0"/>
                <w:sz w:val="24"/>
                <w:szCs w:val="24"/>
                <w:lang w:val="en-US" w:eastAsia="zh-CN" w:bidi="ar"/>
              </w:rPr>
              <w:instrText xml:space="preserve"> = 7 \* GB3 \* MERGEFORMAT </w:instrText>
            </w:r>
            <w:r>
              <w:rPr>
                <w:rFonts w:hint="eastAsia" w:ascii="宋体" w:hAnsi="宋体" w:eastAsia="宋体" w:cs="宋体"/>
                <w:color w:val="000000"/>
                <w:kern w:val="0"/>
                <w:sz w:val="24"/>
                <w:szCs w:val="24"/>
                <w:lang w:val="en-US" w:eastAsia="zh-CN" w:bidi="ar"/>
              </w:rPr>
              <w:fldChar w:fldCharType="separate"/>
            </w:r>
            <w:r>
              <w:rPr>
                <w:rFonts w:hint="default"/>
              </w:rPr>
              <w:t>⑦</w:t>
            </w:r>
            <w:r>
              <w:rPr>
                <w:rFonts w:hint="eastAsia" w:ascii="宋体" w:hAnsi="宋体" w:eastAsia="宋体" w:cs="宋体"/>
                <w:color w:val="000000"/>
                <w:kern w:val="0"/>
                <w:sz w:val="24"/>
                <w:szCs w:val="24"/>
                <w:lang w:val="en-US" w:eastAsia="zh-CN" w:bidi="ar"/>
              </w:rPr>
              <w:fldChar w:fldCharType="end"/>
            </w:r>
            <w:r>
              <w:rPr>
                <w:rFonts w:hint="default" w:ascii="Times New Roman" w:hAnsi="Times New Roman" w:eastAsia="宋体" w:cs="Times New Roman"/>
                <w:color w:val="auto"/>
                <w:spacing w:val="0"/>
                <w:w w:val="100"/>
                <w:kern w:val="0"/>
                <w:position w:val="0"/>
                <w:sz w:val="24"/>
                <w:szCs w:val="24"/>
                <w:u w:val="none" w:color="auto"/>
                <w:lang w:val="en-US" w:eastAsia="zh-CN"/>
              </w:rPr>
              <w:t>油类废包装桶</w:t>
            </w:r>
          </w:p>
          <w:p w14:paraId="1AFB28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default" w:ascii="Times New Roman" w:hAnsi="Times New Roman" w:eastAsia="宋体" w:cs="Times New Roman"/>
                <w:color w:val="auto"/>
                <w:spacing w:val="0"/>
                <w:w w:val="100"/>
                <w:kern w:val="0"/>
                <w:position w:val="0"/>
                <w:sz w:val="24"/>
                <w:szCs w:val="24"/>
                <w:u w:val="none" w:color="auto"/>
                <w:lang w:val="en-US" w:eastAsia="zh-CN"/>
              </w:rPr>
              <w:t>项目机油等使用过程中会产生少量废包装桶，产生量约为0.</w:t>
            </w:r>
            <w:r>
              <w:rPr>
                <w:rFonts w:hint="eastAsia" w:eastAsia="宋体" w:cs="Times New Roman"/>
                <w:color w:val="auto"/>
                <w:spacing w:val="0"/>
                <w:w w:val="100"/>
                <w:kern w:val="0"/>
                <w:position w:val="0"/>
                <w:sz w:val="24"/>
                <w:szCs w:val="24"/>
                <w:u w:val="none" w:color="auto"/>
                <w:lang w:val="en-US" w:eastAsia="zh-CN"/>
              </w:rPr>
              <w:t>01</w:t>
            </w:r>
            <w:r>
              <w:rPr>
                <w:rFonts w:hint="default" w:ascii="Times New Roman" w:hAnsi="Times New Roman" w:eastAsia="宋体" w:cs="Times New Roman"/>
                <w:color w:val="auto"/>
                <w:spacing w:val="0"/>
                <w:w w:val="100"/>
                <w:kern w:val="0"/>
                <w:position w:val="0"/>
                <w:sz w:val="24"/>
                <w:szCs w:val="24"/>
                <w:u w:val="none" w:color="auto"/>
                <w:lang w:val="en-US" w:eastAsia="zh-CN"/>
              </w:rPr>
              <w:t>t/a，根据《国家危险废物名录》（</w:t>
            </w:r>
            <w:r>
              <w:rPr>
                <w:rFonts w:hint="eastAsia" w:ascii="Times New Roman" w:hAnsi="Times New Roman" w:eastAsia="宋体" w:cs="Times New Roman"/>
                <w:color w:val="auto"/>
                <w:spacing w:val="0"/>
                <w:w w:val="100"/>
                <w:kern w:val="0"/>
                <w:position w:val="0"/>
                <w:sz w:val="24"/>
                <w:szCs w:val="24"/>
                <w:u w:val="none" w:color="auto"/>
                <w:lang w:val="en-US" w:eastAsia="zh-CN"/>
              </w:rPr>
              <w:t>2025年版</w:t>
            </w:r>
            <w:r>
              <w:rPr>
                <w:rFonts w:hint="default" w:ascii="Times New Roman" w:hAnsi="Times New Roman" w:eastAsia="宋体" w:cs="Times New Roman"/>
                <w:color w:val="auto"/>
                <w:spacing w:val="0"/>
                <w:w w:val="100"/>
                <w:kern w:val="0"/>
                <w:position w:val="0"/>
                <w:sz w:val="24"/>
                <w:szCs w:val="24"/>
                <w:u w:val="none" w:color="auto"/>
                <w:lang w:val="en-US" w:eastAsia="zh-CN"/>
              </w:rPr>
              <w:t>），该部分废物属于HW49</w:t>
            </w:r>
            <w:r>
              <w:rPr>
                <w:rFonts w:hint="eastAsia" w:ascii="Times New Roman" w:hAnsi="Times New Roman" w:eastAsia="宋体" w:cs="Times New Roman"/>
                <w:color w:val="auto"/>
                <w:spacing w:val="0"/>
                <w:w w:val="100"/>
                <w:kern w:val="0"/>
                <w:position w:val="0"/>
                <w:sz w:val="24"/>
                <w:szCs w:val="24"/>
                <w:u w:val="none" w:color="auto"/>
                <w:lang w:val="en-US" w:eastAsia="zh-CN"/>
              </w:rPr>
              <w:t>，废物代码为</w:t>
            </w:r>
            <w:r>
              <w:rPr>
                <w:rFonts w:hint="default" w:ascii="Times New Roman" w:hAnsi="Times New Roman" w:eastAsia="宋体" w:cs="Times New Roman"/>
                <w:color w:val="auto"/>
                <w:spacing w:val="0"/>
                <w:w w:val="100"/>
                <w:kern w:val="0"/>
                <w:position w:val="0"/>
                <w:sz w:val="24"/>
                <w:szCs w:val="24"/>
                <w:u w:val="none" w:color="auto"/>
                <w:lang w:val="en-US" w:eastAsia="zh-CN"/>
              </w:rPr>
              <w:t>900-041-49</w:t>
            </w:r>
            <w:r>
              <w:rPr>
                <w:rFonts w:hint="eastAsia" w:ascii="Times New Roman" w:hAnsi="Times New Roman" w:eastAsia="宋体" w:cs="Times New Roman"/>
                <w:color w:val="auto"/>
                <w:spacing w:val="0"/>
                <w:w w:val="100"/>
                <w:kern w:val="0"/>
                <w:position w:val="0"/>
                <w:sz w:val="24"/>
                <w:szCs w:val="24"/>
                <w:u w:val="none" w:color="auto"/>
                <w:lang w:val="en-US" w:eastAsia="zh-CN"/>
              </w:rPr>
              <w:t>。</w:t>
            </w:r>
            <w:r>
              <w:rPr>
                <w:rFonts w:hint="default" w:ascii="Times New Roman" w:hAnsi="Times New Roman" w:eastAsia="宋体" w:cs="Times New Roman"/>
                <w:color w:val="auto"/>
                <w:spacing w:val="0"/>
                <w:w w:val="100"/>
                <w:kern w:val="0"/>
                <w:position w:val="0"/>
                <w:sz w:val="24"/>
                <w:szCs w:val="24"/>
                <w:u w:val="none" w:color="auto"/>
                <w:lang w:val="en-US" w:eastAsia="zh-CN"/>
              </w:rPr>
              <w:t>统一收集后暂存于危废暂存间，委托有资质单位处置。</w:t>
            </w:r>
          </w:p>
          <w:p w14:paraId="5AB30F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（3）</w:t>
            </w:r>
            <w:r>
              <w:rPr>
                <w:rFonts w:hint="default" w:ascii="Times New Roman" w:hAnsi="Times New Roman" w:eastAsia="宋体" w:cs="Times New Roman"/>
                <w:color w:val="auto"/>
                <w:spacing w:val="0"/>
                <w:w w:val="100"/>
                <w:kern w:val="0"/>
                <w:position w:val="0"/>
                <w:sz w:val="24"/>
                <w:szCs w:val="24"/>
                <w:u w:val="none" w:color="auto"/>
                <w:lang w:val="en-US" w:eastAsia="zh-CN"/>
              </w:rPr>
              <w:t>生活垃圾</w:t>
            </w:r>
          </w:p>
          <w:p w14:paraId="729F98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pacing w:val="0"/>
                <w:w w:val="100"/>
                <w:kern w:val="0"/>
                <w:position w:val="0"/>
                <w:sz w:val="24"/>
                <w:szCs w:val="24"/>
                <w:u w:val="none" w:color="auto"/>
                <w:lang w:val="en-US" w:eastAsia="zh-CN"/>
              </w:rPr>
            </w:pPr>
            <w:r>
              <w:rPr>
                <w:rFonts w:hint="eastAsia" w:ascii="Times New Roman" w:hAnsi="Times New Roman" w:eastAsia="宋体" w:cs="Times New Roman"/>
                <w:color w:val="auto"/>
                <w:spacing w:val="0"/>
                <w:w w:val="100"/>
                <w:kern w:val="0"/>
                <w:position w:val="0"/>
                <w:sz w:val="24"/>
                <w:szCs w:val="24"/>
                <w:u w:val="none" w:color="auto"/>
                <w:lang w:val="en-US" w:eastAsia="zh-CN"/>
              </w:rPr>
              <w:t>本项目新增劳动定员10人，生活垃圾产生量按0.5kg/d·人计，年工作时间为280天，则本项目生活垃圾产生量为1.4t/a，生活垃圾收集后交由环卫部门统一清运处理。</w:t>
            </w:r>
          </w:p>
          <w:p w14:paraId="0A6EAEC4">
            <w:pPr>
              <w:keepNext w:val="0"/>
              <w:keepLines w:val="0"/>
              <w:suppressLineNumbers w:val="0"/>
              <w:spacing w:before="0" w:beforeAutospacing="0" w:after="0" w:afterAutospacing="0" w:line="360" w:lineRule="auto"/>
              <w:ind w:left="0" w:right="0"/>
              <w:jc w:val="center"/>
              <w:rPr>
                <w:rFonts w:hint="default"/>
                <w:b/>
                <w:bCs/>
                <w:color w:val="auto"/>
                <w:szCs w:val="21"/>
              </w:rPr>
            </w:pPr>
            <w:r>
              <w:rPr>
                <w:rFonts w:hint="default"/>
                <w:b/>
                <w:bCs/>
                <w:color w:val="auto"/>
                <w:szCs w:val="21"/>
              </w:rPr>
              <w:t>表</w:t>
            </w:r>
            <w:r>
              <w:rPr>
                <w:rFonts w:hint="eastAsia"/>
                <w:b/>
                <w:bCs/>
                <w:color w:val="auto"/>
                <w:szCs w:val="21"/>
                <w:lang w:val="en-US" w:eastAsia="zh-CN"/>
              </w:rPr>
              <w:t>4-15</w:t>
            </w:r>
            <w:r>
              <w:rPr>
                <w:rFonts w:hint="default"/>
                <w:b/>
                <w:bCs/>
                <w:color w:val="auto"/>
                <w:szCs w:val="21"/>
              </w:rPr>
              <w:t xml:space="preserve">   项目全厂固废产生情况表</w:t>
            </w:r>
          </w:p>
          <w:tbl>
            <w:tblPr>
              <w:tblStyle w:val="3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72"/>
              <w:gridCol w:w="1514"/>
              <w:gridCol w:w="1612"/>
              <w:gridCol w:w="945"/>
              <w:gridCol w:w="1334"/>
              <w:gridCol w:w="1694"/>
            </w:tblGrid>
            <w:tr w14:paraId="5E8DCC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tcBorders>
                    <w:tl2br w:val="nil"/>
                    <w:tr2bl w:val="nil"/>
                  </w:tcBorders>
                  <w:noWrap/>
                  <w:tcMar>
                    <w:top w:w="15" w:type="dxa"/>
                    <w:left w:w="15" w:type="dxa"/>
                    <w:right w:w="15" w:type="dxa"/>
                  </w:tcMar>
                  <w:vAlign w:val="center"/>
                </w:tcPr>
                <w:p w14:paraId="36FD7665">
                  <w:pPr>
                    <w:keepNext w:val="0"/>
                    <w:keepLines w:val="0"/>
                    <w:suppressLineNumbers w:val="0"/>
                    <w:spacing w:before="0" w:beforeAutospacing="0" w:after="0" w:afterAutospacing="0"/>
                    <w:ind w:left="0" w:right="0"/>
                    <w:jc w:val="center"/>
                    <w:textAlignment w:val="center"/>
                    <w:rPr>
                      <w:rFonts w:hint="default"/>
                      <w:b/>
                      <w:bCs/>
                      <w:color w:val="auto"/>
                      <w:sz w:val="21"/>
                      <w:szCs w:val="21"/>
                      <w:u w:val="none" w:color="auto"/>
                    </w:rPr>
                  </w:pPr>
                  <w:r>
                    <w:rPr>
                      <w:rFonts w:hint="default"/>
                      <w:b/>
                      <w:bCs/>
                      <w:color w:val="auto"/>
                      <w:sz w:val="21"/>
                      <w:szCs w:val="21"/>
                      <w:u w:val="none" w:color="auto"/>
                    </w:rPr>
                    <w:t>类别</w:t>
                  </w:r>
                </w:p>
              </w:tc>
              <w:tc>
                <w:tcPr>
                  <w:tcW w:w="873" w:type="pct"/>
                  <w:tcBorders>
                    <w:tl2br w:val="nil"/>
                    <w:tr2bl w:val="nil"/>
                  </w:tcBorders>
                  <w:noWrap/>
                  <w:tcMar>
                    <w:top w:w="15" w:type="dxa"/>
                    <w:left w:w="15" w:type="dxa"/>
                    <w:right w:w="15" w:type="dxa"/>
                  </w:tcMar>
                  <w:vAlign w:val="center"/>
                </w:tcPr>
                <w:p w14:paraId="2447DEA5">
                  <w:pPr>
                    <w:keepNext w:val="0"/>
                    <w:keepLines w:val="0"/>
                    <w:suppressLineNumbers w:val="0"/>
                    <w:spacing w:before="0" w:beforeAutospacing="0" w:after="0" w:afterAutospacing="0"/>
                    <w:ind w:left="0" w:right="0"/>
                    <w:jc w:val="center"/>
                    <w:textAlignment w:val="center"/>
                    <w:rPr>
                      <w:rFonts w:hint="default"/>
                      <w:b/>
                      <w:bCs/>
                      <w:color w:val="auto"/>
                      <w:sz w:val="21"/>
                      <w:szCs w:val="21"/>
                      <w:u w:val="none" w:color="auto"/>
                    </w:rPr>
                  </w:pPr>
                  <w:r>
                    <w:rPr>
                      <w:rFonts w:hint="default"/>
                      <w:b/>
                      <w:bCs/>
                      <w:color w:val="auto"/>
                      <w:sz w:val="21"/>
                      <w:szCs w:val="21"/>
                      <w:u w:val="none" w:color="auto"/>
                    </w:rPr>
                    <w:t>名称</w:t>
                  </w:r>
                </w:p>
              </w:tc>
              <w:tc>
                <w:tcPr>
                  <w:tcW w:w="929" w:type="pct"/>
                  <w:tcBorders>
                    <w:tl2br w:val="nil"/>
                    <w:tr2bl w:val="nil"/>
                  </w:tcBorders>
                  <w:noWrap/>
                  <w:tcMar>
                    <w:top w:w="15" w:type="dxa"/>
                    <w:left w:w="15" w:type="dxa"/>
                    <w:right w:w="15" w:type="dxa"/>
                  </w:tcMar>
                  <w:vAlign w:val="center"/>
                </w:tcPr>
                <w:p w14:paraId="1DAED022">
                  <w:pPr>
                    <w:keepNext w:val="0"/>
                    <w:keepLines w:val="0"/>
                    <w:suppressLineNumbers w:val="0"/>
                    <w:spacing w:before="0" w:beforeAutospacing="0" w:after="0" w:afterAutospacing="0"/>
                    <w:ind w:left="0" w:right="0"/>
                    <w:jc w:val="center"/>
                    <w:textAlignment w:val="center"/>
                    <w:rPr>
                      <w:rFonts w:hint="default"/>
                      <w:b/>
                      <w:bCs/>
                      <w:color w:val="auto"/>
                      <w:sz w:val="21"/>
                      <w:szCs w:val="21"/>
                      <w:u w:val="none" w:color="auto"/>
                    </w:rPr>
                  </w:pPr>
                  <w:r>
                    <w:rPr>
                      <w:rFonts w:hint="default"/>
                      <w:b/>
                      <w:bCs/>
                      <w:color w:val="auto"/>
                      <w:sz w:val="21"/>
                      <w:szCs w:val="21"/>
                      <w:u w:val="none" w:color="auto"/>
                    </w:rPr>
                    <w:t>来源</w:t>
                  </w:r>
                </w:p>
              </w:tc>
              <w:tc>
                <w:tcPr>
                  <w:tcW w:w="544" w:type="pct"/>
                  <w:tcBorders>
                    <w:tl2br w:val="nil"/>
                    <w:tr2bl w:val="nil"/>
                  </w:tcBorders>
                  <w:noWrap/>
                  <w:tcMar>
                    <w:top w:w="15" w:type="dxa"/>
                    <w:left w:w="15" w:type="dxa"/>
                    <w:right w:w="15" w:type="dxa"/>
                  </w:tcMar>
                  <w:vAlign w:val="center"/>
                </w:tcPr>
                <w:p w14:paraId="7097C04B">
                  <w:pPr>
                    <w:keepNext w:val="0"/>
                    <w:keepLines w:val="0"/>
                    <w:suppressLineNumbers w:val="0"/>
                    <w:spacing w:before="0" w:beforeAutospacing="0" w:after="0" w:afterAutospacing="0"/>
                    <w:ind w:left="0" w:right="0"/>
                    <w:jc w:val="center"/>
                    <w:textAlignment w:val="center"/>
                    <w:rPr>
                      <w:rFonts w:hint="default"/>
                      <w:b/>
                      <w:bCs/>
                      <w:color w:val="auto"/>
                      <w:sz w:val="21"/>
                      <w:szCs w:val="21"/>
                      <w:u w:val="none" w:color="auto"/>
                    </w:rPr>
                  </w:pPr>
                  <w:r>
                    <w:rPr>
                      <w:rFonts w:hint="default"/>
                      <w:b/>
                      <w:bCs/>
                      <w:color w:val="auto"/>
                      <w:sz w:val="21"/>
                      <w:szCs w:val="21"/>
                      <w:u w:val="none" w:color="auto"/>
                    </w:rPr>
                    <w:t>产生量</w:t>
                  </w:r>
                  <w:r>
                    <w:rPr>
                      <w:rFonts w:hint="default"/>
                      <w:color w:val="auto"/>
                      <w:sz w:val="21"/>
                      <w:szCs w:val="21"/>
                      <w:u w:val="none" w:color="auto"/>
                    </w:rPr>
                    <w:t>t/a</w:t>
                  </w:r>
                </w:p>
              </w:tc>
              <w:tc>
                <w:tcPr>
                  <w:tcW w:w="769" w:type="pct"/>
                  <w:tcBorders>
                    <w:tl2br w:val="nil"/>
                    <w:tr2bl w:val="nil"/>
                  </w:tcBorders>
                  <w:noWrap/>
                  <w:tcMar>
                    <w:top w:w="15" w:type="dxa"/>
                    <w:left w:w="15" w:type="dxa"/>
                    <w:right w:w="15" w:type="dxa"/>
                  </w:tcMar>
                  <w:vAlign w:val="center"/>
                </w:tcPr>
                <w:p w14:paraId="360859CD">
                  <w:pPr>
                    <w:keepNext w:val="0"/>
                    <w:keepLines w:val="0"/>
                    <w:suppressLineNumbers w:val="0"/>
                    <w:spacing w:before="0" w:beforeAutospacing="0" w:after="0" w:afterAutospacing="0"/>
                    <w:ind w:left="0" w:right="0"/>
                    <w:jc w:val="center"/>
                    <w:textAlignment w:val="center"/>
                    <w:rPr>
                      <w:rFonts w:hint="eastAsia" w:eastAsia="宋体"/>
                      <w:b/>
                      <w:bCs/>
                      <w:color w:val="auto"/>
                      <w:sz w:val="21"/>
                      <w:szCs w:val="21"/>
                      <w:u w:val="none" w:color="auto"/>
                      <w:lang w:eastAsia="zh-CN"/>
                    </w:rPr>
                  </w:pPr>
                  <w:r>
                    <w:rPr>
                      <w:rFonts w:hint="eastAsia"/>
                      <w:b/>
                      <w:bCs/>
                      <w:color w:val="auto"/>
                      <w:sz w:val="21"/>
                      <w:szCs w:val="21"/>
                      <w:u w:val="none" w:color="auto"/>
                      <w:lang w:eastAsia="zh-CN"/>
                    </w:rPr>
                    <w:t>代码</w:t>
                  </w:r>
                </w:p>
              </w:tc>
              <w:tc>
                <w:tcPr>
                  <w:tcW w:w="976" w:type="pct"/>
                  <w:tcBorders>
                    <w:tl2br w:val="nil"/>
                    <w:tr2bl w:val="nil"/>
                  </w:tcBorders>
                  <w:noWrap/>
                  <w:tcMar>
                    <w:top w:w="15" w:type="dxa"/>
                    <w:left w:w="15" w:type="dxa"/>
                    <w:right w:w="15" w:type="dxa"/>
                  </w:tcMar>
                  <w:vAlign w:val="center"/>
                </w:tcPr>
                <w:p w14:paraId="5E7B9802">
                  <w:pPr>
                    <w:keepNext w:val="0"/>
                    <w:keepLines w:val="0"/>
                    <w:suppressLineNumbers w:val="0"/>
                    <w:spacing w:before="0" w:beforeAutospacing="0" w:after="0" w:afterAutospacing="0"/>
                    <w:ind w:left="0" w:right="0"/>
                    <w:jc w:val="center"/>
                    <w:textAlignment w:val="center"/>
                    <w:rPr>
                      <w:rFonts w:hint="default"/>
                      <w:b/>
                      <w:bCs/>
                      <w:color w:val="auto"/>
                      <w:sz w:val="21"/>
                      <w:szCs w:val="21"/>
                      <w:u w:val="none" w:color="auto"/>
                    </w:rPr>
                  </w:pPr>
                  <w:r>
                    <w:rPr>
                      <w:rFonts w:hint="default"/>
                      <w:b/>
                      <w:bCs/>
                      <w:color w:val="auto"/>
                      <w:sz w:val="21"/>
                      <w:szCs w:val="21"/>
                      <w:u w:val="none" w:color="auto"/>
                    </w:rPr>
                    <w:t>处置方式</w:t>
                  </w:r>
                </w:p>
              </w:tc>
            </w:tr>
            <w:tr w14:paraId="396DF8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restart"/>
                  <w:tcBorders>
                    <w:tl2br w:val="nil"/>
                    <w:tr2bl w:val="nil"/>
                  </w:tcBorders>
                  <w:noWrap/>
                  <w:tcMar>
                    <w:top w:w="15" w:type="dxa"/>
                    <w:left w:w="15" w:type="dxa"/>
                    <w:right w:w="15" w:type="dxa"/>
                  </w:tcMar>
                  <w:vAlign w:val="center"/>
                </w:tcPr>
                <w:p w14:paraId="341220CD">
                  <w:pPr>
                    <w:keepNext w:val="0"/>
                    <w:keepLines w:val="0"/>
                    <w:suppressLineNumbers w:val="0"/>
                    <w:spacing w:before="0" w:beforeAutospacing="0" w:after="0" w:afterAutospacing="0"/>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一般工业固体废物</w:t>
                  </w:r>
                </w:p>
              </w:tc>
              <w:tc>
                <w:tcPr>
                  <w:tcW w:w="873" w:type="pct"/>
                  <w:tcBorders>
                    <w:tl2br w:val="nil"/>
                    <w:tr2bl w:val="nil"/>
                  </w:tcBorders>
                  <w:noWrap/>
                  <w:tcMar>
                    <w:top w:w="15" w:type="dxa"/>
                    <w:left w:w="15" w:type="dxa"/>
                    <w:right w:w="15" w:type="dxa"/>
                  </w:tcMar>
                  <w:vAlign w:val="center"/>
                </w:tcPr>
                <w:p w14:paraId="4BA8DEAB">
                  <w:pPr>
                    <w:keepNext w:val="0"/>
                    <w:keepLines w:val="0"/>
                    <w:suppressLineNumbers w:val="0"/>
                    <w:spacing w:before="0" w:beforeAutospacing="0" w:after="0" w:afterAutospacing="0"/>
                    <w:ind w:left="0" w:right="0"/>
                    <w:jc w:val="center"/>
                    <w:rPr>
                      <w:rFonts w:hint="eastAsia" w:eastAsia="宋体"/>
                      <w:color w:val="auto"/>
                      <w:sz w:val="21"/>
                      <w:szCs w:val="21"/>
                      <w:u w:val="none" w:color="auto"/>
                      <w:lang w:eastAsia="zh-CN"/>
                    </w:rPr>
                  </w:pPr>
                  <w:r>
                    <w:rPr>
                      <w:rFonts w:hint="eastAsia"/>
                      <w:color w:val="auto"/>
                      <w:sz w:val="21"/>
                      <w:szCs w:val="21"/>
                      <w:u w:val="none" w:color="auto"/>
                    </w:rPr>
                    <w:t>废包装</w:t>
                  </w:r>
                  <w:r>
                    <w:rPr>
                      <w:rFonts w:hint="eastAsia"/>
                      <w:color w:val="auto"/>
                      <w:sz w:val="21"/>
                      <w:szCs w:val="21"/>
                      <w:u w:val="none" w:color="auto"/>
                      <w:lang w:eastAsia="zh-CN"/>
                    </w:rPr>
                    <w:t>物</w:t>
                  </w:r>
                </w:p>
              </w:tc>
              <w:tc>
                <w:tcPr>
                  <w:tcW w:w="929" w:type="pct"/>
                  <w:tcBorders>
                    <w:tl2br w:val="nil"/>
                    <w:tr2bl w:val="nil"/>
                  </w:tcBorders>
                  <w:noWrap/>
                  <w:tcMar>
                    <w:top w:w="15" w:type="dxa"/>
                    <w:left w:w="15" w:type="dxa"/>
                    <w:right w:w="15" w:type="dxa"/>
                  </w:tcMar>
                  <w:vAlign w:val="center"/>
                </w:tcPr>
                <w:p w14:paraId="1B50CE41">
                  <w:pPr>
                    <w:keepNext w:val="0"/>
                    <w:keepLines w:val="0"/>
                    <w:suppressLineNumbers w:val="0"/>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eastAsia="zh-CN"/>
                    </w:rPr>
                    <w:t>包装</w:t>
                  </w:r>
                </w:p>
              </w:tc>
              <w:tc>
                <w:tcPr>
                  <w:tcW w:w="544" w:type="pct"/>
                  <w:tcBorders>
                    <w:tl2br w:val="nil"/>
                    <w:tr2bl w:val="nil"/>
                  </w:tcBorders>
                  <w:noWrap/>
                  <w:tcMar>
                    <w:top w:w="15" w:type="dxa"/>
                    <w:left w:w="15" w:type="dxa"/>
                    <w:right w:w="15" w:type="dxa"/>
                  </w:tcMar>
                  <w:vAlign w:val="center"/>
                </w:tcPr>
                <w:p w14:paraId="7A322406">
                  <w:pPr>
                    <w:keepNext w:val="0"/>
                    <w:keepLines w:val="0"/>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0.02</w:t>
                  </w:r>
                </w:p>
              </w:tc>
              <w:tc>
                <w:tcPr>
                  <w:tcW w:w="769" w:type="pct"/>
                  <w:tcBorders>
                    <w:tl2br w:val="nil"/>
                    <w:tr2bl w:val="nil"/>
                  </w:tcBorders>
                  <w:noWrap/>
                  <w:tcMar>
                    <w:top w:w="15" w:type="dxa"/>
                    <w:left w:w="15" w:type="dxa"/>
                    <w:right w:w="15" w:type="dxa"/>
                  </w:tcMar>
                  <w:vAlign w:val="center"/>
                </w:tcPr>
                <w:p w14:paraId="57878536">
                  <w:pPr>
                    <w:keepNext w:val="0"/>
                    <w:keepLines w:val="0"/>
                    <w:suppressLineNumbers w:val="0"/>
                    <w:spacing w:before="0" w:beforeAutospacing="0" w:after="0" w:afterAutospacing="0"/>
                    <w:ind w:left="0" w:right="0"/>
                    <w:jc w:val="center"/>
                    <w:textAlignment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333-002-07</w:t>
                  </w:r>
                </w:p>
              </w:tc>
              <w:tc>
                <w:tcPr>
                  <w:tcW w:w="976" w:type="pct"/>
                  <w:tcBorders>
                    <w:tl2br w:val="nil"/>
                    <w:tr2bl w:val="nil"/>
                  </w:tcBorders>
                  <w:noWrap/>
                  <w:tcMar>
                    <w:top w:w="15" w:type="dxa"/>
                    <w:left w:w="15" w:type="dxa"/>
                    <w:right w:w="15" w:type="dxa"/>
                  </w:tcMar>
                  <w:vAlign w:val="center"/>
                </w:tcPr>
                <w:p w14:paraId="61B5380F">
                  <w:pPr>
                    <w:keepNext w:val="0"/>
                    <w:keepLines w:val="0"/>
                    <w:suppressLineNumbers w:val="0"/>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eastAsia="zh-CN"/>
                    </w:rPr>
                    <w:t>外售综合利用</w:t>
                  </w:r>
                </w:p>
              </w:tc>
            </w:tr>
            <w:tr w14:paraId="279BA0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continue"/>
                  <w:tcBorders>
                    <w:tl2br w:val="nil"/>
                    <w:tr2bl w:val="nil"/>
                  </w:tcBorders>
                  <w:noWrap/>
                  <w:tcMar>
                    <w:top w:w="15" w:type="dxa"/>
                    <w:left w:w="15" w:type="dxa"/>
                    <w:right w:w="15" w:type="dxa"/>
                  </w:tcMar>
                  <w:vAlign w:val="center"/>
                </w:tcPr>
                <w:p w14:paraId="378FB25D">
                  <w:pPr>
                    <w:keepNext w:val="0"/>
                    <w:keepLines w:val="0"/>
                    <w:suppressLineNumbers w:val="0"/>
                    <w:spacing w:before="0" w:beforeAutospacing="0" w:after="0" w:afterAutospacing="0"/>
                    <w:ind w:left="0" w:right="0"/>
                    <w:jc w:val="center"/>
                    <w:textAlignment w:val="center"/>
                    <w:rPr>
                      <w:rFonts w:hint="default"/>
                      <w:color w:val="0000FF"/>
                      <w:sz w:val="21"/>
                      <w:szCs w:val="21"/>
                      <w:u w:val="none" w:color="auto"/>
                    </w:rPr>
                  </w:pPr>
                </w:p>
              </w:tc>
              <w:tc>
                <w:tcPr>
                  <w:tcW w:w="873" w:type="pct"/>
                  <w:tcBorders>
                    <w:tl2br w:val="nil"/>
                    <w:tr2bl w:val="nil"/>
                  </w:tcBorders>
                  <w:noWrap/>
                  <w:tcMar>
                    <w:top w:w="15" w:type="dxa"/>
                    <w:left w:w="15" w:type="dxa"/>
                    <w:right w:w="15" w:type="dxa"/>
                  </w:tcMar>
                  <w:vAlign w:val="center"/>
                </w:tcPr>
                <w:p w14:paraId="502AD590">
                  <w:pPr>
                    <w:keepNext w:val="0"/>
                    <w:keepLines w:val="0"/>
                    <w:suppressLineNumbers w:val="0"/>
                    <w:spacing w:before="0" w:beforeAutospacing="0" w:after="0" w:afterAutospacing="0"/>
                    <w:ind w:left="0" w:right="0"/>
                    <w:jc w:val="center"/>
                    <w:rPr>
                      <w:rFonts w:hint="eastAsia" w:eastAsia="宋体"/>
                      <w:color w:val="auto"/>
                      <w:sz w:val="21"/>
                      <w:szCs w:val="21"/>
                      <w:u w:val="none" w:color="auto"/>
                      <w:lang w:eastAsia="zh-CN"/>
                    </w:rPr>
                  </w:pPr>
                  <w:r>
                    <w:rPr>
                      <w:rFonts w:hint="eastAsia" w:ascii="Times New Roman" w:hAnsi="Times New Roman" w:eastAsia="宋体" w:cs="Times New Roman"/>
                      <w:color w:val="auto"/>
                      <w:spacing w:val="0"/>
                      <w:w w:val="100"/>
                      <w:kern w:val="0"/>
                      <w:position w:val="0"/>
                      <w:sz w:val="21"/>
                      <w:szCs w:val="21"/>
                      <w:u w:val="none" w:color="auto"/>
                      <w:lang w:val="en-US" w:eastAsia="zh-CN"/>
                    </w:rPr>
                    <w:t>金属边角料</w:t>
                  </w:r>
                </w:p>
              </w:tc>
              <w:tc>
                <w:tcPr>
                  <w:tcW w:w="929" w:type="pct"/>
                  <w:tcBorders>
                    <w:tl2br w:val="nil"/>
                    <w:tr2bl w:val="nil"/>
                  </w:tcBorders>
                  <w:noWrap/>
                  <w:tcMar>
                    <w:top w:w="15" w:type="dxa"/>
                    <w:left w:w="15" w:type="dxa"/>
                    <w:right w:w="15" w:type="dxa"/>
                  </w:tcMar>
                  <w:vAlign w:val="center"/>
                </w:tcPr>
                <w:p w14:paraId="4AAB98DA">
                  <w:pPr>
                    <w:keepNext w:val="0"/>
                    <w:keepLines w:val="0"/>
                    <w:suppressLineNumbers w:val="0"/>
                    <w:spacing w:before="0" w:beforeAutospacing="0" w:after="0" w:afterAutospacing="0"/>
                    <w:ind w:left="0" w:right="0"/>
                    <w:jc w:val="center"/>
                    <w:rPr>
                      <w:rFonts w:hint="default"/>
                      <w:color w:val="auto"/>
                      <w:sz w:val="21"/>
                      <w:szCs w:val="21"/>
                      <w:u w:val="none" w:color="auto"/>
                      <w:lang w:val="en-US"/>
                    </w:rPr>
                  </w:pPr>
                  <w:r>
                    <w:rPr>
                      <w:rFonts w:hint="eastAsia"/>
                      <w:color w:val="auto"/>
                      <w:sz w:val="21"/>
                      <w:szCs w:val="21"/>
                      <w:u w:val="none" w:color="auto"/>
                      <w:lang w:eastAsia="zh-CN"/>
                    </w:rPr>
                    <w:t>下料、</w:t>
                  </w:r>
                  <w:r>
                    <w:rPr>
                      <w:rFonts w:hint="eastAsia"/>
                      <w:color w:val="auto"/>
                      <w:sz w:val="21"/>
                      <w:szCs w:val="21"/>
                      <w:u w:val="none" w:color="auto"/>
                      <w:lang w:val="en-US" w:eastAsia="zh-CN"/>
                    </w:rPr>
                    <w:t>机加工</w:t>
                  </w:r>
                </w:p>
              </w:tc>
              <w:tc>
                <w:tcPr>
                  <w:tcW w:w="544" w:type="pct"/>
                  <w:tcBorders>
                    <w:tl2br w:val="nil"/>
                    <w:tr2bl w:val="nil"/>
                  </w:tcBorders>
                  <w:noWrap/>
                  <w:tcMar>
                    <w:top w:w="15" w:type="dxa"/>
                    <w:left w:w="15" w:type="dxa"/>
                    <w:right w:w="15" w:type="dxa"/>
                  </w:tcMar>
                  <w:vAlign w:val="center"/>
                </w:tcPr>
                <w:p w14:paraId="2A2E67B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2.1</w:t>
                  </w:r>
                </w:p>
              </w:tc>
              <w:tc>
                <w:tcPr>
                  <w:tcW w:w="769" w:type="pct"/>
                  <w:tcBorders>
                    <w:tl2br w:val="nil"/>
                    <w:tr2bl w:val="nil"/>
                  </w:tcBorders>
                  <w:noWrap/>
                  <w:tcMar>
                    <w:top w:w="15" w:type="dxa"/>
                    <w:left w:w="15" w:type="dxa"/>
                    <w:right w:w="15" w:type="dxa"/>
                  </w:tcMar>
                  <w:vAlign w:val="center"/>
                </w:tcPr>
                <w:p w14:paraId="1F4F161F">
                  <w:pPr>
                    <w:keepNext w:val="0"/>
                    <w:keepLines w:val="0"/>
                    <w:suppressLineNumbers w:val="0"/>
                    <w:spacing w:before="0" w:beforeAutospacing="0" w:after="0" w:afterAutospacing="0"/>
                    <w:ind w:left="0" w:right="0"/>
                    <w:jc w:val="center"/>
                    <w:textAlignment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333-002-09</w:t>
                  </w:r>
                </w:p>
              </w:tc>
              <w:tc>
                <w:tcPr>
                  <w:tcW w:w="976" w:type="pct"/>
                  <w:tcBorders>
                    <w:tl2br w:val="nil"/>
                    <w:tr2bl w:val="nil"/>
                  </w:tcBorders>
                  <w:noWrap/>
                  <w:tcMar>
                    <w:top w:w="15" w:type="dxa"/>
                    <w:left w:w="15" w:type="dxa"/>
                    <w:right w:w="15" w:type="dxa"/>
                  </w:tcMar>
                  <w:vAlign w:val="center"/>
                </w:tcPr>
                <w:p w14:paraId="5B8F14EA">
                  <w:pPr>
                    <w:keepNext w:val="0"/>
                    <w:keepLines w:val="0"/>
                    <w:suppressLineNumbers w:val="0"/>
                    <w:spacing w:before="0" w:beforeAutospacing="0" w:after="0" w:afterAutospacing="0"/>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eastAsia="zh-CN"/>
                    </w:rPr>
                    <w:t>外售综合利用</w:t>
                  </w:r>
                </w:p>
              </w:tc>
            </w:tr>
            <w:tr w14:paraId="276474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continue"/>
                  <w:tcBorders>
                    <w:tl2br w:val="nil"/>
                    <w:tr2bl w:val="nil"/>
                  </w:tcBorders>
                  <w:noWrap/>
                  <w:tcMar>
                    <w:top w:w="15" w:type="dxa"/>
                    <w:left w:w="15" w:type="dxa"/>
                    <w:right w:w="15" w:type="dxa"/>
                  </w:tcMar>
                  <w:vAlign w:val="center"/>
                </w:tcPr>
                <w:p w14:paraId="34C3038A">
                  <w:pPr>
                    <w:keepNext w:val="0"/>
                    <w:keepLines w:val="0"/>
                    <w:suppressLineNumbers w:val="0"/>
                    <w:spacing w:before="0" w:beforeAutospacing="0" w:after="0" w:afterAutospacing="0"/>
                    <w:ind w:left="0" w:right="0"/>
                    <w:jc w:val="center"/>
                    <w:textAlignment w:val="center"/>
                    <w:rPr>
                      <w:rFonts w:hint="default"/>
                      <w:color w:val="0000FF"/>
                      <w:sz w:val="21"/>
                      <w:szCs w:val="21"/>
                      <w:u w:val="none" w:color="auto"/>
                    </w:rPr>
                  </w:pPr>
                </w:p>
              </w:tc>
              <w:tc>
                <w:tcPr>
                  <w:tcW w:w="873" w:type="pct"/>
                  <w:tcBorders>
                    <w:tl2br w:val="nil"/>
                    <w:tr2bl w:val="nil"/>
                  </w:tcBorders>
                  <w:noWrap/>
                  <w:tcMar>
                    <w:top w:w="15" w:type="dxa"/>
                    <w:left w:w="15" w:type="dxa"/>
                    <w:right w:w="15" w:type="dxa"/>
                  </w:tcMar>
                  <w:vAlign w:val="center"/>
                </w:tcPr>
                <w:p w14:paraId="01AB7174">
                  <w:pPr>
                    <w:keepNext w:val="0"/>
                    <w:keepLines w:val="0"/>
                    <w:suppressLineNumbers w:val="0"/>
                    <w:spacing w:before="0" w:beforeAutospacing="0" w:after="0" w:afterAutospacing="0"/>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焊</w:t>
                  </w:r>
                  <w:r>
                    <w:rPr>
                      <w:rFonts w:hint="eastAsia"/>
                      <w:color w:val="auto"/>
                      <w:sz w:val="21"/>
                      <w:szCs w:val="21"/>
                      <w:u w:val="none" w:color="auto"/>
                      <w:lang w:eastAsia="zh-CN"/>
                    </w:rPr>
                    <w:t>渣</w:t>
                  </w:r>
                </w:p>
              </w:tc>
              <w:tc>
                <w:tcPr>
                  <w:tcW w:w="929" w:type="pct"/>
                  <w:tcBorders>
                    <w:tl2br w:val="nil"/>
                    <w:tr2bl w:val="nil"/>
                  </w:tcBorders>
                  <w:noWrap/>
                  <w:tcMar>
                    <w:top w:w="15" w:type="dxa"/>
                    <w:left w:w="15" w:type="dxa"/>
                    <w:right w:w="15" w:type="dxa"/>
                  </w:tcMar>
                  <w:vAlign w:val="center"/>
                </w:tcPr>
                <w:p w14:paraId="5D18008F">
                  <w:pPr>
                    <w:keepNext w:val="0"/>
                    <w:keepLines w:val="0"/>
                    <w:suppressLineNumbers w:val="0"/>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eastAsia="zh-CN"/>
                    </w:rPr>
                    <w:t>焊接</w:t>
                  </w:r>
                </w:p>
              </w:tc>
              <w:tc>
                <w:tcPr>
                  <w:tcW w:w="544" w:type="pct"/>
                  <w:tcBorders>
                    <w:tl2br w:val="nil"/>
                    <w:tr2bl w:val="nil"/>
                  </w:tcBorders>
                  <w:noWrap/>
                  <w:tcMar>
                    <w:top w:w="15" w:type="dxa"/>
                    <w:left w:w="15" w:type="dxa"/>
                    <w:right w:w="15" w:type="dxa"/>
                  </w:tcMar>
                  <w:vAlign w:val="center"/>
                </w:tcPr>
                <w:p w14:paraId="5E119FC1">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0.075</w:t>
                  </w:r>
                </w:p>
              </w:tc>
              <w:tc>
                <w:tcPr>
                  <w:tcW w:w="769" w:type="pct"/>
                  <w:tcBorders>
                    <w:tl2br w:val="nil"/>
                    <w:tr2bl w:val="nil"/>
                  </w:tcBorders>
                  <w:noWrap/>
                  <w:tcMar>
                    <w:top w:w="15" w:type="dxa"/>
                    <w:left w:w="15" w:type="dxa"/>
                    <w:right w:w="15" w:type="dxa"/>
                  </w:tcMar>
                  <w:vAlign w:val="center"/>
                </w:tcPr>
                <w:p w14:paraId="611A5237">
                  <w:pPr>
                    <w:keepNext w:val="0"/>
                    <w:keepLines w:val="0"/>
                    <w:suppressLineNumbers w:val="0"/>
                    <w:spacing w:before="0" w:beforeAutospacing="0" w:after="0" w:afterAutospacing="0"/>
                    <w:ind w:left="0" w:right="0"/>
                    <w:jc w:val="center"/>
                    <w:textAlignment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333-999-99</w:t>
                  </w:r>
                </w:p>
              </w:tc>
              <w:tc>
                <w:tcPr>
                  <w:tcW w:w="976" w:type="pct"/>
                  <w:tcBorders>
                    <w:tl2br w:val="nil"/>
                    <w:tr2bl w:val="nil"/>
                  </w:tcBorders>
                  <w:noWrap/>
                  <w:tcMar>
                    <w:top w:w="15" w:type="dxa"/>
                    <w:left w:w="15" w:type="dxa"/>
                    <w:right w:w="15" w:type="dxa"/>
                  </w:tcMar>
                  <w:vAlign w:val="center"/>
                </w:tcPr>
                <w:p w14:paraId="76A4A3CD">
                  <w:pPr>
                    <w:keepNext w:val="0"/>
                    <w:keepLines w:val="0"/>
                    <w:suppressLineNumbers w:val="0"/>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eastAsia="zh-CN"/>
                    </w:rPr>
                    <w:t>外售综合利用</w:t>
                  </w:r>
                </w:p>
              </w:tc>
            </w:tr>
            <w:tr w14:paraId="17B6BD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continue"/>
                  <w:tcBorders>
                    <w:tl2br w:val="nil"/>
                    <w:tr2bl w:val="nil"/>
                  </w:tcBorders>
                  <w:noWrap/>
                  <w:tcMar>
                    <w:top w:w="15" w:type="dxa"/>
                    <w:left w:w="15" w:type="dxa"/>
                    <w:right w:w="15" w:type="dxa"/>
                  </w:tcMar>
                  <w:vAlign w:val="center"/>
                </w:tcPr>
                <w:p w14:paraId="55F0AD2F">
                  <w:pPr>
                    <w:keepNext w:val="0"/>
                    <w:keepLines w:val="0"/>
                    <w:suppressLineNumbers w:val="0"/>
                    <w:spacing w:before="0" w:beforeAutospacing="0" w:after="0" w:afterAutospacing="0"/>
                    <w:ind w:left="0" w:right="0"/>
                    <w:jc w:val="center"/>
                    <w:textAlignment w:val="center"/>
                    <w:rPr>
                      <w:rFonts w:hint="default"/>
                      <w:color w:val="0000FF"/>
                      <w:sz w:val="21"/>
                      <w:szCs w:val="21"/>
                      <w:u w:val="none" w:color="auto"/>
                    </w:rPr>
                  </w:pPr>
                </w:p>
              </w:tc>
              <w:tc>
                <w:tcPr>
                  <w:tcW w:w="873" w:type="pct"/>
                  <w:tcBorders>
                    <w:tl2br w:val="nil"/>
                    <w:tr2bl w:val="nil"/>
                  </w:tcBorders>
                  <w:noWrap/>
                  <w:tcMar>
                    <w:top w:w="15" w:type="dxa"/>
                    <w:left w:w="15" w:type="dxa"/>
                    <w:right w:w="15" w:type="dxa"/>
                  </w:tcMar>
                  <w:vAlign w:val="center"/>
                </w:tcPr>
                <w:p w14:paraId="73297944">
                  <w:pPr>
                    <w:keepNext w:val="0"/>
                    <w:keepLines w:val="0"/>
                    <w:suppressLineNumbers w:val="0"/>
                    <w:spacing w:before="0" w:beforeAutospacing="0" w:after="0" w:afterAutospacing="0"/>
                    <w:ind w:left="0" w:right="0"/>
                    <w:jc w:val="center"/>
                    <w:rPr>
                      <w:rFonts w:hint="eastAsia"/>
                      <w:color w:val="auto"/>
                      <w:sz w:val="21"/>
                      <w:szCs w:val="21"/>
                      <w:u w:val="none" w:color="auto"/>
                      <w:lang w:val="en-US" w:eastAsia="zh-CN"/>
                    </w:rPr>
                  </w:pPr>
                  <w:r>
                    <w:rPr>
                      <w:rFonts w:hint="eastAsia" w:ascii="Times New Roman" w:hAnsi="Times New Roman" w:eastAsia="宋体" w:cs="Times New Roman"/>
                      <w:color w:val="auto"/>
                      <w:spacing w:val="0"/>
                      <w:w w:val="100"/>
                      <w:kern w:val="0"/>
                      <w:position w:val="0"/>
                      <w:sz w:val="21"/>
                      <w:szCs w:val="21"/>
                      <w:u w:val="none" w:color="auto"/>
                      <w:lang w:val="en-US" w:eastAsia="zh-CN"/>
                    </w:rPr>
                    <w:t>废钢丸</w:t>
                  </w:r>
                </w:p>
              </w:tc>
              <w:tc>
                <w:tcPr>
                  <w:tcW w:w="929" w:type="pct"/>
                  <w:tcBorders>
                    <w:tl2br w:val="nil"/>
                    <w:tr2bl w:val="nil"/>
                  </w:tcBorders>
                  <w:noWrap/>
                  <w:tcMar>
                    <w:top w:w="15" w:type="dxa"/>
                    <w:left w:w="15" w:type="dxa"/>
                    <w:right w:w="15" w:type="dxa"/>
                  </w:tcMar>
                  <w:vAlign w:val="center"/>
                </w:tcPr>
                <w:p w14:paraId="08BBA864">
                  <w:pPr>
                    <w:keepNext w:val="0"/>
                    <w:keepLines w:val="0"/>
                    <w:suppressLineNumbers w:val="0"/>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抛丸</w:t>
                  </w:r>
                </w:p>
              </w:tc>
              <w:tc>
                <w:tcPr>
                  <w:tcW w:w="544" w:type="pct"/>
                  <w:tcBorders>
                    <w:tl2br w:val="nil"/>
                    <w:tr2bl w:val="nil"/>
                  </w:tcBorders>
                  <w:noWrap/>
                  <w:tcMar>
                    <w:top w:w="15" w:type="dxa"/>
                    <w:left w:w="15" w:type="dxa"/>
                    <w:right w:w="15" w:type="dxa"/>
                  </w:tcMar>
                  <w:vAlign w:val="center"/>
                </w:tcPr>
                <w:p w14:paraId="28B7BD60">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769" w:type="pct"/>
                  <w:tcBorders>
                    <w:tl2br w:val="nil"/>
                    <w:tr2bl w:val="nil"/>
                  </w:tcBorders>
                  <w:noWrap/>
                  <w:tcMar>
                    <w:top w:w="15" w:type="dxa"/>
                    <w:left w:w="15" w:type="dxa"/>
                    <w:right w:w="15" w:type="dxa"/>
                  </w:tcMar>
                  <w:vAlign w:val="center"/>
                </w:tcPr>
                <w:p w14:paraId="02B7FF44">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lang w:val="en-US" w:eastAsia="zh-CN"/>
                    </w:rPr>
                  </w:pPr>
                  <w:r>
                    <w:rPr>
                      <w:rFonts w:hint="eastAsia"/>
                      <w:color w:val="auto"/>
                      <w:sz w:val="21"/>
                      <w:szCs w:val="21"/>
                      <w:u w:val="none" w:color="auto"/>
                      <w:lang w:val="en-US" w:eastAsia="zh-CN"/>
                    </w:rPr>
                    <w:t>333-002-09</w:t>
                  </w:r>
                </w:p>
              </w:tc>
              <w:tc>
                <w:tcPr>
                  <w:tcW w:w="976" w:type="pct"/>
                  <w:tcBorders>
                    <w:tl2br w:val="nil"/>
                    <w:tr2bl w:val="nil"/>
                  </w:tcBorders>
                  <w:noWrap/>
                  <w:tcMar>
                    <w:top w:w="15" w:type="dxa"/>
                    <w:left w:w="15" w:type="dxa"/>
                    <w:right w:w="15" w:type="dxa"/>
                  </w:tcMar>
                  <w:vAlign w:val="center"/>
                </w:tcPr>
                <w:p w14:paraId="253D9879">
                  <w:pPr>
                    <w:keepNext w:val="0"/>
                    <w:keepLines w:val="0"/>
                    <w:suppressLineNumbers w:val="0"/>
                    <w:spacing w:before="0" w:beforeAutospacing="0" w:after="0" w:afterAutospacing="0"/>
                    <w:ind w:left="0" w:right="0"/>
                    <w:jc w:val="center"/>
                    <w:rPr>
                      <w:rFonts w:hint="eastAsia"/>
                      <w:color w:val="auto"/>
                      <w:sz w:val="21"/>
                      <w:szCs w:val="21"/>
                      <w:u w:val="none" w:color="auto"/>
                      <w:lang w:eastAsia="zh-CN"/>
                    </w:rPr>
                  </w:pPr>
                  <w:r>
                    <w:rPr>
                      <w:rFonts w:hint="eastAsia"/>
                      <w:color w:val="auto"/>
                      <w:sz w:val="21"/>
                      <w:szCs w:val="21"/>
                      <w:u w:val="none" w:color="auto"/>
                      <w:lang w:eastAsia="zh-CN"/>
                    </w:rPr>
                    <w:t>外售综合利用</w:t>
                  </w:r>
                </w:p>
              </w:tc>
            </w:tr>
            <w:tr w14:paraId="50091D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continue"/>
                  <w:tcBorders>
                    <w:tl2br w:val="nil"/>
                    <w:tr2bl w:val="nil"/>
                  </w:tcBorders>
                  <w:noWrap/>
                  <w:tcMar>
                    <w:top w:w="15" w:type="dxa"/>
                    <w:left w:w="15" w:type="dxa"/>
                    <w:right w:w="15" w:type="dxa"/>
                  </w:tcMar>
                  <w:vAlign w:val="center"/>
                </w:tcPr>
                <w:p w14:paraId="50EDA6BC">
                  <w:pPr>
                    <w:keepNext w:val="0"/>
                    <w:keepLines w:val="0"/>
                    <w:suppressLineNumbers w:val="0"/>
                    <w:spacing w:before="0" w:beforeAutospacing="0" w:after="0" w:afterAutospacing="0"/>
                    <w:ind w:left="0" w:right="0"/>
                    <w:jc w:val="center"/>
                    <w:textAlignment w:val="center"/>
                    <w:rPr>
                      <w:rFonts w:hint="default"/>
                      <w:color w:val="0000FF"/>
                      <w:sz w:val="21"/>
                      <w:szCs w:val="21"/>
                      <w:u w:val="none" w:color="auto"/>
                    </w:rPr>
                  </w:pPr>
                </w:p>
              </w:tc>
              <w:tc>
                <w:tcPr>
                  <w:tcW w:w="873" w:type="pct"/>
                  <w:tcBorders>
                    <w:tl2br w:val="nil"/>
                    <w:tr2bl w:val="nil"/>
                  </w:tcBorders>
                  <w:noWrap/>
                  <w:tcMar>
                    <w:top w:w="15" w:type="dxa"/>
                    <w:left w:w="15" w:type="dxa"/>
                    <w:right w:w="15" w:type="dxa"/>
                  </w:tcMar>
                  <w:vAlign w:val="center"/>
                </w:tcPr>
                <w:p w14:paraId="627BB9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kern w:val="0"/>
                      <w:position w:val="0"/>
                      <w:sz w:val="21"/>
                      <w:szCs w:val="21"/>
                      <w:u w:val="none" w:color="auto"/>
                      <w:lang w:val="en-US" w:eastAsia="zh-CN"/>
                    </w:rPr>
                  </w:pPr>
                  <w:r>
                    <w:rPr>
                      <w:rFonts w:hint="eastAsia" w:ascii="Times New Roman" w:hAnsi="Times New Roman" w:eastAsia="宋体" w:cs="Times New Roman"/>
                      <w:color w:val="auto"/>
                      <w:spacing w:val="0"/>
                      <w:w w:val="100"/>
                      <w:kern w:val="0"/>
                      <w:position w:val="0"/>
                      <w:sz w:val="21"/>
                      <w:szCs w:val="21"/>
                      <w:u w:val="none" w:color="auto"/>
                      <w:lang w:val="en-US" w:eastAsia="zh-CN"/>
                    </w:rPr>
                    <w:t>抛丸收集粉尘</w:t>
                  </w:r>
                </w:p>
              </w:tc>
              <w:tc>
                <w:tcPr>
                  <w:tcW w:w="929" w:type="pct"/>
                  <w:tcBorders>
                    <w:tl2br w:val="nil"/>
                    <w:tr2bl w:val="nil"/>
                  </w:tcBorders>
                  <w:noWrap/>
                  <w:tcMar>
                    <w:top w:w="15" w:type="dxa"/>
                    <w:left w:w="15" w:type="dxa"/>
                    <w:right w:w="15" w:type="dxa"/>
                  </w:tcMar>
                  <w:vAlign w:val="center"/>
                </w:tcPr>
                <w:p w14:paraId="578AC589">
                  <w:pPr>
                    <w:keepNext w:val="0"/>
                    <w:keepLines w:val="0"/>
                    <w:suppressLineNumbers w:val="0"/>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抛丸</w:t>
                  </w:r>
                </w:p>
              </w:tc>
              <w:tc>
                <w:tcPr>
                  <w:tcW w:w="544" w:type="pct"/>
                  <w:tcBorders>
                    <w:tl2br w:val="nil"/>
                    <w:tr2bl w:val="nil"/>
                  </w:tcBorders>
                  <w:noWrap/>
                  <w:tcMar>
                    <w:top w:w="15" w:type="dxa"/>
                    <w:left w:w="15" w:type="dxa"/>
                    <w:right w:w="15" w:type="dxa"/>
                  </w:tcMar>
                  <w:vAlign w:val="center"/>
                </w:tcPr>
                <w:p w14:paraId="3A715AE8">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9.58</w:t>
                  </w:r>
                </w:p>
              </w:tc>
              <w:tc>
                <w:tcPr>
                  <w:tcW w:w="769" w:type="pct"/>
                  <w:tcBorders>
                    <w:tl2br w:val="nil"/>
                    <w:tr2bl w:val="nil"/>
                  </w:tcBorders>
                  <w:noWrap/>
                  <w:tcMar>
                    <w:top w:w="15" w:type="dxa"/>
                    <w:left w:w="15" w:type="dxa"/>
                    <w:right w:w="15" w:type="dxa"/>
                  </w:tcMar>
                  <w:vAlign w:val="center"/>
                </w:tcPr>
                <w:p w14:paraId="0D80387E">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val="en-US" w:eastAsia="zh-CN"/>
                    </w:rPr>
                  </w:pPr>
                  <w:r>
                    <w:rPr>
                      <w:rFonts w:hint="eastAsia"/>
                      <w:color w:val="auto"/>
                      <w:sz w:val="21"/>
                      <w:szCs w:val="21"/>
                      <w:u w:val="none" w:color="auto"/>
                      <w:lang w:val="en-US" w:eastAsia="zh-CN"/>
                    </w:rPr>
                    <w:t>333-002-66</w:t>
                  </w:r>
                </w:p>
              </w:tc>
              <w:tc>
                <w:tcPr>
                  <w:tcW w:w="976" w:type="pct"/>
                  <w:tcBorders>
                    <w:tl2br w:val="nil"/>
                    <w:tr2bl w:val="nil"/>
                  </w:tcBorders>
                  <w:noWrap/>
                  <w:tcMar>
                    <w:top w:w="15" w:type="dxa"/>
                    <w:left w:w="15" w:type="dxa"/>
                    <w:right w:w="15" w:type="dxa"/>
                  </w:tcMar>
                  <w:vAlign w:val="center"/>
                </w:tcPr>
                <w:p w14:paraId="40A05350">
                  <w:pPr>
                    <w:keepNext w:val="0"/>
                    <w:keepLines w:val="0"/>
                    <w:suppressLineNumbers w:val="0"/>
                    <w:spacing w:before="0" w:beforeAutospacing="0" w:after="0" w:afterAutospacing="0"/>
                    <w:ind w:left="0" w:right="0"/>
                    <w:jc w:val="center"/>
                    <w:rPr>
                      <w:rFonts w:hint="eastAsia"/>
                      <w:color w:val="auto"/>
                      <w:sz w:val="21"/>
                      <w:szCs w:val="21"/>
                      <w:u w:val="none" w:color="auto"/>
                      <w:lang w:eastAsia="zh-CN"/>
                    </w:rPr>
                  </w:pPr>
                  <w:r>
                    <w:rPr>
                      <w:rFonts w:hint="eastAsia"/>
                      <w:color w:val="auto"/>
                      <w:sz w:val="21"/>
                      <w:szCs w:val="21"/>
                      <w:u w:val="none" w:color="auto"/>
                      <w:lang w:eastAsia="zh-CN"/>
                    </w:rPr>
                    <w:t>外售综合利用</w:t>
                  </w:r>
                </w:p>
              </w:tc>
            </w:tr>
            <w:tr w14:paraId="7DB14B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restart"/>
                  <w:tcBorders>
                    <w:tl2br w:val="nil"/>
                    <w:tr2bl w:val="nil"/>
                  </w:tcBorders>
                  <w:noWrap/>
                  <w:tcMar>
                    <w:top w:w="15" w:type="dxa"/>
                    <w:left w:w="15" w:type="dxa"/>
                    <w:right w:w="15" w:type="dxa"/>
                  </w:tcMar>
                  <w:vAlign w:val="center"/>
                </w:tcPr>
                <w:p w14:paraId="65E8CF46">
                  <w:pPr>
                    <w:keepNext w:val="0"/>
                    <w:keepLines w:val="0"/>
                    <w:suppressLineNumbers w:val="0"/>
                    <w:spacing w:before="0" w:beforeAutospacing="0" w:after="0" w:afterAutospacing="0"/>
                    <w:ind w:left="0" w:right="0"/>
                    <w:jc w:val="center"/>
                    <w:textAlignment w:val="center"/>
                    <w:rPr>
                      <w:rFonts w:hint="eastAsia" w:eastAsia="宋体"/>
                      <w:color w:val="auto"/>
                      <w:sz w:val="21"/>
                      <w:szCs w:val="21"/>
                      <w:u w:val="none" w:color="auto"/>
                      <w:lang w:eastAsia="zh-CN"/>
                    </w:rPr>
                  </w:pPr>
                  <w:r>
                    <w:rPr>
                      <w:rFonts w:hint="eastAsia"/>
                      <w:color w:val="auto"/>
                      <w:sz w:val="21"/>
                      <w:szCs w:val="21"/>
                      <w:u w:val="none" w:color="auto"/>
                      <w:lang w:eastAsia="zh-CN"/>
                    </w:rPr>
                    <w:t>危险废物</w:t>
                  </w:r>
                </w:p>
              </w:tc>
              <w:tc>
                <w:tcPr>
                  <w:tcW w:w="873" w:type="pct"/>
                  <w:tcBorders>
                    <w:tl2br w:val="nil"/>
                    <w:tr2bl w:val="nil"/>
                  </w:tcBorders>
                  <w:noWrap/>
                  <w:tcMar>
                    <w:top w:w="15" w:type="dxa"/>
                    <w:left w:w="15" w:type="dxa"/>
                    <w:right w:w="15" w:type="dxa"/>
                  </w:tcMar>
                  <w:vAlign w:val="center"/>
                </w:tcPr>
                <w:p w14:paraId="715D3B9E">
                  <w:pPr>
                    <w:keepNext w:val="0"/>
                    <w:keepLines w:val="0"/>
                    <w:suppressLineNumbers w:val="0"/>
                    <w:spacing w:before="0" w:beforeAutospacing="0" w:after="0" w:afterAutospacing="0"/>
                    <w:ind w:left="0" w:right="0"/>
                    <w:jc w:val="center"/>
                    <w:rPr>
                      <w:rFonts w:hint="eastAsia" w:eastAsia="宋体"/>
                      <w:color w:val="auto"/>
                      <w:sz w:val="21"/>
                      <w:szCs w:val="21"/>
                      <w:u w:val="none" w:color="auto"/>
                      <w:lang w:eastAsia="zh-CN"/>
                    </w:rPr>
                  </w:pPr>
                  <w:r>
                    <w:rPr>
                      <w:rFonts w:hint="eastAsia"/>
                      <w:color w:val="auto"/>
                      <w:sz w:val="21"/>
                      <w:szCs w:val="21"/>
                      <w:u w:val="none" w:color="auto"/>
                    </w:rPr>
                    <w:t>废</w:t>
                  </w:r>
                  <w:r>
                    <w:rPr>
                      <w:rFonts w:hint="eastAsia"/>
                      <w:color w:val="auto"/>
                      <w:sz w:val="21"/>
                      <w:szCs w:val="21"/>
                      <w:u w:val="none" w:color="auto"/>
                      <w:lang w:eastAsia="zh-CN"/>
                    </w:rPr>
                    <w:t>包装桶</w:t>
                  </w:r>
                </w:p>
              </w:tc>
              <w:tc>
                <w:tcPr>
                  <w:tcW w:w="929" w:type="pct"/>
                  <w:tcBorders>
                    <w:tl2br w:val="nil"/>
                    <w:tr2bl w:val="nil"/>
                  </w:tcBorders>
                  <w:noWrap/>
                  <w:tcMar>
                    <w:top w:w="15" w:type="dxa"/>
                    <w:left w:w="15" w:type="dxa"/>
                    <w:right w:w="15" w:type="dxa"/>
                  </w:tcMar>
                  <w:vAlign w:val="center"/>
                </w:tcPr>
                <w:p w14:paraId="3CBE7EE4">
                  <w:pPr>
                    <w:keepNext w:val="0"/>
                    <w:keepLines w:val="0"/>
                    <w:suppressLineNumbers w:val="0"/>
                    <w:spacing w:before="0" w:beforeAutospacing="0" w:after="0" w:afterAutospacing="0"/>
                    <w:ind w:left="0" w:right="0"/>
                    <w:jc w:val="center"/>
                    <w:rPr>
                      <w:rFonts w:hint="eastAsia"/>
                      <w:color w:val="auto"/>
                      <w:sz w:val="21"/>
                      <w:szCs w:val="21"/>
                      <w:u w:val="none" w:color="auto"/>
                      <w:lang w:eastAsia="zh-CN"/>
                    </w:rPr>
                  </w:pPr>
                  <w:r>
                    <w:rPr>
                      <w:rFonts w:hint="eastAsia"/>
                      <w:color w:val="auto"/>
                      <w:sz w:val="21"/>
                      <w:szCs w:val="21"/>
                      <w:u w:val="none" w:color="auto"/>
                      <w:lang w:eastAsia="zh-CN"/>
                    </w:rPr>
                    <w:t>刷漆</w:t>
                  </w:r>
                </w:p>
              </w:tc>
              <w:tc>
                <w:tcPr>
                  <w:tcW w:w="544" w:type="pct"/>
                  <w:tcBorders>
                    <w:tl2br w:val="nil"/>
                    <w:tr2bl w:val="nil"/>
                  </w:tcBorders>
                  <w:noWrap/>
                  <w:tcMar>
                    <w:top w:w="15" w:type="dxa"/>
                    <w:left w:w="15" w:type="dxa"/>
                    <w:right w:w="15" w:type="dxa"/>
                  </w:tcMar>
                  <w:vAlign w:val="center"/>
                </w:tcPr>
                <w:p w14:paraId="2027EF3F">
                  <w:pPr>
                    <w:keepNext w:val="0"/>
                    <w:keepLines w:val="0"/>
                    <w:suppressLineNumbers w:val="0"/>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0.2</w:t>
                  </w:r>
                </w:p>
              </w:tc>
              <w:tc>
                <w:tcPr>
                  <w:tcW w:w="769" w:type="pct"/>
                  <w:tcBorders>
                    <w:tl2br w:val="nil"/>
                    <w:tr2bl w:val="nil"/>
                  </w:tcBorders>
                  <w:noWrap/>
                  <w:tcMar>
                    <w:top w:w="15" w:type="dxa"/>
                    <w:left w:w="15" w:type="dxa"/>
                    <w:right w:w="15" w:type="dxa"/>
                  </w:tcMar>
                  <w:vAlign w:val="center"/>
                </w:tcPr>
                <w:p w14:paraId="255D51FD">
                  <w:pPr>
                    <w:keepNext w:val="0"/>
                    <w:keepLines w:val="0"/>
                    <w:suppressLineNumbers w:val="0"/>
                    <w:spacing w:before="0" w:beforeAutospacing="0" w:after="0" w:afterAutospacing="0"/>
                    <w:ind w:left="0" w:right="0"/>
                    <w:jc w:val="center"/>
                    <w:rPr>
                      <w:rFonts w:hint="default" w:eastAsia="宋体"/>
                      <w:color w:val="auto"/>
                      <w:sz w:val="21"/>
                      <w:szCs w:val="21"/>
                      <w:u w:val="none" w:color="auto"/>
                      <w:lang w:val="en-US" w:eastAsia="zh-CN"/>
                    </w:rPr>
                  </w:pPr>
                  <w:r>
                    <w:rPr>
                      <w:rFonts w:hint="default" w:ascii="Times New Roman" w:hAnsi="Times New Roman" w:eastAsia="宋体" w:cs="Times New Roman"/>
                      <w:color w:val="auto"/>
                      <w:spacing w:val="0"/>
                      <w:w w:val="100"/>
                      <w:kern w:val="0"/>
                      <w:position w:val="0"/>
                      <w:sz w:val="21"/>
                      <w:szCs w:val="21"/>
                      <w:u w:val="none" w:color="auto"/>
                      <w:lang w:val="en-US" w:eastAsia="zh-CN"/>
                    </w:rPr>
                    <w:t>900-041-49</w:t>
                  </w:r>
                </w:p>
              </w:tc>
              <w:tc>
                <w:tcPr>
                  <w:tcW w:w="976" w:type="pct"/>
                  <w:tcBorders>
                    <w:tl2br w:val="nil"/>
                    <w:tr2bl w:val="nil"/>
                  </w:tcBorders>
                  <w:noWrap/>
                  <w:tcMar>
                    <w:top w:w="15" w:type="dxa"/>
                    <w:left w:w="15" w:type="dxa"/>
                    <w:right w:w="15" w:type="dxa"/>
                  </w:tcMar>
                  <w:vAlign w:val="center"/>
                </w:tcPr>
                <w:p w14:paraId="1446CC3C">
                  <w:pPr>
                    <w:keepNext w:val="0"/>
                    <w:keepLines w:val="0"/>
                    <w:suppressLineNumbers w:val="0"/>
                    <w:spacing w:before="0" w:beforeAutospacing="0" w:after="0" w:afterAutospacing="0"/>
                    <w:ind w:left="0" w:right="0"/>
                    <w:jc w:val="center"/>
                    <w:textAlignment w:val="center"/>
                    <w:rPr>
                      <w:rFonts w:hint="default" w:eastAsia="宋体"/>
                      <w:color w:val="auto"/>
                      <w:sz w:val="21"/>
                      <w:szCs w:val="21"/>
                      <w:u w:val="none" w:color="auto"/>
                      <w:lang w:val="en-US" w:eastAsia="zh-CN"/>
                    </w:rPr>
                  </w:pPr>
                  <w:r>
                    <w:rPr>
                      <w:rFonts w:hint="default"/>
                      <w:color w:val="auto"/>
                      <w:sz w:val="21"/>
                      <w:szCs w:val="21"/>
                      <w:u w:val="none" w:color="auto"/>
                    </w:rPr>
                    <w:t>委托</w:t>
                  </w:r>
                  <w:r>
                    <w:rPr>
                      <w:rFonts w:hint="eastAsia"/>
                      <w:color w:val="auto"/>
                      <w:sz w:val="21"/>
                      <w:szCs w:val="21"/>
                      <w:u w:val="none" w:color="auto"/>
                    </w:rPr>
                    <w:t>相关</w:t>
                  </w:r>
                  <w:r>
                    <w:rPr>
                      <w:rFonts w:hint="default"/>
                      <w:color w:val="auto"/>
                      <w:sz w:val="21"/>
                      <w:szCs w:val="21"/>
                      <w:u w:val="none" w:color="auto"/>
                    </w:rPr>
                    <w:t>资质单位处置</w:t>
                  </w:r>
                </w:p>
              </w:tc>
            </w:tr>
            <w:tr w14:paraId="2F9B8A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continue"/>
                  <w:tcBorders>
                    <w:tl2br w:val="nil"/>
                    <w:tr2bl w:val="nil"/>
                  </w:tcBorders>
                  <w:noWrap/>
                  <w:tcMar>
                    <w:top w:w="15" w:type="dxa"/>
                    <w:left w:w="15" w:type="dxa"/>
                    <w:right w:w="15" w:type="dxa"/>
                  </w:tcMar>
                  <w:vAlign w:val="center"/>
                </w:tcPr>
                <w:p w14:paraId="66A3E581">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p>
              </w:tc>
              <w:tc>
                <w:tcPr>
                  <w:tcW w:w="873" w:type="pct"/>
                  <w:tcBorders>
                    <w:tl2br w:val="nil"/>
                    <w:tr2bl w:val="nil"/>
                  </w:tcBorders>
                  <w:noWrap/>
                  <w:tcMar>
                    <w:top w:w="15" w:type="dxa"/>
                    <w:left w:w="15" w:type="dxa"/>
                    <w:right w:w="15" w:type="dxa"/>
                  </w:tcMar>
                  <w:vAlign w:val="center"/>
                </w:tcPr>
                <w:p w14:paraId="50BC048A">
                  <w:pPr>
                    <w:keepNext w:val="0"/>
                    <w:keepLines w:val="0"/>
                    <w:suppressLineNumbers w:val="0"/>
                    <w:spacing w:before="0" w:beforeAutospacing="0" w:after="0" w:afterAutospacing="0"/>
                    <w:ind w:left="0" w:right="0"/>
                    <w:jc w:val="center"/>
                    <w:rPr>
                      <w:rFonts w:hint="eastAsia"/>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废辊涂工具、废毛刷</w:t>
                  </w:r>
                </w:p>
              </w:tc>
              <w:tc>
                <w:tcPr>
                  <w:tcW w:w="929" w:type="pct"/>
                  <w:tcBorders>
                    <w:tl2br w:val="nil"/>
                    <w:tr2bl w:val="nil"/>
                  </w:tcBorders>
                  <w:noWrap/>
                  <w:tcMar>
                    <w:top w:w="15" w:type="dxa"/>
                    <w:left w:w="15" w:type="dxa"/>
                    <w:right w:w="15" w:type="dxa"/>
                  </w:tcMar>
                  <w:vAlign w:val="center"/>
                </w:tcPr>
                <w:p w14:paraId="5F8BDE0C">
                  <w:pPr>
                    <w:keepNext w:val="0"/>
                    <w:keepLines w:val="0"/>
                    <w:suppressLineNumbers w:val="0"/>
                    <w:spacing w:before="0" w:beforeAutospacing="0" w:after="0" w:afterAutospacing="0"/>
                    <w:ind w:left="0" w:right="0"/>
                    <w:jc w:val="center"/>
                    <w:rPr>
                      <w:rFonts w:hint="eastAsia"/>
                      <w:color w:val="auto"/>
                      <w:sz w:val="21"/>
                      <w:szCs w:val="21"/>
                      <w:u w:val="none" w:color="auto"/>
                      <w:lang w:eastAsia="zh-CN"/>
                    </w:rPr>
                  </w:pPr>
                  <w:r>
                    <w:rPr>
                      <w:rFonts w:hint="eastAsia"/>
                      <w:color w:val="auto"/>
                      <w:sz w:val="21"/>
                      <w:szCs w:val="21"/>
                      <w:u w:val="none" w:color="auto"/>
                      <w:lang w:eastAsia="zh-CN"/>
                    </w:rPr>
                    <w:t>刷漆</w:t>
                  </w:r>
                </w:p>
              </w:tc>
              <w:tc>
                <w:tcPr>
                  <w:tcW w:w="544" w:type="pct"/>
                  <w:tcBorders>
                    <w:tl2br w:val="nil"/>
                    <w:tr2bl w:val="nil"/>
                  </w:tcBorders>
                  <w:noWrap/>
                  <w:tcMar>
                    <w:top w:w="15" w:type="dxa"/>
                    <w:left w:w="15" w:type="dxa"/>
                    <w:right w:w="15" w:type="dxa"/>
                  </w:tcMar>
                  <w:vAlign w:val="center"/>
                </w:tcPr>
                <w:p w14:paraId="05A5B57E">
                  <w:pPr>
                    <w:keepNext w:val="0"/>
                    <w:keepLines w:val="0"/>
                    <w:suppressLineNumbers w:val="0"/>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0.05</w:t>
                  </w:r>
                </w:p>
              </w:tc>
              <w:tc>
                <w:tcPr>
                  <w:tcW w:w="769" w:type="pct"/>
                  <w:tcBorders>
                    <w:tl2br w:val="nil"/>
                    <w:tr2bl w:val="nil"/>
                  </w:tcBorders>
                  <w:shd w:val="clear" w:color="auto" w:fill="auto"/>
                  <w:noWrap/>
                  <w:tcMar>
                    <w:top w:w="15" w:type="dxa"/>
                    <w:left w:w="15" w:type="dxa"/>
                    <w:right w:w="15" w:type="dxa"/>
                  </w:tcMar>
                  <w:vAlign w:val="center"/>
                </w:tcPr>
                <w:p w14:paraId="450593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0"/>
                      <w:w w:val="100"/>
                      <w:kern w:val="0"/>
                      <w:position w:val="0"/>
                      <w:sz w:val="21"/>
                      <w:szCs w:val="21"/>
                      <w:u w:val="none" w:color="auto"/>
                      <w:lang w:val="en-US" w:eastAsia="zh-CN"/>
                    </w:rPr>
                    <w:t>900-041-49</w:t>
                  </w:r>
                </w:p>
              </w:tc>
              <w:tc>
                <w:tcPr>
                  <w:tcW w:w="976" w:type="pct"/>
                  <w:tcBorders>
                    <w:tl2br w:val="nil"/>
                    <w:tr2bl w:val="nil"/>
                  </w:tcBorders>
                  <w:shd w:val="clear" w:color="auto" w:fill="auto"/>
                  <w:noWrap/>
                  <w:tcMar>
                    <w:top w:w="15" w:type="dxa"/>
                    <w:left w:w="15" w:type="dxa"/>
                    <w:right w:w="15" w:type="dxa"/>
                  </w:tcMar>
                  <w:vAlign w:val="center"/>
                </w:tcPr>
                <w:p w14:paraId="2DF09784">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color w:val="auto"/>
                      <w:sz w:val="21"/>
                      <w:szCs w:val="21"/>
                      <w:u w:val="none" w:color="auto"/>
                    </w:rPr>
                    <w:t>委托</w:t>
                  </w:r>
                  <w:r>
                    <w:rPr>
                      <w:rFonts w:hint="eastAsia"/>
                      <w:color w:val="auto"/>
                      <w:sz w:val="21"/>
                      <w:szCs w:val="21"/>
                      <w:u w:val="none" w:color="auto"/>
                    </w:rPr>
                    <w:t>相关</w:t>
                  </w:r>
                  <w:r>
                    <w:rPr>
                      <w:rFonts w:hint="default"/>
                      <w:color w:val="auto"/>
                      <w:sz w:val="21"/>
                      <w:szCs w:val="21"/>
                      <w:u w:val="none" w:color="auto"/>
                    </w:rPr>
                    <w:t>资质单位处置</w:t>
                  </w:r>
                </w:p>
              </w:tc>
            </w:tr>
            <w:tr w14:paraId="64C741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continue"/>
                  <w:tcBorders>
                    <w:tl2br w:val="nil"/>
                    <w:tr2bl w:val="nil"/>
                  </w:tcBorders>
                  <w:noWrap/>
                  <w:tcMar>
                    <w:top w:w="15" w:type="dxa"/>
                    <w:left w:w="15" w:type="dxa"/>
                    <w:right w:w="15" w:type="dxa"/>
                  </w:tcMar>
                  <w:vAlign w:val="center"/>
                </w:tcPr>
                <w:p w14:paraId="2EF597CC">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p>
              </w:tc>
              <w:tc>
                <w:tcPr>
                  <w:tcW w:w="873" w:type="pct"/>
                  <w:tcBorders>
                    <w:tl2br w:val="nil"/>
                    <w:tr2bl w:val="nil"/>
                  </w:tcBorders>
                  <w:noWrap/>
                  <w:tcMar>
                    <w:top w:w="15" w:type="dxa"/>
                    <w:left w:w="15" w:type="dxa"/>
                    <w:right w:w="15" w:type="dxa"/>
                  </w:tcMar>
                  <w:vAlign w:val="center"/>
                </w:tcPr>
                <w:p w14:paraId="5D440D6D">
                  <w:pPr>
                    <w:keepNext w:val="0"/>
                    <w:keepLines w:val="0"/>
                    <w:suppressLineNumbers w:val="0"/>
                    <w:spacing w:before="0" w:beforeAutospacing="0" w:after="0" w:afterAutospacing="0"/>
                    <w:ind w:left="0" w:right="0"/>
                    <w:jc w:val="center"/>
                    <w:rPr>
                      <w:rFonts w:hint="eastAsia" w:eastAsia="宋体" w:cs="Times New Roman"/>
                      <w:color w:val="auto"/>
                      <w:spacing w:val="0"/>
                      <w:w w:val="100"/>
                      <w:kern w:val="0"/>
                      <w:position w:val="0"/>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废液压油</w:t>
                  </w:r>
                </w:p>
              </w:tc>
              <w:tc>
                <w:tcPr>
                  <w:tcW w:w="929" w:type="pct"/>
                  <w:tcBorders>
                    <w:tl2br w:val="nil"/>
                    <w:tr2bl w:val="nil"/>
                  </w:tcBorders>
                  <w:noWrap/>
                  <w:tcMar>
                    <w:top w:w="15" w:type="dxa"/>
                    <w:left w:w="15" w:type="dxa"/>
                    <w:right w:w="15" w:type="dxa"/>
                  </w:tcMar>
                  <w:vAlign w:val="center"/>
                </w:tcPr>
                <w:p w14:paraId="7F8FD0E0">
                  <w:pPr>
                    <w:keepNext w:val="0"/>
                    <w:keepLines w:val="0"/>
                    <w:suppressLineNumbers w:val="0"/>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机加工</w:t>
                  </w:r>
                </w:p>
              </w:tc>
              <w:tc>
                <w:tcPr>
                  <w:tcW w:w="544" w:type="pct"/>
                  <w:tcBorders>
                    <w:tl2br w:val="nil"/>
                    <w:tr2bl w:val="nil"/>
                  </w:tcBorders>
                  <w:noWrap/>
                  <w:tcMar>
                    <w:top w:w="15" w:type="dxa"/>
                    <w:left w:w="15" w:type="dxa"/>
                    <w:right w:w="15" w:type="dxa"/>
                  </w:tcMar>
                  <w:vAlign w:val="center"/>
                </w:tcPr>
                <w:p w14:paraId="360BFF3F">
                  <w:pPr>
                    <w:keepNext w:val="0"/>
                    <w:keepLines w:val="0"/>
                    <w:suppressLineNumbers w:val="0"/>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0.1</w:t>
                  </w:r>
                </w:p>
              </w:tc>
              <w:tc>
                <w:tcPr>
                  <w:tcW w:w="769" w:type="pct"/>
                  <w:tcBorders>
                    <w:tl2br w:val="nil"/>
                    <w:tr2bl w:val="nil"/>
                  </w:tcBorders>
                  <w:noWrap/>
                  <w:tcMar>
                    <w:top w:w="15" w:type="dxa"/>
                    <w:left w:w="15" w:type="dxa"/>
                    <w:right w:w="15" w:type="dxa"/>
                  </w:tcMar>
                  <w:vAlign w:val="center"/>
                </w:tcPr>
                <w:p w14:paraId="3BAABD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kern w:val="0"/>
                      <w:position w:val="0"/>
                      <w:sz w:val="21"/>
                      <w:szCs w:val="21"/>
                      <w:u w:val="none" w:color="auto"/>
                      <w:lang w:val="en-US" w:eastAsia="zh-CN"/>
                    </w:rPr>
                  </w:pPr>
                  <w:r>
                    <w:rPr>
                      <w:rFonts w:hint="default" w:ascii="Times New Roman" w:hAnsi="Times New Roman" w:eastAsia="宋体" w:cs="Times New Roman"/>
                      <w:color w:val="auto"/>
                      <w:spacing w:val="0"/>
                      <w:w w:val="100"/>
                      <w:kern w:val="0"/>
                      <w:position w:val="0"/>
                      <w:sz w:val="21"/>
                      <w:szCs w:val="21"/>
                      <w:u w:val="none" w:color="auto"/>
                      <w:lang w:val="en-US" w:eastAsia="zh-CN"/>
                    </w:rPr>
                    <w:t>900-218-08</w:t>
                  </w:r>
                </w:p>
              </w:tc>
              <w:tc>
                <w:tcPr>
                  <w:tcW w:w="976" w:type="pct"/>
                  <w:tcBorders>
                    <w:tl2br w:val="nil"/>
                    <w:tr2bl w:val="nil"/>
                  </w:tcBorders>
                  <w:noWrap/>
                  <w:tcMar>
                    <w:top w:w="15" w:type="dxa"/>
                    <w:left w:w="15" w:type="dxa"/>
                    <w:right w:w="15" w:type="dxa"/>
                  </w:tcMar>
                  <w:vAlign w:val="center"/>
                </w:tcPr>
                <w:p w14:paraId="3D9E1EFC">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r>
                    <w:rPr>
                      <w:rFonts w:hint="default"/>
                      <w:color w:val="auto"/>
                      <w:sz w:val="21"/>
                      <w:szCs w:val="21"/>
                      <w:u w:val="none" w:color="auto"/>
                    </w:rPr>
                    <w:t>委托</w:t>
                  </w:r>
                  <w:r>
                    <w:rPr>
                      <w:rFonts w:hint="eastAsia"/>
                      <w:color w:val="auto"/>
                      <w:sz w:val="21"/>
                      <w:szCs w:val="21"/>
                      <w:u w:val="none" w:color="auto"/>
                    </w:rPr>
                    <w:t>相关</w:t>
                  </w:r>
                  <w:r>
                    <w:rPr>
                      <w:rFonts w:hint="default"/>
                      <w:color w:val="auto"/>
                      <w:sz w:val="21"/>
                      <w:szCs w:val="21"/>
                      <w:u w:val="none" w:color="auto"/>
                    </w:rPr>
                    <w:t>资质单位处置</w:t>
                  </w:r>
                </w:p>
              </w:tc>
            </w:tr>
            <w:tr w14:paraId="33F628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continue"/>
                  <w:tcBorders>
                    <w:tl2br w:val="nil"/>
                    <w:tr2bl w:val="nil"/>
                  </w:tcBorders>
                  <w:noWrap/>
                  <w:tcMar>
                    <w:top w:w="15" w:type="dxa"/>
                    <w:left w:w="15" w:type="dxa"/>
                    <w:right w:w="15" w:type="dxa"/>
                  </w:tcMar>
                  <w:vAlign w:val="center"/>
                </w:tcPr>
                <w:p w14:paraId="7416FDC8">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p>
              </w:tc>
              <w:tc>
                <w:tcPr>
                  <w:tcW w:w="873" w:type="pct"/>
                  <w:tcBorders>
                    <w:tl2br w:val="nil"/>
                    <w:tr2bl w:val="nil"/>
                  </w:tcBorders>
                  <w:noWrap/>
                  <w:tcMar>
                    <w:top w:w="15" w:type="dxa"/>
                    <w:left w:w="15" w:type="dxa"/>
                    <w:right w:w="15" w:type="dxa"/>
                  </w:tcMar>
                  <w:vAlign w:val="center"/>
                </w:tcPr>
                <w:p w14:paraId="20D1FD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废冷却液</w:t>
                  </w:r>
                </w:p>
              </w:tc>
              <w:tc>
                <w:tcPr>
                  <w:tcW w:w="929" w:type="pct"/>
                  <w:tcBorders>
                    <w:tl2br w:val="nil"/>
                    <w:tr2bl w:val="nil"/>
                  </w:tcBorders>
                  <w:noWrap/>
                  <w:tcMar>
                    <w:top w:w="15" w:type="dxa"/>
                    <w:left w:w="15" w:type="dxa"/>
                    <w:right w:w="15" w:type="dxa"/>
                  </w:tcMar>
                  <w:vAlign w:val="center"/>
                </w:tcPr>
                <w:p w14:paraId="3992ED32">
                  <w:pPr>
                    <w:keepNext w:val="0"/>
                    <w:keepLines w:val="0"/>
                    <w:suppressLineNumbers w:val="0"/>
                    <w:spacing w:before="0" w:beforeAutospacing="0" w:after="0" w:afterAutospacing="0"/>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机加工</w:t>
                  </w:r>
                </w:p>
              </w:tc>
              <w:tc>
                <w:tcPr>
                  <w:tcW w:w="544" w:type="pct"/>
                  <w:tcBorders>
                    <w:tl2br w:val="nil"/>
                    <w:tr2bl w:val="nil"/>
                  </w:tcBorders>
                  <w:noWrap/>
                  <w:tcMar>
                    <w:top w:w="15" w:type="dxa"/>
                    <w:left w:w="15" w:type="dxa"/>
                    <w:right w:w="15" w:type="dxa"/>
                  </w:tcMar>
                  <w:vAlign w:val="center"/>
                </w:tcPr>
                <w:p w14:paraId="7760080E">
                  <w:pPr>
                    <w:keepNext w:val="0"/>
                    <w:keepLines w:val="0"/>
                    <w:suppressLineNumbers w:val="0"/>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0.1</w:t>
                  </w:r>
                </w:p>
              </w:tc>
              <w:tc>
                <w:tcPr>
                  <w:tcW w:w="769" w:type="pct"/>
                  <w:tcBorders>
                    <w:tl2br w:val="nil"/>
                    <w:tr2bl w:val="nil"/>
                  </w:tcBorders>
                  <w:noWrap/>
                  <w:tcMar>
                    <w:top w:w="15" w:type="dxa"/>
                    <w:left w:w="15" w:type="dxa"/>
                    <w:right w:w="15" w:type="dxa"/>
                  </w:tcMar>
                  <w:vAlign w:val="center"/>
                </w:tcPr>
                <w:p w14:paraId="296EE1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kern w:val="0"/>
                      <w:position w:val="0"/>
                      <w:sz w:val="21"/>
                      <w:szCs w:val="21"/>
                      <w:u w:val="none" w:color="auto"/>
                      <w:lang w:val="en-US" w:eastAsia="zh-CN"/>
                    </w:rPr>
                  </w:pPr>
                  <w:r>
                    <w:rPr>
                      <w:rFonts w:hint="default" w:ascii="Times New Roman" w:hAnsi="Times New Roman" w:eastAsia="宋体" w:cs="Times New Roman"/>
                      <w:color w:val="auto"/>
                      <w:spacing w:val="0"/>
                      <w:w w:val="100"/>
                      <w:kern w:val="0"/>
                      <w:position w:val="0"/>
                      <w:sz w:val="21"/>
                      <w:szCs w:val="21"/>
                      <w:u w:val="none" w:color="auto"/>
                      <w:lang w:val="en-US" w:eastAsia="zh-CN"/>
                    </w:rPr>
                    <w:t>900-</w:t>
                  </w:r>
                  <w:r>
                    <w:rPr>
                      <w:rFonts w:hint="eastAsia" w:ascii="Times New Roman" w:hAnsi="Times New Roman" w:eastAsia="宋体" w:cs="Times New Roman"/>
                      <w:color w:val="auto"/>
                      <w:spacing w:val="0"/>
                      <w:w w:val="100"/>
                      <w:kern w:val="0"/>
                      <w:position w:val="0"/>
                      <w:sz w:val="21"/>
                      <w:szCs w:val="21"/>
                      <w:u w:val="none" w:color="auto"/>
                      <w:lang w:val="en-US" w:eastAsia="zh-CN"/>
                    </w:rPr>
                    <w:t>006</w:t>
                  </w:r>
                  <w:r>
                    <w:rPr>
                      <w:rFonts w:hint="default" w:ascii="Times New Roman" w:hAnsi="Times New Roman" w:eastAsia="宋体" w:cs="Times New Roman"/>
                      <w:color w:val="auto"/>
                      <w:spacing w:val="0"/>
                      <w:w w:val="100"/>
                      <w:kern w:val="0"/>
                      <w:position w:val="0"/>
                      <w:sz w:val="21"/>
                      <w:szCs w:val="21"/>
                      <w:u w:val="none" w:color="auto"/>
                      <w:lang w:val="en-US" w:eastAsia="zh-CN"/>
                    </w:rPr>
                    <w:t>-0</w:t>
                  </w:r>
                  <w:r>
                    <w:rPr>
                      <w:rFonts w:hint="eastAsia" w:ascii="Times New Roman" w:hAnsi="Times New Roman" w:eastAsia="宋体" w:cs="Times New Roman"/>
                      <w:color w:val="auto"/>
                      <w:spacing w:val="0"/>
                      <w:w w:val="100"/>
                      <w:kern w:val="0"/>
                      <w:position w:val="0"/>
                      <w:sz w:val="21"/>
                      <w:szCs w:val="21"/>
                      <w:u w:val="none" w:color="auto"/>
                      <w:lang w:val="en-US" w:eastAsia="zh-CN"/>
                    </w:rPr>
                    <w:t>9</w:t>
                  </w:r>
                </w:p>
              </w:tc>
              <w:tc>
                <w:tcPr>
                  <w:tcW w:w="976" w:type="pct"/>
                  <w:tcBorders>
                    <w:tl2br w:val="nil"/>
                    <w:tr2bl w:val="nil"/>
                  </w:tcBorders>
                  <w:noWrap/>
                  <w:tcMar>
                    <w:top w:w="15" w:type="dxa"/>
                    <w:left w:w="15" w:type="dxa"/>
                    <w:right w:w="15" w:type="dxa"/>
                  </w:tcMar>
                  <w:vAlign w:val="center"/>
                </w:tcPr>
                <w:p w14:paraId="5A37958A">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r>
                    <w:rPr>
                      <w:rFonts w:hint="default"/>
                      <w:color w:val="auto"/>
                      <w:sz w:val="21"/>
                      <w:szCs w:val="21"/>
                      <w:u w:val="none" w:color="auto"/>
                    </w:rPr>
                    <w:t>委托</w:t>
                  </w:r>
                  <w:r>
                    <w:rPr>
                      <w:rFonts w:hint="eastAsia"/>
                      <w:color w:val="auto"/>
                      <w:sz w:val="21"/>
                      <w:szCs w:val="21"/>
                      <w:u w:val="none" w:color="auto"/>
                    </w:rPr>
                    <w:t>相关</w:t>
                  </w:r>
                  <w:r>
                    <w:rPr>
                      <w:rFonts w:hint="default"/>
                      <w:color w:val="auto"/>
                      <w:sz w:val="21"/>
                      <w:szCs w:val="21"/>
                      <w:u w:val="none" w:color="auto"/>
                    </w:rPr>
                    <w:t>资质单位处置</w:t>
                  </w:r>
                </w:p>
              </w:tc>
            </w:tr>
            <w:tr w14:paraId="05111C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continue"/>
                  <w:tcBorders>
                    <w:tl2br w:val="nil"/>
                    <w:tr2bl w:val="nil"/>
                  </w:tcBorders>
                  <w:noWrap/>
                  <w:tcMar>
                    <w:top w:w="15" w:type="dxa"/>
                    <w:left w:w="15" w:type="dxa"/>
                    <w:right w:w="15" w:type="dxa"/>
                  </w:tcMar>
                  <w:vAlign w:val="center"/>
                </w:tcPr>
                <w:p w14:paraId="7CDF1182">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p>
              </w:tc>
              <w:tc>
                <w:tcPr>
                  <w:tcW w:w="873" w:type="pct"/>
                  <w:tcBorders>
                    <w:tl2br w:val="nil"/>
                    <w:tr2bl w:val="nil"/>
                  </w:tcBorders>
                  <w:noWrap/>
                  <w:tcMar>
                    <w:top w:w="15" w:type="dxa"/>
                    <w:left w:w="15" w:type="dxa"/>
                    <w:right w:w="15" w:type="dxa"/>
                  </w:tcMar>
                  <w:vAlign w:val="center"/>
                </w:tcPr>
                <w:p w14:paraId="358F2B1B">
                  <w:pPr>
                    <w:keepNext w:val="0"/>
                    <w:keepLines w:val="0"/>
                    <w:suppressLineNumbers w:val="0"/>
                    <w:spacing w:before="0" w:beforeAutospacing="0" w:after="0" w:afterAutospacing="0"/>
                    <w:ind w:left="0" w:right="0"/>
                    <w:jc w:val="center"/>
                    <w:textAlignment w:val="center"/>
                    <w:rPr>
                      <w:rFonts w:hint="default" w:eastAsia="宋体"/>
                      <w:color w:val="auto"/>
                      <w:sz w:val="21"/>
                      <w:szCs w:val="21"/>
                      <w:u w:val="none" w:color="auto"/>
                      <w:lang w:val="en-US" w:eastAsia="zh-CN"/>
                    </w:rPr>
                  </w:pPr>
                  <w:r>
                    <w:rPr>
                      <w:rFonts w:hint="eastAsia"/>
                      <w:color w:val="auto"/>
                      <w:sz w:val="21"/>
                      <w:szCs w:val="21"/>
                      <w:u w:val="none" w:color="auto"/>
                      <w:lang w:eastAsia="zh-CN"/>
                    </w:rPr>
                    <w:t>废</w:t>
                  </w:r>
                  <w:r>
                    <w:rPr>
                      <w:rFonts w:hint="eastAsia"/>
                      <w:color w:val="auto"/>
                      <w:sz w:val="21"/>
                      <w:szCs w:val="21"/>
                      <w:u w:val="none" w:color="auto"/>
                      <w:lang w:val="en-US" w:eastAsia="zh-CN"/>
                    </w:rPr>
                    <w:t>润滑油</w:t>
                  </w:r>
                </w:p>
              </w:tc>
              <w:tc>
                <w:tcPr>
                  <w:tcW w:w="929" w:type="pct"/>
                  <w:tcBorders>
                    <w:tl2br w:val="nil"/>
                    <w:tr2bl w:val="nil"/>
                  </w:tcBorders>
                  <w:noWrap/>
                  <w:tcMar>
                    <w:top w:w="15" w:type="dxa"/>
                    <w:left w:w="15" w:type="dxa"/>
                    <w:right w:w="15" w:type="dxa"/>
                  </w:tcMar>
                  <w:vAlign w:val="center"/>
                </w:tcPr>
                <w:p w14:paraId="4CAC9F77">
                  <w:pPr>
                    <w:keepNext w:val="0"/>
                    <w:keepLines w:val="0"/>
                    <w:suppressLineNumbers w:val="0"/>
                    <w:spacing w:before="0" w:beforeAutospacing="0" w:after="0" w:afterAutospacing="0"/>
                    <w:ind w:left="0" w:right="0"/>
                    <w:jc w:val="center"/>
                    <w:textAlignment w:val="center"/>
                    <w:rPr>
                      <w:rFonts w:hint="default" w:eastAsia="宋体"/>
                      <w:color w:val="auto"/>
                      <w:sz w:val="21"/>
                      <w:szCs w:val="21"/>
                      <w:u w:val="none" w:color="auto"/>
                      <w:lang w:val="en-US" w:eastAsia="zh-CN"/>
                    </w:rPr>
                  </w:pPr>
                  <w:r>
                    <w:rPr>
                      <w:rFonts w:hint="eastAsia"/>
                      <w:color w:val="auto"/>
                      <w:sz w:val="21"/>
                      <w:szCs w:val="21"/>
                      <w:u w:val="none" w:color="auto"/>
                      <w:lang w:eastAsia="zh-CN"/>
                    </w:rPr>
                    <w:t>设备</w:t>
                  </w:r>
                  <w:r>
                    <w:rPr>
                      <w:rFonts w:hint="eastAsia"/>
                      <w:color w:val="auto"/>
                      <w:sz w:val="21"/>
                      <w:szCs w:val="21"/>
                      <w:u w:val="none" w:color="auto"/>
                      <w:lang w:val="en-US" w:eastAsia="zh-CN"/>
                    </w:rPr>
                    <w:t>维修</w:t>
                  </w:r>
                </w:p>
              </w:tc>
              <w:tc>
                <w:tcPr>
                  <w:tcW w:w="544" w:type="pct"/>
                  <w:tcBorders>
                    <w:tl2br w:val="nil"/>
                    <w:tr2bl w:val="nil"/>
                  </w:tcBorders>
                  <w:noWrap/>
                  <w:tcMar>
                    <w:top w:w="15" w:type="dxa"/>
                    <w:left w:w="15" w:type="dxa"/>
                    <w:right w:w="15" w:type="dxa"/>
                  </w:tcMar>
                  <w:vAlign w:val="center"/>
                </w:tcPr>
                <w:p w14:paraId="4FD432A0">
                  <w:pPr>
                    <w:keepNext w:val="0"/>
                    <w:keepLines w:val="0"/>
                    <w:suppressLineNumbers w:val="0"/>
                    <w:spacing w:before="0" w:beforeAutospacing="0" w:after="0" w:afterAutospacing="0"/>
                    <w:ind w:left="0" w:right="0"/>
                    <w:jc w:val="center"/>
                    <w:textAlignment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0.05</w:t>
                  </w:r>
                </w:p>
              </w:tc>
              <w:tc>
                <w:tcPr>
                  <w:tcW w:w="769" w:type="pct"/>
                  <w:tcBorders>
                    <w:tl2br w:val="nil"/>
                    <w:tr2bl w:val="nil"/>
                  </w:tcBorders>
                  <w:noWrap/>
                  <w:tcMar>
                    <w:top w:w="15" w:type="dxa"/>
                    <w:left w:w="15" w:type="dxa"/>
                    <w:right w:w="15" w:type="dxa"/>
                  </w:tcMar>
                  <w:vAlign w:val="center"/>
                </w:tcPr>
                <w:p w14:paraId="345B08BF">
                  <w:pPr>
                    <w:keepNext w:val="0"/>
                    <w:keepLines w:val="0"/>
                    <w:suppressLineNumbers w:val="0"/>
                    <w:spacing w:before="0" w:beforeAutospacing="0" w:after="0" w:afterAutospacing="0"/>
                    <w:ind w:left="0" w:right="0"/>
                    <w:jc w:val="center"/>
                    <w:textAlignment w:val="center"/>
                    <w:rPr>
                      <w:rFonts w:hint="default" w:eastAsia="宋体"/>
                      <w:color w:val="auto"/>
                      <w:sz w:val="21"/>
                      <w:szCs w:val="21"/>
                      <w:u w:val="none" w:color="auto"/>
                      <w:lang w:val="en-US" w:eastAsia="zh-CN"/>
                    </w:rPr>
                  </w:pPr>
                  <w:r>
                    <w:rPr>
                      <w:rFonts w:hint="default" w:ascii="Times New Roman" w:hAnsi="Times New Roman" w:eastAsia="宋体" w:cs="Times New Roman"/>
                      <w:color w:val="auto"/>
                      <w:spacing w:val="0"/>
                      <w:w w:val="100"/>
                      <w:kern w:val="0"/>
                      <w:position w:val="0"/>
                      <w:sz w:val="21"/>
                      <w:szCs w:val="21"/>
                      <w:u w:val="none" w:color="auto"/>
                      <w:lang w:val="en-US" w:eastAsia="zh-CN"/>
                    </w:rPr>
                    <w:t>900-214-08</w:t>
                  </w:r>
                </w:p>
              </w:tc>
              <w:tc>
                <w:tcPr>
                  <w:tcW w:w="976" w:type="pct"/>
                  <w:tcBorders>
                    <w:tl2br w:val="nil"/>
                    <w:tr2bl w:val="nil"/>
                  </w:tcBorders>
                  <w:noWrap/>
                  <w:tcMar>
                    <w:top w:w="15" w:type="dxa"/>
                    <w:left w:w="15" w:type="dxa"/>
                    <w:right w:w="15" w:type="dxa"/>
                  </w:tcMar>
                  <w:vAlign w:val="center"/>
                </w:tcPr>
                <w:p w14:paraId="68F19C40">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r>
                    <w:rPr>
                      <w:rFonts w:hint="default"/>
                      <w:color w:val="auto"/>
                      <w:sz w:val="21"/>
                      <w:szCs w:val="21"/>
                      <w:u w:val="none" w:color="auto"/>
                    </w:rPr>
                    <w:t>委托</w:t>
                  </w:r>
                  <w:r>
                    <w:rPr>
                      <w:rFonts w:hint="eastAsia"/>
                      <w:color w:val="auto"/>
                      <w:sz w:val="21"/>
                      <w:szCs w:val="21"/>
                      <w:u w:val="none" w:color="auto"/>
                    </w:rPr>
                    <w:t>相关</w:t>
                  </w:r>
                  <w:r>
                    <w:rPr>
                      <w:rFonts w:hint="default"/>
                      <w:color w:val="auto"/>
                      <w:sz w:val="21"/>
                      <w:szCs w:val="21"/>
                      <w:u w:val="none" w:color="auto"/>
                    </w:rPr>
                    <w:t>资质单位处置</w:t>
                  </w:r>
                </w:p>
              </w:tc>
            </w:tr>
            <w:tr w14:paraId="27A11C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continue"/>
                  <w:tcBorders>
                    <w:tl2br w:val="nil"/>
                    <w:tr2bl w:val="nil"/>
                  </w:tcBorders>
                  <w:noWrap/>
                  <w:tcMar>
                    <w:top w:w="15" w:type="dxa"/>
                    <w:left w:w="15" w:type="dxa"/>
                    <w:right w:w="15" w:type="dxa"/>
                  </w:tcMar>
                  <w:vAlign w:val="center"/>
                </w:tcPr>
                <w:p w14:paraId="02BBEA74">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p>
              </w:tc>
              <w:tc>
                <w:tcPr>
                  <w:tcW w:w="873" w:type="pct"/>
                  <w:tcBorders>
                    <w:tl2br w:val="nil"/>
                    <w:tr2bl w:val="nil"/>
                  </w:tcBorders>
                  <w:noWrap/>
                  <w:tcMar>
                    <w:top w:w="15" w:type="dxa"/>
                    <w:left w:w="15" w:type="dxa"/>
                    <w:right w:w="15" w:type="dxa"/>
                  </w:tcMar>
                  <w:vAlign w:val="center"/>
                </w:tcPr>
                <w:p w14:paraId="1A8B9B11">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eastAsia" w:ascii="宋体" w:hAnsi="宋体" w:eastAsia="宋体" w:cs="宋体"/>
                      <w:color w:val="000000"/>
                      <w:kern w:val="0"/>
                      <w:sz w:val="21"/>
                      <w:szCs w:val="21"/>
                      <w:u w:val="none" w:color="auto"/>
                      <w:lang w:val="en-US" w:eastAsia="zh-CN" w:bidi="ar"/>
                    </w:rPr>
                    <w:t>废油抹布及手套</w:t>
                  </w:r>
                </w:p>
              </w:tc>
              <w:tc>
                <w:tcPr>
                  <w:tcW w:w="929" w:type="pct"/>
                  <w:tcBorders>
                    <w:tl2br w:val="nil"/>
                    <w:tr2bl w:val="nil"/>
                  </w:tcBorders>
                  <w:noWrap/>
                  <w:tcMar>
                    <w:top w:w="15" w:type="dxa"/>
                    <w:left w:w="15" w:type="dxa"/>
                    <w:right w:w="15" w:type="dxa"/>
                  </w:tcMar>
                  <w:vAlign w:val="center"/>
                </w:tcPr>
                <w:p w14:paraId="08E32B02">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eastAsia"/>
                      <w:color w:val="auto"/>
                      <w:sz w:val="21"/>
                      <w:szCs w:val="21"/>
                      <w:u w:val="none" w:color="auto"/>
                      <w:lang w:eastAsia="zh-CN"/>
                    </w:rPr>
                    <w:t>设备</w:t>
                  </w:r>
                  <w:r>
                    <w:rPr>
                      <w:rFonts w:hint="eastAsia"/>
                      <w:color w:val="auto"/>
                      <w:sz w:val="21"/>
                      <w:szCs w:val="21"/>
                      <w:u w:val="none" w:color="auto"/>
                      <w:lang w:val="en-US" w:eastAsia="zh-CN"/>
                    </w:rPr>
                    <w:t>维修</w:t>
                  </w:r>
                </w:p>
              </w:tc>
              <w:tc>
                <w:tcPr>
                  <w:tcW w:w="544" w:type="pct"/>
                  <w:tcBorders>
                    <w:tl2br w:val="nil"/>
                    <w:tr2bl w:val="nil"/>
                  </w:tcBorders>
                  <w:noWrap/>
                  <w:tcMar>
                    <w:top w:w="15" w:type="dxa"/>
                    <w:left w:w="15" w:type="dxa"/>
                    <w:right w:w="15" w:type="dxa"/>
                  </w:tcMar>
                  <w:vAlign w:val="center"/>
                </w:tcPr>
                <w:p w14:paraId="3387B7B3">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lang w:val="en-US" w:eastAsia="zh-CN"/>
                    </w:rPr>
                  </w:pPr>
                  <w:r>
                    <w:rPr>
                      <w:rFonts w:hint="eastAsia"/>
                      <w:color w:val="auto"/>
                      <w:sz w:val="21"/>
                      <w:szCs w:val="21"/>
                      <w:u w:val="none" w:color="auto"/>
                      <w:lang w:val="en-US" w:eastAsia="zh-CN"/>
                    </w:rPr>
                    <w:t>0.01</w:t>
                  </w:r>
                </w:p>
              </w:tc>
              <w:tc>
                <w:tcPr>
                  <w:tcW w:w="769" w:type="pct"/>
                  <w:tcBorders>
                    <w:tl2br w:val="nil"/>
                    <w:tr2bl w:val="nil"/>
                  </w:tcBorders>
                  <w:noWrap/>
                  <w:tcMar>
                    <w:top w:w="15" w:type="dxa"/>
                    <w:left w:w="15" w:type="dxa"/>
                    <w:right w:w="15" w:type="dxa"/>
                  </w:tcMar>
                  <w:vAlign w:val="center"/>
                </w:tcPr>
                <w:p w14:paraId="30C5749C">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kern w:val="0"/>
                      <w:position w:val="0"/>
                      <w:sz w:val="21"/>
                      <w:szCs w:val="21"/>
                      <w:u w:val="none" w:color="auto"/>
                      <w:lang w:val="en-US" w:eastAsia="zh-CN"/>
                    </w:rPr>
                  </w:pPr>
                  <w:r>
                    <w:rPr>
                      <w:rFonts w:hint="default" w:ascii="Times New Roman" w:hAnsi="Times New Roman" w:eastAsia="宋体" w:cs="Times New Roman"/>
                      <w:color w:val="auto"/>
                      <w:spacing w:val="0"/>
                      <w:w w:val="100"/>
                      <w:kern w:val="0"/>
                      <w:position w:val="0"/>
                      <w:sz w:val="21"/>
                      <w:szCs w:val="21"/>
                      <w:u w:val="none" w:color="auto"/>
                      <w:lang w:val="en-US" w:eastAsia="zh-CN"/>
                    </w:rPr>
                    <w:t>900-041-49</w:t>
                  </w:r>
                </w:p>
              </w:tc>
              <w:tc>
                <w:tcPr>
                  <w:tcW w:w="976" w:type="pct"/>
                  <w:tcBorders>
                    <w:tl2br w:val="nil"/>
                    <w:tr2bl w:val="nil"/>
                  </w:tcBorders>
                  <w:noWrap/>
                  <w:tcMar>
                    <w:top w:w="15" w:type="dxa"/>
                    <w:left w:w="15" w:type="dxa"/>
                    <w:right w:w="15" w:type="dxa"/>
                  </w:tcMar>
                  <w:vAlign w:val="center"/>
                </w:tcPr>
                <w:p w14:paraId="29B54C16">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r>
                    <w:rPr>
                      <w:rFonts w:hint="default"/>
                      <w:color w:val="auto"/>
                      <w:sz w:val="21"/>
                      <w:szCs w:val="21"/>
                      <w:u w:val="none" w:color="auto"/>
                    </w:rPr>
                    <w:t>委托</w:t>
                  </w:r>
                  <w:r>
                    <w:rPr>
                      <w:rFonts w:hint="eastAsia"/>
                      <w:color w:val="auto"/>
                      <w:sz w:val="21"/>
                      <w:szCs w:val="21"/>
                      <w:u w:val="none" w:color="auto"/>
                    </w:rPr>
                    <w:t>相关</w:t>
                  </w:r>
                  <w:r>
                    <w:rPr>
                      <w:rFonts w:hint="default"/>
                      <w:color w:val="auto"/>
                      <w:sz w:val="21"/>
                      <w:szCs w:val="21"/>
                      <w:u w:val="none" w:color="auto"/>
                    </w:rPr>
                    <w:t>资质单位处置</w:t>
                  </w:r>
                </w:p>
              </w:tc>
            </w:tr>
            <w:tr w14:paraId="499308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6" w:type="pct"/>
                  <w:vMerge w:val="continue"/>
                  <w:tcBorders>
                    <w:tl2br w:val="nil"/>
                    <w:tr2bl w:val="nil"/>
                  </w:tcBorders>
                  <w:noWrap/>
                  <w:tcMar>
                    <w:top w:w="15" w:type="dxa"/>
                    <w:left w:w="15" w:type="dxa"/>
                    <w:right w:w="15" w:type="dxa"/>
                  </w:tcMar>
                  <w:vAlign w:val="center"/>
                </w:tcPr>
                <w:p w14:paraId="5E83553D">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p>
              </w:tc>
              <w:tc>
                <w:tcPr>
                  <w:tcW w:w="873" w:type="pct"/>
                  <w:tcBorders>
                    <w:tl2br w:val="nil"/>
                    <w:tr2bl w:val="nil"/>
                  </w:tcBorders>
                  <w:noWrap/>
                  <w:tcMar>
                    <w:top w:w="15" w:type="dxa"/>
                    <w:left w:w="15" w:type="dxa"/>
                    <w:right w:w="15" w:type="dxa"/>
                  </w:tcMar>
                  <w:vAlign w:val="center"/>
                </w:tcPr>
                <w:p w14:paraId="49F4F018">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eastAsia"/>
                      <w:color w:val="auto"/>
                      <w:sz w:val="21"/>
                      <w:szCs w:val="21"/>
                      <w:u w:val="none" w:color="auto"/>
                      <w:lang w:eastAsia="zh-CN"/>
                    </w:rPr>
                    <w:t>油类包装桶</w:t>
                  </w:r>
                </w:p>
              </w:tc>
              <w:tc>
                <w:tcPr>
                  <w:tcW w:w="929" w:type="pct"/>
                  <w:tcBorders>
                    <w:tl2br w:val="nil"/>
                    <w:tr2bl w:val="nil"/>
                  </w:tcBorders>
                  <w:noWrap/>
                  <w:tcMar>
                    <w:top w:w="15" w:type="dxa"/>
                    <w:left w:w="15" w:type="dxa"/>
                    <w:right w:w="15" w:type="dxa"/>
                  </w:tcMar>
                  <w:vAlign w:val="center"/>
                </w:tcPr>
                <w:p w14:paraId="1F5C36AB">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eastAsia"/>
                      <w:color w:val="auto"/>
                      <w:sz w:val="21"/>
                      <w:szCs w:val="21"/>
                      <w:u w:val="none" w:color="auto"/>
                      <w:lang w:val="en-US" w:eastAsia="zh-CN"/>
                    </w:rPr>
                    <w:t>包装</w:t>
                  </w:r>
                </w:p>
              </w:tc>
              <w:tc>
                <w:tcPr>
                  <w:tcW w:w="544" w:type="pct"/>
                  <w:tcBorders>
                    <w:tl2br w:val="nil"/>
                    <w:tr2bl w:val="nil"/>
                  </w:tcBorders>
                  <w:noWrap/>
                  <w:tcMar>
                    <w:top w:w="15" w:type="dxa"/>
                    <w:left w:w="15" w:type="dxa"/>
                    <w:right w:w="15" w:type="dxa"/>
                  </w:tcMar>
                  <w:vAlign w:val="center"/>
                </w:tcPr>
                <w:p w14:paraId="0632431A">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lang w:val="en-US" w:eastAsia="zh-CN"/>
                    </w:rPr>
                  </w:pPr>
                  <w:r>
                    <w:rPr>
                      <w:rFonts w:hint="eastAsia"/>
                      <w:color w:val="auto"/>
                      <w:sz w:val="21"/>
                      <w:szCs w:val="21"/>
                      <w:u w:val="none" w:color="auto"/>
                      <w:lang w:val="en-US" w:eastAsia="zh-CN"/>
                    </w:rPr>
                    <w:t>0.001</w:t>
                  </w:r>
                </w:p>
              </w:tc>
              <w:tc>
                <w:tcPr>
                  <w:tcW w:w="769" w:type="pct"/>
                  <w:tcBorders>
                    <w:tl2br w:val="nil"/>
                    <w:tr2bl w:val="nil"/>
                  </w:tcBorders>
                  <w:noWrap/>
                  <w:tcMar>
                    <w:top w:w="15" w:type="dxa"/>
                    <w:left w:w="15" w:type="dxa"/>
                    <w:right w:w="15" w:type="dxa"/>
                  </w:tcMar>
                  <w:vAlign w:val="center"/>
                </w:tcPr>
                <w:p w14:paraId="01EECDCC">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lang w:val="en-US" w:eastAsia="zh-CN"/>
                    </w:rPr>
                  </w:pPr>
                  <w:r>
                    <w:rPr>
                      <w:rFonts w:hint="default" w:ascii="Times New Roman" w:hAnsi="Times New Roman" w:eastAsia="宋体" w:cs="Times New Roman"/>
                      <w:color w:val="auto"/>
                      <w:spacing w:val="0"/>
                      <w:w w:val="100"/>
                      <w:kern w:val="0"/>
                      <w:position w:val="0"/>
                      <w:sz w:val="21"/>
                      <w:szCs w:val="21"/>
                      <w:u w:val="none" w:color="auto"/>
                      <w:lang w:val="en-US" w:eastAsia="zh-CN"/>
                    </w:rPr>
                    <w:t>900-041-49</w:t>
                  </w:r>
                </w:p>
              </w:tc>
              <w:tc>
                <w:tcPr>
                  <w:tcW w:w="976" w:type="pct"/>
                  <w:tcBorders>
                    <w:tl2br w:val="nil"/>
                    <w:tr2bl w:val="nil"/>
                  </w:tcBorders>
                  <w:noWrap/>
                  <w:tcMar>
                    <w:top w:w="15" w:type="dxa"/>
                    <w:left w:w="15" w:type="dxa"/>
                    <w:right w:w="15" w:type="dxa"/>
                  </w:tcMar>
                  <w:vAlign w:val="center"/>
                </w:tcPr>
                <w:p w14:paraId="6C4A80C0">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r>
                    <w:rPr>
                      <w:rFonts w:hint="default"/>
                      <w:color w:val="auto"/>
                      <w:sz w:val="21"/>
                      <w:szCs w:val="21"/>
                      <w:u w:val="none" w:color="auto"/>
                    </w:rPr>
                    <w:t>委托</w:t>
                  </w:r>
                  <w:r>
                    <w:rPr>
                      <w:rFonts w:hint="eastAsia"/>
                      <w:color w:val="auto"/>
                      <w:sz w:val="21"/>
                      <w:szCs w:val="21"/>
                      <w:u w:val="none" w:color="auto"/>
                    </w:rPr>
                    <w:t>相关</w:t>
                  </w:r>
                  <w:r>
                    <w:rPr>
                      <w:rFonts w:hint="default"/>
                      <w:color w:val="auto"/>
                      <w:sz w:val="21"/>
                      <w:szCs w:val="21"/>
                      <w:u w:val="none" w:color="auto"/>
                    </w:rPr>
                    <w:t>资质单位处置</w:t>
                  </w:r>
                </w:p>
              </w:tc>
            </w:tr>
            <w:tr w14:paraId="6FE155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9" w:type="pct"/>
                  <w:gridSpan w:val="2"/>
                  <w:tcBorders>
                    <w:tl2br w:val="nil"/>
                    <w:tr2bl w:val="nil"/>
                  </w:tcBorders>
                  <w:noWrap/>
                  <w:tcMar>
                    <w:top w:w="15" w:type="dxa"/>
                    <w:left w:w="15" w:type="dxa"/>
                    <w:right w:w="15" w:type="dxa"/>
                  </w:tcMar>
                  <w:vAlign w:val="center"/>
                </w:tcPr>
                <w:p w14:paraId="19629026">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default"/>
                      <w:color w:val="auto"/>
                      <w:sz w:val="21"/>
                      <w:szCs w:val="21"/>
                      <w:u w:val="none" w:color="auto"/>
                    </w:rPr>
                    <w:t>生活垃圾</w:t>
                  </w:r>
                </w:p>
              </w:tc>
              <w:tc>
                <w:tcPr>
                  <w:tcW w:w="929" w:type="pct"/>
                  <w:tcBorders>
                    <w:tl2br w:val="nil"/>
                    <w:tr2bl w:val="nil"/>
                  </w:tcBorders>
                  <w:noWrap/>
                  <w:tcMar>
                    <w:top w:w="15" w:type="dxa"/>
                    <w:left w:w="15" w:type="dxa"/>
                    <w:right w:w="15" w:type="dxa"/>
                  </w:tcMar>
                  <w:vAlign w:val="center"/>
                </w:tcPr>
                <w:p w14:paraId="69FE4840">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default"/>
                      <w:color w:val="auto"/>
                      <w:sz w:val="21"/>
                      <w:szCs w:val="21"/>
                      <w:u w:val="none" w:color="auto"/>
                    </w:rPr>
                    <w:t>员工</w:t>
                  </w:r>
                </w:p>
              </w:tc>
              <w:tc>
                <w:tcPr>
                  <w:tcW w:w="544" w:type="pct"/>
                  <w:tcBorders>
                    <w:tl2br w:val="nil"/>
                    <w:tr2bl w:val="nil"/>
                  </w:tcBorders>
                  <w:noWrap/>
                  <w:tcMar>
                    <w:top w:w="15" w:type="dxa"/>
                    <w:left w:w="15" w:type="dxa"/>
                    <w:right w:w="15" w:type="dxa"/>
                  </w:tcMar>
                  <w:vAlign w:val="center"/>
                </w:tcPr>
                <w:p w14:paraId="2828C49B">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lang w:val="en-US" w:eastAsia="zh-CN"/>
                    </w:rPr>
                  </w:pPr>
                  <w:r>
                    <w:rPr>
                      <w:rFonts w:hint="eastAsia"/>
                      <w:color w:val="auto"/>
                      <w:sz w:val="21"/>
                      <w:szCs w:val="21"/>
                      <w:u w:val="none" w:color="auto"/>
                      <w:lang w:val="en-US" w:eastAsia="zh-CN"/>
                    </w:rPr>
                    <w:t>1.4</w:t>
                  </w:r>
                </w:p>
              </w:tc>
              <w:tc>
                <w:tcPr>
                  <w:tcW w:w="769" w:type="pct"/>
                  <w:tcBorders>
                    <w:tl2br w:val="nil"/>
                    <w:tr2bl w:val="nil"/>
                  </w:tcBorders>
                  <w:noWrap/>
                  <w:tcMar>
                    <w:top w:w="15" w:type="dxa"/>
                    <w:left w:w="15" w:type="dxa"/>
                    <w:right w:w="15" w:type="dxa"/>
                  </w:tcMar>
                  <w:vAlign w:val="center"/>
                </w:tcPr>
                <w:p w14:paraId="0CC01EE0">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color w:val="auto"/>
                      <w:sz w:val="21"/>
                      <w:szCs w:val="21"/>
                      <w:u w:val="none" w:color="auto"/>
                      <w:lang w:val="en-US" w:eastAsia="zh-CN"/>
                    </w:rPr>
                    <w:t>/</w:t>
                  </w:r>
                </w:p>
              </w:tc>
              <w:tc>
                <w:tcPr>
                  <w:tcW w:w="976" w:type="pct"/>
                  <w:tcBorders>
                    <w:tl2br w:val="nil"/>
                    <w:tr2bl w:val="nil"/>
                  </w:tcBorders>
                  <w:noWrap/>
                  <w:tcMar>
                    <w:top w:w="15" w:type="dxa"/>
                    <w:left w:w="15" w:type="dxa"/>
                    <w:right w:w="15" w:type="dxa"/>
                  </w:tcMar>
                  <w:vAlign w:val="center"/>
                </w:tcPr>
                <w:p w14:paraId="78D1F588">
                  <w:pPr>
                    <w:keepNext w:val="0"/>
                    <w:keepLines w:val="0"/>
                    <w:suppressLineNumbers w:val="0"/>
                    <w:spacing w:before="0" w:beforeAutospacing="0" w:after="0" w:afterAutospacing="0"/>
                    <w:ind w:left="0" w:right="0"/>
                    <w:jc w:val="center"/>
                    <w:textAlignment w:val="center"/>
                    <w:rPr>
                      <w:rFonts w:hint="default"/>
                      <w:color w:val="auto"/>
                      <w:sz w:val="21"/>
                      <w:szCs w:val="21"/>
                      <w:u w:val="none" w:color="auto"/>
                    </w:rPr>
                  </w:pPr>
                  <w:r>
                    <w:rPr>
                      <w:rFonts w:hint="default"/>
                      <w:color w:val="auto"/>
                      <w:sz w:val="21"/>
                      <w:szCs w:val="21"/>
                      <w:u w:val="none" w:color="auto"/>
                    </w:rPr>
                    <w:t>环卫部门统一清运</w:t>
                  </w:r>
                </w:p>
              </w:tc>
            </w:tr>
          </w:tbl>
          <w:p w14:paraId="1AC1980B">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b/>
                <w:color w:val="auto"/>
                <w:sz w:val="24"/>
                <w:szCs w:val="24"/>
              </w:rPr>
            </w:pPr>
            <w:r>
              <w:rPr>
                <w:rFonts w:hint="default" w:ascii="Times New Roman" w:hAnsi="Times New Roman"/>
                <w:b/>
                <w:color w:val="auto"/>
                <w:sz w:val="24"/>
                <w:szCs w:val="24"/>
              </w:rPr>
              <w:t>表</w:t>
            </w:r>
            <w:r>
              <w:rPr>
                <w:rFonts w:hint="eastAsia" w:ascii="Times New Roman" w:hAnsi="Times New Roman"/>
                <w:b/>
                <w:color w:val="auto"/>
                <w:sz w:val="24"/>
                <w:szCs w:val="24"/>
                <w:lang w:val="en-US" w:eastAsia="zh-CN"/>
              </w:rPr>
              <w:t>4-</w:t>
            </w:r>
            <w:r>
              <w:rPr>
                <w:rFonts w:hint="eastAsia" w:ascii="Times New Roman"/>
                <w:b/>
                <w:color w:val="auto"/>
                <w:sz w:val="24"/>
                <w:szCs w:val="24"/>
                <w:lang w:val="en-US" w:eastAsia="zh-CN"/>
              </w:rPr>
              <w:t>16</w:t>
            </w:r>
            <w:r>
              <w:rPr>
                <w:rFonts w:hint="default" w:ascii="Times New Roman" w:hAnsi="Times New Roman"/>
                <w:b/>
                <w:color w:val="auto"/>
                <w:sz w:val="24"/>
                <w:szCs w:val="24"/>
              </w:rPr>
              <w:t xml:space="preserve"> 本项目危险废物统计表</w:t>
            </w:r>
          </w:p>
          <w:tbl>
            <w:tblPr>
              <w:tblStyle w:val="37"/>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841"/>
              <w:gridCol w:w="834"/>
              <w:gridCol w:w="1037"/>
              <w:gridCol w:w="926"/>
              <w:gridCol w:w="888"/>
              <w:gridCol w:w="393"/>
              <w:gridCol w:w="686"/>
              <w:gridCol w:w="688"/>
              <w:gridCol w:w="393"/>
              <w:gridCol w:w="602"/>
              <w:gridCol w:w="897"/>
            </w:tblGrid>
            <w:tr w14:paraId="0F3AE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tcBorders>
                    <w:tl2br w:val="nil"/>
                    <w:tr2bl w:val="nil"/>
                  </w:tcBorders>
                  <w:noWrap w:val="0"/>
                  <w:vAlign w:val="center"/>
                </w:tcPr>
                <w:p w14:paraId="2461EBE7">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序号</w:t>
                  </w:r>
                </w:p>
              </w:tc>
              <w:tc>
                <w:tcPr>
                  <w:tcW w:w="484" w:type="pct"/>
                  <w:tcBorders>
                    <w:tl2br w:val="nil"/>
                    <w:tr2bl w:val="nil"/>
                  </w:tcBorders>
                  <w:noWrap w:val="0"/>
                  <w:vAlign w:val="center"/>
                </w:tcPr>
                <w:p w14:paraId="0343EBDB">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危险废物名称</w:t>
                  </w:r>
                </w:p>
              </w:tc>
              <w:tc>
                <w:tcPr>
                  <w:tcW w:w="480" w:type="pct"/>
                  <w:tcBorders>
                    <w:tl2br w:val="nil"/>
                    <w:tr2bl w:val="nil"/>
                  </w:tcBorders>
                  <w:noWrap w:val="0"/>
                  <w:vAlign w:val="center"/>
                </w:tcPr>
                <w:p w14:paraId="1A13C60D">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危险废物类别</w:t>
                  </w:r>
                </w:p>
              </w:tc>
              <w:tc>
                <w:tcPr>
                  <w:tcW w:w="597" w:type="pct"/>
                  <w:tcBorders>
                    <w:tl2br w:val="nil"/>
                    <w:tr2bl w:val="nil"/>
                  </w:tcBorders>
                  <w:noWrap w:val="0"/>
                  <w:vAlign w:val="center"/>
                </w:tcPr>
                <w:p w14:paraId="60320349">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危险废物代码</w:t>
                  </w:r>
                </w:p>
              </w:tc>
              <w:tc>
                <w:tcPr>
                  <w:tcW w:w="533" w:type="pct"/>
                  <w:tcBorders>
                    <w:tl2br w:val="nil"/>
                    <w:tr2bl w:val="nil"/>
                  </w:tcBorders>
                  <w:noWrap w:val="0"/>
                  <w:vAlign w:val="center"/>
                </w:tcPr>
                <w:p w14:paraId="212A0E15">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产生量（吨/年）</w:t>
                  </w:r>
                </w:p>
              </w:tc>
              <w:tc>
                <w:tcPr>
                  <w:tcW w:w="511" w:type="pct"/>
                  <w:tcBorders>
                    <w:tl2br w:val="nil"/>
                    <w:tr2bl w:val="nil"/>
                  </w:tcBorders>
                  <w:noWrap w:val="0"/>
                  <w:vAlign w:val="center"/>
                </w:tcPr>
                <w:p w14:paraId="5D7AEFB7">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产生工序及装置</w:t>
                  </w:r>
                </w:p>
              </w:tc>
              <w:tc>
                <w:tcPr>
                  <w:tcW w:w="226" w:type="pct"/>
                  <w:tcBorders>
                    <w:tl2br w:val="nil"/>
                    <w:tr2bl w:val="nil"/>
                  </w:tcBorders>
                  <w:noWrap w:val="0"/>
                  <w:vAlign w:val="center"/>
                </w:tcPr>
                <w:p w14:paraId="479A91F8">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形态</w:t>
                  </w:r>
                </w:p>
              </w:tc>
              <w:tc>
                <w:tcPr>
                  <w:tcW w:w="395" w:type="pct"/>
                  <w:tcBorders>
                    <w:tl2br w:val="nil"/>
                    <w:tr2bl w:val="nil"/>
                  </w:tcBorders>
                  <w:noWrap w:val="0"/>
                  <w:vAlign w:val="center"/>
                </w:tcPr>
                <w:p w14:paraId="3E46A2DA">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主要成分</w:t>
                  </w:r>
                </w:p>
              </w:tc>
              <w:tc>
                <w:tcPr>
                  <w:tcW w:w="396" w:type="pct"/>
                  <w:tcBorders>
                    <w:tl2br w:val="nil"/>
                    <w:tr2bl w:val="nil"/>
                  </w:tcBorders>
                  <w:noWrap w:val="0"/>
                  <w:vAlign w:val="center"/>
                </w:tcPr>
                <w:p w14:paraId="53649A90">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有害成分</w:t>
                  </w:r>
                </w:p>
              </w:tc>
              <w:tc>
                <w:tcPr>
                  <w:tcW w:w="226" w:type="pct"/>
                  <w:tcBorders>
                    <w:tl2br w:val="nil"/>
                    <w:tr2bl w:val="nil"/>
                  </w:tcBorders>
                  <w:noWrap w:val="0"/>
                  <w:vAlign w:val="center"/>
                </w:tcPr>
                <w:p w14:paraId="499F47B0">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产废周期</w:t>
                  </w:r>
                </w:p>
              </w:tc>
              <w:tc>
                <w:tcPr>
                  <w:tcW w:w="346" w:type="pct"/>
                  <w:tcBorders>
                    <w:tl2br w:val="nil"/>
                    <w:tr2bl w:val="nil"/>
                  </w:tcBorders>
                  <w:noWrap w:val="0"/>
                  <w:vAlign w:val="center"/>
                </w:tcPr>
                <w:p w14:paraId="1B6AEB09">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危险</w:t>
                  </w:r>
                </w:p>
                <w:p w14:paraId="58741162">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特性</w:t>
                  </w:r>
                </w:p>
              </w:tc>
              <w:tc>
                <w:tcPr>
                  <w:tcW w:w="516" w:type="pct"/>
                  <w:tcBorders>
                    <w:tl2br w:val="nil"/>
                    <w:tr2bl w:val="nil"/>
                  </w:tcBorders>
                  <w:noWrap w:val="0"/>
                  <w:vAlign w:val="center"/>
                </w:tcPr>
                <w:p w14:paraId="619BC24C">
                  <w:pPr>
                    <w:keepNext w:val="0"/>
                    <w:keepLines w:val="0"/>
                    <w:suppressLineNumbers w:val="0"/>
                    <w:topLinePunct/>
                    <w:spacing w:before="0" w:beforeAutospacing="0" w:after="0" w:afterAutospacing="0"/>
                    <w:ind w:left="0" w:right="0"/>
                    <w:jc w:val="center"/>
                    <w:rPr>
                      <w:rFonts w:hint="default"/>
                      <w:b/>
                      <w:bCs/>
                      <w:color w:val="auto"/>
                      <w:sz w:val="21"/>
                      <w:szCs w:val="21"/>
                      <w:u w:val="none" w:color="auto"/>
                    </w:rPr>
                  </w:pPr>
                  <w:r>
                    <w:rPr>
                      <w:rFonts w:hint="default"/>
                      <w:b/>
                      <w:bCs/>
                      <w:color w:val="auto"/>
                      <w:sz w:val="21"/>
                      <w:szCs w:val="21"/>
                      <w:u w:val="none" w:color="auto"/>
                    </w:rPr>
                    <w:t>污染防治措施*</w:t>
                  </w:r>
                </w:p>
              </w:tc>
            </w:tr>
            <w:tr w14:paraId="119F0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tcBorders>
                    <w:tl2br w:val="nil"/>
                    <w:tr2bl w:val="nil"/>
                  </w:tcBorders>
                  <w:noWrap w:val="0"/>
                  <w:vAlign w:val="center"/>
                </w:tcPr>
                <w:p w14:paraId="63CDB8AE">
                  <w:pPr>
                    <w:keepNext w:val="0"/>
                    <w:keepLines w:val="0"/>
                    <w:suppressLineNumbers w:val="0"/>
                    <w:topLinePunct/>
                    <w:spacing w:before="0" w:beforeAutospacing="0" w:after="0" w:afterAutospacing="0"/>
                    <w:ind w:left="0" w:right="0"/>
                    <w:jc w:val="center"/>
                    <w:rPr>
                      <w:rFonts w:hint="eastAsia" w:eastAsia="宋体"/>
                      <w:color w:val="auto"/>
                      <w:sz w:val="21"/>
                      <w:szCs w:val="21"/>
                      <w:u w:val="none" w:color="auto"/>
                      <w:lang w:eastAsia="zh-CN"/>
                    </w:rPr>
                  </w:pPr>
                  <w:r>
                    <w:rPr>
                      <w:rFonts w:hint="eastAsia"/>
                      <w:color w:val="auto"/>
                      <w:sz w:val="21"/>
                      <w:szCs w:val="21"/>
                      <w:u w:val="none" w:color="auto"/>
                      <w:lang w:val="en-US" w:eastAsia="zh-CN"/>
                    </w:rPr>
                    <w:t>1</w:t>
                  </w:r>
                </w:p>
              </w:tc>
              <w:tc>
                <w:tcPr>
                  <w:tcW w:w="484" w:type="pct"/>
                  <w:tcBorders>
                    <w:tl2br w:val="nil"/>
                    <w:tr2bl w:val="nil"/>
                  </w:tcBorders>
                  <w:noWrap w:val="0"/>
                  <w:vAlign w:val="center"/>
                </w:tcPr>
                <w:p w14:paraId="35B65D32">
                  <w:pPr>
                    <w:keepNext w:val="0"/>
                    <w:keepLines w:val="0"/>
                    <w:suppressLineNumbers w:val="0"/>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rPr>
                    <w:t>废</w:t>
                  </w:r>
                  <w:r>
                    <w:rPr>
                      <w:rFonts w:hint="eastAsia"/>
                      <w:color w:val="auto"/>
                      <w:sz w:val="21"/>
                      <w:szCs w:val="21"/>
                      <w:u w:val="none" w:color="auto"/>
                      <w:lang w:eastAsia="zh-CN"/>
                    </w:rPr>
                    <w:t>包装桶</w:t>
                  </w:r>
                </w:p>
              </w:tc>
              <w:tc>
                <w:tcPr>
                  <w:tcW w:w="480" w:type="pct"/>
                  <w:tcBorders>
                    <w:tl2br w:val="nil"/>
                    <w:tr2bl w:val="nil"/>
                  </w:tcBorders>
                  <w:noWrap w:val="0"/>
                  <w:vAlign w:val="center"/>
                </w:tcPr>
                <w:p w14:paraId="5CE95B4B">
                  <w:pPr>
                    <w:keepNext w:val="0"/>
                    <w:keepLines w:val="0"/>
                    <w:suppressLineNumbers w:val="0"/>
                    <w:spacing w:before="0" w:beforeAutospacing="0" w:after="0" w:afterAutospacing="0"/>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HW49</w:t>
                  </w:r>
                </w:p>
              </w:tc>
              <w:tc>
                <w:tcPr>
                  <w:tcW w:w="597" w:type="pct"/>
                  <w:tcBorders>
                    <w:tl2br w:val="nil"/>
                    <w:tr2bl w:val="nil"/>
                  </w:tcBorders>
                  <w:noWrap w:val="0"/>
                  <w:vAlign w:val="center"/>
                </w:tcPr>
                <w:p w14:paraId="543E8863">
                  <w:pPr>
                    <w:keepNext w:val="0"/>
                    <w:keepLines w:val="0"/>
                    <w:suppressLineNumbers w:val="0"/>
                    <w:spacing w:before="0" w:beforeAutospacing="0" w:after="0" w:afterAutospacing="0"/>
                    <w:ind w:left="0" w:right="0"/>
                    <w:jc w:val="center"/>
                    <w:rPr>
                      <w:rFonts w:hint="default"/>
                      <w:color w:val="auto"/>
                      <w:sz w:val="21"/>
                      <w:szCs w:val="21"/>
                      <w:u w:val="none" w:color="auto"/>
                    </w:rPr>
                  </w:pPr>
                  <w:r>
                    <w:rPr>
                      <w:rFonts w:hint="default" w:ascii="Times New Roman" w:hAnsi="Times New Roman" w:eastAsia="宋体" w:cs="Times New Roman"/>
                      <w:color w:val="auto"/>
                      <w:spacing w:val="0"/>
                      <w:w w:val="100"/>
                      <w:kern w:val="0"/>
                      <w:position w:val="0"/>
                      <w:sz w:val="21"/>
                      <w:szCs w:val="21"/>
                      <w:u w:val="none" w:color="auto"/>
                      <w:lang w:val="en-US" w:eastAsia="zh-CN"/>
                    </w:rPr>
                    <w:t>900-041-49</w:t>
                  </w:r>
                </w:p>
              </w:tc>
              <w:tc>
                <w:tcPr>
                  <w:tcW w:w="533" w:type="pct"/>
                  <w:tcBorders>
                    <w:tl2br w:val="nil"/>
                    <w:tr2bl w:val="nil"/>
                  </w:tcBorders>
                  <w:noWrap w:val="0"/>
                  <w:vAlign w:val="center"/>
                </w:tcPr>
                <w:p w14:paraId="688E34F8">
                  <w:pPr>
                    <w:keepNext w:val="0"/>
                    <w:keepLines w:val="0"/>
                    <w:suppressLineNumbers w:val="0"/>
                    <w:spacing w:before="0" w:beforeAutospacing="0" w:after="0" w:afterAutospacing="0"/>
                    <w:ind w:left="0" w:right="0"/>
                    <w:jc w:val="center"/>
                    <w:rPr>
                      <w:rFonts w:hint="default"/>
                      <w:color w:val="auto"/>
                      <w:sz w:val="21"/>
                      <w:szCs w:val="21"/>
                      <w:u w:val="none" w:color="auto"/>
                      <w:lang w:val="en-US"/>
                    </w:rPr>
                  </w:pPr>
                  <w:r>
                    <w:rPr>
                      <w:rFonts w:hint="eastAsia"/>
                      <w:color w:val="auto"/>
                      <w:sz w:val="21"/>
                      <w:szCs w:val="21"/>
                      <w:u w:val="none" w:color="auto"/>
                      <w:lang w:val="en-US" w:eastAsia="zh-CN"/>
                    </w:rPr>
                    <w:t>0.2</w:t>
                  </w:r>
                </w:p>
              </w:tc>
              <w:tc>
                <w:tcPr>
                  <w:tcW w:w="511" w:type="pct"/>
                  <w:tcBorders>
                    <w:tl2br w:val="nil"/>
                    <w:tr2bl w:val="nil"/>
                  </w:tcBorders>
                  <w:noWrap w:val="0"/>
                  <w:vAlign w:val="center"/>
                </w:tcPr>
                <w:p w14:paraId="4D3AE827">
                  <w:pPr>
                    <w:keepNext w:val="0"/>
                    <w:keepLines w:val="0"/>
                    <w:suppressLineNumbers w:val="0"/>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eastAsia="zh-CN"/>
                    </w:rPr>
                    <w:t>刷漆</w:t>
                  </w:r>
                </w:p>
              </w:tc>
              <w:tc>
                <w:tcPr>
                  <w:tcW w:w="226" w:type="pct"/>
                  <w:tcBorders>
                    <w:tl2br w:val="nil"/>
                    <w:tr2bl w:val="nil"/>
                  </w:tcBorders>
                  <w:noWrap w:val="0"/>
                  <w:vAlign w:val="center"/>
                </w:tcPr>
                <w:p w14:paraId="6D1ED95C">
                  <w:pPr>
                    <w:keepNext w:val="0"/>
                    <w:keepLines w:val="0"/>
                    <w:suppressLineNumbers w:val="0"/>
                    <w:topLinePunct/>
                    <w:spacing w:before="0" w:beforeAutospacing="0" w:after="0" w:afterAutospacing="0"/>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固</w:t>
                  </w:r>
                </w:p>
              </w:tc>
              <w:tc>
                <w:tcPr>
                  <w:tcW w:w="395" w:type="pct"/>
                  <w:tcBorders>
                    <w:tl2br w:val="nil"/>
                    <w:tr2bl w:val="nil"/>
                  </w:tcBorders>
                  <w:noWrap w:val="0"/>
                  <w:vAlign w:val="center"/>
                </w:tcPr>
                <w:p w14:paraId="5B0ABDE4">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21"/>
                      <w:szCs w:val="21"/>
                      <w:u w:val="none" w:color="auto"/>
                      <w:lang w:eastAsia="zh-CN"/>
                    </w:rPr>
                  </w:pPr>
                  <w:r>
                    <w:rPr>
                      <w:rFonts w:hint="eastAsia"/>
                      <w:color w:val="auto"/>
                      <w:kern w:val="0"/>
                      <w:sz w:val="21"/>
                      <w:szCs w:val="21"/>
                      <w:highlight w:val="none"/>
                      <w:u w:val="none" w:color="auto"/>
                      <w:lang w:val="en-US" w:eastAsia="zh-CN"/>
                    </w:rPr>
                    <w:t>油漆</w:t>
                  </w:r>
                </w:p>
              </w:tc>
              <w:tc>
                <w:tcPr>
                  <w:tcW w:w="396" w:type="pct"/>
                  <w:tcBorders>
                    <w:tl2br w:val="nil"/>
                    <w:tr2bl w:val="nil"/>
                  </w:tcBorders>
                  <w:noWrap w:val="0"/>
                  <w:vAlign w:val="center"/>
                </w:tcPr>
                <w:p w14:paraId="5C372319">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default"/>
                      <w:color w:val="auto"/>
                      <w:kern w:val="0"/>
                      <w:sz w:val="21"/>
                      <w:szCs w:val="21"/>
                      <w:highlight w:val="none"/>
                      <w:u w:val="none" w:color="auto"/>
                    </w:rPr>
                    <w:t>有机废物</w:t>
                  </w:r>
                </w:p>
              </w:tc>
              <w:tc>
                <w:tcPr>
                  <w:tcW w:w="226" w:type="pct"/>
                  <w:tcBorders>
                    <w:tl2br w:val="nil"/>
                    <w:tr2bl w:val="nil"/>
                  </w:tcBorders>
                  <w:noWrap w:val="0"/>
                  <w:vAlign w:val="center"/>
                </w:tcPr>
                <w:p w14:paraId="77694848">
                  <w:pPr>
                    <w:keepNext w:val="0"/>
                    <w:keepLines w:val="0"/>
                    <w:suppressLineNumbers w:val="0"/>
                    <w:topLinePunct/>
                    <w:spacing w:before="0" w:beforeAutospacing="0" w:after="0" w:afterAutospacing="0"/>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间歇</w:t>
                  </w:r>
                </w:p>
              </w:tc>
              <w:tc>
                <w:tcPr>
                  <w:tcW w:w="346" w:type="pct"/>
                  <w:tcBorders>
                    <w:tl2br w:val="nil"/>
                    <w:tr2bl w:val="nil"/>
                  </w:tcBorders>
                  <w:noWrap w:val="0"/>
                  <w:vAlign w:val="center"/>
                </w:tcPr>
                <w:p w14:paraId="29337D8A">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eastAsia="宋体"/>
                      <w:color w:val="auto"/>
                      <w:sz w:val="21"/>
                      <w:szCs w:val="21"/>
                      <w:u w:val="none" w:color="auto"/>
                      <w:lang w:val="en-US" w:eastAsia="zh-CN"/>
                    </w:rPr>
                  </w:pPr>
                  <w:r>
                    <w:rPr>
                      <w:rFonts w:hint="default"/>
                      <w:color w:val="auto"/>
                      <w:kern w:val="0"/>
                      <w:sz w:val="21"/>
                      <w:szCs w:val="21"/>
                      <w:highlight w:val="none"/>
                      <w:u w:val="none" w:color="auto"/>
                    </w:rPr>
                    <w:t>T/I</w:t>
                  </w:r>
                  <w:r>
                    <w:rPr>
                      <w:rFonts w:hint="eastAsia"/>
                      <w:color w:val="auto"/>
                      <w:kern w:val="0"/>
                      <w:sz w:val="21"/>
                      <w:szCs w:val="21"/>
                      <w:highlight w:val="none"/>
                      <w:u w:val="none" w:color="auto"/>
                      <w:lang w:val="en-US" w:eastAsia="zh-CN"/>
                    </w:rPr>
                    <w:t>n</w:t>
                  </w:r>
                </w:p>
              </w:tc>
              <w:tc>
                <w:tcPr>
                  <w:tcW w:w="516" w:type="pct"/>
                  <w:vMerge w:val="restart"/>
                  <w:tcBorders>
                    <w:tl2br w:val="nil"/>
                    <w:tr2bl w:val="nil"/>
                  </w:tcBorders>
                  <w:noWrap w:val="0"/>
                  <w:vAlign w:val="center"/>
                </w:tcPr>
                <w:p w14:paraId="3CC5F423">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r>
                    <w:rPr>
                      <w:rFonts w:hint="default"/>
                      <w:color w:val="auto"/>
                      <w:sz w:val="21"/>
                      <w:szCs w:val="21"/>
                      <w:u w:val="none" w:color="auto"/>
                    </w:rPr>
                    <w:t>暂存于危废暂存间后委托有资质单位处置</w:t>
                  </w:r>
                </w:p>
              </w:tc>
            </w:tr>
            <w:tr w14:paraId="50261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tcBorders>
                    <w:tl2br w:val="nil"/>
                    <w:tr2bl w:val="nil"/>
                  </w:tcBorders>
                  <w:noWrap w:val="0"/>
                  <w:vAlign w:val="center"/>
                </w:tcPr>
                <w:p w14:paraId="2B46F67B">
                  <w:pPr>
                    <w:keepNext w:val="0"/>
                    <w:keepLines w:val="0"/>
                    <w:suppressLineNumbers w:val="0"/>
                    <w:topLinePunct/>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2</w:t>
                  </w:r>
                </w:p>
              </w:tc>
              <w:tc>
                <w:tcPr>
                  <w:tcW w:w="484" w:type="pct"/>
                  <w:tcBorders>
                    <w:tl2br w:val="nil"/>
                    <w:tr2bl w:val="nil"/>
                  </w:tcBorders>
                  <w:noWrap w:val="0"/>
                  <w:vAlign w:val="center"/>
                </w:tcPr>
                <w:p w14:paraId="5C56067D">
                  <w:pPr>
                    <w:keepNext w:val="0"/>
                    <w:keepLines w:val="0"/>
                    <w:suppressLineNumbers w:val="0"/>
                    <w:spacing w:before="0" w:beforeAutospacing="0" w:after="0" w:afterAutospacing="0"/>
                    <w:ind w:left="0" w:right="0"/>
                    <w:jc w:val="center"/>
                    <w:rPr>
                      <w:rFonts w:hint="default" w:eastAsia="宋体"/>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废辊涂工具、废毛刷</w:t>
                  </w:r>
                </w:p>
              </w:tc>
              <w:tc>
                <w:tcPr>
                  <w:tcW w:w="480" w:type="pct"/>
                  <w:tcBorders>
                    <w:tl2br w:val="nil"/>
                    <w:tr2bl w:val="nil"/>
                  </w:tcBorders>
                  <w:shd w:val="clear" w:color="auto" w:fill="auto"/>
                  <w:noWrap w:val="0"/>
                  <w:vAlign w:val="center"/>
                </w:tcPr>
                <w:p w14:paraId="71C885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HW49</w:t>
                  </w:r>
                </w:p>
              </w:tc>
              <w:tc>
                <w:tcPr>
                  <w:tcW w:w="597" w:type="pct"/>
                  <w:tcBorders>
                    <w:tl2br w:val="nil"/>
                    <w:tr2bl w:val="nil"/>
                  </w:tcBorders>
                  <w:shd w:val="clear" w:color="auto" w:fill="auto"/>
                  <w:noWrap w:val="0"/>
                  <w:vAlign w:val="center"/>
                </w:tcPr>
                <w:p w14:paraId="08A257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pacing w:val="0"/>
                      <w:w w:val="100"/>
                      <w:kern w:val="0"/>
                      <w:position w:val="0"/>
                      <w:sz w:val="21"/>
                      <w:szCs w:val="21"/>
                      <w:u w:val="none" w:color="auto"/>
                      <w:lang w:val="en-US" w:eastAsia="zh-CN"/>
                    </w:rPr>
                    <w:t>900-041-49</w:t>
                  </w:r>
                </w:p>
              </w:tc>
              <w:tc>
                <w:tcPr>
                  <w:tcW w:w="533" w:type="pct"/>
                  <w:tcBorders>
                    <w:tl2br w:val="nil"/>
                    <w:tr2bl w:val="nil"/>
                  </w:tcBorders>
                  <w:noWrap w:val="0"/>
                  <w:vAlign w:val="center"/>
                </w:tcPr>
                <w:p w14:paraId="03EDD8C3">
                  <w:pPr>
                    <w:keepNext w:val="0"/>
                    <w:keepLines w:val="0"/>
                    <w:suppressLineNumbers w:val="0"/>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0.05</w:t>
                  </w:r>
                </w:p>
              </w:tc>
              <w:tc>
                <w:tcPr>
                  <w:tcW w:w="511" w:type="pct"/>
                  <w:tcBorders>
                    <w:tl2br w:val="nil"/>
                    <w:tr2bl w:val="nil"/>
                  </w:tcBorders>
                  <w:shd w:val="clear" w:color="auto" w:fill="auto"/>
                  <w:noWrap w:val="0"/>
                  <w:vAlign w:val="center"/>
                </w:tcPr>
                <w:p w14:paraId="687BB10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eastAsia="zh-CN"/>
                    </w:rPr>
                    <w:t>刷漆</w:t>
                  </w:r>
                </w:p>
              </w:tc>
              <w:tc>
                <w:tcPr>
                  <w:tcW w:w="226" w:type="pct"/>
                  <w:tcBorders>
                    <w:tl2br w:val="nil"/>
                    <w:tr2bl w:val="nil"/>
                  </w:tcBorders>
                  <w:shd w:val="clear" w:color="auto" w:fill="auto"/>
                  <w:noWrap w:val="0"/>
                  <w:vAlign w:val="center"/>
                </w:tcPr>
                <w:p w14:paraId="1B8C0D75">
                  <w:pPr>
                    <w:keepNext w:val="0"/>
                    <w:keepLines w:val="0"/>
                    <w:suppressLineNumbers w:val="0"/>
                    <w:topLinePunct/>
                    <w:spacing w:before="0" w:beforeAutospacing="0" w:after="0" w:afterAutospacing="0"/>
                    <w:ind w:left="0" w:right="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固</w:t>
                  </w:r>
                </w:p>
              </w:tc>
              <w:tc>
                <w:tcPr>
                  <w:tcW w:w="395" w:type="pct"/>
                  <w:tcBorders>
                    <w:tl2br w:val="nil"/>
                    <w:tr2bl w:val="nil"/>
                  </w:tcBorders>
                  <w:shd w:val="clear" w:color="auto" w:fill="auto"/>
                  <w:noWrap w:val="0"/>
                  <w:vAlign w:val="center"/>
                </w:tcPr>
                <w:p w14:paraId="0938E6FC">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kern w:val="0"/>
                      <w:sz w:val="21"/>
                      <w:szCs w:val="21"/>
                      <w:highlight w:val="none"/>
                      <w:u w:val="none" w:color="auto"/>
                      <w:lang w:val="en-US" w:eastAsia="zh-CN"/>
                    </w:rPr>
                    <w:t>油漆</w:t>
                  </w:r>
                </w:p>
              </w:tc>
              <w:tc>
                <w:tcPr>
                  <w:tcW w:w="396" w:type="pct"/>
                  <w:tcBorders>
                    <w:tl2br w:val="nil"/>
                    <w:tr2bl w:val="nil"/>
                  </w:tcBorders>
                  <w:shd w:val="clear" w:color="auto" w:fill="auto"/>
                  <w:noWrap w:val="0"/>
                  <w:vAlign w:val="center"/>
                </w:tcPr>
                <w:p w14:paraId="3C3C364B">
                  <w:pPr>
                    <w:keepNext w:val="0"/>
                    <w:keepLines w:val="0"/>
                    <w:pageBreakBefore w:val="0"/>
                    <w:widowControl w:val="0"/>
                    <w:suppressLineNumbers w:val="0"/>
                    <w:kinsoku/>
                    <w:wordWrap/>
                    <w:overflowPunct/>
                    <w:topLinePunct/>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color w:val="auto"/>
                      <w:kern w:val="0"/>
                      <w:sz w:val="21"/>
                      <w:szCs w:val="21"/>
                      <w:highlight w:val="none"/>
                      <w:u w:val="none" w:color="auto"/>
                    </w:rPr>
                    <w:t>有机废物</w:t>
                  </w:r>
                </w:p>
              </w:tc>
              <w:tc>
                <w:tcPr>
                  <w:tcW w:w="226" w:type="pct"/>
                  <w:tcBorders>
                    <w:tl2br w:val="nil"/>
                    <w:tr2bl w:val="nil"/>
                  </w:tcBorders>
                  <w:shd w:val="clear" w:color="auto" w:fill="auto"/>
                  <w:noWrap w:val="0"/>
                  <w:vAlign w:val="center"/>
                </w:tcPr>
                <w:p w14:paraId="5190B15A">
                  <w:pPr>
                    <w:keepNext w:val="0"/>
                    <w:keepLines w:val="0"/>
                    <w:suppressLineNumbers w:val="0"/>
                    <w:topLinePunct/>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间歇</w:t>
                  </w:r>
                </w:p>
              </w:tc>
              <w:tc>
                <w:tcPr>
                  <w:tcW w:w="346" w:type="pct"/>
                  <w:tcBorders>
                    <w:tl2br w:val="nil"/>
                    <w:tr2bl w:val="nil"/>
                  </w:tcBorders>
                  <w:shd w:val="clear" w:color="auto" w:fill="auto"/>
                  <w:noWrap w:val="0"/>
                  <w:vAlign w:val="center"/>
                </w:tcPr>
                <w:p w14:paraId="2DA2C63C">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color w:val="auto"/>
                      <w:kern w:val="0"/>
                      <w:sz w:val="21"/>
                      <w:szCs w:val="21"/>
                      <w:highlight w:val="none"/>
                      <w:u w:val="none" w:color="auto"/>
                    </w:rPr>
                    <w:t>T/I</w:t>
                  </w:r>
                  <w:r>
                    <w:rPr>
                      <w:rFonts w:hint="eastAsia"/>
                      <w:color w:val="auto"/>
                      <w:kern w:val="0"/>
                      <w:sz w:val="21"/>
                      <w:szCs w:val="21"/>
                      <w:highlight w:val="none"/>
                      <w:u w:val="none" w:color="auto"/>
                      <w:lang w:val="en-US" w:eastAsia="zh-CN"/>
                    </w:rPr>
                    <w:t>n</w:t>
                  </w:r>
                </w:p>
              </w:tc>
              <w:tc>
                <w:tcPr>
                  <w:tcW w:w="516" w:type="pct"/>
                  <w:vMerge w:val="continue"/>
                  <w:tcBorders>
                    <w:tl2br w:val="nil"/>
                    <w:tr2bl w:val="nil"/>
                  </w:tcBorders>
                  <w:noWrap w:val="0"/>
                  <w:vAlign w:val="center"/>
                </w:tcPr>
                <w:p w14:paraId="5F2903AA">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p>
              </w:tc>
            </w:tr>
            <w:tr w14:paraId="0C3BB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tcBorders>
                    <w:tl2br w:val="nil"/>
                    <w:tr2bl w:val="nil"/>
                  </w:tcBorders>
                  <w:noWrap w:val="0"/>
                  <w:vAlign w:val="center"/>
                </w:tcPr>
                <w:p w14:paraId="2D67AD51">
                  <w:pPr>
                    <w:keepNext w:val="0"/>
                    <w:keepLines w:val="0"/>
                    <w:suppressLineNumbers w:val="0"/>
                    <w:topLinePunct/>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3</w:t>
                  </w:r>
                </w:p>
              </w:tc>
              <w:tc>
                <w:tcPr>
                  <w:tcW w:w="484" w:type="pct"/>
                  <w:tcBorders>
                    <w:tl2br w:val="nil"/>
                    <w:tr2bl w:val="nil"/>
                  </w:tcBorders>
                  <w:noWrap w:val="0"/>
                  <w:vAlign w:val="center"/>
                </w:tcPr>
                <w:p w14:paraId="10EAA797">
                  <w:pPr>
                    <w:keepNext w:val="0"/>
                    <w:keepLines w:val="0"/>
                    <w:suppressLineNumbers w:val="0"/>
                    <w:spacing w:before="0" w:beforeAutospacing="0" w:after="0" w:afterAutospacing="0"/>
                    <w:ind w:left="0" w:right="0"/>
                    <w:jc w:val="center"/>
                    <w:rPr>
                      <w:rFonts w:hint="eastAsia"/>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废液压油</w:t>
                  </w:r>
                </w:p>
              </w:tc>
              <w:tc>
                <w:tcPr>
                  <w:tcW w:w="480" w:type="pct"/>
                  <w:tcBorders>
                    <w:tl2br w:val="nil"/>
                    <w:tr2bl w:val="nil"/>
                  </w:tcBorders>
                  <w:noWrap w:val="0"/>
                  <w:vAlign w:val="center"/>
                </w:tcPr>
                <w:p w14:paraId="629B2190">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color w:val="auto"/>
                      <w:sz w:val="21"/>
                      <w:szCs w:val="21"/>
                      <w:u w:val="none" w:color="auto"/>
                      <w:lang w:val="en-US" w:eastAsia="zh-CN"/>
                    </w:rPr>
                    <w:t>HW08</w:t>
                  </w:r>
                </w:p>
              </w:tc>
              <w:tc>
                <w:tcPr>
                  <w:tcW w:w="597" w:type="pct"/>
                  <w:tcBorders>
                    <w:tl2br w:val="nil"/>
                    <w:tr2bl w:val="nil"/>
                  </w:tcBorders>
                  <w:noWrap w:val="0"/>
                  <w:vAlign w:val="center"/>
                </w:tcPr>
                <w:p w14:paraId="4503A3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kern w:val="0"/>
                      <w:position w:val="0"/>
                      <w:sz w:val="21"/>
                      <w:szCs w:val="21"/>
                      <w:u w:val="none" w:color="auto"/>
                    </w:rPr>
                  </w:pPr>
                  <w:r>
                    <w:rPr>
                      <w:rFonts w:hint="default" w:ascii="Times New Roman" w:hAnsi="Times New Roman" w:eastAsia="宋体" w:cs="Times New Roman"/>
                      <w:color w:val="auto"/>
                      <w:spacing w:val="0"/>
                      <w:w w:val="100"/>
                      <w:kern w:val="0"/>
                      <w:position w:val="0"/>
                      <w:sz w:val="21"/>
                      <w:szCs w:val="21"/>
                      <w:u w:val="none" w:color="auto"/>
                      <w:lang w:val="en-US" w:eastAsia="zh-CN"/>
                    </w:rPr>
                    <w:t>900-218-08</w:t>
                  </w:r>
                </w:p>
              </w:tc>
              <w:tc>
                <w:tcPr>
                  <w:tcW w:w="533" w:type="pct"/>
                  <w:tcBorders>
                    <w:tl2br w:val="nil"/>
                    <w:tr2bl w:val="nil"/>
                  </w:tcBorders>
                  <w:noWrap w:val="0"/>
                  <w:vAlign w:val="center"/>
                </w:tcPr>
                <w:p w14:paraId="5CFE4ECF">
                  <w:pPr>
                    <w:keepNext w:val="0"/>
                    <w:keepLines w:val="0"/>
                    <w:suppressLineNumbers w:val="0"/>
                    <w:spacing w:before="0" w:beforeAutospacing="0" w:after="0" w:afterAutospacing="0"/>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0.1</w:t>
                  </w:r>
                </w:p>
              </w:tc>
              <w:tc>
                <w:tcPr>
                  <w:tcW w:w="511" w:type="pct"/>
                  <w:tcBorders>
                    <w:tl2br w:val="nil"/>
                    <w:tr2bl w:val="nil"/>
                  </w:tcBorders>
                  <w:noWrap w:val="0"/>
                  <w:vAlign w:val="center"/>
                </w:tcPr>
                <w:p w14:paraId="7C5415C3">
                  <w:pPr>
                    <w:keepNext w:val="0"/>
                    <w:keepLines w:val="0"/>
                    <w:suppressLineNumbers w:val="0"/>
                    <w:spacing w:before="0" w:beforeAutospacing="0" w:after="0" w:afterAutospacing="0"/>
                    <w:ind w:left="0" w:right="0"/>
                    <w:jc w:val="center"/>
                    <w:rPr>
                      <w:rFonts w:hint="eastAsia"/>
                      <w:color w:val="auto"/>
                      <w:sz w:val="21"/>
                      <w:szCs w:val="21"/>
                      <w:u w:val="none" w:color="auto"/>
                      <w:lang w:eastAsia="zh-CN"/>
                    </w:rPr>
                  </w:pPr>
                  <w:r>
                    <w:rPr>
                      <w:rFonts w:hint="eastAsia"/>
                      <w:color w:val="auto"/>
                      <w:sz w:val="21"/>
                      <w:szCs w:val="21"/>
                      <w:u w:val="none" w:color="auto"/>
                      <w:lang w:val="en-US" w:eastAsia="zh-CN"/>
                    </w:rPr>
                    <w:t>机加工</w:t>
                  </w:r>
                </w:p>
              </w:tc>
              <w:tc>
                <w:tcPr>
                  <w:tcW w:w="226" w:type="pct"/>
                  <w:tcBorders>
                    <w:tl2br w:val="nil"/>
                    <w:tr2bl w:val="nil"/>
                  </w:tcBorders>
                  <w:noWrap w:val="0"/>
                  <w:vAlign w:val="center"/>
                </w:tcPr>
                <w:p w14:paraId="5129FDD5">
                  <w:pPr>
                    <w:keepNext w:val="0"/>
                    <w:keepLines w:val="0"/>
                    <w:suppressLineNumbers w:val="0"/>
                    <w:topLinePunct/>
                    <w:spacing w:before="0" w:beforeAutospacing="0" w:after="0" w:afterAutospacing="0"/>
                    <w:ind w:left="0" w:right="0"/>
                    <w:jc w:val="center"/>
                    <w:rPr>
                      <w:rFonts w:hint="eastAsia" w:eastAsia="宋体"/>
                      <w:color w:val="auto"/>
                      <w:sz w:val="21"/>
                      <w:szCs w:val="21"/>
                      <w:u w:val="none" w:color="auto"/>
                      <w:lang w:val="en-US" w:eastAsia="zh-CN"/>
                    </w:rPr>
                  </w:pPr>
                  <w:r>
                    <w:rPr>
                      <w:rFonts w:hint="eastAsia"/>
                      <w:color w:val="auto"/>
                      <w:sz w:val="21"/>
                      <w:szCs w:val="21"/>
                      <w:u w:val="none" w:color="auto"/>
                      <w:lang w:val="en-US" w:eastAsia="zh-CN"/>
                    </w:rPr>
                    <w:t>液</w:t>
                  </w:r>
                </w:p>
              </w:tc>
              <w:tc>
                <w:tcPr>
                  <w:tcW w:w="395" w:type="pct"/>
                  <w:tcBorders>
                    <w:tl2br w:val="nil"/>
                    <w:tr2bl w:val="nil"/>
                  </w:tcBorders>
                  <w:noWrap w:val="0"/>
                  <w:vAlign w:val="center"/>
                </w:tcPr>
                <w:p w14:paraId="62CE3DFD">
                  <w:pPr>
                    <w:keepNext w:val="0"/>
                    <w:keepLines w:val="0"/>
                    <w:suppressLineNumbers w:val="0"/>
                    <w:topLinePunct/>
                    <w:spacing w:before="0" w:beforeAutospacing="0" w:after="0" w:afterAutospacing="0"/>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油类</w:t>
                  </w:r>
                </w:p>
              </w:tc>
              <w:tc>
                <w:tcPr>
                  <w:tcW w:w="396" w:type="pct"/>
                  <w:tcBorders>
                    <w:tl2br w:val="nil"/>
                    <w:tr2bl w:val="nil"/>
                  </w:tcBorders>
                  <w:noWrap w:val="0"/>
                  <w:vAlign w:val="center"/>
                </w:tcPr>
                <w:p w14:paraId="3F937706">
                  <w:pPr>
                    <w:keepNext w:val="0"/>
                    <w:keepLines w:val="0"/>
                    <w:suppressLineNumbers w:val="0"/>
                    <w:topLinePunct/>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油类</w:t>
                  </w:r>
                </w:p>
              </w:tc>
              <w:tc>
                <w:tcPr>
                  <w:tcW w:w="226" w:type="pct"/>
                  <w:tcBorders>
                    <w:tl2br w:val="nil"/>
                    <w:tr2bl w:val="nil"/>
                  </w:tcBorders>
                  <w:noWrap w:val="0"/>
                  <w:vAlign w:val="center"/>
                </w:tcPr>
                <w:p w14:paraId="218C2040">
                  <w:pPr>
                    <w:keepNext w:val="0"/>
                    <w:keepLines w:val="0"/>
                    <w:suppressLineNumbers w:val="0"/>
                    <w:topLinePunct/>
                    <w:spacing w:before="0" w:beforeAutospacing="0" w:after="0" w:afterAutospacing="0"/>
                    <w:ind w:left="0" w:right="0"/>
                    <w:jc w:val="both"/>
                    <w:rPr>
                      <w:rFonts w:hint="default"/>
                      <w:color w:val="auto"/>
                      <w:sz w:val="21"/>
                      <w:szCs w:val="21"/>
                      <w:u w:val="none" w:color="auto"/>
                      <w:lang w:val="en-US" w:eastAsia="zh-CN"/>
                    </w:rPr>
                  </w:pPr>
                  <w:r>
                    <w:rPr>
                      <w:rFonts w:hint="eastAsia"/>
                      <w:color w:val="auto"/>
                      <w:sz w:val="21"/>
                      <w:szCs w:val="21"/>
                      <w:u w:val="none" w:color="auto"/>
                      <w:lang w:val="en-US" w:eastAsia="zh-CN"/>
                    </w:rPr>
                    <w:t>1次/a</w:t>
                  </w:r>
                </w:p>
              </w:tc>
              <w:tc>
                <w:tcPr>
                  <w:tcW w:w="346" w:type="pct"/>
                  <w:tcBorders>
                    <w:tl2br w:val="nil"/>
                    <w:tr2bl w:val="nil"/>
                  </w:tcBorders>
                  <w:noWrap w:val="0"/>
                  <w:vAlign w:val="center"/>
                </w:tcPr>
                <w:p w14:paraId="0DE1492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pacing w:val="0"/>
                      <w:w w:val="100"/>
                      <w:kern w:val="0"/>
                      <w:position w:val="0"/>
                      <w:sz w:val="21"/>
                      <w:szCs w:val="21"/>
                      <w:u w:val="none" w:color="auto"/>
                      <w:lang w:val="en-US" w:eastAsia="zh-CN"/>
                    </w:rPr>
                  </w:pPr>
                  <w:r>
                    <w:rPr>
                      <w:rFonts w:hint="eastAsia" w:ascii="Times New Roman" w:hAnsi="Times New Roman" w:eastAsia="宋体" w:cs="Times New Roman"/>
                      <w:color w:val="auto"/>
                      <w:spacing w:val="0"/>
                      <w:w w:val="100"/>
                      <w:kern w:val="0"/>
                      <w:position w:val="0"/>
                      <w:sz w:val="21"/>
                      <w:szCs w:val="21"/>
                      <w:u w:val="none" w:color="auto"/>
                      <w:lang w:val="en-US" w:eastAsia="zh-CN"/>
                    </w:rPr>
                    <w:t>T,I</w:t>
                  </w:r>
                </w:p>
              </w:tc>
              <w:tc>
                <w:tcPr>
                  <w:tcW w:w="516" w:type="pct"/>
                  <w:vMerge w:val="continue"/>
                  <w:tcBorders>
                    <w:tl2br w:val="nil"/>
                    <w:tr2bl w:val="nil"/>
                  </w:tcBorders>
                  <w:noWrap w:val="0"/>
                  <w:vAlign w:val="center"/>
                </w:tcPr>
                <w:p w14:paraId="2CA56EC6">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p>
              </w:tc>
            </w:tr>
            <w:tr w14:paraId="710E7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tcBorders>
                    <w:tl2br w:val="nil"/>
                    <w:tr2bl w:val="nil"/>
                  </w:tcBorders>
                  <w:noWrap w:val="0"/>
                  <w:vAlign w:val="center"/>
                </w:tcPr>
                <w:p w14:paraId="11000BB3">
                  <w:pPr>
                    <w:keepNext w:val="0"/>
                    <w:keepLines w:val="0"/>
                    <w:suppressLineNumbers w:val="0"/>
                    <w:topLinePunct/>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4</w:t>
                  </w:r>
                </w:p>
              </w:tc>
              <w:tc>
                <w:tcPr>
                  <w:tcW w:w="484" w:type="pct"/>
                  <w:tcBorders>
                    <w:tl2br w:val="nil"/>
                    <w:tr2bl w:val="nil"/>
                  </w:tcBorders>
                  <w:noWrap w:val="0"/>
                  <w:vAlign w:val="center"/>
                </w:tcPr>
                <w:p w14:paraId="49866694">
                  <w:pPr>
                    <w:keepNext w:val="0"/>
                    <w:keepLines w:val="0"/>
                    <w:suppressLineNumbers w:val="0"/>
                    <w:spacing w:before="0" w:beforeAutospacing="0" w:after="0" w:afterAutospacing="0"/>
                    <w:ind w:left="0" w:right="0"/>
                    <w:jc w:val="center"/>
                    <w:rPr>
                      <w:rFonts w:hint="eastAsia"/>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废冷却液</w:t>
                  </w:r>
                </w:p>
              </w:tc>
              <w:tc>
                <w:tcPr>
                  <w:tcW w:w="480" w:type="pct"/>
                  <w:tcBorders>
                    <w:tl2br w:val="nil"/>
                    <w:tr2bl w:val="nil"/>
                  </w:tcBorders>
                  <w:noWrap w:val="0"/>
                  <w:vAlign w:val="center"/>
                </w:tcPr>
                <w:p w14:paraId="47286C0B">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color w:val="auto"/>
                      <w:sz w:val="21"/>
                      <w:szCs w:val="21"/>
                      <w:u w:val="none" w:color="auto"/>
                      <w:lang w:val="en-US" w:eastAsia="zh-CN"/>
                    </w:rPr>
                    <w:t>HW09</w:t>
                  </w:r>
                </w:p>
              </w:tc>
              <w:tc>
                <w:tcPr>
                  <w:tcW w:w="597" w:type="pct"/>
                  <w:tcBorders>
                    <w:tl2br w:val="nil"/>
                    <w:tr2bl w:val="nil"/>
                  </w:tcBorders>
                  <w:noWrap w:val="0"/>
                  <w:vAlign w:val="center"/>
                </w:tcPr>
                <w:p w14:paraId="52BBE3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0"/>
                      <w:w w:val="100"/>
                      <w:kern w:val="0"/>
                      <w:position w:val="0"/>
                      <w:sz w:val="21"/>
                      <w:szCs w:val="21"/>
                      <w:u w:val="none" w:color="auto"/>
                    </w:rPr>
                  </w:pPr>
                  <w:r>
                    <w:rPr>
                      <w:rFonts w:hint="default" w:ascii="Times New Roman" w:hAnsi="Times New Roman" w:eastAsia="宋体" w:cs="Times New Roman"/>
                      <w:color w:val="auto"/>
                      <w:spacing w:val="0"/>
                      <w:w w:val="100"/>
                      <w:kern w:val="0"/>
                      <w:position w:val="0"/>
                      <w:sz w:val="21"/>
                      <w:szCs w:val="21"/>
                      <w:u w:val="none" w:color="auto"/>
                      <w:lang w:val="en-US" w:eastAsia="zh-CN"/>
                    </w:rPr>
                    <w:t>900-</w:t>
                  </w:r>
                  <w:r>
                    <w:rPr>
                      <w:rFonts w:hint="eastAsia" w:ascii="Times New Roman" w:hAnsi="Times New Roman" w:eastAsia="宋体" w:cs="Times New Roman"/>
                      <w:color w:val="auto"/>
                      <w:spacing w:val="0"/>
                      <w:w w:val="100"/>
                      <w:kern w:val="0"/>
                      <w:position w:val="0"/>
                      <w:sz w:val="21"/>
                      <w:szCs w:val="21"/>
                      <w:u w:val="none" w:color="auto"/>
                      <w:lang w:val="en-US" w:eastAsia="zh-CN"/>
                    </w:rPr>
                    <w:t>006</w:t>
                  </w:r>
                  <w:r>
                    <w:rPr>
                      <w:rFonts w:hint="default" w:ascii="Times New Roman" w:hAnsi="Times New Roman" w:eastAsia="宋体" w:cs="Times New Roman"/>
                      <w:color w:val="auto"/>
                      <w:spacing w:val="0"/>
                      <w:w w:val="100"/>
                      <w:kern w:val="0"/>
                      <w:position w:val="0"/>
                      <w:sz w:val="21"/>
                      <w:szCs w:val="21"/>
                      <w:u w:val="none" w:color="auto"/>
                      <w:lang w:val="en-US" w:eastAsia="zh-CN"/>
                    </w:rPr>
                    <w:t>-0</w:t>
                  </w:r>
                  <w:r>
                    <w:rPr>
                      <w:rFonts w:hint="eastAsia" w:ascii="Times New Roman" w:hAnsi="Times New Roman" w:eastAsia="宋体" w:cs="Times New Roman"/>
                      <w:color w:val="auto"/>
                      <w:spacing w:val="0"/>
                      <w:w w:val="100"/>
                      <w:kern w:val="0"/>
                      <w:position w:val="0"/>
                      <w:sz w:val="21"/>
                      <w:szCs w:val="21"/>
                      <w:u w:val="none" w:color="auto"/>
                      <w:lang w:val="en-US" w:eastAsia="zh-CN"/>
                    </w:rPr>
                    <w:t>9</w:t>
                  </w:r>
                </w:p>
              </w:tc>
              <w:tc>
                <w:tcPr>
                  <w:tcW w:w="533" w:type="pct"/>
                  <w:tcBorders>
                    <w:tl2br w:val="nil"/>
                    <w:tr2bl w:val="nil"/>
                  </w:tcBorders>
                  <w:noWrap w:val="0"/>
                  <w:vAlign w:val="center"/>
                </w:tcPr>
                <w:p w14:paraId="4A988A81">
                  <w:pPr>
                    <w:keepNext w:val="0"/>
                    <w:keepLines w:val="0"/>
                    <w:suppressLineNumbers w:val="0"/>
                    <w:spacing w:before="0" w:beforeAutospacing="0" w:after="0" w:afterAutospacing="0"/>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0.1</w:t>
                  </w:r>
                </w:p>
              </w:tc>
              <w:tc>
                <w:tcPr>
                  <w:tcW w:w="511" w:type="pct"/>
                  <w:tcBorders>
                    <w:tl2br w:val="nil"/>
                    <w:tr2bl w:val="nil"/>
                  </w:tcBorders>
                  <w:noWrap w:val="0"/>
                  <w:vAlign w:val="center"/>
                </w:tcPr>
                <w:p w14:paraId="617EA44E">
                  <w:pPr>
                    <w:keepNext w:val="0"/>
                    <w:keepLines w:val="0"/>
                    <w:suppressLineNumbers w:val="0"/>
                    <w:spacing w:before="0" w:beforeAutospacing="0" w:after="0" w:afterAutospacing="0"/>
                    <w:ind w:left="0" w:right="0"/>
                    <w:jc w:val="center"/>
                    <w:rPr>
                      <w:rFonts w:hint="eastAsia"/>
                      <w:color w:val="auto"/>
                      <w:sz w:val="21"/>
                      <w:szCs w:val="21"/>
                      <w:u w:val="none" w:color="auto"/>
                      <w:lang w:eastAsia="zh-CN"/>
                    </w:rPr>
                  </w:pPr>
                  <w:r>
                    <w:rPr>
                      <w:rFonts w:hint="eastAsia"/>
                      <w:color w:val="auto"/>
                      <w:sz w:val="21"/>
                      <w:szCs w:val="21"/>
                      <w:u w:val="none" w:color="auto"/>
                      <w:lang w:val="en-US" w:eastAsia="zh-CN"/>
                    </w:rPr>
                    <w:t>机加工</w:t>
                  </w:r>
                </w:p>
              </w:tc>
              <w:tc>
                <w:tcPr>
                  <w:tcW w:w="226" w:type="pct"/>
                  <w:tcBorders>
                    <w:tl2br w:val="nil"/>
                    <w:tr2bl w:val="nil"/>
                  </w:tcBorders>
                  <w:noWrap w:val="0"/>
                  <w:vAlign w:val="center"/>
                </w:tcPr>
                <w:p w14:paraId="62E11649">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val="en-US" w:eastAsia="zh-CN"/>
                    </w:rPr>
                    <w:t>液</w:t>
                  </w:r>
                </w:p>
              </w:tc>
              <w:tc>
                <w:tcPr>
                  <w:tcW w:w="395" w:type="pct"/>
                  <w:tcBorders>
                    <w:tl2br w:val="nil"/>
                    <w:tr2bl w:val="nil"/>
                  </w:tcBorders>
                  <w:noWrap w:val="0"/>
                  <w:vAlign w:val="center"/>
                </w:tcPr>
                <w:p w14:paraId="036FD6A5">
                  <w:pPr>
                    <w:keepNext w:val="0"/>
                    <w:keepLines w:val="0"/>
                    <w:suppressLineNumbers w:val="0"/>
                    <w:topLinePunct/>
                    <w:spacing w:before="0" w:beforeAutospacing="0" w:after="0" w:afterAutospacing="0"/>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油水/烃水混合物</w:t>
                  </w:r>
                </w:p>
              </w:tc>
              <w:tc>
                <w:tcPr>
                  <w:tcW w:w="396" w:type="pct"/>
                  <w:tcBorders>
                    <w:tl2br w:val="nil"/>
                    <w:tr2bl w:val="nil"/>
                  </w:tcBorders>
                  <w:noWrap w:val="0"/>
                  <w:vAlign w:val="center"/>
                </w:tcPr>
                <w:p w14:paraId="64DD8DE3">
                  <w:pPr>
                    <w:keepNext w:val="0"/>
                    <w:keepLines w:val="0"/>
                    <w:suppressLineNumbers w:val="0"/>
                    <w:topLinePunct/>
                    <w:spacing w:before="0" w:beforeAutospacing="0" w:after="0" w:afterAutospacing="0"/>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油水/烃水混合物</w:t>
                  </w:r>
                </w:p>
              </w:tc>
              <w:tc>
                <w:tcPr>
                  <w:tcW w:w="226" w:type="pct"/>
                  <w:tcBorders>
                    <w:tl2br w:val="nil"/>
                    <w:tr2bl w:val="nil"/>
                  </w:tcBorders>
                  <w:noWrap w:val="0"/>
                  <w:vAlign w:val="center"/>
                </w:tcPr>
                <w:p w14:paraId="09951418">
                  <w:pPr>
                    <w:keepNext w:val="0"/>
                    <w:keepLines w:val="0"/>
                    <w:suppressLineNumbers w:val="0"/>
                    <w:topLinePunct/>
                    <w:spacing w:before="0" w:beforeAutospacing="0" w:after="0" w:afterAutospacing="0"/>
                    <w:ind w:left="0" w:right="0"/>
                    <w:jc w:val="both"/>
                    <w:rPr>
                      <w:rFonts w:hint="eastAsia"/>
                      <w:color w:val="auto"/>
                      <w:sz w:val="21"/>
                      <w:szCs w:val="21"/>
                      <w:u w:val="none" w:color="auto"/>
                      <w:lang w:val="en-US" w:eastAsia="zh-CN"/>
                    </w:rPr>
                  </w:pPr>
                  <w:r>
                    <w:rPr>
                      <w:rFonts w:hint="eastAsia"/>
                      <w:color w:val="auto"/>
                      <w:sz w:val="21"/>
                      <w:szCs w:val="21"/>
                      <w:u w:val="none" w:color="auto"/>
                      <w:lang w:val="en-US" w:eastAsia="zh-CN"/>
                    </w:rPr>
                    <w:t>间歇</w:t>
                  </w:r>
                </w:p>
              </w:tc>
              <w:tc>
                <w:tcPr>
                  <w:tcW w:w="346" w:type="pct"/>
                  <w:tcBorders>
                    <w:tl2br w:val="nil"/>
                    <w:tr2bl w:val="nil"/>
                  </w:tcBorders>
                  <w:noWrap w:val="0"/>
                  <w:vAlign w:val="center"/>
                </w:tcPr>
                <w:p w14:paraId="08D8FC3A">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pacing w:val="0"/>
                      <w:w w:val="100"/>
                      <w:kern w:val="0"/>
                      <w:position w:val="0"/>
                      <w:sz w:val="21"/>
                      <w:szCs w:val="21"/>
                      <w:u w:val="none" w:color="auto"/>
                      <w:lang w:val="en-US" w:eastAsia="zh-CN"/>
                    </w:rPr>
                  </w:pPr>
                  <w:r>
                    <w:rPr>
                      <w:rFonts w:hint="default" w:ascii="Times New Roman" w:hAnsi="Times New Roman" w:eastAsia="宋体" w:cs="Times New Roman"/>
                      <w:color w:val="000000"/>
                      <w:kern w:val="0"/>
                      <w:sz w:val="21"/>
                      <w:szCs w:val="21"/>
                      <w:u w:val="none" w:color="auto"/>
                      <w:lang w:val="en-US" w:eastAsia="zh-CN" w:bidi="ar"/>
                    </w:rPr>
                    <w:t>T</w:t>
                  </w:r>
                </w:p>
              </w:tc>
              <w:tc>
                <w:tcPr>
                  <w:tcW w:w="516" w:type="pct"/>
                  <w:vMerge w:val="continue"/>
                  <w:tcBorders>
                    <w:tl2br w:val="nil"/>
                    <w:tr2bl w:val="nil"/>
                  </w:tcBorders>
                  <w:noWrap w:val="0"/>
                  <w:vAlign w:val="center"/>
                </w:tcPr>
                <w:p w14:paraId="2F9873D6">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p>
              </w:tc>
            </w:tr>
            <w:tr w14:paraId="741A8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tcBorders>
                    <w:tl2br w:val="nil"/>
                    <w:tr2bl w:val="nil"/>
                  </w:tcBorders>
                  <w:noWrap w:val="0"/>
                  <w:vAlign w:val="center"/>
                </w:tcPr>
                <w:p w14:paraId="62ADACF8">
                  <w:pPr>
                    <w:keepNext w:val="0"/>
                    <w:keepLines w:val="0"/>
                    <w:suppressLineNumbers w:val="0"/>
                    <w:topLinePunct/>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5</w:t>
                  </w:r>
                </w:p>
              </w:tc>
              <w:tc>
                <w:tcPr>
                  <w:tcW w:w="484" w:type="pct"/>
                  <w:tcBorders>
                    <w:tl2br w:val="nil"/>
                    <w:tr2bl w:val="nil"/>
                  </w:tcBorders>
                  <w:noWrap w:val="0"/>
                  <w:vAlign w:val="center"/>
                </w:tcPr>
                <w:p w14:paraId="00DD158E">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eastAsia"/>
                      <w:color w:val="auto"/>
                      <w:sz w:val="21"/>
                      <w:szCs w:val="21"/>
                      <w:u w:val="none" w:color="auto"/>
                      <w:lang w:eastAsia="zh-CN"/>
                    </w:rPr>
                    <w:t>废</w:t>
                  </w:r>
                  <w:r>
                    <w:rPr>
                      <w:rFonts w:hint="eastAsia"/>
                      <w:color w:val="auto"/>
                      <w:sz w:val="21"/>
                      <w:szCs w:val="21"/>
                      <w:u w:val="none" w:color="auto"/>
                      <w:lang w:val="en-US" w:eastAsia="zh-CN"/>
                    </w:rPr>
                    <w:t>润滑油</w:t>
                  </w:r>
                </w:p>
              </w:tc>
              <w:tc>
                <w:tcPr>
                  <w:tcW w:w="480" w:type="pct"/>
                  <w:tcBorders>
                    <w:tl2br w:val="nil"/>
                    <w:tr2bl w:val="nil"/>
                  </w:tcBorders>
                  <w:noWrap w:val="0"/>
                  <w:vAlign w:val="center"/>
                </w:tcPr>
                <w:p w14:paraId="68C29DF5">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color w:val="auto"/>
                      <w:sz w:val="21"/>
                      <w:szCs w:val="21"/>
                      <w:u w:val="none" w:color="auto"/>
                      <w:lang w:val="en-US" w:eastAsia="zh-CN"/>
                    </w:rPr>
                    <w:t>HW08</w:t>
                  </w:r>
                </w:p>
              </w:tc>
              <w:tc>
                <w:tcPr>
                  <w:tcW w:w="597" w:type="pct"/>
                  <w:tcBorders>
                    <w:tl2br w:val="nil"/>
                    <w:tr2bl w:val="nil"/>
                  </w:tcBorders>
                  <w:noWrap w:val="0"/>
                  <w:vAlign w:val="center"/>
                </w:tcPr>
                <w:p w14:paraId="52D94AE4">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kern w:val="0"/>
                      <w:position w:val="0"/>
                      <w:sz w:val="21"/>
                      <w:szCs w:val="21"/>
                      <w:u w:val="none" w:color="auto"/>
                    </w:rPr>
                  </w:pPr>
                  <w:r>
                    <w:rPr>
                      <w:rFonts w:hint="default" w:ascii="Times New Roman" w:hAnsi="Times New Roman" w:eastAsia="宋体" w:cs="Times New Roman"/>
                      <w:color w:val="auto"/>
                      <w:spacing w:val="0"/>
                      <w:w w:val="100"/>
                      <w:kern w:val="0"/>
                      <w:position w:val="0"/>
                      <w:sz w:val="21"/>
                      <w:szCs w:val="21"/>
                      <w:u w:val="none" w:color="auto"/>
                      <w:lang w:val="en-US" w:eastAsia="zh-CN"/>
                    </w:rPr>
                    <w:t>900-214-08</w:t>
                  </w:r>
                </w:p>
              </w:tc>
              <w:tc>
                <w:tcPr>
                  <w:tcW w:w="533" w:type="pct"/>
                  <w:tcBorders>
                    <w:tl2br w:val="nil"/>
                    <w:tr2bl w:val="nil"/>
                  </w:tcBorders>
                  <w:noWrap w:val="0"/>
                  <w:vAlign w:val="center"/>
                </w:tcPr>
                <w:p w14:paraId="1E885C4C">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val="en-US" w:eastAsia="zh-CN"/>
                    </w:rPr>
                  </w:pPr>
                  <w:r>
                    <w:rPr>
                      <w:rFonts w:hint="eastAsia"/>
                      <w:color w:val="auto"/>
                      <w:sz w:val="21"/>
                      <w:szCs w:val="21"/>
                      <w:u w:val="none" w:color="auto"/>
                      <w:lang w:val="en-US" w:eastAsia="zh-CN"/>
                    </w:rPr>
                    <w:t>0.05</w:t>
                  </w:r>
                </w:p>
              </w:tc>
              <w:tc>
                <w:tcPr>
                  <w:tcW w:w="511" w:type="pct"/>
                  <w:tcBorders>
                    <w:tl2br w:val="nil"/>
                    <w:tr2bl w:val="nil"/>
                  </w:tcBorders>
                  <w:noWrap w:val="0"/>
                  <w:vAlign w:val="center"/>
                </w:tcPr>
                <w:p w14:paraId="0D6C6EA2">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eastAsia"/>
                      <w:color w:val="auto"/>
                      <w:sz w:val="21"/>
                      <w:szCs w:val="21"/>
                      <w:u w:val="none" w:color="auto"/>
                      <w:lang w:eastAsia="zh-CN"/>
                    </w:rPr>
                    <w:t>设备</w:t>
                  </w:r>
                  <w:r>
                    <w:rPr>
                      <w:rFonts w:hint="eastAsia"/>
                      <w:color w:val="auto"/>
                      <w:sz w:val="21"/>
                      <w:szCs w:val="21"/>
                      <w:u w:val="none" w:color="auto"/>
                      <w:lang w:val="en-US" w:eastAsia="zh-CN"/>
                    </w:rPr>
                    <w:t>维修</w:t>
                  </w:r>
                </w:p>
              </w:tc>
              <w:tc>
                <w:tcPr>
                  <w:tcW w:w="226" w:type="pct"/>
                  <w:tcBorders>
                    <w:tl2br w:val="nil"/>
                    <w:tr2bl w:val="nil"/>
                  </w:tcBorders>
                  <w:noWrap w:val="0"/>
                  <w:vAlign w:val="center"/>
                </w:tcPr>
                <w:p w14:paraId="082966EC">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val="en-US" w:eastAsia="zh-CN"/>
                    </w:rPr>
                    <w:t>液</w:t>
                  </w:r>
                </w:p>
              </w:tc>
              <w:tc>
                <w:tcPr>
                  <w:tcW w:w="395" w:type="pct"/>
                  <w:tcBorders>
                    <w:tl2br w:val="nil"/>
                    <w:tr2bl w:val="nil"/>
                  </w:tcBorders>
                  <w:noWrap w:val="0"/>
                  <w:vAlign w:val="center"/>
                </w:tcPr>
                <w:p w14:paraId="5BAADB0F">
                  <w:pPr>
                    <w:keepNext w:val="0"/>
                    <w:keepLines w:val="0"/>
                    <w:suppressLineNumbers w:val="0"/>
                    <w:topLinePunct/>
                    <w:spacing w:before="0" w:beforeAutospacing="0" w:after="0" w:afterAutospacing="0"/>
                    <w:ind w:left="0" w:right="0"/>
                    <w:jc w:val="center"/>
                    <w:rPr>
                      <w:rFonts w:hint="default" w:eastAsia="宋体"/>
                      <w:color w:val="auto"/>
                      <w:sz w:val="21"/>
                      <w:szCs w:val="21"/>
                      <w:u w:val="none" w:color="auto"/>
                      <w:lang w:val="en-US" w:eastAsia="zh-CN"/>
                    </w:rPr>
                  </w:pPr>
                  <w:r>
                    <w:rPr>
                      <w:rFonts w:hint="eastAsia"/>
                      <w:color w:val="auto"/>
                      <w:sz w:val="21"/>
                      <w:szCs w:val="21"/>
                      <w:u w:val="none" w:color="auto"/>
                      <w:lang w:val="en-US" w:eastAsia="zh-CN"/>
                    </w:rPr>
                    <w:t>矿物油</w:t>
                  </w:r>
                </w:p>
              </w:tc>
              <w:tc>
                <w:tcPr>
                  <w:tcW w:w="396" w:type="pct"/>
                  <w:tcBorders>
                    <w:tl2br w:val="nil"/>
                    <w:tr2bl w:val="nil"/>
                  </w:tcBorders>
                  <w:noWrap w:val="0"/>
                  <w:vAlign w:val="center"/>
                </w:tcPr>
                <w:p w14:paraId="5AF0F898">
                  <w:pPr>
                    <w:keepNext w:val="0"/>
                    <w:keepLines w:val="0"/>
                    <w:suppressLineNumbers w:val="0"/>
                    <w:topLinePunct/>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矿物油</w:t>
                  </w:r>
                </w:p>
              </w:tc>
              <w:tc>
                <w:tcPr>
                  <w:tcW w:w="226" w:type="pct"/>
                  <w:tcBorders>
                    <w:tl2br w:val="nil"/>
                    <w:tr2bl w:val="nil"/>
                  </w:tcBorders>
                  <w:noWrap w:val="0"/>
                  <w:vAlign w:val="center"/>
                </w:tcPr>
                <w:p w14:paraId="79C223C2">
                  <w:pPr>
                    <w:keepNext w:val="0"/>
                    <w:keepLines w:val="0"/>
                    <w:suppressLineNumbers w:val="0"/>
                    <w:topLinePunct/>
                    <w:spacing w:before="0" w:beforeAutospacing="0" w:after="0" w:afterAutospacing="0"/>
                    <w:ind w:left="0" w:right="0"/>
                    <w:jc w:val="both"/>
                    <w:rPr>
                      <w:rFonts w:hint="eastAsia"/>
                      <w:color w:val="auto"/>
                      <w:sz w:val="21"/>
                      <w:szCs w:val="21"/>
                      <w:u w:val="none" w:color="auto"/>
                      <w:lang w:val="en-US" w:eastAsia="zh-CN"/>
                    </w:rPr>
                  </w:pPr>
                  <w:r>
                    <w:rPr>
                      <w:rFonts w:hint="eastAsia"/>
                      <w:color w:val="auto"/>
                      <w:sz w:val="21"/>
                      <w:szCs w:val="21"/>
                      <w:u w:val="none" w:color="auto"/>
                      <w:lang w:val="en-US" w:eastAsia="zh-CN"/>
                    </w:rPr>
                    <w:t>间歇</w:t>
                  </w:r>
                </w:p>
              </w:tc>
              <w:tc>
                <w:tcPr>
                  <w:tcW w:w="346" w:type="pct"/>
                  <w:tcBorders>
                    <w:tl2br w:val="nil"/>
                    <w:tr2bl w:val="nil"/>
                  </w:tcBorders>
                  <w:noWrap w:val="0"/>
                  <w:vAlign w:val="center"/>
                </w:tcPr>
                <w:p w14:paraId="21900B36">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pacing w:val="0"/>
                      <w:w w:val="100"/>
                      <w:kern w:val="0"/>
                      <w:position w:val="0"/>
                      <w:sz w:val="21"/>
                      <w:szCs w:val="21"/>
                      <w:u w:val="none" w:color="auto"/>
                      <w:lang w:val="en-US" w:eastAsia="zh-CN"/>
                    </w:rPr>
                  </w:pPr>
                  <w:r>
                    <w:rPr>
                      <w:rFonts w:hint="eastAsia" w:ascii="Times New Roman" w:hAnsi="Times New Roman" w:eastAsia="宋体" w:cs="Times New Roman"/>
                      <w:color w:val="auto"/>
                      <w:spacing w:val="0"/>
                      <w:w w:val="100"/>
                      <w:kern w:val="0"/>
                      <w:position w:val="0"/>
                      <w:sz w:val="21"/>
                      <w:szCs w:val="21"/>
                      <w:u w:val="none" w:color="auto"/>
                      <w:lang w:val="en-US" w:eastAsia="zh-CN"/>
                    </w:rPr>
                    <w:t>T,I</w:t>
                  </w:r>
                </w:p>
              </w:tc>
              <w:tc>
                <w:tcPr>
                  <w:tcW w:w="516" w:type="pct"/>
                  <w:vMerge w:val="continue"/>
                  <w:tcBorders>
                    <w:tl2br w:val="nil"/>
                    <w:tr2bl w:val="nil"/>
                  </w:tcBorders>
                  <w:noWrap w:val="0"/>
                  <w:vAlign w:val="center"/>
                </w:tcPr>
                <w:p w14:paraId="0B72BFA5">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p>
              </w:tc>
            </w:tr>
            <w:tr w14:paraId="6E651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tcBorders>
                    <w:tl2br w:val="nil"/>
                    <w:tr2bl w:val="nil"/>
                  </w:tcBorders>
                  <w:noWrap w:val="0"/>
                  <w:vAlign w:val="center"/>
                </w:tcPr>
                <w:p w14:paraId="426945B6">
                  <w:pPr>
                    <w:keepNext w:val="0"/>
                    <w:keepLines w:val="0"/>
                    <w:suppressLineNumbers w:val="0"/>
                    <w:topLinePunct/>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6</w:t>
                  </w:r>
                </w:p>
              </w:tc>
              <w:tc>
                <w:tcPr>
                  <w:tcW w:w="484" w:type="pct"/>
                  <w:tcBorders>
                    <w:tl2br w:val="nil"/>
                    <w:tr2bl w:val="nil"/>
                  </w:tcBorders>
                  <w:noWrap w:val="0"/>
                  <w:vAlign w:val="center"/>
                </w:tcPr>
                <w:p w14:paraId="50C66E5B">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eastAsia" w:ascii="宋体" w:hAnsi="宋体" w:eastAsia="宋体" w:cs="宋体"/>
                      <w:color w:val="000000"/>
                      <w:kern w:val="0"/>
                      <w:sz w:val="21"/>
                      <w:szCs w:val="21"/>
                      <w:u w:val="none" w:color="auto"/>
                      <w:lang w:val="en-US" w:eastAsia="zh-CN" w:bidi="ar"/>
                    </w:rPr>
                    <w:t>废油抹布及手套</w:t>
                  </w:r>
                </w:p>
              </w:tc>
              <w:tc>
                <w:tcPr>
                  <w:tcW w:w="480" w:type="pct"/>
                  <w:tcBorders>
                    <w:tl2br w:val="nil"/>
                    <w:tr2bl w:val="nil"/>
                  </w:tcBorders>
                  <w:noWrap w:val="0"/>
                  <w:vAlign w:val="center"/>
                </w:tcPr>
                <w:p w14:paraId="0A73E466">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color w:val="auto"/>
                      <w:sz w:val="21"/>
                      <w:szCs w:val="21"/>
                      <w:u w:val="none" w:color="auto"/>
                      <w:lang w:val="en-US" w:eastAsia="zh-CN"/>
                    </w:rPr>
                    <w:t>HW49</w:t>
                  </w:r>
                </w:p>
              </w:tc>
              <w:tc>
                <w:tcPr>
                  <w:tcW w:w="597" w:type="pct"/>
                  <w:tcBorders>
                    <w:tl2br w:val="nil"/>
                    <w:tr2bl w:val="nil"/>
                  </w:tcBorders>
                  <w:noWrap w:val="0"/>
                  <w:vAlign w:val="center"/>
                </w:tcPr>
                <w:p w14:paraId="7C990E82">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kern w:val="0"/>
                      <w:position w:val="0"/>
                      <w:sz w:val="21"/>
                      <w:szCs w:val="21"/>
                      <w:u w:val="none" w:color="auto"/>
                    </w:rPr>
                  </w:pPr>
                  <w:r>
                    <w:rPr>
                      <w:rFonts w:hint="default" w:ascii="Times New Roman" w:hAnsi="Times New Roman" w:eastAsia="宋体" w:cs="Times New Roman"/>
                      <w:color w:val="auto"/>
                      <w:spacing w:val="0"/>
                      <w:w w:val="100"/>
                      <w:kern w:val="0"/>
                      <w:position w:val="0"/>
                      <w:sz w:val="21"/>
                      <w:szCs w:val="21"/>
                      <w:u w:val="none" w:color="auto"/>
                      <w:lang w:val="en-US" w:eastAsia="zh-CN"/>
                    </w:rPr>
                    <w:t>900-041-49</w:t>
                  </w:r>
                </w:p>
              </w:tc>
              <w:tc>
                <w:tcPr>
                  <w:tcW w:w="533" w:type="pct"/>
                  <w:tcBorders>
                    <w:tl2br w:val="nil"/>
                    <w:tr2bl w:val="nil"/>
                  </w:tcBorders>
                  <w:noWrap w:val="0"/>
                  <w:vAlign w:val="center"/>
                </w:tcPr>
                <w:p w14:paraId="2454080F">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val="en-US" w:eastAsia="zh-CN"/>
                    </w:rPr>
                  </w:pPr>
                  <w:r>
                    <w:rPr>
                      <w:rFonts w:hint="eastAsia"/>
                      <w:color w:val="auto"/>
                      <w:sz w:val="21"/>
                      <w:szCs w:val="21"/>
                      <w:u w:val="none" w:color="auto"/>
                      <w:lang w:val="en-US" w:eastAsia="zh-CN"/>
                    </w:rPr>
                    <w:t>0.01</w:t>
                  </w:r>
                </w:p>
              </w:tc>
              <w:tc>
                <w:tcPr>
                  <w:tcW w:w="511" w:type="pct"/>
                  <w:tcBorders>
                    <w:tl2br w:val="nil"/>
                    <w:tr2bl w:val="nil"/>
                  </w:tcBorders>
                  <w:noWrap w:val="0"/>
                  <w:vAlign w:val="center"/>
                </w:tcPr>
                <w:p w14:paraId="2C9929E9">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eastAsia"/>
                      <w:color w:val="auto"/>
                      <w:sz w:val="21"/>
                      <w:szCs w:val="21"/>
                      <w:u w:val="none" w:color="auto"/>
                      <w:lang w:eastAsia="zh-CN"/>
                    </w:rPr>
                    <w:t>设备</w:t>
                  </w:r>
                  <w:r>
                    <w:rPr>
                      <w:rFonts w:hint="eastAsia"/>
                      <w:color w:val="auto"/>
                      <w:sz w:val="21"/>
                      <w:szCs w:val="21"/>
                      <w:u w:val="none" w:color="auto"/>
                      <w:lang w:val="en-US" w:eastAsia="zh-CN"/>
                    </w:rPr>
                    <w:t>维修</w:t>
                  </w:r>
                </w:p>
              </w:tc>
              <w:tc>
                <w:tcPr>
                  <w:tcW w:w="226" w:type="pct"/>
                  <w:tcBorders>
                    <w:tl2br w:val="nil"/>
                    <w:tr2bl w:val="nil"/>
                  </w:tcBorders>
                  <w:noWrap w:val="0"/>
                  <w:vAlign w:val="center"/>
                </w:tcPr>
                <w:p w14:paraId="0875B906">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val="en-US" w:eastAsia="zh-CN"/>
                    </w:rPr>
                    <w:t>固</w:t>
                  </w:r>
                </w:p>
              </w:tc>
              <w:tc>
                <w:tcPr>
                  <w:tcW w:w="395" w:type="pct"/>
                  <w:tcBorders>
                    <w:tl2br w:val="nil"/>
                    <w:tr2bl w:val="nil"/>
                  </w:tcBorders>
                  <w:noWrap w:val="0"/>
                  <w:vAlign w:val="center"/>
                </w:tcPr>
                <w:p w14:paraId="7292E171">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val="en-US" w:eastAsia="zh-CN"/>
                    </w:rPr>
                    <w:t>矿物油</w:t>
                  </w:r>
                </w:p>
              </w:tc>
              <w:tc>
                <w:tcPr>
                  <w:tcW w:w="396" w:type="pct"/>
                  <w:tcBorders>
                    <w:tl2br w:val="nil"/>
                    <w:tr2bl w:val="nil"/>
                  </w:tcBorders>
                  <w:noWrap w:val="0"/>
                  <w:vAlign w:val="center"/>
                </w:tcPr>
                <w:p w14:paraId="0C41DCBF">
                  <w:pPr>
                    <w:keepNext w:val="0"/>
                    <w:keepLines w:val="0"/>
                    <w:suppressLineNumbers w:val="0"/>
                    <w:topLinePunct/>
                    <w:spacing w:before="0" w:beforeAutospacing="0" w:after="0" w:afterAutospacing="0"/>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矿物油</w:t>
                  </w:r>
                </w:p>
              </w:tc>
              <w:tc>
                <w:tcPr>
                  <w:tcW w:w="226" w:type="pct"/>
                  <w:tcBorders>
                    <w:tl2br w:val="nil"/>
                    <w:tr2bl w:val="nil"/>
                  </w:tcBorders>
                  <w:noWrap w:val="0"/>
                  <w:vAlign w:val="center"/>
                </w:tcPr>
                <w:p w14:paraId="5F92279A">
                  <w:pPr>
                    <w:keepNext w:val="0"/>
                    <w:keepLines w:val="0"/>
                    <w:suppressLineNumbers w:val="0"/>
                    <w:topLinePunct/>
                    <w:spacing w:before="0" w:beforeAutospacing="0" w:after="0" w:afterAutospacing="0"/>
                    <w:ind w:left="0" w:right="0"/>
                    <w:jc w:val="both"/>
                    <w:rPr>
                      <w:rFonts w:hint="eastAsia"/>
                      <w:color w:val="auto"/>
                      <w:sz w:val="21"/>
                      <w:szCs w:val="21"/>
                      <w:u w:val="none" w:color="auto"/>
                      <w:lang w:val="en-US" w:eastAsia="zh-CN"/>
                    </w:rPr>
                  </w:pPr>
                  <w:r>
                    <w:rPr>
                      <w:rFonts w:hint="eastAsia"/>
                      <w:color w:val="auto"/>
                      <w:sz w:val="21"/>
                      <w:szCs w:val="21"/>
                      <w:u w:val="none" w:color="auto"/>
                      <w:lang w:val="en-US" w:eastAsia="zh-CN"/>
                    </w:rPr>
                    <w:t>间歇</w:t>
                  </w:r>
                </w:p>
              </w:tc>
              <w:tc>
                <w:tcPr>
                  <w:tcW w:w="346" w:type="pct"/>
                  <w:tcBorders>
                    <w:tl2br w:val="nil"/>
                    <w:tr2bl w:val="nil"/>
                  </w:tcBorders>
                  <w:noWrap w:val="0"/>
                  <w:vAlign w:val="center"/>
                </w:tcPr>
                <w:p w14:paraId="10609379">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pacing w:val="0"/>
                      <w:w w:val="100"/>
                      <w:kern w:val="0"/>
                      <w:position w:val="0"/>
                      <w:sz w:val="21"/>
                      <w:szCs w:val="21"/>
                      <w:u w:val="none" w:color="auto"/>
                      <w:lang w:val="en-US" w:eastAsia="zh-CN"/>
                    </w:rPr>
                  </w:pPr>
                  <w:r>
                    <w:rPr>
                      <w:rFonts w:hint="default"/>
                      <w:color w:val="auto"/>
                      <w:kern w:val="0"/>
                      <w:sz w:val="21"/>
                      <w:szCs w:val="21"/>
                      <w:highlight w:val="none"/>
                      <w:u w:val="none" w:color="auto"/>
                    </w:rPr>
                    <w:t>T/I</w:t>
                  </w:r>
                  <w:r>
                    <w:rPr>
                      <w:rFonts w:hint="eastAsia"/>
                      <w:color w:val="auto"/>
                      <w:kern w:val="0"/>
                      <w:sz w:val="21"/>
                      <w:szCs w:val="21"/>
                      <w:highlight w:val="none"/>
                      <w:u w:val="none" w:color="auto"/>
                      <w:lang w:val="en-US" w:eastAsia="zh-CN"/>
                    </w:rPr>
                    <w:t>n</w:t>
                  </w:r>
                </w:p>
              </w:tc>
              <w:tc>
                <w:tcPr>
                  <w:tcW w:w="516" w:type="pct"/>
                  <w:vMerge w:val="continue"/>
                  <w:tcBorders>
                    <w:tl2br w:val="nil"/>
                    <w:tr2bl w:val="nil"/>
                  </w:tcBorders>
                  <w:noWrap w:val="0"/>
                  <w:vAlign w:val="center"/>
                </w:tcPr>
                <w:p w14:paraId="35C4EB57">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p>
              </w:tc>
            </w:tr>
            <w:tr w14:paraId="17A80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2" w:type="pct"/>
                  <w:tcBorders>
                    <w:tl2br w:val="nil"/>
                    <w:tr2bl w:val="nil"/>
                  </w:tcBorders>
                  <w:noWrap w:val="0"/>
                  <w:vAlign w:val="center"/>
                </w:tcPr>
                <w:p w14:paraId="7A525527">
                  <w:pPr>
                    <w:keepNext w:val="0"/>
                    <w:keepLines w:val="0"/>
                    <w:suppressLineNumbers w:val="0"/>
                    <w:topLinePunct/>
                    <w:spacing w:before="0" w:beforeAutospacing="0" w:after="0" w:afterAutospacing="0"/>
                    <w:ind w:left="0" w:right="0"/>
                    <w:jc w:val="center"/>
                    <w:rPr>
                      <w:rFonts w:hint="default"/>
                      <w:color w:val="auto"/>
                      <w:sz w:val="21"/>
                      <w:szCs w:val="21"/>
                      <w:u w:val="none" w:color="auto"/>
                      <w:lang w:val="en-US" w:eastAsia="zh-CN"/>
                    </w:rPr>
                  </w:pPr>
                  <w:r>
                    <w:rPr>
                      <w:rFonts w:hint="eastAsia"/>
                      <w:color w:val="auto"/>
                      <w:sz w:val="21"/>
                      <w:szCs w:val="21"/>
                      <w:u w:val="none" w:color="auto"/>
                      <w:lang w:val="en-US" w:eastAsia="zh-CN"/>
                    </w:rPr>
                    <w:t>7</w:t>
                  </w:r>
                </w:p>
              </w:tc>
              <w:tc>
                <w:tcPr>
                  <w:tcW w:w="484" w:type="pct"/>
                  <w:tcBorders>
                    <w:tl2br w:val="nil"/>
                    <w:tr2bl w:val="nil"/>
                  </w:tcBorders>
                  <w:noWrap w:val="0"/>
                  <w:vAlign w:val="center"/>
                </w:tcPr>
                <w:p w14:paraId="609A09FE">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eastAsia"/>
                      <w:color w:val="auto"/>
                      <w:sz w:val="21"/>
                      <w:szCs w:val="21"/>
                      <w:u w:val="none" w:color="auto"/>
                      <w:lang w:eastAsia="zh-CN"/>
                    </w:rPr>
                    <w:t>油类包装桶</w:t>
                  </w:r>
                </w:p>
              </w:tc>
              <w:tc>
                <w:tcPr>
                  <w:tcW w:w="480" w:type="pct"/>
                  <w:tcBorders>
                    <w:tl2br w:val="nil"/>
                    <w:tr2bl w:val="nil"/>
                  </w:tcBorders>
                  <w:noWrap w:val="0"/>
                  <w:vAlign w:val="center"/>
                </w:tcPr>
                <w:p w14:paraId="2B0AFD2E">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position w:val="0"/>
                      <w:sz w:val="21"/>
                      <w:szCs w:val="21"/>
                      <w:u w:val="none" w:color="auto"/>
                      <w:lang w:val="en-US" w:eastAsia="zh-CN"/>
                    </w:rPr>
                  </w:pPr>
                  <w:r>
                    <w:rPr>
                      <w:rFonts w:hint="eastAsia"/>
                      <w:color w:val="auto"/>
                      <w:sz w:val="21"/>
                      <w:szCs w:val="21"/>
                      <w:u w:val="none" w:color="auto"/>
                      <w:lang w:val="en-US" w:eastAsia="zh-CN"/>
                    </w:rPr>
                    <w:t>HW49</w:t>
                  </w:r>
                </w:p>
              </w:tc>
              <w:tc>
                <w:tcPr>
                  <w:tcW w:w="597" w:type="pct"/>
                  <w:tcBorders>
                    <w:tl2br w:val="nil"/>
                    <w:tr2bl w:val="nil"/>
                  </w:tcBorders>
                  <w:noWrap w:val="0"/>
                  <w:vAlign w:val="center"/>
                </w:tcPr>
                <w:p w14:paraId="7B4C7BCE">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w w:val="100"/>
                      <w:kern w:val="0"/>
                      <w:position w:val="0"/>
                      <w:sz w:val="21"/>
                      <w:szCs w:val="21"/>
                      <w:u w:val="none" w:color="auto"/>
                    </w:rPr>
                  </w:pPr>
                  <w:r>
                    <w:rPr>
                      <w:rFonts w:hint="default" w:ascii="Times New Roman" w:hAnsi="Times New Roman" w:eastAsia="宋体" w:cs="Times New Roman"/>
                      <w:color w:val="auto"/>
                      <w:spacing w:val="0"/>
                      <w:w w:val="100"/>
                      <w:kern w:val="0"/>
                      <w:position w:val="0"/>
                      <w:sz w:val="21"/>
                      <w:szCs w:val="21"/>
                      <w:u w:val="none" w:color="auto"/>
                      <w:lang w:val="en-US" w:eastAsia="zh-CN"/>
                    </w:rPr>
                    <w:t>900-041-49</w:t>
                  </w:r>
                </w:p>
              </w:tc>
              <w:tc>
                <w:tcPr>
                  <w:tcW w:w="533" w:type="pct"/>
                  <w:tcBorders>
                    <w:tl2br w:val="nil"/>
                    <w:tr2bl w:val="nil"/>
                  </w:tcBorders>
                  <w:noWrap w:val="0"/>
                  <w:vAlign w:val="center"/>
                </w:tcPr>
                <w:p w14:paraId="7EF92017">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val="en-US" w:eastAsia="zh-CN"/>
                    </w:rPr>
                  </w:pPr>
                  <w:r>
                    <w:rPr>
                      <w:rFonts w:hint="eastAsia"/>
                      <w:color w:val="auto"/>
                      <w:sz w:val="21"/>
                      <w:szCs w:val="21"/>
                      <w:u w:val="none" w:color="auto"/>
                      <w:lang w:val="en-US" w:eastAsia="zh-CN"/>
                    </w:rPr>
                    <w:t>0.001</w:t>
                  </w:r>
                </w:p>
              </w:tc>
              <w:tc>
                <w:tcPr>
                  <w:tcW w:w="511" w:type="pct"/>
                  <w:tcBorders>
                    <w:tl2br w:val="nil"/>
                    <w:tr2bl w:val="nil"/>
                  </w:tcBorders>
                  <w:noWrap w:val="0"/>
                  <w:vAlign w:val="center"/>
                </w:tcPr>
                <w:p w14:paraId="0BD1B930">
                  <w:pPr>
                    <w:keepNext w:val="0"/>
                    <w:keepLines w:val="0"/>
                    <w:suppressLineNumbers w:val="0"/>
                    <w:spacing w:before="0" w:beforeAutospacing="0" w:after="0" w:afterAutospacing="0"/>
                    <w:ind w:left="0" w:right="0"/>
                    <w:jc w:val="center"/>
                    <w:textAlignment w:val="center"/>
                    <w:rPr>
                      <w:rFonts w:hint="eastAsia"/>
                      <w:color w:val="auto"/>
                      <w:sz w:val="21"/>
                      <w:szCs w:val="21"/>
                      <w:u w:val="none" w:color="auto"/>
                      <w:lang w:eastAsia="zh-CN"/>
                    </w:rPr>
                  </w:pPr>
                  <w:r>
                    <w:rPr>
                      <w:rFonts w:hint="eastAsia"/>
                      <w:color w:val="auto"/>
                      <w:sz w:val="21"/>
                      <w:szCs w:val="21"/>
                      <w:u w:val="none" w:color="auto"/>
                      <w:lang w:val="en-US" w:eastAsia="zh-CN"/>
                    </w:rPr>
                    <w:t>包装</w:t>
                  </w:r>
                </w:p>
              </w:tc>
              <w:tc>
                <w:tcPr>
                  <w:tcW w:w="226" w:type="pct"/>
                  <w:tcBorders>
                    <w:tl2br w:val="nil"/>
                    <w:tr2bl w:val="nil"/>
                  </w:tcBorders>
                  <w:noWrap w:val="0"/>
                  <w:vAlign w:val="center"/>
                </w:tcPr>
                <w:p w14:paraId="3F690FD6">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val="en-US" w:eastAsia="zh-CN"/>
                    </w:rPr>
                    <w:t>固</w:t>
                  </w:r>
                </w:p>
              </w:tc>
              <w:tc>
                <w:tcPr>
                  <w:tcW w:w="395" w:type="pct"/>
                  <w:tcBorders>
                    <w:tl2br w:val="nil"/>
                    <w:tr2bl w:val="nil"/>
                  </w:tcBorders>
                  <w:noWrap w:val="0"/>
                  <w:vAlign w:val="center"/>
                </w:tcPr>
                <w:p w14:paraId="141866CD">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r>
                    <w:rPr>
                      <w:rFonts w:hint="eastAsia"/>
                      <w:color w:val="auto"/>
                      <w:sz w:val="21"/>
                      <w:szCs w:val="21"/>
                      <w:u w:val="none" w:color="auto"/>
                      <w:lang w:val="en-US" w:eastAsia="zh-CN"/>
                    </w:rPr>
                    <w:t>油类</w:t>
                  </w:r>
                </w:p>
              </w:tc>
              <w:tc>
                <w:tcPr>
                  <w:tcW w:w="396" w:type="pct"/>
                  <w:tcBorders>
                    <w:tl2br w:val="nil"/>
                    <w:tr2bl w:val="nil"/>
                  </w:tcBorders>
                  <w:noWrap w:val="0"/>
                  <w:vAlign w:val="center"/>
                </w:tcPr>
                <w:p w14:paraId="2524B6EE">
                  <w:pPr>
                    <w:keepNext w:val="0"/>
                    <w:keepLines w:val="0"/>
                    <w:suppressLineNumbers w:val="0"/>
                    <w:topLinePunct/>
                    <w:spacing w:before="0" w:beforeAutospacing="0" w:after="0" w:afterAutospacing="0"/>
                    <w:ind w:left="0" w:right="0"/>
                    <w:jc w:val="center"/>
                    <w:rPr>
                      <w:rFonts w:hint="eastAsia"/>
                      <w:color w:val="auto"/>
                      <w:sz w:val="21"/>
                      <w:szCs w:val="21"/>
                      <w:u w:val="none" w:color="auto"/>
                      <w:lang w:val="en-US" w:eastAsia="zh-CN"/>
                    </w:rPr>
                  </w:pPr>
                  <w:r>
                    <w:rPr>
                      <w:rFonts w:hint="eastAsia"/>
                      <w:color w:val="auto"/>
                      <w:sz w:val="21"/>
                      <w:szCs w:val="21"/>
                      <w:u w:val="none" w:color="auto"/>
                      <w:lang w:val="en-US" w:eastAsia="zh-CN"/>
                    </w:rPr>
                    <w:t>油类</w:t>
                  </w:r>
                </w:p>
              </w:tc>
              <w:tc>
                <w:tcPr>
                  <w:tcW w:w="226" w:type="pct"/>
                  <w:tcBorders>
                    <w:tl2br w:val="nil"/>
                    <w:tr2bl w:val="nil"/>
                  </w:tcBorders>
                  <w:noWrap w:val="0"/>
                  <w:vAlign w:val="center"/>
                </w:tcPr>
                <w:p w14:paraId="3CB4641C">
                  <w:pPr>
                    <w:keepNext w:val="0"/>
                    <w:keepLines w:val="0"/>
                    <w:suppressLineNumbers w:val="0"/>
                    <w:topLinePunct/>
                    <w:spacing w:before="0" w:beforeAutospacing="0" w:after="0" w:afterAutospacing="0"/>
                    <w:ind w:left="0" w:right="0"/>
                    <w:jc w:val="both"/>
                    <w:rPr>
                      <w:rFonts w:hint="eastAsia"/>
                      <w:color w:val="auto"/>
                      <w:sz w:val="21"/>
                      <w:szCs w:val="21"/>
                      <w:u w:val="none" w:color="auto"/>
                      <w:lang w:val="en-US" w:eastAsia="zh-CN"/>
                    </w:rPr>
                  </w:pPr>
                  <w:r>
                    <w:rPr>
                      <w:rFonts w:hint="eastAsia"/>
                      <w:color w:val="auto"/>
                      <w:sz w:val="21"/>
                      <w:szCs w:val="21"/>
                      <w:u w:val="none" w:color="auto"/>
                      <w:lang w:val="en-US" w:eastAsia="zh-CN"/>
                    </w:rPr>
                    <w:t>间歇</w:t>
                  </w:r>
                </w:p>
              </w:tc>
              <w:tc>
                <w:tcPr>
                  <w:tcW w:w="346" w:type="pct"/>
                  <w:tcBorders>
                    <w:tl2br w:val="nil"/>
                    <w:tr2bl w:val="nil"/>
                  </w:tcBorders>
                  <w:noWrap w:val="0"/>
                  <w:vAlign w:val="center"/>
                </w:tcPr>
                <w:p w14:paraId="47164278">
                  <w:pPr>
                    <w:pStyle w:val="1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pacing w:val="0"/>
                      <w:w w:val="100"/>
                      <w:kern w:val="0"/>
                      <w:position w:val="0"/>
                      <w:sz w:val="21"/>
                      <w:szCs w:val="21"/>
                      <w:u w:val="none" w:color="auto"/>
                      <w:lang w:val="en-US" w:eastAsia="zh-CN"/>
                    </w:rPr>
                  </w:pPr>
                  <w:r>
                    <w:rPr>
                      <w:rFonts w:hint="default"/>
                      <w:color w:val="auto"/>
                      <w:kern w:val="0"/>
                      <w:sz w:val="21"/>
                      <w:szCs w:val="21"/>
                      <w:highlight w:val="none"/>
                      <w:u w:val="none" w:color="auto"/>
                    </w:rPr>
                    <w:t>T/I</w:t>
                  </w:r>
                  <w:r>
                    <w:rPr>
                      <w:rFonts w:hint="eastAsia"/>
                      <w:color w:val="auto"/>
                      <w:kern w:val="0"/>
                      <w:sz w:val="21"/>
                      <w:szCs w:val="21"/>
                      <w:highlight w:val="none"/>
                      <w:u w:val="none" w:color="auto"/>
                      <w:lang w:val="en-US" w:eastAsia="zh-CN"/>
                    </w:rPr>
                    <w:t>n</w:t>
                  </w:r>
                </w:p>
              </w:tc>
              <w:tc>
                <w:tcPr>
                  <w:tcW w:w="516" w:type="pct"/>
                  <w:vMerge w:val="continue"/>
                  <w:tcBorders>
                    <w:tl2br w:val="nil"/>
                    <w:tr2bl w:val="nil"/>
                  </w:tcBorders>
                  <w:noWrap w:val="0"/>
                  <w:vAlign w:val="center"/>
                </w:tcPr>
                <w:p w14:paraId="74AC2B66">
                  <w:pPr>
                    <w:keepNext w:val="0"/>
                    <w:keepLines w:val="0"/>
                    <w:suppressLineNumbers w:val="0"/>
                    <w:topLinePunct/>
                    <w:spacing w:before="0" w:beforeAutospacing="0" w:after="0" w:afterAutospacing="0"/>
                    <w:ind w:left="0" w:right="0"/>
                    <w:jc w:val="center"/>
                    <w:rPr>
                      <w:rFonts w:hint="default"/>
                      <w:color w:val="auto"/>
                      <w:sz w:val="21"/>
                      <w:szCs w:val="21"/>
                      <w:u w:val="none" w:color="auto"/>
                    </w:rPr>
                  </w:pPr>
                </w:p>
              </w:tc>
            </w:tr>
          </w:tbl>
          <w:p w14:paraId="526C67D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22" w:firstLineChars="200"/>
              <w:contextualSpacing/>
              <w:jc w:val="both"/>
              <w:textAlignment w:val="auto"/>
              <w:rPr>
                <w:rFonts w:hint="eastAsia" w:ascii="Times New Roman" w:hAnsi="Times New Roman" w:eastAsia="宋体" w:cs="Times New Roman"/>
                <w:b/>
                <w:bCs/>
                <w:color w:val="auto"/>
                <w:spacing w:val="0"/>
                <w:position w:val="0"/>
                <w:sz w:val="24"/>
                <w:szCs w:val="24"/>
                <w:u w:val="none" w:color="auto"/>
                <w:lang w:eastAsia="zh-CN"/>
              </w:rPr>
            </w:pPr>
            <w:r>
              <w:rPr>
                <w:rFonts w:hint="default" w:ascii="Times New Roman" w:hAnsi="Times New Roman" w:cs="Times New Roman"/>
                <w:b/>
                <w:bCs/>
                <w:color w:val="000000" w:themeColor="text1"/>
                <w:spacing w:val="0"/>
                <w:position w:val="0"/>
                <w:u w:val="none" w:color="auto"/>
                <w14:textFill>
                  <w14:solidFill>
                    <w14:schemeClr w14:val="tx1"/>
                  </w14:solidFill>
                </w14:textFill>
              </w:rPr>
              <w:t>4.2</w:t>
            </w:r>
            <w:r>
              <w:rPr>
                <w:rFonts w:hint="eastAsia" w:ascii="Times New Roman" w:hAnsi="Times New Roman" w:eastAsia="宋体" w:cs="Times New Roman"/>
                <w:b/>
                <w:bCs/>
                <w:color w:val="auto"/>
                <w:spacing w:val="0"/>
                <w:position w:val="0"/>
                <w:sz w:val="24"/>
                <w:szCs w:val="24"/>
                <w:u w:val="none" w:color="auto"/>
                <w:lang w:eastAsia="zh-CN"/>
              </w:rPr>
              <w:t>环境管理要求</w:t>
            </w:r>
          </w:p>
          <w:p w14:paraId="46AB6E85">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u w:val="none" w:color="auto"/>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一般工业固废</w:t>
            </w:r>
          </w:p>
          <w:p w14:paraId="64E19B1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b w:val="0"/>
                <w:bCs w:val="0"/>
                <w:color w:val="auto"/>
                <w:spacing w:val="0"/>
                <w:position w:val="0"/>
                <w:sz w:val="24"/>
                <w:szCs w:val="24"/>
                <w:u w:val="none" w:color="auto"/>
                <w:lang w:val="en-US" w:eastAsia="zh-CN"/>
              </w:rPr>
              <w:t>建设单位应按照《一般工业固体废物贮存和填埋污染控制标准》（</w:t>
            </w:r>
            <w:r>
              <w:rPr>
                <w:rFonts w:hint="default" w:ascii="Times New Roman" w:hAnsi="Times New Roman" w:eastAsia="宋体" w:cs="Times New Roman"/>
                <w:b w:val="0"/>
                <w:bCs w:val="0"/>
                <w:color w:val="auto"/>
                <w:spacing w:val="0"/>
                <w:position w:val="0"/>
                <w:sz w:val="24"/>
                <w:szCs w:val="24"/>
                <w:u w:val="none" w:color="auto"/>
                <w:lang w:val="en-US" w:eastAsia="zh-CN"/>
              </w:rPr>
              <w:t>GB18599-2020</w:t>
            </w:r>
            <w:r>
              <w:rPr>
                <w:rFonts w:hint="eastAsia" w:ascii="Times New Roman" w:hAnsi="Times New Roman" w:eastAsia="宋体" w:cs="Times New Roman"/>
                <w:b w:val="0"/>
                <w:bCs w:val="0"/>
                <w:color w:val="auto"/>
                <w:spacing w:val="0"/>
                <w:position w:val="0"/>
                <w:sz w:val="24"/>
                <w:szCs w:val="24"/>
                <w:u w:val="none" w:color="auto"/>
                <w:lang w:val="en-US" w:eastAsia="zh-CN"/>
              </w:rPr>
              <w:t>）的相关要求建立固体废物临时的堆放场地，工业固废不得随处堆放。</w:t>
            </w:r>
            <w:r>
              <w:rPr>
                <w:rFonts w:hint="eastAsia" w:cs="Times New Roman"/>
                <w:b w:val="0"/>
                <w:bCs w:val="0"/>
                <w:color w:val="auto"/>
                <w:spacing w:val="0"/>
                <w:position w:val="0"/>
                <w:sz w:val="24"/>
                <w:szCs w:val="24"/>
                <w:u w:val="none" w:color="auto"/>
                <w:lang w:eastAsia="zh-CN"/>
              </w:rPr>
              <w:t>本项目一般工业固废暂存依托现有工程</w:t>
            </w:r>
            <w:r>
              <w:rPr>
                <w:rFonts w:hint="default" w:ascii="Times New Roman" w:hAnsi="Times New Roman" w:eastAsia="宋体" w:cs="Times New Roman"/>
                <w:b w:val="0"/>
                <w:bCs w:val="0"/>
                <w:color w:val="auto"/>
                <w:spacing w:val="0"/>
                <w:position w:val="0"/>
                <w:sz w:val="24"/>
                <w:szCs w:val="24"/>
                <w:u w:val="none" w:color="auto"/>
                <w:vertAlign w:val="baseline"/>
                <w:lang w:val="en-US" w:eastAsia="zh-CN"/>
              </w:rPr>
              <w:t>一般</w:t>
            </w:r>
            <w:r>
              <w:rPr>
                <w:rFonts w:hint="eastAsia" w:ascii="Times New Roman" w:hAnsi="Times New Roman" w:eastAsia="宋体" w:cs="Times New Roman"/>
                <w:b w:val="0"/>
                <w:bCs w:val="0"/>
                <w:color w:val="auto"/>
                <w:spacing w:val="0"/>
                <w:position w:val="0"/>
                <w:sz w:val="24"/>
                <w:szCs w:val="24"/>
                <w:u w:val="none" w:color="auto"/>
                <w:vertAlign w:val="baseline"/>
                <w:lang w:val="en-US" w:eastAsia="zh-CN"/>
              </w:rPr>
              <w:t>工业</w:t>
            </w:r>
            <w:r>
              <w:rPr>
                <w:rFonts w:hint="default" w:ascii="Times New Roman" w:hAnsi="Times New Roman" w:eastAsia="宋体" w:cs="Times New Roman"/>
                <w:b w:val="0"/>
                <w:bCs w:val="0"/>
                <w:color w:val="auto"/>
                <w:spacing w:val="0"/>
                <w:position w:val="0"/>
                <w:sz w:val="24"/>
                <w:szCs w:val="24"/>
                <w:u w:val="none" w:color="auto"/>
                <w:vertAlign w:val="baseline"/>
                <w:lang w:val="en-US" w:eastAsia="zh-CN"/>
              </w:rPr>
              <w:t>固</w:t>
            </w:r>
            <w:r>
              <w:rPr>
                <w:rFonts w:hint="eastAsia" w:ascii="Times New Roman" w:hAnsi="Times New Roman" w:eastAsia="宋体" w:cs="Times New Roman"/>
                <w:b w:val="0"/>
                <w:bCs w:val="0"/>
                <w:color w:val="auto"/>
                <w:spacing w:val="0"/>
                <w:position w:val="0"/>
                <w:sz w:val="24"/>
                <w:szCs w:val="24"/>
                <w:u w:val="none" w:color="auto"/>
                <w:vertAlign w:val="baseline"/>
                <w:lang w:val="en-US" w:eastAsia="zh-CN"/>
              </w:rPr>
              <w:t>体废物</w:t>
            </w:r>
            <w:r>
              <w:rPr>
                <w:rFonts w:hint="default" w:ascii="Times New Roman" w:hAnsi="Times New Roman" w:eastAsia="宋体" w:cs="Times New Roman"/>
                <w:b w:val="0"/>
                <w:bCs w:val="0"/>
                <w:color w:val="auto"/>
                <w:spacing w:val="0"/>
                <w:position w:val="0"/>
                <w:sz w:val="24"/>
                <w:szCs w:val="24"/>
                <w:u w:val="none" w:color="auto"/>
              </w:rPr>
              <w:t>暂存</w:t>
            </w:r>
            <w:r>
              <w:rPr>
                <w:rFonts w:hint="eastAsia" w:ascii="Times New Roman" w:hAnsi="Times New Roman" w:eastAsia="宋体" w:cs="Times New Roman"/>
                <w:b w:val="0"/>
                <w:bCs w:val="0"/>
                <w:color w:val="auto"/>
                <w:spacing w:val="0"/>
                <w:position w:val="0"/>
                <w:sz w:val="24"/>
                <w:szCs w:val="24"/>
                <w:u w:val="none" w:color="auto"/>
                <w:lang w:eastAsia="zh-CN"/>
              </w:rPr>
              <w:t>间，该暂存间位于</w:t>
            </w:r>
            <w:r>
              <w:rPr>
                <w:rFonts w:hint="eastAsia" w:ascii="Times New Roman" w:hAnsi="Times New Roman" w:eastAsia="宋体" w:cs="Times New Roman"/>
                <w:color w:val="auto"/>
                <w:sz w:val="24"/>
                <w:szCs w:val="24"/>
                <w:u w:val="none" w:color="auto"/>
                <w:lang w:eastAsia="zh-CN"/>
              </w:rPr>
              <w:t>厂区</w:t>
            </w:r>
            <w:r>
              <w:rPr>
                <w:rFonts w:hint="eastAsia" w:cs="Times New Roman"/>
                <w:color w:val="auto"/>
                <w:sz w:val="24"/>
                <w:szCs w:val="24"/>
                <w:u w:val="none" w:color="auto"/>
                <w:lang w:eastAsia="zh-CN"/>
              </w:rPr>
              <w:t>西南</w:t>
            </w:r>
            <w:r>
              <w:rPr>
                <w:rFonts w:hint="eastAsia" w:ascii="Times New Roman" w:hAnsi="Times New Roman" w:eastAsia="宋体" w:cs="Times New Roman"/>
                <w:color w:val="auto"/>
                <w:sz w:val="24"/>
                <w:szCs w:val="24"/>
                <w:u w:val="none" w:color="auto"/>
                <w:lang w:eastAsia="zh-CN"/>
              </w:rPr>
              <w:t>侧，占地面积为</w:t>
            </w:r>
            <w:r>
              <w:rPr>
                <w:rFonts w:hint="eastAsia" w:cs="Times New Roman"/>
                <w:color w:val="auto"/>
                <w:sz w:val="24"/>
                <w:szCs w:val="24"/>
                <w:u w:val="none" w:color="auto"/>
                <w:lang w:val="en-US" w:eastAsia="zh-CN"/>
              </w:rPr>
              <w:t>3</w:t>
            </w:r>
            <w:r>
              <w:rPr>
                <w:rFonts w:hint="eastAsia" w:ascii="Times New Roman" w:hAnsi="Times New Roman" w:eastAsia="宋体" w:cs="Times New Roman"/>
                <w:color w:val="auto"/>
                <w:sz w:val="24"/>
                <w:szCs w:val="24"/>
                <w:u w:val="none" w:color="auto"/>
                <w:lang w:eastAsia="zh-CN"/>
              </w:rPr>
              <w:t>0m</w:t>
            </w:r>
            <w:r>
              <w:rPr>
                <w:rFonts w:hint="eastAsia" w:ascii="Times New Roman" w:hAnsi="Times New Roman" w:eastAsia="宋体" w:cs="Times New Roman"/>
                <w:color w:val="auto"/>
                <w:sz w:val="24"/>
                <w:szCs w:val="24"/>
                <w:u w:val="none" w:color="auto"/>
                <w:vertAlign w:val="superscript"/>
                <w:lang w:eastAsia="zh-CN"/>
              </w:rPr>
              <w:t>2</w:t>
            </w:r>
            <w:r>
              <w:rPr>
                <w:rFonts w:hint="eastAsia" w:ascii="Times New Roman" w:hAnsi="Times New Roman" w:eastAsia="宋体" w:cs="Times New Roman"/>
                <w:color w:val="auto"/>
                <w:sz w:val="24"/>
                <w:szCs w:val="24"/>
                <w:u w:val="none" w:color="auto"/>
                <w:lang w:eastAsia="zh-CN"/>
              </w:rPr>
              <w:t>。</w:t>
            </w:r>
          </w:p>
          <w:p w14:paraId="3F3F868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一般固废暂存间按《一般工业固体废物贮存和填埋污染控制标准》（GB18599-2020）的相关规定设置环保图形标志，并严禁危险废物和生活垃圾混入。一般固废暂存间应做好“四防”（防风、防雨、防晒、防渗漏）措施。不同种类一般固废分类存放，定期外运资源回收单位综合利用，不得随意堆放、丢弃、遗撒、擅自倾倒。</w:t>
            </w:r>
          </w:p>
          <w:p w14:paraId="4D83F0A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建设单位应当建立健全工业固体废物产生、收集、贮存、运输、利用、处置全过程.的污染环境防治责任制度，建立工业固体废物管理台账，如实记录产生工业固体废物的种类、数量、流向、贮存、利用、处置等信息。委托他人运输、利用、处置工业固体废物的，应当对受托方的主体资格和技术能力进行核实，依法签订书面合同，在合同中约定污染防治要求。</w:t>
            </w:r>
          </w:p>
          <w:p w14:paraId="1062D69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u w:val="none" w:color="auto"/>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危险废物</w:t>
            </w:r>
          </w:p>
          <w:p w14:paraId="2B032188">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u w:val="none" w:color="auto"/>
                <w:lang w:eastAsia="zh-CN"/>
                <w14:textFill>
                  <w14:solidFill>
                    <w14:schemeClr w14:val="tx1"/>
                  </w14:solidFill>
                </w14:textFill>
              </w:rPr>
              <w:t>本项目产生的危险废物</w:t>
            </w:r>
            <w:r>
              <w:rPr>
                <w:rFonts w:hint="default" w:ascii="Times New Roman" w:hAnsi="Times New Roman" w:eastAsia="宋体" w:cs="Times New Roman"/>
                <w:bCs/>
                <w:color w:val="000000" w:themeColor="text1"/>
                <w:sz w:val="24"/>
                <w:szCs w:val="24"/>
                <w:highlight w:val="none"/>
                <w:u w:val="none" w:color="auto"/>
                <w14:textFill>
                  <w14:solidFill>
                    <w14:schemeClr w14:val="tx1"/>
                  </w14:solidFill>
                </w14:textFill>
              </w:rPr>
              <w:t>收集后暂存于</w:t>
            </w:r>
            <w:r>
              <w:rPr>
                <w:rFonts w:hint="eastAsia" w:ascii="Times New Roman" w:hAnsi="Times New Roman" w:cs="Times New Roman"/>
                <w:bCs/>
                <w:color w:val="000000" w:themeColor="text1"/>
                <w:sz w:val="24"/>
                <w:szCs w:val="24"/>
                <w:highlight w:val="none"/>
                <w:u w:val="none" w:color="auto"/>
                <w:lang w:eastAsia="zh-CN"/>
                <w14:textFill>
                  <w14:solidFill>
                    <w14:schemeClr w14:val="tx1"/>
                  </w14:solidFill>
                </w14:textFill>
              </w:rPr>
              <w:t>现有工程的危废暂存间，现有危废暂存间</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位于</w:t>
            </w:r>
            <w: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t>厂区</w:t>
            </w:r>
            <w:r>
              <w:rPr>
                <w:rFonts w:hint="eastAsia" w:cs="Times New Roman"/>
                <w:color w:val="000000" w:themeColor="text1"/>
                <w:sz w:val="24"/>
                <w:szCs w:val="24"/>
                <w:u w:val="none" w:color="auto"/>
                <w:lang w:eastAsia="zh-CN"/>
                <w14:textFill>
                  <w14:solidFill>
                    <w14:schemeClr w14:val="tx1"/>
                  </w14:solidFill>
                </w14:textFill>
              </w:rPr>
              <w:t>西南</w:t>
            </w:r>
            <w: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t>侧，占地面积为</w:t>
            </w:r>
            <w:r>
              <w:rPr>
                <w:rFonts w:hint="eastAsia" w:cs="Times New Roman"/>
                <w:color w:val="000000" w:themeColor="text1"/>
                <w:sz w:val="24"/>
                <w:szCs w:val="24"/>
                <w:u w:val="none" w:color="auto"/>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t>0m</w:t>
            </w:r>
            <w:r>
              <w:rPr>
                <w:rFonts w:hint="eastAsia" w:ascii="Times New Roman" w:hAnsi="Times New Roman" w:eastAsia="宋体" w:cs="Times New Roman"/>
                <w:color w:val="000000" w:themeColor="text1"/>
                <w:sz w:val="24"/>
                <w:szCs w:val="24"/>
                <w:u w:val="none" w:color="auto"/>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z w:val="24"/>
                <w:szCs w:val="24"/>
                <w:u w:val="none" w:color="auto"/>
                <w:lang w:eastAsia="zh-CN"/>
                <w14:textFill>
                  <w14:solidFill>
                    <w14:schemeClr w14:val="tx1"/>
                  </w14:solidFill>
                </w14:textFill>
              </w:rPr>
              <w:t>。危险废物</w:t>
            </w:r>
            <w:r>
              <w:rPr>
                <w:rFonts w:hint="default" w:ascii="Times New Roman" w:hAnsi="Times New Roman" w:eastAsia="宋体" w:cs="Times New Roman"/>
                <w:bCs/>
                <w:color w:val="000000" w:themeColor="text1"/>
                <w:sz w:val="24"/>
                <w:szCs w:val="24"/>
                <w:highlight w:val="none"/>
                <w:u w:val="none" w:color="auto"/>
                <w14:textFill>
                  <w14:solidFill>
                    <w14:schemeClr w14:val="tx1"/>
                  </w14:solidFill>
                </w14:textFill>
              </w:rPr>
              <w:t>定期交由有资质的危废处置单位进行处置</w:t>
            </w:r>
            <w:r>
              <w:rPr>
                <w:rFonts w:hint="eastAsia" w:ascii="Times New Roman" w:hAnsi="Times New Roman" w:eastAsia="宋体" w:cs="Times New Roman"/>
                <w:bCs/>
                <w:color w:val="000000" w:themeColor="text1"/>
                <w:sz w:val="24"/>
                <w:szCs w:val="24"/>
                <w:highlight w:val="none"/>
                <w:u w:val="none" w:color="auto"/>
                <w:lang w:eastAsia="zh-CN"/>
                <w14:textFill>
                  <w14:solidFill>
                    <w14:schemeClr w14:val="tx1"/>
                  </w14:solidFill>
                </w14:textFill>
              </w:rPr>
              <w:t>。危险废物</w:t>
            </w:r>
            <w:r>
              <w:rPr>
                <w:rFonts w:hint="eastAsia" w:ascii="Times New Roman" w:hAnsi="Times New Roman" w:cs="Times New Roman"/>
                <w:bCs/>
                <w:color w:val="000000" w:themeColor="text1"/>
                <w:sz w:val="24"/>
                <w:szCs w:val="24"/>
                <w:highlight w:val="none"/>
                <w:u w:val="none" w:color="auto"/>
                <w:lang w:eastAsia="zh-CN"/>
                <w14:textFill>
                  <w14:solidFill>
                    <w14:schemeClr w14:val="tx1"/>
                  </w14:solidFill>
                </w14:textFill>
              </w:rPr>
              <w:t>贮存按照</w:t>
            </w:r>
            <w:r>
              <w:rPr>
                <w:rFonts w:hint="default"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《危险废物贮存污染控制标准》（</w:t>
            </w:r>
            <w:r>
              <w:rPr>
                <w:rFonts w:hint="default" w:ascii="Times New Roman" w:hAnsi="Times New Roman" w:eastAsia="宋体" w:cs="Times New Roman"/>
                <w:b w:val="0"/>
                <w:bCs w:val="0"/>
                <w:color w:val="000000" w:themeColor="text1"/>
                <w:spacing w:val="0"/>
                <w:position w:val="0"/>
                <w:sz w:val="24"/>
                <w:szCs w:val="24"/>
                <w:u w:val="none" w:color="auto"/>
                <w:lang w:val="en-US" w:eastAsia="zh-CN"/>
                <w14:textFill>
                  <w14:solidFill>
                    <w14:schemeClr w14:val="tx1"/>
                  </w14:solidFill>
                </w14:textFill>
              </w:rPr>
              <w:t>GB18597-20</w:t>
            </w:r>
            <w:r>
              <w:rPr>
                <w:rFonts w:hint="eastAsia" w:ascii="Times New Roman" w:hAnsi="Times New Roman" w:eastAsia="宋体" w:cs="Times New Roman"/>
                <w:b w:val="0"/>
                <w:bCs w:val="0"/>
                <w:color w:val="000000" w:themeColor="text1"/>
                <w:spacing w:val="0"/>
                <w:position w:val="0"/>
                <w:sz w:val="24"/>
                <w:szCs w:val="24"/>
                <w:u w:val="none" w:color="auto"/>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）有关要求</w:t>
            </w:r>
            <w:r>
              <w:rPr>
                <w:rFonts w:hint="eastAsia" w:ascii="Times New Roman" w:hAnsi="Times New Roman" w:cs="Times New Roman"/>
                <w:b w:val="0"/>
                <w:bCs w:val="0"/>
                <w:color w:val="000000" w:themeColor="text1"/>
                <w:spacing w:val="0"/>
                <w:position w:val="0"/>
                <w:sz w:val="24"/>
                <w:szCs w:val="24"/>
                <w:u w:val="none" w:color="auto"/>
                <w:lang w:eastAsia="zh-CN"/>
                <w14:textFill>
                  <w14:solidFill>
                    <w14:schemeClr w14:val="tx1"/>
                  </w14:solidFill>
                </w14:textFill>
              </w:rPr>
              <w:t>执行</w:t>
            </w:r>
            <w:r>
              <w:rPr>
                <w:rFonts w:hint="eastAsia" w:cs="Times New Roman"/>
                <w:b w:val="0"/>
                <w:bCs w:val="0"/>
                <w:color w:val="000000" w:themeColor="text1"/>
                <w:spacing w:val="0"/>
                <w:position w:val="0"/>
                <w:sz w:val="24"/>
                <w:szCs w:val="24"/>
                <w:u w:val="none" w:color="auto"/>
                <w:lang w:eastAsia="zh-CN"/>
                <w14:textFill>
                  <w14:solidFill>
                    <w14:schemeClr w14:val="tx1"/>
                  </w14:solidFill>
                </w14:textFill>
              </w:rPr>
              <w:t>：</w:t>
            </w:r>
          </w:p>
          <w:p w14:paraId="55ACAE0B">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①贮存要求</w:t>
            </w:r>
          </w:p>
          <w:p w14:paraId="4F81AC94">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贮存库内不同贮存分区之间应采取隔离措施。隔离措施可根据危险废物特性采用过道、隔板或隔墙等方式</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贮存设施或场所、容器和包装物应按HJ1276要求设置危险废物贮存设施或场所标志、危险废物贮存分区标志和危险废物标签等危险废物识别标志</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贮存设施退役时，所有者或运营者应依法履行环境保护责任，退役前应妥善处理处置贮存设施内剩余的危险废物，并对贮存设施进行清理，消除污染</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还应依据土壤污染防治相关法律法规履行场地环境风险防控责任</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在贮存库内或通过贮存分区方式贮存液态危险废物的，应具有液体泄漏堵截设施，堵截设施最小容积不应低于对应贮存区域最大液态废物容器容积或液态废物总储量1/10(二者取较大者)</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用于贮存可能产生渗滤液的危险废物的贮存库或贮存分区应设计渗滤液收集设施，收集设施容积应满足渗滤液的收集要求</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贮存场应采取防止危险废物扬散、流失的措施。</w:t>
            </w:r>
          </w:p>
          <w:p w14:paraId="286DC5C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②容器和包装物要求</w:t>
            </w:r>
          </w:p>
          <w:p w14:paraId="1CF78F2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容器和包装物材质、内衬应与盛装的危险废物相容</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针对不同类别、形态、物理化学性质的危险废物，其容器和包装物应满足相应的防渗、防漏、防腐和强度等要求</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硬质容器和包装物及其支护结构堆叠码放时不应有明显变形，无破损泄漏</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柔性容器和包装物堆叠码放时应封口严密，无破损泄漏</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使用容器盛装液态、半固态危险废物时，容器内部应留有适当的空间，以适应因温度变化等可能引发的收缩和膨胀，防止其导致容器渗漏或永久变形</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容器和包装物外表面应保持清洁。</w:t>
            </w:r>
          </w:p>
          <w:p w14:paraId="5DA7A5BA">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③贮存过程要求</w:t>
            </w:r>
          </w:p>
          <w:p w14:paraId="39DC40B9">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危险废物存入贮存设施前应对危险废物类别和特性与危险废物标签等危险废物识别标志的一致性进行核验，不一致的或类别、特性不明的不应存入</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应定期检查危险废物的贮存状况，及时清理贮存设施地面，更换破损泄漏的危险废物贮存容器和包装物，保证堆存危险废物的防雨、防风、防扬尘等设施功能完好</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作业设备及车辆等结束作业离开贮存设施时，应对其残留的危险废物进行清理，清理的废物或清洗废水应收集处理</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贮存设施运行期间，应按国家有关标准和规定建立危险废物管理台账并保存</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贮存设施所有者或运营者应建立贮存设施环境管理制度、管理人员岗位职责制度、设施运行操作制度、人员岗位培训制度等。贮存设施所有者或运营者应建立贮存设施全部档案</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包括设计、施工、验收、运行、监测和环境应急等，应按国家有关档案管理的法律法规进行整理和归档。</w:t>
            </w:r>
          </w:p>
          <w:p w14:paraId="73E94CC4">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fldChar w:fldCharType="begin"/>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instrText xml:space="preserve"> = 4 \* GB3 \* MERGEFORMAT </w:instrTex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fldChar w:fldCharType="separate"/>
            </w:r>
            <w:r>
              <w:rPr>
                <w:rFonts w:hint="default"/>
                <w:u w:val="none" w:color="auto"/>
              </w:rPr>
              <w:t>④</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fldChar w:fldCharType="end"/>
            </w:r>
            <w:r>
              <w:rPr>
                <w:rFonts w:hint="eastAsia" w:ascii="Times New Roman" w:hAnsi="Times New Roman" w:cs="Times New Roman"/>
                <w:b w:val="0"/>
                <w:bCs w:val="0"/>
                <w:color w:val="000000" w:themeColor="text1"/>
                <w:spacing w:val="0"/>
                <w:position w:val="0"/>
                <w:sz w:val="24"/>
                <w:szCs w:val="24"/>
                <w:u w:val="none" w:color="auto"/>
                <w:lang w:eastAsia="zh-CN"/>
                <w14:textFill>
                  <w14:solidFill>
                    <w14:schemeClr w14:val="tx1"/>
                  </w14:solidFill>
                </w14:textFill>
              </w:rPr>
              <w:t>运输要求</w:t>
            </w:r>
          </w:p>
          <w:p w14:paraId="1104F00C">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运输过程中需要确保容器不泄漏、不倒塌、不坠落、不损坏。严禁与易燃及其它禁配物混装混运。运输时运输车辆应配备泄漏应急处理设备。运输途中应防暴晒、雨淋、防高温。运输时要按规定的线路行驶，勿在居民区和人口稠密区停留。</w:t>
            </w:r>
          </w:p>
          <w:p w14:paraId="09A553F5">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pPr>
            <w:r>
              <w:rPr>
                <w:rFonts w:hint="eastAsia" w:ascii="微软雅黑" w:hAnsi="微软雅黑" w:eastAsia="微软雅黑" w:cs="微软雅黑"/>
                <w:b w:val="0"/>
                <w:bCs w:val="0"/>
                <w:color w:val="000000" w:themeColor="text1"/>
                <w:spacing w:val="0"/>
                <w:position w:val="0"/>
                <w:sz w:val="24"/>
                <w:szCs w:val="24"/>
                <w:u w:val="none" w:color="auto"/>
                <w14:textFill>
                  <w14:solidFill>
                    <w14:schemeClr w14:val="tx1"/>
                  </w14:solidFill>
                </w14:textFill>
              </w:rPr>
              <w:t>⑤</w:t>
            </w:r>
            <w:r>
              <w:rPr>
                <w:rFonts w:hint="eastAsia" w:ascii="Times New Roman" w:hAnsi="Times New Roman" w:cs="Times New Roman"/>
                <w:b w:val="0"/>
                <w:bCs w:val="0"/>
                <w:color w:val="000000" w:themeColor="text1"/>
                <w:spacing w:val="0"/>
                <w:position w:val="0"/>
                <w:sz w:val="24"/>
                <w:szCs w:val="24"/>
                <w:u w:val="none" w:color="auto"/>
                <w:lang w:eastAsia="zh-CN"/>
                <w14:textFill>
                  <w14:solidFill>
                    <w14:schemeClr w14:val="tx1"/>
                  </w14:solidFill>
                </w14:textFill>
              </w:rPr>
              <w:t>转移联单要求</w:t>
            </w:r>
          </w:p>
          <w:p w14:paraId="38AD977F">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同时执行危险废物转移联单制度，危险废物转移联单的目的在于记录危险废物从产生到运输到处理的全过程，在这个过程中应当对危险废物进行登记</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登记内容应当包括危废的来源、种类、重量或者数量、交接时间、处置方法。最终去向以及经办人签名等项目，登记资料至少保存5年。</w:t>
            </w:r>
          </w:p>
          <w:p w14:paraId="67C626F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line="360" w:lineRule="auto"/>
              <w:ind w:left="0" w:right="0" w:firstLine="480" w:firstLineChars="200"/>
              <w:contextualSpacing/>
              <w:jc w:val="both"/>
              <w:textAlignment w:val="auto"/>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综上，本</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项目</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新增</w:t>
            </w:r>
            <w:r>
              <w:rPr>
                <w:rFonts w:hint="eastAsia" w:ascii="Times New Roman" w:hAnsi="Times New Roman" w:cs="Times New Roman"/>
                <w:color w:val="000000" w:themeColor="text1"/>
                <w:spacing w:val="0"/>
                <w:position w:val="0"/>
                <w:sz w:val="24"/>
                <w:szCs w:val="24"/>
                <w:u w:val="none" w:color="auto"/>
                <w:lang w:eastAsia="zh-CN"/>
                <w14:textFill>
                  <w14:solidFill>
                    <w14:schemeClr w14:val="tx1"/>
                  </w14:solidFill>
                </w14:textFill>
              </w:rPr>
              <w:t>一般工业固废、</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危险废物</w:t>
            </w:r>
            <w:r>
              <w:rPr>
                <w:rFonts w:hint="eastAsia" w:ascii="Times New Roman" w:hAnsi="Times New Roman" w:cs="Times New Roman"/>
                <w:color w:val="000000" w:themeColor="text1"/>
                <w:spacing w:val="0"/>
                <w:position w:val="0"/>
                <w:sz w:val="24"/>
                <w:szCs w:val="24"/>
                <w:u w:val="none" w:color="auto"/>
                <w:lang w:eastAsia="zh-CN"/>
                <w14:textFill>
                  <w14:solidFill>
                    <w14:schemeClr w14:val="tx1"/>
                  </w14:solidFill>
                </w14:textFill>
              </w:rPr>
              <w:t>均</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依托现有</w:t>
            </w:r>
            <w:r>
              <w:rPr>
                <w:rFonts w:hint="eastAsia" w:ascii="Times New Roman" w:hAnsi="Times New Roman" w:cs="Times New Roman"/>
                <w:color w:val="000000" w:themeColor="text1"/>
                <w:spacing w:val="0"/>
                <w:position w:val="0"/>
                <w:sz w:val="24"/>
                <w:szCs w:val="24"/>
                <w:u w:val="none" w:color="auto"/>
                <w:lang w:eastAsia="zh-CN"/>
                <w14:textFill>
                  <w14:solidFill>
                    <w14:schemeClr w14:val="tx1"/>
                  </w14:solidFill>
                </w14:textFill>
              </w:rPr>
              <w:t>工程</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暂存间进行贮存，</w:t>
            </w:r>
            <w:r>
              <w:rPr>
                <w:rFonts w:hint="eastAsia" w:ascii="Times New Roman" w:hAnsi="Times New Roman" w:cs="Times New Roman"/>
                <w:color w:val="000000" w:themeColor="text1"/>
                <w:spacing w:val="0"/>
                <w:position w:val="0"/>
                <w:sz w:val="24"/>
                <w:szCs w:val="24"/>
                <w:u w:val="none" w:color="auto"/>
                <w:lang w:val="en-US" w:eastAsia="zh-CN"/>
                <w14:textFill>
                  <w14:solidFill>
                    <w14:schemeClr w14:val="tx1"/>
                  </w14:solidFill>
                </w14:textFill>
              </w:rPr>
              <w:t>依托</w:t>
            </w:r>
            <w:r>
              <w:rPr>
                <w:rFonts w:hint="default" w:ascii="Times New Roman" w:hAnsi="Times New Roman" w:cs="Times New Roman"/>
                <w:color w:val="000000" w:themeColor="text1"/>
                <w:spacing w:val="0"/>
                <w:position w:val="0"/>
                <w:sz w:val="24"/>
                <w:szCs w:val="24"/>
                <w:u w:val="none" w:color="auto"/>
                <w:lang w:eastAsia="zh-CN"/>
                <w14:textFill>
                  <w14:solidFill>
                    <w14:schemeClr w14:val="tx1"/>
                  </w14:solidFill>
                </w14:textFill>
              </w:rPr>
              <w:t>可行。</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运营期产生的</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各类固废均妥善处理处置，不直接向外排放</w:t>
            </w:r>
            <w:r>
              <w:rPr>
                <w:rFonts w:hint="eastAsia" w:ascii="Times New Roman" w:hAnsi="Times New Roman" w:eastAsia="宋体" w:cs="Times New Roman"/>
                <w:b w:val="0"/>
                <w:bCs w:val="0"/>
                <w:color w:val="000000" w:themeColor="text1"/>
                <w:spacing w:val="0"/>
                <w:position w:val="0"/>
                <w:sz w:val="24"/>
                <w:szCs w:val="24"/>
                <w:u w:val="none" w:color="auto"/>
                <w:lang w:eastAsia="zh-CN"/>
                <w14:textFill>
                  <w14:solidFill>
                    <w14:schemeClr w14:val="tx1"/>
                  </w14:solidFill>
                </w14:textFill>
              </w:rPr>
              <w:t>，</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不会对外环境造成不利影响</w:t>
            </w:r>
            <w:r>
              <w:rPr>
                <w:rFonts w:hint="default" w:ascii="Times New Roman" w:hAnsi="Times New Roman" w:eastAsia="宋体" w:cs="Times New Roman"/>
                <w:b w:val="0"/>
                <w:bCs w:val="0"/>
                <w:color w:val="000000" w:themeColor="text1"/>
                <w:spacing w:val="0"/>
                <w:position w:val="0"/>
                <w:sz w:val="24"/>
                <w:szCs w:val="24"/>
                <w:u w:val="none" w:color="auto"/>
                <w14:textFill>
                  <w14:solidFill>
                    <w14:schemeClr w14:val="tx1"/>
                  </w14:solidFill>
                </w14:textFill>
              </w:rPr>
              <w:t>。</w:t>
            </w:r>
          </w:p>
          <w:p w14:paraId="14FFA59E">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color w:val="000000" w:themeColor="text1"/>
                <w:spacing w:val="0"/>
                <w:position w:val="0"/>
                <w:sz w:val="24"/>
                <w:szCs w:val="21"/>
                <w:u w:val="none" w:color="auto"/>
                <w14:textFill>
                  <w14:solidFill>
                    <w14:schemeClr w14:val="tx1"/>
                  </w14:solidFill>
                </w14:textFill>
              </w:rPr>
            </w:pPr>
            <w:r>
              <w:rPr>
                <w:rFonts w:hint="default" w:ascii="Times New Roman" w:hAnsi="Times New Roman" w:eastAsia="宋体" w:cs="Times New Roman"/>
                <w:b/>
                <w:color w:val="000000" w:themeColor="text1"/>
                <w:spacing w:val="0"/>
                <w:position w:val="0"/>
                <w:sz w:val="24"/>
                <w:szCs w:val="21"/>
                <w:u w:val="none" w:color="auto"/>
                <w14:textFill>
                  <w14:solidFill>
                    <w14:schemeClr w14:val="tx1"/>
                  </w14:solidFill>
                </w14:textFill>
              </w:rPr>
              <w:t>5、</w:t>
            </w:r>
            <w:r>
              <w:rPr>
                <w:rFonts w:hint="default" w:ascii="Times New Roman" w:hAnsi="Times New Roman" w:eastAsia="宋体" w:cs="Times New Roman"/>
                <w:b/>
                <w:bCs/>
                <w:color w:val="000000" w:themeColor="text1"/>
                <w:spacing w:val="0"/>
                <w:position w:val="0"/>
                <w:sz w:val="24"/>
                <w:szCs w:val="21"/>
                <w:u w:val="none" w:color="auto"/>
                <w14:textFill>
                  <w14:solidFill>
                    <w14:schemeClr w14:val="tx1"/>
                  </w14:solidFill>
                </w14:textFill>
              </w:rPr>
              <w:t>地下水、土壤环境影响分析</w:t>
            </w:r>
          </w:p>
          <w:p w14:paraId="4BD1BC6C">
            <w:pPr>
              <w:pStyle w:val="2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）污染源、污染类型及污染途径 </w:t>
            </w:r>
          </w:p>
          <w:p w14:paraId="70A7E257">
            <w:pPr>
              <w:pStyle w:val="2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项目运营期污染物通过大气沉降、地面漫流、垂直入渗等途径对地下</w:t>
            </w:r>
            <w:r>
              <w:rPr>
                <w:rFonts w:hint="eastAsia" w:ascii="Times New Roman" w:hAnsi="Times New Roman" w:eastAsia="宋体" w:cs="Times New Roman"/>
                <w:color w:val="auto"/>
                <w:sz w:val="24"/>
                <w:szCs w:val="24"/>
                <w:lang w:val="en-US" w:eastAsia="zh-CN"/>
              </w:rPr>
              <w:t>水、土壤环境产生影响，具体见下表：</w:t>
            </w:r>
          </w:p>
          <w:p w14:paraId="713B93E3">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auto"/>
                <w:sz w:val="24"/>
                <w:szCs w:val="24"/>
                <w:u w:val="none"/>
                <w:lang w:val="en-US" w:eastAsia="zh-CN"/>
              </w:rPr>
            </w:pPr>
            <w:r>
              <w:rPr>
                <w:rFonts w:hint="eastAsia" w:ascii="Times New Roman" w:hAnsi="Times New Roman" w:eastAsia="宋体" w:cs="Times New Roman"/>
                <w:b/>
                <w:color w:val="auto"/>
                <w:sz w:val="24"/>
                <w:szCs w:val="24"/>
                <w:u w:val="none"/>
                <w:lang w:val="en-US" w:eastAsia="zh-CN"/>
              </w:rPr>
              <w:t>表4-1</w:t>
            </w:r>
            <w:r>
              <w:rPr>
                <w:rFonts w:hint="eastAsia" w:cs="Times New Roman"/>
                <w:b/>
                <w:color w:val="auto"/>
                <w:sz w:val="24"/>
                <w:szCs w:val="24"/>
                <w:u w:val="none"/>
                <w:lang w:val="en-US" w:eastAsia="zh-CN"/>
              </w:rPr>
              <w:t>7</w:t>
            </w:r>
            <w:r>
              <w:rPr>
                <w:rFonts w:hint="eastAsia" w:ascii="Times New Roman" w:hAnsi="Times New Roman" w:eastAsia="宋体" w:cs="Times New Roman"/>
                <w:b/>
                <w:color w:val="auto"/>
                <w:sz w:val="24"/>
                <w:szCs w:val="24"/>
                <w:u w:val="none"/>
                <w:lang w:val="en-US" w:eastAsia="zh-CN"/>
              </w:rPr>
              <w:t xml:space="preserve">  地下水、土壤环境影响源及影响因子识别表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689"/>
              <w:gridCol w:w="1405"/>
              <w:gridCol w:w="1196"/>
              <w:gridCol w:w="1972"/>
              <w:gridCol w:w="1233"/>
            </w:tblGrid>
            <w:tr w14:paraId="7CC52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tcBorders>
                    <w:tl2br w:val="nil"/>
                    <w:tr2bl w:val="nil"/>
                  </w:tcBorders>
                  <w:noWrap w:val="0"/>
                  <w:vAlign w:val="center"/>
                </w:tcPr>
                <w:p w14:paraId="5F2ADC35">
                  <w:pPr>
                    <w:keepNext w:val="0"/>
                    <w:keepLines w:val="0"/>
                    <w:suppressLineNumbers w:val="0"/>
                    <w:autoSpaceDE w:val="0"/>
                    <w:autoSpaceDN w:val="0"/>
                    <w:spacing w:before="0" w:beforeAutospacing="0" w:after="0" w:afterAutospacing="0"/>
                    <w:ind w:left="0" w:right="0"/>
                    <w:jc w:val="center"/>
                    <w:textAlignment w:val="baseline"/>
                    <w:rPr>
                      <w:rFonts w:hint="eastAsia" w:eastAsia="宋体"/>
                      <w:b/>
                      <w:bCs/>
                      <w:color w:val="auto"/>
                      <w:szCs w:val="21"/>
                      <w:u w:val="none"/>
                      <w:lang w:eastAsia="zh-CN"/>
                    </w:rPr>
                  </w:pPr>
                  <w:r>
                    <w:rPr>
                      <w:rFonts w:hint="eastAsia"/>
                      <w:b/>
                      <w:bCs/>
                      <w:color w:val="auto"/>
                      <w:szCs w:val="21"/>
                      <w:u w:val="none"/>
                      <w:lang w:eastAsia="zh-CN"/>
                    </w:rPr>
                    <w:t>污染源</w:t>
                  </w:r>
                </w:p>
              </w:tc>
              <w:tc>
                <w:tcPr>
                  <w:tcW w:w="973" w:type="pct"/>
                  <w:tcBorders>
                    <w:tl2br w:val="nil"/>
                    <w:tr2bl w:val="nil"/>
                  </w:tcBorders>
                  <w:noWrap w:val="0"/>
                  <w:vAlign w:val="center"/>
                </w:tcPr>
                <w:p w14:paraId="0C226000">
                  <w:pPr>
                    <w:keepNext w:val="0"/>
                    <w:keepLines w:val="0"/>
                    <w:suppressLineNumbers w:val="0"/>
                    <w:autoSpaceDE w:val="0"/>
                    <w:autoSpaceDN w:val="0"/>
                    <w:spacing w:before="0" w:beforeAutospacing="0" w:after="0" w:afterAutospacing="0"/>
                    <w:ind w:left="0" w:right="0"/>
                    <w:jc w:val="center"/>
                    <w:textAlignment w:val="baseline"/>
                    <w:rPr>
                      <w:rFonts w:hint="default" w:eastAsia="宋体"/>
                      <w:b/>
                      <w:bCs/>
                      <w:color w:val="auto"/>
                      <w:szCs w:val="21"/>
                      <w:u w:val="none"/>
                      <w:lang w:val="en-US" w:eastAsia="zh-CN"/>
                    </w:rPr>
                  </w:pPr>
                  <w:r>
                    <w:rPr>
                      <w:rFonts w:hint="eastAsia"/>
                      <w:b/>
                      <w:bCs/>
                      <w:color w:val="auto"/>
                      <w:szCs w:val="21"/>
                      <w:u w:val="none"/>
                      <w:lang w:eastAsia="zh-CN"/>
                    </w:rPr>
                    <w:t>工艺流程</w:t>
                  </w:r>
                  <w:r>
                    <w:rPr>
                      <w:rFonts w:hint="eastAsia"/>
                      <w:b/>
                      <w:bCs/>
                      <w:color w:val="auto"/>
                      <w:szCs w:val="21"/>
                      <w:u w:val="none"/>
                      <w:lang w:val="en-US" w:eastAsia="zh-CN"/>
                    </w:rPr>
                    <w:t>/节点</w:t>
                  </w:r>
                </w:p>
              </w:tc>
              <w:tc>
                <w:tcPr>
                  <w:tcW w:w="809" w:type="pct"/>
                  <w:tcBorders>
                    <w:tl2br w:val="nil"/>
                    <w:tr2bl w:val="nil"/>
                  </w:tcBorders>
                  <w:noWrap w:val="0"/>
                  <w:vAlign w:val="center"/>
                </w:tcPr>
                <w:p w14:paraId="29353C68">
                  <w:pPr>
                    <w:keepNext w:val="0"/>
                    <w:keepLines w:val="0"/>
                    <w:suppressLineNumbers w:val="0"/>
                    <w:autoSpaceDE w:val="0"/>
                    <w:autoSpaceDN w:val="0"/>
                    <w:spacing w:before="0" w:beforeAutospacing="0" w:after="0" w:afterAutospacing="0"/>
                    <w:ind w:left="0" w:right="0"/>
                    <w:jc w:val="center"/>
                    <w:textAlignment w:val="baseline"/>
                    <w:rPr>
                      <w:rFonts w:hint="eastAsia" w:eastAsia="宋体"/>
                      <w:b/>
                      <w:bCs/>
                      <w:color w:val="auto"/>
                      <w:szCs w:val="21"/>
                      <w:u w:val="none"/>
                      <w:lang w:eastAsia="zh-CN"/>
                    </w:rPr>
                  </w:pPr>
                  <w:r>
                    <w:rPr>
                      <w:rFonts w:hint="eastAsia"/>
                      <w:b/>
                      <w:bCs/>
                      <w:color w:val="auto"/>
                      <w:szCs w:val="21"/>
                      <w:u w:val="none"/>
                      <w:lang w:eastAsia="zh-CN"/>
                    </w:rPr>
                    <w:t>污染物类型</w:t>
                  </w:r>
                </w:p>
              </w:tc>
              <w:tc>
                <w:tcPr>
                  <w:tcW w:w="689" w:type="pct"/>
                  <w:tcBorders>
                    <w:tl2br w:val="nil"/>
                    <w:tr2bl w:val="nil"/>
                  </w:tcBorders>
                  <w:noWrap w:val="0"/>
                  <w:vAlign w:val="center"/>
                </w:tcPr>
                <w:p w14:paraId="4AA7D665">
                  <w:pPr>
                    <w:keepNext w:val="0"/>
                    <w:keepLines w:val="0"/>
                    <w:suppressLineNumbers w:val="0"/>
                    <w:autoSpaceDE w:val="0"/>
                    <w:autoSpaceDN w:val="0"/>
                    <w:spacing w:before="0" w:beforeAutospacing="0" w:after="0" w:afterAutospacing="0"/>
                    <w:ind w:left="0" w:right="0"/>
                    <w:jc w:val="center"/>
                    <w:textAlignment w:val="baseline"/>
                    <w:rPr>
                      <w:rFonts w:hint="eastAsia" w:eastAsia="宋体"/>
                      <w:b/>
                      <w:bCs/>
                      <w:color w:val="auto"/>
                      <w:szCs w:val="21"/>
                      <w:u w:val="none"/>
                      <w:lang w:eastAsia="zh-CN"/>
                    </w:rPr>
                  </w:pPr>
                  <w:r>
                    <w:rPr>
                      <w:rFonts w:hint="eastAsia"/>
                      <w:b/>
                      <w:bCs/>
                      <w:color w:val="auto"/>
                      <w:szCs w:val="21"/>
                      <w:u w:val="none"/>
                      <w:lang w:eastAsia="zh-CN"/>
                    </w:rPr>
                    <w:t>污染途径</w:t>
                  </w:r>
                </w:p>
              </w:tc>
              <w:tc>
                <w:tcPr>
                  <w:tcW w:w="1136" w:type="pct"/>
                  <w:tcBorders>
                    <w:tl2br w:val="nil"/>
                    <w:tr2bl w:val="nil"/>
                  </w:tcBorders>
                  <w:noWrap w:val="0"/>
                  <w:vAlign w:val="center"/>
                </w:tcPr>
                <w:p w14:paraId="20AAECE0">
                  <w:pPr>
                    <w:keepNext w:val="0"/>
                    <w:keepLines w:val="0"/>
                    <w:suppressLineNumbers w:val="0"/>
                    <w:autoSpaceDE w:val="0"/>
                    <w:autoSpaceDN w:val="0"/>
                    <w:spacing w:before="0" w:beforeAutospacing="0" w:after="0" w:afterAutospacing="0"/>
                    <w:ind w:left="0" w:right="0"/>
                    <w:jc w:val="center"/>
                    <w:textAlignment w:val="baseline"/>
                    <w:rPr>
                      <w:rFonts w:hint="eastAsia" w:eastAsia="宋体"/>
                      <w:b/>
                      <w:bCs/>
                      <w:color w:val="auto"/>
                      <w:szCs w:val="21"/>
                      <w:u w:val="none"/>
                      <w:lang w:eastAsia="zh-CN"/>
                    </w:rPr>
                  </w:pPr>
                  <w:r>
                    <w:rPr>
                      <w:rFonts w:hint="eastAsia"/>
                      <w:b/>
                      <w:bCs/>
                      <w:color w:val="auto"/>
                      <w:szCs w:val="21"/>
                      <w:u w:val="none"/>
                      <w:lang w:eastAsia="zh-CN"/>
                    </w:rPr>
                    <w:t>全部污染物指标</w:t>
                  </w:r>
                </w:p>
              </w:tc>
              <w:tc>
                <w:tcPr>
                  <w:tcW w:w="710" w:type="pct"/>
                  <w:tcBorders>
                    <w:tl2br w:val="nil"/>
                    <w:tr2bl w:val="nil"/>
                  </w:tcBorders>
                  <w:noWrap w:val="0"/>
                  <w:vAlign w:val="center"/>
                </w:tcPr>
                <w:p w14:paraId="72CAA43E">
                  <w:pPr>
                    <w:keepNext w:val="0"/>
                    <w:keepLines w:val="0"/>
                    <w:suppressLineNumbers w:val="0"/>
                    <w:autoSpaceDE w:val="0"/>
                    <w:autoSpaceDN w:val="0"/>
                    <w:spacing w:before="0" w:beforeAutospacing="0" w:after="0" w:afterAutospacing="0"/>
                    <w:ind w:left="0" w:right="0"/>
                    <w:jc w:val="center"/>
                    <w:textAlignment w:val="baseline"/>
                    <w:rPr>
                      <w:rFonts w:hint="eastAsia"/>
                      <w:b/>
                      <w:bCs/>
                      <w:color w:val="auto"/>
                      <w:szCs w:val="21"/>
                      <w:u w:val="none"/>
                      <w:lang w:eastAsia="zh-CN"/>
                    </w:rPr>
                  </w:pPr>
                  <w:r>
                    <w:rPr>
                      <w:rFonts w:hint="eastAsia"/>
                      <w:b/>
                      <w:bCs/>
                      <w:color w:val="auto"/>
                      <w:szCs w:val="21"/>
                      <w:u w:val="none"/>
                      <w:lang w:eastAsia="zh-CN"/>
                    </w:rPr>
                    <w:t>影响对象</w:t>
                  </w:r>
                </w:p>
              </w:tc>
            </w:tr>
            <w:tr w14:paraId="76B60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tcBorders>
                    <w:tl2br w:val="nil"/>
                    <w:tr2bl w:val="nil"/>
                  </w:tcBorders>
                  <w:noWrap w:val="0"/>
                  <w:vAlign w:val="center"/>
                </w:tcPr>
                <w:p w14:paraId="5D0AD5D4">
                  <w:pPr>
                    <w:keepNext w:val="0"/>
                    <w:keepLines w:val="0"/>
                    <w:suppressLineNumbers w:val="0"/>
                    <w:autoSpaceDE w:val="0"/>
                    <w:autoSpaceDN w:val="0"/>
                    <w:spacing w:before="0" w:beforeAutospacing="0" w:after="0" w:afterAutospacing="0"/>
                    <w:ind w:left="0" w:right="0"/>
                    <w:jc w:val="center"/>
                    <w:textAlignment w:val="baseline"/>
                    <w:rPr>
                      <w:rFonts w:hint="eastAsia"/>
                      <w:color w:val="auto"/>
                      <w:szCs w:val="21"/>
                      <w:u w:val="none"/>
                      <w:lang w:eastAsia="zh-CN"/>
                    </w:rPr>
                  </w:pPr>
                  <w:r>
                    <w:rPr>
                      <w:rFonts w:hint="eastAsia"/>
                      <w:color w:val="auto"/>
                      <w:szCs w:val="21"/>
                      <w:u w:val="none"/>
                      <w:lang w:eastAsia="zh-CN"/>
                    </w:rPr>
                    <w:t>生产</w:t>
                  </w:r>
                </w:p>
                <w:p w14:paraId="64812622">
                  <w:pPr>
                    <w:keepNext w:val="0"/>
                    <w:keepLines w:val="0"/>
                    <w:suppressLineNumbers w:val="0"/>
                    <w:autoSpaceDE w:val="0"/>
                    <w:autoSpaceDN w:val="0"/>
                    <w:spacing w:before="0" w:beforeAutospacing="0" w:after="0" w:afterAutospacing="0"/>
                    <w:ind w:left="0" w:right="0"/>
                    <w:jc w:val="center"/>
                    <w:textAlignment w:val="baseline"/>
                    <w:rPr>
                      <w:rFonts w:hint="eastAsia" w:eastAsia="宋体"/>
                      <w:color w:val="auto"/>
                      <w:szCs w:val="21"/>
                      <w:u w:val="none"/>
                      <w:lang w:eastAsia="zh-CN"/>
                    </w:rPr>
                  </w:pPr>
                  <w:r>
                    <w:rPr>
                      <w:rFonts w:hint="eastAsia"/>
                      <w:color w:val="auto"/>
                      <w:szCs w:val="21"/>
                      <w:u w:val="none"/>
                      <w:lang w:eastAsia="zh-CN"/>
                    </w:rPr>
                    <w:t>车间</w:t>
                  </w:r>
                </w:p>
              </w:tc>
              <w:tc>
                <w:tcPr>
                  <w:tcW w:w="973" w:type="pct"/>
                  <w:tcBorders>
                    <w:tl2br w:val="nil"/>
                    <w:tr2bl w:val="nil"/>
                  </w:tcBorders>
                  <w:noWrap w:val="0"/>
                  <w:vAlign w:val="center"/>
                </w:tcPr>
                <w:p w14:paraId="145F8DC2">
                  <w:pPr>
                    <w:keepNext w:val="0"/>
                    <w:keepLines w:val="0"/>
                    <w:suppressLineNumbers w:val="0"/>
                    <w:autoSpaceDE w:val="0"/>
                    <w:autoSpaceDN w:val="0"/>
                    <w:spacing w:before="0" w:beforeAutospacing="0" w:after="0" w:afterAutospacing="0"/>
                    <w:ind w:left="0" w:right="0"/>
                    <w:jc w:val="center"/>
                    <w:textAlignment w:val="baseline"/>
                    <w:rPr>
                      <w:rFonts w:hint="eastAsia" w:eastAsia="宋体"/>
                      <w:color w:val="auto"/>
                      <w:szCs w:val="21"/>
                      <w:u w:val="none"/>
                      <w:lang w:eastAsia="zh-CN"/>
                    </w:rPr>
                  </w:pPr>
                  <w:r>
                    <w:rPr>
                      <w:rFonts w:hint="eastAsia"/>
                      <w:color w:val="auto"/>
                      <w:szCs w:val="21"/>
                      <w:u w:val="none"/>
                      <w:lang w:eastAsia="zh-CN"/>
                    </w:rPr>
                    <w:t>喷漆工序</w:t>
                  </w:r>
                </w:p>
              </w:tc>
              <w:tc>
                <w:tcPr>
                  <w:tcW w:w="809" w:type="pct"/>
                  <w:tcBorders>
                    <w:tl2br w:val="nil"/>
                    <w:tr2bl w:val="nil"/>
                  </w:tcBorders>
                  <w:noWrap w:val="0"/>
                  <w:vAlign w:val="center"/>
                </w:tcPr>
                <w:p w14:paraId="3F0CB0B6">
                  <w:pPr>
                    <w:keepNext w:val="0"/>
                    <w:keepLines w:val="0"/>
                    <w:suppressLineNumbers w:val="0"/>
                    <w:autoSpaceDE w:val="0"/>
                    <w:autoSpaceDN w:val="0"/>
                    <w:spacing w:before="0" w:beforeAutospacing="0" w:after="0" w:afterAutospacing="0"/>
                    <w:ind w:left="0" w:right="0"/>
                    <w:jc w:val="center"/>
                    <w:textAlignment w:val="baseline"/>
                    <w:rPr>
                      <w:rFonts w:hint="eastAsia" w:eastAsia="宋体"/>
                      <w:color w:val="auto"/>
                      <w:szCs w:val="21"/>
                      <w:u w:val="none"/>
                      <w:lang w:eastAsia="zh-CN"/>
                    </w:rPr>
                  </w:pPr>
                  <w:r>
                    <w:rPr>
                      <w:rFonts w:hint="eastAsia"/>
                      <w:color w:val="auto"/>
                      <w:szCs w:val="21"/>
                      <w:u w:val="none"/>
                      <w:lang w:eastAsia="zh-CN"/>
                    </w:rPr>
                    <w:t>有机污染物</w:t>
                  </w:r>
                </w:p>
              </w:tc>
              <w:tc>
                <w:tcPr>
                  <w:tcW w:w="689" w:type="pct"/>
                  <w:tcBorders>
                    <w:tl2br w:val="nil"/>
                    <w:tr2bl w:val="nil"/>
                  </w:tcBorders>
                  <w:noWrap w:val="0"/>
                  <w:vAlign w:val="center"/>
                </w:tcPr>
                <w:p w14:paraId="35F2C612">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eastAsia"/>
                      <w:color w:val="auto"/>
                      <w:szCs w:val="21"/>
                      <w:u w:val="none"/>
                      <w:lang w:eastAsia="zh-CN"/>
                    </w:rPr>
                    <w:t>地面漫流、垂直入渗、大气沉降</w:t>
                  </w:r>
                </w:p>
              </w:tc>
              <w:tc>
                <w:tcPr>
                  <w:tcW w:w="1136" w:type="pct"/>
                  <w:tcBorders>
                    <w:tl2br w:val="nil"/>
                    <w:tr2bl w:val="nil"/>
                  </w:tcBorders>
                  <w:noWrap w:val="0"/>
                  <w:vAlign w:val="center"/>
                </w:tcPr>
                <w:p w14:paraId="50BE69AA">
                  <w:pPr>
                    <w:keepNext w:val="0"/>
                    <w:keepLines w:val="0"/>
                    <w:suppressLineNumbers w:val="0"/>
                    <w:autoSpaceDE w:val="0"/>
                    <w:autoSpaceDN w:val="0"/>
                    <w:spacing w:before="0" w:beforeAutospacing="0" w:after="0" w:afterAutospacing="0"/>
                    <w:ind w:left="0" w:right="0"/>
                    <w:jc w:val="center"/>
                    <w:textAlignment w:val="baseline"/>
                    <w:rPr>
                      <w:rFonts w:hint="default"/>
                      <w:lang w:val="en-US" w:eastAsia="zh-CN"/>
                    </w:rPr>
                  </w:pPr>
                  <w:r>
                    <w:rPr>
                      <w:rFonts w:hint="eastAsia"/>
                      <w:lang w:eastAsia="zh-CN"/>
                    </w:rPr>
                    <w:t>二甲苯、有机溶剂、树脂</w:t>
                  </w:r>
                </w:p>
              </w:tc>
              <w:tc>
                <w:tcPr>
                  <w:tcW w:w="710" w:type="pct"/>
                  <w:tcBorders>
                    <w:tl2br w:val="nil"/>
                    <w:tr2bl w:val="nil"/>
                  </w:tcBorders>
                  <w:noWrap w:val="0"/>
                  <w:vAlign w:val="center"/>
                </w:tcPr>
                <w:p w14:paraId="4837CFA9">
                  <w:pPr>
                    <w:keepNext w:val="0"/>
                    <w:keepLines w:val="0"/>
                    <w:suppressLineNumbers w:val="0"/>
                    <w:autoSpaceDE w:val="0"/>
                    <w:autoSpaceDN w:val="0"/>
                    <w:spacing w:before="0" w:beforeAutospacing="0" w:after="0" w:afterAutospacing="0"/>
                    <w:ind w:left="0" w:right="0"/>
                    <w:jc w:val="center"/>
                    <w:textAlignment w:val="baseline"/>
                    <w:rPr>
                      <w:rFonts w:hint="eastAsia" w:eastAsia="宋体"/>
                      <w:color w:val="auto"/>
                      <w:szCs w:val="21"/>
                      <w:u w:val="none"/>
                      <w:lang w:eastAsia="zh-CN"/>
                    </w:rPr>
                  </w:pPr>
                  <w:r>
                    <w:rPr>
                      <w:rFonts w:hint="eastAsia"/>
                      <w:color w:val="auto"/>
                      <w:szCs w:val="21"/>
                      <w:u w:val="none"/>
                      <w:lang w:eastAsia="zh-CN"/>
                    </w:rPr>
                    <w:t>地下水、土壤</w:t>
                  </w:r>
                </w:p>
              </w:tc>
            </w:tr>
            <w:tr w14:paraId="3C552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tcBorders>
                    <w:tl2br w:val="nil"/>
                    <w:tr2bl w:val="nil"/>
                  </w:tcBorders>
                  <w:noWrap w:val="0"/>
                  <w:vAlign w:val="center"/>
                </w:tcPr>
                <w:p w14:paraId="04CA7A2F">
                  <w:pPr>
                    <w:keepNext w:val="0"/>
                    <w:keepLines w:val="0"/>
                    <w:suppressLineNumbers w:val="0"/>
                    <w:autoSpaceDE w:val="0"/>
                    <w:autoSpaceDN w:val="0"/>
                    <w:spacing w:before="0" w:beforeAutospacing="0" w:after="0" w:afterAutospacing="0"/>
                    <w:ind w:left="0" w:right="0"/>
                    <w:jc w:val="center"/>
                    <w:textAlignment w:val="baseline"/>
                    <w:rPr>
                      <w:rFonts w:hint="eastAsia" w:eastAsia="宋体"/>
                      <w:color w:val="auto"/>
                      <w:szCs w:val="21"/>
                      <w:u w:val="none"/>
                      <w:lang w:eastAsia="zh-CN"/>
                    </w:rPr>
                  </w:pPr>
                  <w:r>
                    <w:rPr>
                      <w:rFonts w:hint="eastAsia"/>
                      <w:color w:val="auto"/>
                      <w:szCs w:val="21"/>
                      <w:u w:val="none"/>
                      <w:lang w:eastAsia="zh-CN"/>
                    </w:rPr>
                    <w:t>仓库、危废暂存间</w:t>
                  </w:r>
                </w:p>
              </w:tc>
              <w:tc>
                <w:tcPr>
                  <w:tcW w:w="973" w:type="pct"/>
                  <w:tcBorders>
                    <w:tl2br w:val="nil"/>
                    <w:tr2bl w:val="nil"/>
                  </w:tcBorders>
                  <w:noWrap w:val="0"/>
                  <w:vAlign w:val="center"/>
                </w:tcPr>
                <w:p w14:paraId="4EA8BB39">
                  <w:pPr>
                    <w:keepNext w:val="0"/>
                    <w:keepLines w:val="0"/>
                    <w:suppressLineNumbers w:val="0"/>
                    <w:autoSpaceDE w:val="0"/>
                    <w:autoSpaceDN w:val="0"/>
                    <w:spacing w:before="0" w:beforeAutospacing="0" w:after="0" w:afterAutospacing="0"/>
                    <w:ind w:left="0" w:right="0"/>
                    <w:jc w:val="center"/>
                    <w:textAlignment w:val="baseline"/>
                    <w:rPr>
                      <w:rFonts w:hint="eastAsia" w:eastAsia="宋体"/>
                      <w:color w:val="auto"/>
                      <w:szCs w:val="21"/>
                      <w:u w:val="none"/>
                      <w:lang w:eastAsia="zh-CN"/>
                    </w:rPr>
                  </w:pPr>
                  <w:r>
                    <w:rPr>
                      <w:rFonts w:hint="eastAsia"/>
                      <w:color w:val="auto"/>
                      <w:szCs w:val="21"/>
                      <w:u w:val="none"/>
                      <w:lang w:eastAsia="zh-CN"/>
                    </w:rPr>
                    <w:t>油漆、稀释剂、固化剂、冷却液、液压油等暂存</w:t>
                  </w:r>
                </w:p>
              </w:tc>
              <w:tc>
                <w:tcPr>
                  <w:tcW w:w="809" w:type="pct"/>
                  <w:tcBorders>
                    <w:tl2br w:val="nil"/>
                    <w:tr2bl w:val="nil"/>
                  </w:tcBorders>
                  <w:noWrap w:val="0"/>
                  <w:vAlign w:val="center"/>
                </w:tcPr>
                <w:p w14:paraId="1C267D97">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eastAsia"/>
                      <w:color w:val="auto"/>
                      <w:szCs w:val="21"/>
                      <w:u w:val="none"/>
                      <w:lang w:eastAsia="zh-CN"/>
                    </w:rPr>
                    <w:t>有机污染物</w:t>
                  </w:r>
                </w:p>
              </w:tc>
              <w:tc>
                <w:tcPr>
                  <w:tcW w:w="689" w:type="pct"/>
                  <w:tcBorders>
                    <w:tl2br w:val="nil"/>
                    <w:tr2bl w:val="nil"/>
                  </w:tcBorders>
                  <w:noWrap w:val="0"/>
                  <w:vAlign w:val="center"/>
                </w:tcPr>
                <w:p w14:paraId="5D63F179">
                  <w:pPr>
                    <w:keepNext w:val="0"/>
                    <w:keepLines w:val="0"/>
                    <w:suppressLineNumbers w:val="0"/>
                    <w:autoSpaceDE w:val="0"/>
                    <w:autoSpaceDN w:val="0"/>
                    <w:spacing w:before="0" w:beforeAutospacing="0" w:after="0" w:afterAutospacing="0"/>
                    <w:ind w:left="0" w:right="0"/>
                    <w:jc w:val="center"/>
                    <w:textAlignment w:val="baseline"/>
                    <w:rPr>
                      <w:rFonts w:hint="eastAsia" w:eastAsia="宋体"/>
                      <w:color w:val="auto"/>
                      <w:szCs w:val="21"/>
                      <w:u w:val="none"/>
                      <w:lang w:eastAsia="zh-CN"/>
                    </w:rPr>
                  </w:pPr>
                  <w:r>
                    <w:rPr>
                      <w:rFonts w:hint="eastAsia"/>
                      <w:color w:val="auto"/>
                      <w:szCs w:val="21"/>
                      <w:u w:val="none"/>
                      <w:lang w:eastAsia="zh-CN"/>
                    </w:rPr>
                    <w:t>地面漫流、垂直入渗</w:t>
                  </w:r>
                </w:p>
              </w:tc>
              <w:tc>
                <w:tcPr>
                  <w:tcW w:w="1136" w:type="pct"/>
                  <w:tcBorders>
                    <w:tl2br w:val="nil"/>
                    <w:tr2bl w:val="nil"/>
                  </w:tcBorders>
                  <w:noWrap w:val="0"/>
                  <w:vAlign w:val="center"/>
                </w:tcPr>
                <w:p w14:paraId="6B26AE7B">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eastAsia"/>
                      <w:lang w:eastAsia="zh-CN"/>
                    </w:rPr>
                    <w:t>二甲苯、有机溶剂、树脂</w:t>
                  </w:r>
                </w:p>
              </w:tc>
              <w:tc>
                <w:tcPr>
                  <w:tcW w:w="710" w:type="pct"/>
                  <w:tcBorders>
                    <w:tl2br w:val="nil"/>
                    <w:tr2bl w:val="nil"/>
                  </w:tcBorders>
                  <w:noWrap w:val="0"/>
                  <w:vAlign w:val="center"/>
                </w:tcPr>
                <w:p w14:paraId="04210719">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eastAsia"/>
                      <w:color w:val="auto"/>
                      <w:szCs w:val="21"/>
                      <w:u w:val="none"/>
                      <w:lang w:eastAsia="zh-CN"/>
                    </w:rPr>
                    <w:t>地下水、土壤</w:t>
                  </w:r>
                </w:p>
              </w:tc>
            </w:tr>
            <w:tr w14:paraId="2A2D5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pct"/>
                  <w:tcBorders>
                    <w:tl2br w:val="nil"/>
                    <w:tr2bl w:val="nil"/>
                  </w:tcBorders>
                  <w:noWrap w:val="0"/>
                  <w:vAlign w:val="center"/>
                </w:tcPr>
                <w:p w14:paraId="5875D672">
                  <w:pPr>
                    <w:keepNext w:val="0"/>
                    <w:keepLines w:val="0"/>
                    <w:suppressLineNumbers w:val="0"/>
                    <w:autoSpaceDE w:val="0"/>
                    <w:autoSpaceDN w:val="0"/>
                    <w:spacing w:before="0" w:beforeAutospacing="0" w:after="0" w:afterAutospacing="0"/>
                    <w:ind w:left="0" w:right="0"/>
                    <w:jc w:val="center"/>
                    <w:textAlignment w:val="baseline"/>
                    <w:rPr>
                      <w:rFonts w:hint="eastAsia"/>
                      <w:color w:val="auto"/>
                      <w:szCs w:val="21"/>
                      <w:u w:val="none"/>
                      <w:lang w:eastAsia="zh-CN"/>
                    </w:rPr>
                  </w:pPr>
                  <w:r>
                    <w:rPr>
                      <w:rFonts w:hint="eastAsia"/>
                      <w:color w:val="auto"/>
                      <w:szCs w:val="21"/>
                      <w:u w:val="none"/>
                      <w:lang w:eastAsia="zh-CN"/>
                    </w:rPr>
                    <w:t>废气处理设施</w:t>
                  </w:r>
                </w:p>
              </w:tc>
              <w:tc>
                <w:tcPr>
                  <w:tcW w:w="973" w:type="pct"/>
                  <w:tcBorders>
                    <w:tl2br w:val="nil"/>
                    <w:tr2bl w:val="nil"/>
                  </w:tcBorders>
                  <w:noWrap w:val="0"/>
                  <w:vAlign w:val="center"/>
                </w:tcPr>
                <w:p w14:paraId="10CD06A9">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eastAsia"/>
                      <w:color w:val="auto"/>
                      <w:szCs w:val="21"/>
                      <w:u w:val="none"/>
                      <w:lang w:eastAsia="zh-CN"/>
                    </w:rPr>
                    <w:t>废气处理</w:t>
                  </w:r>
                </w:p>
              </w:tc>
              <w:tc>
                <w:tcPr>
                  <w:tcW w:w="809" w:type="pct"/>
                  <w:tcBorders>
                    <w:tl2br w:val="nil"/>
                    <w:tr2bl w:val="nil"/>
                  </w:tcBorders>
                  <w:noWrap w:val="0"/>
                  <w:vAlign w:val="center"/>
                </w:tcPr>
                <w:p w14:paraId="521C2E6E">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eastAsia"/>
                      <w:color w:val="auto"/>
                      <w:szCs w:val="21"/>
                      <w:u w:val="none"/>
                      <w:lang w:eastAsia="zh-CN"/>
                    </w:rPr>
                    <w:t>有机污染物</w:t>
                  </w:r>
                </w:p>
              </w:tc>
              <w:tc>
                <w:tcPr>
                  <w:tcW w:w="689" w:type="pct"/>
                  <w:tcBorders>
                    <w:tl2br w:val="nil"/>
                    <w:tr2bl w:val="nil"/>
                  </w:tcBorders>
                  <w:noWrap w:val="0"/>
                  <w:vAlign w:val="center"/>
                </w:tcPr>
                <w:p w14:paraId="23A1EF3E">
                  <w:pPr>
                    <w:keepNext w:val="0"/>
                    <w:keepLines w:val="0"/>
                    <w:suppressLineNumbers w:val="0"/>
                    <w:autoSpaceDE w:val="0"/>
                    <w:autoSpaceDN w:val="0"/>
                    <w:spacing w:before="0" w:beforeAutospacing="0" w:after="0" w:afterAutospacing="0"/>
                    <w:ind w:left="0" w:right="0"/>
                    <w:jc w:val="center"/>
                    <w:textAlignment w:val="baseline"/>
                    <w:rPr>
                      <w:rFonts w:hint="eastAsia" w:eastAsia="宋体"/>
                      <w:color w:val="auto"/>
                      <w:szCs w:val="21"/>
                      <w:u w:val="none"/>
                      <w:lang w:eastAsia="zh-CN"/>
                    </w:rPr>
                  </w:pPr>
                  <w:r>
                    <w:rPr>
                      <w:rFonts w:hint="eastAsia"/>
                      <w:color w:val="auto"/>
                      <w:szCs w:val="21"/>
                      <w:u w:val="none"/>
                      <w:lang w:eastAsia="zh-CN"/>
                    </w:rPr>
                    <w:t>大气沉降</w:t>
                  </w:r>
                </w:p>
              </w:tc>
              <w:tc>
                <w:tcPr>
                  <w:tcW w:w="1136" w:type="pct"/>
                  <w:tcBorders>
                    <w:tl2br w:val="nil"/>
                    <w:tr2bl w:val="nil"/>
                  </w:tcBorders>
                  <w:noWrap w:val="0"/>
                  <w:vAlign w:val="center"/>
                </w:tcPr>
                <w:p w14:paraId="2B2A97B1">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eastAsia"/>
                      <w:color w:val="auto"/>
                      <w:szCs w:val="21"/>
                      <w:u w:val="none"/>
                      <w:lang w:eastAsia="zh-CN"/>
                    </w:rPr>
                    <w:t>二甲苯、</w:t>
                  </w:r>
                  <w:r>
                    <w:rPr>
                      <w:rFonts w:hint="eastAsia"/>
                      <w:color w:val="auto"/>
                      <w:szCs w:val="21"/>
                      <w:u w:val="none"/>
                      <w:lang w:val="en-US" w:eastAsia="zh-CN"/>
                    </w:rPr>
                    <w:t>VOCs</w:t>
                  </w:r>
                </w:p>
              </w:tc>
              <w:tc>
                <w:tcPr>
                  <w:tcW w:w="710" w:type="pct"/>
                  <w:tcBorders>
                    <w:tl2br w:val="nil"/>
                    <w:tr2bl w:val="nil"/>
                  </w:tcBorders>
                  <w:noWrap w:val="0"/>
                  <w:vAlign w:val="center"/>
                </w:tcPr>
                <w:p w14:paraId="4D06D4C8">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eastAsia"/>
                      <w:color w:val="auto"/>
                      <w:szCs w:val="21"/>
                      <w:u w:val="none"/>
                      <w:lang w:eastAsia="zh-CN"/>
                    </w:rPr>
                    <w:t>地下水、土壤</w:t>
                  </w:r>
                </w:p>
              </w:tc>
            </w:tr>
          </w:tbl>
          <w:p w14:paraId="43888DFC">
            <w:pPr>
              <w:pStyle w:val="2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 xml:space="preserve">）分区防控措施 </w:t>
            </w:r>
          </w:p>
          <w:p w14:paraId="21043014">
            <w:pPr>
              <w:pStyle w:val="2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本次地下水和土壤的污染防治按照“源头控制，分区防治，污染监控，应急响应”的原则确定，针对不同的区域提出相应的防渗要求。 </w:t>
            </w:r>
          </w:p>
          <w:p w14:paraId="19C1F856">
            <w:pPr>
              <w:pStyle w:val="2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）源头控制措施 </w:t>
            </w:r>
          </w:p>
          <w:p w14:paraId="0C57B1EE">
            <w:pPr>
              <w:pStyle w:val="2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项目营运期间加强管理，主要包括生产车间、物料仓库、危废暂存间等，降低和防止污染物跑、冒、滴、漏，将污染物泄露的环境风险事故降低到最低程度。 </w:t>
            </w:r>
          </w:p>
          <w:p w14:paraId="70F2CD1F">
            <w:pPr>
              <w:pStyle w:val="2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 xml:space="preserve">）分区防治 </w:t>
            </w:r>
          </w:p>
          <w:p w14:paraId="3F27DAA0">
            <w:pPr>
              <w:pStyle w:val="20"/>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根据《环境影响评价技术导则地下水环境》（</w:t>
            </w:r>
            <w:r>
              <w:rPr>
                <w:rFonts w:hint="default" w:ascii="Times New Roman" w:hAnsi="Times New Roman" w:eastAsia="宋体" w:cs="Times New Roman"/>
                <w:color w:val="auto"/>
                <w:sz w:val="24"/>
                <w:szCs w:val="24"/>
                <w:lang w:val="en-US" w:eastAsia="zh-CN"/>
              </w:rPr>
              <w:t>HJ610-2016</w:t>
            </w:r>
            <w:r>
              <w:rPr>
                <w:rFonts w:hint="eastAsia" w:ascii="Times New Roman" w:hAnsi="Times New Roman" w:eastAsia="宋体" w:cs="Times New Roman"/>
                <w:color w:val="auto"/>
                <w:sz w:val="24"/>
                <w:szCs w:val="24"/>
                <w:lang w:val="en-US" w:eastAsia="zh-CN"/>
              </w:rPr>
              <w:t>），本项目厂区可能泄漏至地面区域污染物的性质和生产单元的构筑方式，将厂区划分为重点污染防治区、一般污染防治区和非污染防治区。具体防治分区如下表：</w:t>
            </w:r>
          </w:p>
          <w:p w14:paraId="7E9194D7">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color w:val="auto"/>
                <w:sz w:val="24"/>
                <w:szCs w:val="24"/>
                <w:u w:val="none"/>
                <w:lang w:val="en-US" w:eastAsia="zh-CN"/>
              </w:rPr>
            </w:pPr>
            <w:r>
              <w:rPr>
                <w:rFonts w:hint="eastAsia" w:ascii="Times New Roman" w:hAnsi="Times New Roman" w:eastAsia="宋体" w:cs="Times New Roman"/>
                <w:b/>
                <w:color w:val="auto"/>
                <w:sz w:val="24"/>
                <w:szCs w:val="24"/>
                <w:u w:val="none"/>
                <w:lang w:val="en-US" w:eastAsia="zh-CN"/>
              </w:rPr>
              <w:t>表4-1</w:t>
            </w:r>
            <w:r>
              <w:rPr>
                <w:rFonts w:hint="eastAsia" w:cs="Times New Roman"/>
                <w:b/>
                <w:color w:val="auto"/>
                <w:sz w:val="24"/>
                <w:szCs w:val="24"/>
                <w:u w:val="none"/>
                <w:lang w:val="en-US" w:eastAsia="zh-CN"/>
              </w:rPr>
              <w:t>8</w:t>
            </w:r>
            <w:r>
              <w:rPr>
                <w:rFonts w:hint="eastAsia" w:ascii="Times New Roman" w:hAnsi="Times New Roman" w:eastAsia="宋体" w:cs="Times New Roman"/>
                <w:b/>
                <w:color w:val="auto"/>
                <w:sz w:val="24"/>
                <w:szCs w:val="24"/>
                <w:u w:val="none"/>
                <w:lang w:val="en-US" w:eastAsia="zh-CN"/>
              </w:rPr>
              <w:t xml:space="preserve">  </w:t>
            </w:r>
            <w:r>
              <w:rPr>
                <w:rFonts w:hint="eastAsia" w:cs="Times New Roman"/>
                <w:b/>
                <w:color w:val="auto"/>
                <w:sz w:val="24"/>
                <w:szCs w:val="24"/>
                <w:u w:val="none"/>
                <w:lang w:val="en-US" w:eastAsia="zh-CN"/>
              </w:rPr>
              <w:t>分区防治一览表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3788"/>
              <w:gridCol w:w="3593"/>
            </w:tblGrid>
            <w:tr w14:paraId="27540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0" w:type="dxa"/>
                  <w:tcBorders>
                    <w:tl2br w:val="nil"/>
                    <w:tr2bl w:val="nil"/>
                  </w:tcBorders>
                  <w:noWrap w:val="0"/>
                  <w:vAlign w:val="center"/>
                </w:tcPr>
                <w:p w14:paraId="75605B19">
                  <w:pPr>
                    <w:pStyle w:val="2"/>
                    <w:keepNext w:val="0"/>
                    <w:keepLines w:val="0"/>
                    <w:pageBreakBefore w:val="0"/>
                    <w:suppressLineNumbers w:val="0"/>
                    <w:kinsoku/>
                    <w:wordWrap/>
                    <w:overflowPunct/>
                    <w:topLinePunct w:val="0"/>
                    <w:autoSpaceDE/>
                    <w:autoSpaceDN/>
                    <w:bidi w:val="0"/>
                    <w:adjustRightInd/>
                    <w:snapToGrid/>
                    <w:spacing w:before="0" w:beforeAutospacing="0" w:after="0" w:afterLines="0" w:line="240" w:lineRule="auto"/>
                    <w:ind w:left="0" w:right="0" w:firstLine="210" w:firstLineChars="10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防渗分区</w:t>
                  </w:r>
                </w:p>
              </w:tc>
              <w:tc>
                <w:tcPr>
                  <w:tcW w:w="3837" w:type="dxa"/>
                  <w:tcBorders>
                    <w:tl2br w:val="nil"/>
                    <w:tr2bl w:val="nil"/>
                  </w:tcBorders>
                  <w:noWrap w:val="0"/>
                  <w:vAlign w:val="center"/>
                </w:tcPr>
                <w:p w14:paraId="5DAEA2ED">
                  <w:pPr>
                    <w:pStyle w:val="2"/>
                    <w:keepNext w:val="0"/>
                    <w:keepLines w:val="0"/>
                    <w:pageBreakBefore w:val="0"/>
                    <w:suppressLineNumbers w:val="0"/>
                    <w:kinsoku/>
                    <w:wordWrap/>
                    <w:overflowPunct/>
                    <w:topLinePunct w:val="0"/>
                    <w:autoSpaceDE/>
                    <w:autoSpaceDN/>
                    <w:bidi w:val="0"/>
                    <w:adjustRightInd/>
                    <w:snapToGrid/>
                    <w:spacing w:before="0" w:beforeAutospacing="0" w:after="0" w:afterLines="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装置或构筑物名称</w:t>
                  </w:r>
                </w:p>
              </w:tc>
              <w:tc>
                <w:tcPr>
                  <w:tcW w:w="3640" w:type="dxa"/>
                  <w:tcBorders>
                    <w:tl2br w:val="nil"/>
                    <w:tr2bl w:val="nil"/>
                  </w:tcBorders>
                  <w:noWrap w:val="0"/>
                  <w:vAlign w:val="center"/>
                </w:tcPr>
                <w:p w14:paraId="4E70363B">
                  <w:pPr>
                    <w:pStyle w:val="2"/>
                    <w:keepNext w:val="0"/>
                    <w:keepLines w:val="0"/>
                    <w:pageBreakBefore w:val="0"/>
                    <w:suppressLineNumbers w:val="0"/>
                    <w:kinsoku/>
                    <w:wordWrap/>
                    <w:overflowPunct/>
                    <w:topLinePunct w:val="0"/>
                    <w:autoSpaceDE/>
                    <w:autoSpaceDN/>
                    <w:bidi w:val="0"/>
                    <w:adjustRightInd/>
                    <w:snapToGrid/>
                    <w:spacing w:before="0" w:beforeAutospacing="0" w:after="0" w:afterLines="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防渗要求</w:t>
                  </w:r>
                </w:p>
              </w:tc>
            </w:tr>
            <w:tr w14:paraId="70C9E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0" w:type="dxa"/>
                  <w:tcBorders>
                    <w:tl2br w:val="nil"/>
                    <w:tr2bl w:val="nil"/>
                  </w:tcBorders>
                  <w:noWrap w:val="0"/>
                  <w:vAlign w:val="center"/>
                </w:tcPr>
                <w:p w14:paraId="395BC4BF">
                  <w:pPr>
                    <w:pStyle w:val="2"/>
                    <w:keepNext w:val="0"/>
                    <w:keepLines w:val="0"/>
                    <w:pageBreakBefore w:val="0"/>
                    <w:suppressLineNumbers w:val="0"/>
                    <w:kinsoku/>
                    <w:wordWrap/>
                    <w:overflowPunct/>
                    <w:topLinePunct w:val="0"/>
                    <w:autoSpaceDE/>
                    <w:autoSpaceDN/>
                    <w:bidi w:val="0"/>
                    <w:adjustRightInd/>
                    <w:snapToGrid/>
                    <w:spacing w:before="0" w:beforeAutospacing="0" w:after="0" w:afterLines="0" w:line="240" w:lineRule="auto"/>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重点防渗区</w:t>
                  </w:r>
                </w:p>
              </w:tc>
              <w:tc>
                <w:tcPr>
                  <w:tcW w:w="3837" w:type="dxa"/>
                  <w:tcBorders>
                    <w:tl2br w:val="nil"/>
                    <w:tr2bl w:val="nil"/>
                  </w:tcBorders>
                  <w:noWrap w:val="0"/>
                  <w:vAlign w:val="center"/>
                </w:tcPr>
                <w:p w14:paraId="5D226987">
                  <w:pPr>
                    <w:pStyle w:val="2"/>
                    <w:keepNext w:val="0"/>
                    <w:keepLines w:val="0"/>
                    <w:pageBreakBefore w:val="0"/>
                    <w:suppressLineNumbers w:val="0"/>
                    <w:kinsoku/>
                    <w:wordWrap/>
                    <w:overflowPunct/>
                    <w:topLinePunct w:val="0"/>
                    <w:autoSpaceDE/>
                    <w:autoSpaceDN/>
                    <w:bidi w:val="0"/>
                    <w:adjustRightInd/>
                    <w:snapToGrid/>
                    <w:spacing w:before="0" w:beforeAutospacing="0" w:after="0" w:afterLines="0" w:line="240" w:lineRule="auto"/>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危废暂存间、</w:t>
                  </w:r>
                  <w:r>
                    <w:rPr>
                      <w:rFonts w:hint="eastAsia" w:cs="Times New Roman"/>
                      <w:color w:val="auto"/>
                      <w:sz w:val="21"/>
                      <w:szCs w:val="21"/>
                      <w:lang w:val="en-US" w:eastAsia="zh-CN"/>
                    </w:rPr>
                    <w:t>危化品仓库</w:t>
                  </w:r>
                  <w:r>
                    <w:rPr>
                      <w:rFonts w:hint="eastAsia" w:ascii="Times New Roman" w:hAnsi="Times New Roman" w:eastAsia="宋体" w:cs="Times New Roman"/>
                      <w:color w:val="auto"/>
                      <w:sz w:val="21"/>
                      <w:szCs w:val="21"/>
                      <w:lang w:val="en-US" w:eastAsia="zh-CN"/>
                    </w:rPr>
                    <w:t>、喷漆房</w:t>
                  </w:r>
                </w:p>
              </w:tc>
              <w:tc>
                <w:tcPr>
                  <w:tcW w:w="3640" w:type="dxa"/>
                  <w:tcBorders>
                    <w:tl2br w:val="nil"/>
                    <w:tr2bl w:val="nil"/>
                  </w:tcBorders>
                  <w:noWrap w:val="0"/>
                  <w:vAlign w:val="center"/>
                </w:tcPr>
                <w:p w14:paraId="03F660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ascii="宋体" w:hAnsi="宋体" w:eastAsia="宋体" w:cs="宋体"/>
                      <w:color w:val="000000"/>
                      <w:kern w:val="0"/>
                      <w:sz w:val="21"/>
                      <w:szCs w:val="21"/>
                      <w:lang w:val="en-US" w:eastAsia="zh-CN" w:bidi="ar"/>
                    </w:rPr>
                    <w:t xml:space="preserve">等效粘土防渗层 </w:t>
                  </w:r>
                  <w:r>
                    <w:rPr>
                      <w:rFonts w:hint="default" w:ascii="Times New Roman" w:hAnsi="Times New Roman" w:eastAsia="宋体" w:cs="Times New Roman"/>
                      <w:color w:val="000000"/>
                      <w:kern w:val="0"/>
                      <w:sz w:val="21"/>
                      <w:szCs w:val="21"/>
                      <w:lang w:val="en-US" w:eastAsia="zh-CN" w:bidi="ar"/>
                    </w:rPr>
                    <w:t>Mb≥6.0m</w:t>
                  </w:r>
                  <w:r>
                    <w:rPr>
                      <w:rFonts w:hint="eastAsia" w:ascii="宋体" w:hAnsi="宋体" w:eastAsia="宋体" w:cs="宋体"/>
                      <w:color w:val="000000"/>
                      <w:kern w:val="0"/>
                      <w:sz w:val="21"/>
                      <w:szCs w:val="21"/>
                      <w:lang w:val="en-US" w:eastAsia="zh-CN" w:bidi="ar"/>
                    </w:rPr>
                    <w:t>，</w:t>
                  </w:r>
                </w:p>
                <w:p w14:paraId="7F9BDD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sz w:val="21"/>
                      <w:szCs w:val="21"/>
                    </w:rPr>
                  </w:pPr>
                  <w:r>
                    <w:rPr>
                      <w:rFonts w:hint="default" w:ascii="Times New Roman" w:hAnsi="Times New Roman" w:eastAsia="宋体" w:cs="Times New Roman"/>
                      <w:color w:val="000000"/>
                      <w:kern w:val="0"/>
                      <w:sz w:val="21"/>
                      <w:szCs w:val="21"/>
                      <w:lang w:val="en-US" w:eastAsia="zh-CN" w:bidi="ar"/>
                    </w:rPr>
                    <w:t>K≤10 -7cm/s</w:t>
                  </w:r>
                  <w:r>
                    <w:rPr>
                      <w:rFonts w:hint="eastAsia" w:ascii="宋体" w:hAnsi="宋体" w:eastAsia="宋体" w:cs="宋体"/>
                      <w:color w:val="000000"/>
                      <w:kern w:val="0"/>
                      <w:sz w:val="21"/>
                      <w:szCs w:val="21"/>
                      <w:lang w:val="en-US" w:eastAsia="zh-CN" w:bidi="ar"/>
                    </w:rPr>
                    <w:t xml:space="preserve">，或参照 </w:t>
                  </w:r>
                  <w:r>
                    <w:rPr>
                      <w:rFonts w:hint="default" w:ascii="Times New Roman" w:hAnsi="Times New Roman" w:eastAsia="宋体" w:cs="Times New Roman"/>
                      <w:color w:val="000000"/>
                      <w:kern w:val="0"/>
                      <w:sz w:val="21"/>
                      <w:szCs w:val="21"/>
                      <w:lang w:val="en-US" w:eastAsia="zh-CN" w:bidi="ar"/>
                    </w:rPr>
                    <w:t xml:space="preserve">GB18598 </w:t>
                  </w:r>
                  <w:r>
                    <w:rPr>
                      <w:rFonts w:hint="eastAsia" w:ascii="宋体" w:hAnsi="宋体" w:eastAsia="宋体" w:cs="宋体"/>
                      <w:color w:val="000000"/>
                      <w:kern w:val="0"/>
                      <w:sz w:val="21"/>
                      <w:szCs w:val="21"/>
                      <w:lang w:val="en-US" w:eastAsia="zh-CN" w:bidi="ar"/>
                    </w:rPr>
                    <w:t>执行</w:t>
                  </w:r>
                </w:p>
              </w:tc>
            </w:tr>
            <w:tr w14:paraId="0CB6F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0" w:type="dxa"/>
                  <w:tcBorders>
                    <w:tl2br w:val="nil"/>
                    <w:tr2bl w:val="nil"/>
                  </w:tcBorders>
                  <w:noWrap w:val="0"/>
                  <w:vAlign w:val="center"/>
                </w:tcPr>
                <w:p w14:paraId="5AA597CE">
                  <w:pPr>
                    <w:pStyle w:val="2"/>
                    <w:keepNext w:val="0"/>
                    <w:keepLines w:val="0"/>
                    <w:pageBreakBefore w:val="0"/>
                    <w:suppressLineNumbers w:val="0"/>
                    <w:kinsoku/>
                    <w:wordWrap/>
                    <w:overflowPunct/>
                    <w:topLinePunct w:val="0"/>
                    <w:autoSpaceDE/>
                    <w:autoSpaceDN/>
                    <w:bidi w:val="0"/>
                    <w:adjustRightInd/>
                    <w:snapToGrid/>
                    <w:spacing w:before="0" w:beforeAutospacing="0" w:after="0" w:afterLines="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一般防渗区</w:t>
                  </w:r>
                </w:p>
              </w:tc>
              <w:tc>
                <w:tcPr>
                  <w:tcW w:w="3837" w:type="dxa"/>
                  <w:tcBorders>
                    <w:tl2br w:val="nil"/>
                    <w:tr2bl w:val="nil"/>
                  </w:tcBorders>
                  <w:noWrap w:val="0"/>
                  <w:vAlign w:val="center"/>
                </w:tcPr>
                <w:p w14:paraId="3344CCD6">
                  <w:pPr>
                    <w:pStyle w:val="2"/>
                    <w:keepNext w:val="0"/>
                    <w:keepLines w:val="0"/>
                    <w:pageBreakBefore w:val="0"/>
                    <w:suppressLineNumbers w:val="0"/>
                    <w:kinsoku/>
                    <w:wordWrap/>
                    <w:overflowPunct/>
                    <w:topLinePunct w:val="0"/>
                    <w:autoSpaceDE/>
                    <w:autoSpaceDN/>
                    <w:bidi w:val="0"/>
                    <w:adjustRightInd/>
                    <w:snapToGrid/>
                    <w:spacing w:before="0" w:beforeAutospacing="0" w:after="0" w:afterLines="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一般原料堆</w:t>
                  </w:r>
                  <w:r>
                    <w:rPr>
                      <w:rFonts w:hint="eastAsia" w:cs="Times New Roman"/>
                      <w:color w:val="auto"/>
                      <w:sz w:val="21"/>
                      <w:szCs w:val="21"/>
                      <w:lang w:val="en-US" w:eastAsia="zh-CN"/>
                    </w:rPr>
                    <w:t>放</w:t>
                  </w:r>
                  <w:r>
                    <w:rPr>
                      <w:rFonts w:hint="eastAsia" w:ascii="Times New Roman" w:hAnsi="Times New Roman" w:eastAsia="宋体" w:cs="Times New Roman"/>
                      <w:color w:val="auto"/>
                      <w:sz w:val="21"/>
                      <w:szCs w:val="21"/>
                      <w:lang w:val="en-US" w:eastAsia="zh-CN"/>
                    </w:rPr>
                    <w:t>区、成品堆</w:t>
                  </w:r>
                  <w:r>
                    <w:rPr>
                      <w:rFonts w:hint="eastAsia" w:cs="Times New Roman"/>
                      <w:color w:val="auto"/>
                      <w:sz w:val="21"/>
                      <w:szCs w:val="21"/>
                      <w:lang w:val="en-US" w:eastAsia="zh-CN"/>
                    </w:rPr>
                    <w:t>放</w:t>
                  </w:r>
                  <w:r>
                    <w:rPr>
                      <w:rFonts w:hint="eastAsia" w:ascii="Times New Roman" w:hAnsi="Times New Roman" w:eastAsia="宋体" w:cs="Times New Roman"/>
                      <w:color w:val="auto"/>
                      <w:sz w:val="21"/>
                      <w:szCs w:val="21"/>
                      <w:lang w:val="en-US" w:eastAsia="zh-CN"/>
                    </w:rPr>
                    <w:t>区、配件库</w:t>
                  </w:r>
                  <w:r>
                    <w:rPr>
                      <w:rFonts w:hint="eastAsia" w:cs="Times New Roman"/>
                      <w:color w:val="auto"/>
                      <w:sz w:val="21"/>
                      <w:szCs w:val="21"/>
                      <w:lang w:val="en-US" w:eastAsia="zh-CN"/>
                    </w:rPr>
                    <w:t>房</w:t>
                  </w:r>
                  <w:r>
                    <w:rPr>
                      <w:rFonts w:hint="eastAsia" w:ascii="Times New Roman" w:hAnsi="Times New Roman" w:eastAsia="宋体" w:cs="Times New Roman"/>
                      <w:color w:val="auto"/>
                      <w:sz w:val="21"/>
                      <w:szCs w:val="21"/>
                      <w:lang w:val="en-US" w:eastAsia="zh-CN"/>
                    </w:rPr>
                    <w:t>、一般固废暂存间、生产加工区等</w:t>
                  </w:r>
                </w:p>
              </w:tc>
              <w:tc>
                <w:tcPr>
                  <w:tcW w:w="3640" w:type="dxa"/>
                  <w:tcBorders>
                    <w:tl2br w:val="nil"/>
                    <w:tr2bl w:val="nil"/>
                  </w:tcBorders>
                  <w:noWrap w:val="0"/>
                  <w:vAlign w:val="center"/>
                </w:tcPr>
                <w:p w14:paraId="5FB085D1">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lang w:val="en-US" w:eastAsia="zh-CN" w:bidi="ar-SA"/>
                    </w:rPr>
                  </w:pPr>
                  <w:r>
                    <w:rPr>
                      <w:rFonts w:hint="default"/>
                      <w:color w:val="auto"/>
                      <w:sz w:val="21"/>
                      <w:szCs w:val="21"/>
                    </w:rPr>
                    <w:t>等效黏土防渗层Mb≥1.5m，K≤1.0×10</w:t>
                  </w:r>
                  <w:r>
                    <w:rPr>
                      <w:rFonts w:hint="default"/>
                      <w:color w:val="auto"/>
                      <w:sz w:val="21"/>
                      <w:szCs w:val="21"/>
                      <w:vertAlign w:val="superscript"/>
                    </w:rPr>
                    <w:t>-7</w:t>
                  </w:r>
                  <w:r>
                    <w:rPr>
                      <w:rFonts w:hint="default"/>
                      <w:color w:val="auto"/>
                      <w:sz w:val="21"/>
                      <w:szCs w:val="21"/>
                    </w:rPr>
                    <w:t xml:space="preserve"> cm/s；或参照GB1</w:t>
                  </w:r>
                  <w:r>
                    <w:rPr>
                      <w:rFonts w:hint="eastAsia"/>
                      <w:color w:val="auto"/>
                      <w:sz w:val="21"/>
                      <w:szCs w:val="21"/>
                    </w:rPr>
                    <w:t>8597、GB18599</w:t>
                  </w:r>
                  <w:r>
                    <w:rPr>
                      <w:rFonts w:hint="default"/>
                      <w:color w:val="auto"/>
                      <w:sz w:val="21"/>
                      <w:szCs w:val="21"/>
                    </w:rPr>
                    <w:t xml:space="preserve"> 执行</w:t>
                  </w:r>
                </w:p>
              </w:tc>
            </w:tr>
            <w:tr w14:paraId="0AE00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0" w:type="dxa"/>
                  <w:tcBorders>
                    <w:tl2br w:val="nil"/>
                    <w:tr2bl w:val="nil"/>
                  </w:tcBorders>
                  <w:noWrap w:val="0"/>
                  <w:vAlign w:val="center"/>
                </w:tcPr>
                <w:p w14:paraId="0E1850C5">
                  <w:pPr>
                    <w:pStyle w:val="2"/>
                    <w:keepNext w:val="0"/>
                    <w:keepLines w:val="0"/>
                    <w:pageBreakBefore w:val="0"/>
                    <w:suppressLineNumbers w:val="0"/>
                    <w:kinsoku/>
                    <w:wordWrap/>
                    <w:overflowPunct/>
                    <w:topLinePunct w:val="0"/>
                    <w:autoSpaceDE/>
                    <w:autoSpaceDN/>
                    <w:bidi w:val="0"/>
                    <w:adjustRightInd/>
                    <w:snapToGrid/>
                    <w:spacing w:before="0" w:beforeAutospacing="0" w:after="0" w:afterLines="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简单防渗区</w:t>
                  </w:r>
                </w:p>
              </w:tc>
              <w:tc>
                <w:tcPr>
                  <w:tcW w:w="3837" w:type="dxa"/>
                  <w:tcBorders>
                    <w:tl2br w:val="nil"/>
                    <w:tr2bl w:val="nil"/>
                  </w:tcBorders>
                  <w:noWrap w:val="0"/>
                  <w:vAlign w:val="center"/>
                </w:tcPr>
                <w:p w14:paraId="007EAAB1">
                  <w:pPr>
                    <w:pStyle w:val="2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办公生活区、厂区道路等</w:t>
                  </w:r>
                </w:p>
              </w:tc>
              <w:tc>
                <w:tcPr>
                  <w:tcW w:w="3640" w:type="dxa"/>
                  <w:tcBorders>
                    <w:tl2br w:val="nil"/>
                    <w:tr2bl w:val="nil"/>
                  </w:tcBorders>
                  <w:noWrap w:val="0"/>
                  <w:vAlign w:val="center"/>
                </w:tcPr>
                <w:p w14:paraId="496CD13E">
                  <w:pPr>
                    <w:keepNext w:val="0"/>
                    <w:keepLines w:val="0"/>
                    <w:pageBreakBefore w:val="0"/>
                    <w:suppressLineNumbers w:val="0"/>
                    <w:tabs>
                      <w:tab w:val="left" w:pos="1021"/>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auto"/>
                      <w:sz w:val="21"/>
                      <w:szCs w:val="21"/>
                    </w:rPr>
                  </w:pPr>
                  <w:r>
                    <w:rPr>
                      <w:rFonts w:hint="eastAsia"/>
                      <w:color w:val="auto"/>
                      <w:sz w:val="21"/>
                      <w:szCs w:val="21"/>
                      <w:lang w:eastAsia="zh-CN"/>
                    </w:rPr>
                    <w:t>一般</w:t>
                  </w:r>
                  <w:r>
                    <w:rPr>
                      <w:rFonts w:hint="default"/>
                      <w:color w:val="auto"/>
                      <w:sz w:val="21"/>
                      <w:szCs w:val="21"/>
                    </w:rPr>
                    <w:t>地面硬化</w:t>
                  </w:r>
                </w:p>
              </w:tc>
            </w:tr>
          </w:tbl>
          <w:p w14:paraId="2218BAF6">
            <w:pPr>
              <w:pStyle w:val="20"/>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采取以上措施后，基本不存在污染地下水和土壤的污染途径，不会对区域的地下水和土壤造成较大影响。</w:t>
            </w:r>
          </w:p>
          <w:p w14:paraId="200305D8">
            <w:pPr>
              <w:pStyle w:val="20"/>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6</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w:t>
            </w:r>
            <w:r>
              <w:rPr>
                <w:rFonts w:hint="eastAsia" w:eastAsia="宋体" w:cs="Times New Roman"/>
                <w:b/>
                <w:bCs/>
                <w:color w:val="000000" w:themeColor="text1"/>
                <w:spacing w:val="0"/>
                <w:position w:val="0"/>
                <w:sz w:val="24"/>
                <w:szCs w:val="24"/>
                <w:u w:val="none" w:color="auto"/>
                <w:lang w:val="en-US" w:eastAsia="zh-CN"/>
                <w14:textFill>
                  <w14:solidFill>
                    <w14:schemeClr w14:val="tx1"/>
                  </w14:solidFill>
                </w14:textFill>
              </w:rPr>
              <w:t>生态</w:t>
            </w:r>
          </w:p>
          <w:p w14:paraId="31B62BA1">
            <w:pPr>
              <w:pStyle w:val="20"/>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pP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项目</w:t>
            </w:r>
            <w:r>
              <w:rPr>
                <w:rFonts w:hint="eastAsia" w:ascii="Times New Roman" w:hAnsi="Times New Roman" w:cs="Times New Roman"/>
                <w:color w:val="000000" w:themeColor="text1"/>
                <w:sz w:val="24"/>
                <w:szCs w:val="24"/>
                <w:u w:val="none" w:color="auto"/>
                <w:lang w:val="en-US" w:eastAsia="zh-CN"/>
                <w14:textFill>
                  <w14:solidFill>
                    <w14:schemeClr w14:val="tx1"/>
                  </w14:solidFill>
                </w14:textFill>
              </w:rPr>
              <w:t>在现有厂房内进行扩建生产，不新增用地，同时项目位于产业开发区内，对生态环境影响较小</w:t>
            </w:r>
            <w:r>
              <w:rPr>
                <w:rFonts w:hint="eastAsia" w:ascii="Times New Roman" w:hAnsi="Times New Roman" w:eastAsia="宋体" w:cs="Times New Roman"/>
                <w:color w:val="000000" w:themeColor="text1"/>
                <w:sz w:val="24"/>
                <w:szCs w:val="24"/>
                <w:u w:val="none" w:color="auto"/>
                <w:lang w:val="en-US" w:eastAsia="zh-CN"/>
                <w14:textFill>
                  <w14:solidFill>
                    <w14:schemeClr w14:val="tx1"/>
                  </w14:solidFill>
                </w14:textFill>
              </w:rPr>
              <w:t>。</w:t>
            </w:r>
          </w:p>
          <w:p w14:paraId="302FB92B">
            <w:pPr>
              <w:keepNext w:val="0"/>
              <w:keepLines w:val="0"/>
              <w:pageBreakBefore w:val="0"/>
              <w:suppressLineNumbers w:val="0"/>
              <w:kinsoku/>
              <w:overflowPunct/>
              <w:bidi w:val="0"/>
              <w:spacing w:before="0" w:beforeAutospacing="0" w:after="0" w:afterAutospacing="0" w:line="360" w:lineRule="auto"/>
              <w:ind w:left="0" w:right="0"/>
              <w:outlineLvl w:val="9"/>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环境风险分析</w:t>
            </w:r>
          </w:p>
          <w:p w14:paraId="0EFD9976">
            <w:pPr>
              <w:pStyle w:val="32"/>
              <w:keepNext w:val="0"/>
              <w:keepLines w:val="0"/>
              <w:suppressLineNumbers w:val="0"/>
              <w:spacing w:before="0" w:beforeAutospacing="0" w:after="0" w:afterAutospacing="0" w:line="360" w:lineRule="auto"/>
              <w:ind w:left="0" w:right="0" w:firstLine="482" w:firstLineChars="200"/>
              <w:rPr>
                <w:rFonts w:hint="default" w:ascii="Times New Roman" w:eastAsia="宋体"/>
                <w:b/>
                <w:bCs w:val="0"/>
                <w:i w:val="0"/>
                <w:color w:val="auto"/>
                <w:sz w:val="24"/>
                <w:szCs w:val="24"/>
                <w:u w:val="none"/>
                <w:lang w:val="en-US" w:eastAsia="zh-CN"/>
              </w:rPr>
            </w:pPr>
            <w:r>
              <w:rPr>
                <w:rFonts w:hint="default" w:ascii="Times New Roman" w:hAnsi="Times New Roman" w:cs="Times New Roman"/>
                <w:b/>
                <w:bCs w:val="0"/>
                <w:i w:val="0"/>
                <w:color w:val="000000" w:themeColor="text1"/>
                <w:spacing w:val="0"/>
                <w:position w:val="0"/>
                <w:sz w:val="24"/>
                <w:szCs w:val="24"/>
                <w:u w:val="none" w:color="auto"/>
                <w:lang w:eastAsia="zh-CN"/>
                <w14:textFill>
                  <w14:solidFill>
                    <w14:schemeClr w14:val="tx1"/>
                  </w14:solidFill>
                </w14:textFill>
              </w:rPr>
              <w:t>（</w:t>
            </w:r>
            <w:r>
              <w:rPr>
                <w:rFonts w:hint="default" w:ascii="Times New Roman" w:hAnsi="Times New Roman" w:cs="Times New Roman"/>
                <w:b/>
                <w:bCs w:val="0"/>
                <w:i w:val="0"/>
                <w:color w:val="000000" w:themeColor="text1"/>
                <w:spacing w:val="0"/>
                <w:position w:val="0"/>
                <w:sz w:val="24"/>
                <w:szCs w:val="24"/>
                <w:u w:val="none" w:color="auto"/>
                <w:lang w:val="en-US" w:eastAsia="zh-CN"/>
                <w14:textFill>
                  <w14:solidFill>
                    <w14:schemeClr w14:val="tx1"/>
                  </w14:solidFill>
                </w14:textFill>
              </w:rPr>
              <w:t>1</w:t>
            </w:r>
            <w:r>
              <w:rPr>
                <w:rFonts w:hint="default" w:ascii="Times New Roman" w:hAnsi="Times New Roman" w:cs="Times New Roman"/>
                <w:b/>
                <w:bCs w:val="0"/>
                <w:i w:val="0"/>
                <w:color w:val="000000" w:themeColor="text1"/>
                <w:spacing w:val="0"/>
                <w:position w:val="0"/>
                <w:sz w:val="24"/>
                <w:szCs w:val="24"/>
                <w:u w:val="none" w:color="auto"/>
                <w:lang w:eastAsia="zh-CN"/>
                <w14:textFill>
                  <w14:solidFill>
                    <w14:schemeClr w14:val="tx1"/>
                  </w14:solidFill>
                </w14:textFill>
              </w:rPr>
              <w:t>）</w:t>
            </w:r>
            <w:r>
              <w:rPr>
                <w:rFonts w:hint="eastAsia" w:ascii="Times New Roman"/>
                <w:b/>
                <w:bCs w:val="0"/>
                <w:i w:val="0"/>
                <w:color w:val="auto"/>
                <w:sz w:val="24"/>
                <w:szCs w:val="24"/>
                <w:u w:val="none"/>
                <w:lang w:val="en-US" w:eastAsia="zh-CN"/>
              </w:rPr>
              <w:t>风险潜势判定</w:t>
            </w:r>
          </w:p>
          <w:p w14:paraId="5819D201">
            <w:pPr>
              <w:pStyle w:val="32"/>
              <w:keepNext w:val="0"/>
              <w:keepLines w:val="0"/>
              <w:suppressLineNumbers w:val="0"/>
              <w:spacing w:before="0" w:beforeAutospacing="0" w:after="0" w:afterAutospacing="0" w:line="360" w:lineRule="auto"/>
              <w:ind w:left="0" w:right="0" w:firstLine="480" w:firstLineChars="200"/>
              <w:rPr>
                <w:rFonts w:hint="default" w:ascii="Times New Roman"/>
                <w:b w:val="0"/>
                <w:i w:val="0"/>
                <w:color w:val="auto"/>
                <w:sz w:val="24"/>
                <w:szCs w:val="24"/>
                <w:u w:val="none"/>
              </w:rPr>
            </w:pPr>
            <w:r>
              <w:rPr>
                <w:rFonts w:hint="default" w:ascii="Times New Roman"/>
                <w:b w:val="0"/>
                <w:i w:val="0"/>
                <w:color w:val="auto"/>
                <w:sz w:val="24"/>
                <w:szCs w:val="24"/>
                <w:u w:val="none"/>
              </w:rPr>
              <w:t>根据建设项目的工程性质、作业方式及当地环境特征，确定项目风险类型，提出合理的防范、应急与减缓措施，以使建设项目事故率、损失和环境影响达到可接受水平。</w:t>
            </w:r>
          </w:p>
          <w:p w14:paraId="25137B3F">
            <w:pPr>
              <w:pStyle w:val="32"/>
              <w:keepNext w:val="0"/>
              <w:keepLines w:val="0"/>
              <w:suppressLineNumbers w:val="0"/>
              <w:spacing w:before="0" w:beforeAutospacing="0" w:after="0" w:afterAutospacing="0" w:line="360" w:lineRule="auto"/>
              <w:ind w:left="0" w:right="0" w:firstLine="480" w:firstLineChars="200"/>
              <w:rPr>
                <w:rFonts w:hint="default" w:ascii="Times New Roman"/>
                <w:b w:val="0"/>
                <w:i w:val="0"/>
                <w:color w:val="FF0000"/>
                <w:sz w:val="24"/>
                <w:szCs w:val="24"/>
                <w:u w:val="none"/>
              </w:rPr>
            </w:pPr>
            <w:r>
              <w:rPr>
                <w:rFonts w:hint="default" w:ascii="Times New Roman"/>
                <w:b w:val="0"/>
                <w:i w:val="0"/>
                <w:color w:val="auto"/>
                <w:sz w:val="24"/>
                <w:szCs w:val="24"/>
                <w:u w:val="none"/>
              </w:rPr>
              <w:t>根据《建设项目环境风险评价技术导则》（HJ169-2018）附录B及《重大危险源辨识》（GB18218-2018），本项目涉及有毒有害和易燃易爆等危险化学品主要为</w:t>
            </w:r>
            <w:r>
              <w:rPr>
                <w:rFonts w:hint="eastAsia" w:ascii="Times New Roman"/>
                <w:b w:val="0"/>
                <w:i w:val="0"/>
                <w:color w:val="auto"/>
                <w:sz w:val="24"/>
                <w:szCs w:val="24"/>
                <w:u w:val="none"/>
                <w:lang w:val="en-US" w:eastAsia="zh-CN"/>
              </w:rPr>
              <w:t>乙炔、丙烷、二甲苯、乙苯、丁醇、溶剂汽油、危险废物等</w:t>
            </w:r>
            <w:r>
              <w:rPr>
                <w:rFonts w:hint="default" w:ascii="Times New Roman"/>
                <w:b w:val="0"/>
                <w:i w:val="0"/>
                <w:color w:val="auto"/>
                <w:sz w:val="24"/>
                <w:szCs w:val="24"/>
                <w:u w:val="none"/>
              </w:rPr>
              <w:t>。</w:t>
            </w:r>
          </w:p>
          <w:p w14:paraId="05AC8B54">
            <w:pPr>
              <w:keepNext w:val="0"/>
              <w:keepLines w:val="0"/>
              <w:suppressLineNumbers w:val="0"/>
              <w:spacing w:before="0" w:beforeAutospacing="0" w:after="0" w:afterAutospacing="0" w:line="360" w:lineRule="auto"/>
              <w:ind w:left="0" w:right="0"/>
              <w:jc w:val="center"/>
              <w:rPr>
                <w:rFonts w:hint="default"/>
                <w:b/>
                <w:color w:val="auto"/>
                <w:sz w:val="24"/>
                <w:szCs w:val="24"/>
                <w:u w:val="none"/>
              </w:rPr>
            </w:pPr>
            <w:r>
              <w:rPr>
                <w:rFonts w:hint="default"/>
                <w:b/>
                <w:color w:val="auto"/>
                <w:sz w:val="24"/>
                <w:szCs w:val="24"/>
                <w:u w:val="none"/>
              </w:rPr>
              <w:t>表</w:t>
            </w:r>
            <w:r>
              <w:rPr>
                <w:rFonts w:hint="eastAsia"/>
                <w:b/>
                <w:color w:val="auto"/>
                <w:sz w:val="24"/>
                <w:szCs w:val="24"/>
                <w:u w:val="none"/>
                <w:lang w:val="en-US" w:eastAsia="zh-CN"/>
              </w:rPr>
              <w:t xml:space="preserve">4-19 </w:t>
            </w:r>
            <w:r>
              <w:rPr>
                <w:rFonts w:hint="default"/>
                <w:b/>
                <w:color w:val="auto"/>
                <w:sz w:val="24"/>
                <w:szCs w:val="24"/>
                <w:u w:val="none"/>
              </w:rPr>
              <w:t xml:space="preserve"> 评价工作等级划分</w:t>
            </w:r>
          </w:p>
          <w:tbl>
            <w:tblPr>
              <w:tblStyle w:val="37"/>
              <w:tblW w:w="4999" w:type="pct"/>
              <w:tblInd w:w="1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733"/>
              <w:gridCol w:w="1733"/>
              <w:gridCol w:w="1733"/>
              <w:gridCol w:w="1741"/>
            </w:tblGrid>
            <w:tr w14:paraId="16A89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0" w:type="pct"/>
                  <w:tcBorders>
                    <w:tl2br w:val="nil"/>
                    <w:tr2bl w:val="nil"/>
                  </w:tcBorders>
                  <w:noWrap w:val="0"/>
                  <w:vAlign w:val="center"/>
                </w:tcPr>
                <w:p w14:paraId="1B374329">
                  <w:pPr>
                    <w:keepNext w:val="0"/>
                    <w:keepLines w:val="0"/>
                    <w:suppressLineNumbers w:val="0"/>
                    <w:autoSpaceDE w:val="0"/>
                    <w:autoSpaceDN w:val="0"/>
                    <w:spacing w:before="0" w:beforeAutospacing="0" w:after="0" w:afterAutospacing="0"/>
                    <w:ind w:left="0" w:right="0"/>
                    <w:jc w:val="center"/>
                    <w:textAlignment w:val="baseline"/>
                    <w:rPr>
                      <w:rFonts w:hint="default"/>
                      <w:b/>
                      <w:bCs/>
                      <w:color w:val="auto"/>
                      <w:szCs w:val="21"/>
                      <w:u w:val="none"/>
                    </w:rPr>
                  </w:pPr>
                  <w:r>
                    <w:rPr>
                      <w:rFonts w:hint="default"/>
                      <w:b/>
                      <w:bCs/>
                      <w:color w:val="auto"/>
                      <w:szCs w:val="21"/>
                      <w:u w:val="none"/>
                    </w:rPr>
                    <w:t>环境风险潜势</w:t>
                  </w:r>
                </w:p>
              </w:tc>
              <w:tc>
                <w:tcPr>
                  <w:tcW w:w="999" w:type="pct"/>
                  <w:tcBorders>
                    <w:tl2br w:val="nil"/>
                    <w:tr2bl w:val="nil"/>
                  </w:tcBorders>
                  <w:noWrap w:val="0"/>
                  <w:vAlign w:val="center"/>
                </w:tcPr>
                <w:p w14:paraId="491AF1EF">
                  <w:pPr>
                    <w:keepNext w:val="0"/>
                    <w:keepLines w:val="0"/>
                    <w:suppressLineNumbers w:val="0"/>
                    <w:autoSpaceDE w:val="0"/>
                    <w:autoSpaceDN w:val="0"/>
                    <w:spacing w:before="0" w:beforeAutospacing="0" w:after="0" w:afterAutospacing="0"/>
                    <w:ind w:left="0" w:right="0"/>
                    <w:jc w:val="center"/>
                    <w:textAlignment w:val="baseline"/>
                    <w:rPr>
                      <w:rFonts w:hint="default"/>
                      <w:b/>
                      <w:bCs/>
                      <w:color w:val="auto"/>
                      <w:szCs w:val="21"/>
                      <w:u w:val="none"/>
                    </w:rPr>
                  </w:pPr>
                  <w:r>
                    <w:rPr>
                      <w:rFonts w:hint="default"/>
                      <w:b/>
                      <w:bCs/>
                      <w:color w:val="auto"/>
                      <w:szCs w:val="21"/>
                      <w:u w:val="none"/>
                    </w:rPr>
                    <w:t>Ⅳ、Ⅳ+</w:t>
                  </w:r>
                </w:p>
              </w:tc>
              <w:tc>
                <w:tcPr>
                  <w:tcW w:w="999" w:type="pct"/>
                  <w:tcBorders>
                    <w:tl2br w:val="nil"/>
                    <w:tr2bl w:val="nil"/>
                  </w:tcBorders>
                  <w:noWrap w:val="0"/>
                  <w:vAlign w:val="center"/>
                </w:tcPr>
                <w:p w14:paraId="52176ABA">
                  <w:pPr>
                    <w:keepNext w:val="0"/>
                    <w:keepLines w:val="0"/>
                    <w:suppressLineNumbers w:val="0"/>
                    <w:autoSpaceDE w:val="0"/>
                    <w:autoSpaceDN w:val="0"/>
                    <w:spacing w:before="0" w:beforeAutospacing="0" w:after="0" w:afterAutospacing="0"/>
                    <w:ind w:left="0" w:right="0"/>
                    <w:jc w:val="center"/>
                    <w:textAlignment w:val="baseline"/>
                    <w:rPr>
                      <w:rFonts w:hint="default"/>
                      <w:b/>
                      <w:bCs/>
                      <w:color w:val="auto"/>
                      <w:szCs w:val="21"/>
                      <w:u w:val="none"/>
                    </w:rPr>
                  </w:pPr>
                  <w:r>
                    <w:rPr>
                      <w:rFonts w:hint="default"/>
                      <w:b/>
                      <w:bCs/>
                      <w:color w:val="auto"/>
                      <w:szCs w:val="21"/>
                      <w:u w:val="none"/>
                    </w:rPr>
                    <w:t>Ⅲ</w:t>
                  </w:r>
                </w:p>
              </w:tc>
              <w:tc>
                <w:tcPr>
                  <w:tcW w:w="999" w:type="pct"/>
                  <w:tcBorders>
                    <w:tl2br w:val="nil"/>
                    <w:tr2bl w:val="nil"/>
                  </w:tcBorders>
                  <w:noWrap w:val="0"/>
                  <w:vAlign w:val="center"/>
                </w:tcPr>
                <w:p w14:paraId="15669898">
                  <w:pPr>
                    <w:keepNext w:val="0"/>
                    <w:keepLines w:val="0"/>
                    <w:suppressLineNumbers w:val="0"/>
                    <w:autoSpaceDE w:val="0"/>
                    <w:autoSpaceDN w:val="0"/>
                    <w:spacing w:before="0" w:beforeAutospacing="0" w:after="0" w:afterAutospacing="0"/>
                    <w:ind w:left="0" w:right="0"/>
                    <w:jc w:val="center"/>
                    <w:textAlignment w:val="baseline"/>
                    <w:rPr>
                      <w:rFonts w:hint="default"/>
                      <w:b/>
                      <w:bCs/>
                      <w:color w:val="auto"/>
                      <w:szCs w:val="21"/>
                      <w:u w:val="none"/>
                    </w:rPr>
                  </w:pPr>
                  <w:r>
                    <w:rPr>
                      <w:rFonts w:hint="default"/>
                      <w:b/>
                      <w:bCs/>
                      <w:color w:val="auto"/>
                      <w:szCs w:val="21"/>
                      <w:u w:val="none"/>
                    </w:rPr>
                    <w:t>Ⅱ</w:t>
                  </w:r>
                </w:p>
              </w:tc>
              <w:tc>
                <w:tcPr>
                  <w:tcW w:w="1002" w:type="pct"/>
                  <w:tcBorders>
                    <w:tl2br w:val="nil"/>
                    <w:tr2bl w:val="nil"/>
                  </w:tcBorders>
                  <w:noWrap w:val="0"/>
                  <w:vAlign w:val="center"/>
                </w:tcPr>
                <w:p w14:paraId="35F96E54">
                  <w:pPr>
                    <w:keepNext w:val="0"/>
                    <w:keepLines w:val="0"/>
                    <w:suppressLineNumbers w:val="0"/>
                    <w:autoSpaceDE w:val="0"/>
                    <w:autoSpaceDN w:val="0"/>
                    <w:spacing w:before="0" w:beforeAutospacing="0" w:after="0" w:afterAutospacing="0"/>
                    <w:ind w:left="0" w:right="0"/>
                    <w:jc w:val="center"/>
                    <w:textAlignment w:val="baseline"/>
                    <w:rPr>
                      <w:rFonts w:hint="default"/>
                      <w:b/>
                      <w:bCs/>
                      <w:color w:val="auto"/>
                      <w:szCs w:val="21"/>
                      <w:u w:val="none"/>
                    </w:rPr>
                  </w:pPr>
                  <w:r>
                    <w:rPr>
                      <w:rFonts w:hint="default"/>
                      <w:b/>
                      <w:bCs/>
                      <w:color w:val="auto"/>
                      <w:szCs w:val="21"/>
                      <w:u w:val="none"/>
                    </w:rPr>
                    <w:t>Ⅰ</w:t>
                  </w:r>
                </w:p>
              </w:tc>
            </w:tr>
            <w:tr w14:paraId="70957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0" w:type="pct"/>
                  <w:tcBorders>
                    <w:tl2br w:val="nil"/>
                    <w:tr2bl w:val="nil"/>
                  </w:tcBorders>
                  <w:noWrap w:val="0"/>
                  <w:vAlign w:val="center"/>
                </w:tcPr>
                <w:p w14:paraId="0EC5A69C">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default"/>
                      <w:color w:val="auto"/>
                      <w:szCs w:val="21"/>
                      <w:u w:val="none"/>
                    </w:rPr>
                    <w:t>评价工作等级</w:t>
                  </w:r>
                </w:p>
              </w:tc>
              <w:tc>
                <w:tcPr>
                  <w:tcW w:w="999" w:type="pct"/>
                  <w:tcBorders>
                    <w:tl2br w:val="nil"/>
                    <w:tr2bl w:val="nil"/>
                  </w:tcBorders>
                  <w:noWrap w:val="0"/>
                  <w:vAlign w:val="center"/>
                </w:tcPr>
                <w:p w14:paraId="770E893D">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default"/>
                      <w:color w:val="auto"/>
                      <w:szCs w:val="21"/>
                      <w:u w:val="none"/>
                    </w:rPr>
                    <w:t>一</w:t>
                  </w:r>
                </w:p>
              </w:tc>
              <w:tc>
                <w:tcPr>
                  <w:tcW w:w="999" w:type="pct"/>
                  <w:tcBorders>
                    <w:tl2br w:val="nil"/>
                    <w:tr2bl w:val="nil"/>
                  </w:tcBorders>
                  <w:noWrap w:val="0"/>
                  <w:vAlign w:val="center"/>
                </w:tcPr>
                <w:p w14:paraId="35983471">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default"/>
                      <w:color w:val="auto"/>
                      <w:szCs w:val="21"/>
                      <w:u w:val="none"/>
                    </w:rPr>
                    <w:t>二</w:t>
                  </w:r>
                </w:p>
              </w:tc>
              <w:tc>
                <w:tcPr>
                  <w:tcW w:w="999" w:type="pct"/>
                  <w:tcBorders>
                    <w:tl2br w:val="nil"/>
                    <w:tr2bl w:val="nil"/>
                  </w:tcBorders>
                  <w:noWrap w:val="0"/>
                  <w:vAlign w:val="center"/>
                </w:tcPr>
                <w:p w14:paraId="00FE1223">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default"/>
                      <w:color w:val="auto"/>
                      <w:szCs w:val="21"/>
                      <w:u w:val="none"/>
                    </w:rPr>
                    <w:t>三</w:t>
                  </w:r>
                </w:p>
              </w:tc>
              <w:tc>
                <w:tcPr>
                  <w:tcW w:w="1002" w:type="pct"/>
                  <w:tcBorders>
                    <w:tl2br w:val="nil"/>
                    <w:tr2bl w:val="nil"/>
                  </w:tcBorders>
                  <w:noWrap w:val="0"/>
                  <w:vAlign w:val="center"/>
                </w:tcPr>
                <w:p w14:paraId="7B0E7665">
                  <w:pPr>
                    <w:keepNext w:val="0"/>
                    <w:keepLines w:val="0"/>
                    <w:suppressLineNumbers w:val="0"/>
                    <w:autoSpaceDE w:val="0"/>
                    <w:autoSpaceDN w:val="0"/>
                    <w:spacing w:before="0" w:beforeAutospacing="0" w:after="0" w:afterAutospacing="0"/>
                    <w:ind w:left="0" w:right="0"/>
                    <w:jc w:val="center"/>
                    <w:textAlignment w:val="baseline"/>
                    <w:rPr>
                      <w:rFonts w:hint="default"/>
                      <w:color w:val="auto"/>
                      <w:szCs w:val="21"/>
                      <w:u w:val="none"/>
                    </w:rPr>
                  </w:pPr>
                  <w:r>
                    <w:rPr>
                      <w:rFonts w:hint="default"/>
                      <w:color w:val="auto"/>
                      <w:szCs w:val="21"/>
                      <w:u w:val="none"/>
                    </w:rPr>
                    <w:t>简单分析</w:t>
                  </w:r>
                </w:p>
              </w:tc>
            </w:tr>
            <w:tr w14:paraId="3EB10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noWrap w:val="0"/>
                  <w:vAlign w:val="center"/>
                </w:tcPr>
                <w:p w14:paraId="7740AA30">
                  <w:pPr>
                    <w:keepNext w:val="0"/>
                    <w:keepLines w:val="0"/>
                    <w:suppressLineNumbers w:val="0"/>
                    <w:autoSpaceDE w:val="0"/>
                    <w:autoSpaceDN w:val="0"/>
                    <w:spacing w:before="0" w:beforeAutospacing="0" w:after="0" w:afterAutospacing="0"/>
                    <w:ind w:left="0" w:right="0"/>
                    <w:jc w:val="left"/>
                    <w:textAlignment w:val="baseline"/>
                    <w:rPr>
                      <w:rFonts w:hint="default"/>
                      <w:color w:val="auto"/>
                      <w:szCs w:val="21"/>
                      <w:u w:val="none"/>
                    </w:rPr>
                  </w:pPr>
                  <w:r>
                    <w:rPr>
                      <w:rFonts w:hint="default"/>
                      <w:color w:val="auto"/>
                      <w:szCs w:val="21"/>
                      <w:u w:val="none"/>
                    </w:rPr>
                    <w:t>备注：“简单分析”是相对于详细评价工作内容而言，在描述危险物质、环境影响途径、环境危害后果、风险防范措施等方面给出定性的说明。</w:t>
                  </w:r>
                </w:p>
              </w:tc>
            </w:tr>
          </w:tbl>
          <w:p w14:paraId="50C14655">
            <w:pPr>
              <w:keepNext w:val="0"/>
              <w:keepLines w:val="0"/>
              <w:suppressLineNumbers w:val="0"/>
              <w:spacing w:before="0" w:beforeAutospacing="0" w:after="0" w:afterAutospacing="0" w:line="360" w:lineRule="auto"/>
              <w:ind w:left="0" w:right="0" w:firstLine="480" w:firstLineChars="200"/>
              <w:rPr>
                <w:rFonts w:hint="default"/>
                <w:color w:val="auto"/>
                <w:sz w:val="24"/>
                <w:u w:val="none"/>
              </w:rPr>
            </w:pPr>
            <w:r>
              <w:rPr>
                <w:rFonts w:hint="default"/>
                <w:color w:val="auto"/>
                <w:sz w:val="24"/>
                <w:u w:val="none"/>
              </w:rPr>
              <w:t>按下式计算物质总量与其临界量比值（Q）。</w:t>
            </w:r>
          </w:p>
          <w:p w14:paraId="4B45AC70">
            <w:pPr>
              <w:keepNext w:val="0"/>
              <w:keepLines w:val="0"/>
              <w:suppressLineNumbers w:val="0"/>
              <w:spacing w:before="0" w:beforeAutospacing="0" w:after="0" w:afterAutospacing="0" w:line="360" w:lineRule="auto"/>
              <w:ind w:left="0" w:right="0"/>
              <w:jc w:val="center"/>
              <w:rPr>
                <w:rFonts w:hint="default"/>
                <w:color w:val="auto"/>
                <w:sz w:val="24"/>
                <w:u w:val="none"/>
              </w:rPr>
            </w:pPr>
            <w:r>
              <w:rPr>
                <w:rFonts w:hint="default"/>
                <w:color w:val="auto"/>
                <w:sz w:val="24"/>
                <w:u w:val="none"/>
              </w:rPr>
              <w:t>Q=q</w:t>
            </w:r>
            <w:r>
              <w:rPr>
                <w:rFonts w:hint="default"/>
                <w:color w:val="auto"/>
                <w:sz w:val="24"/>
                <w:u w:val="none"/>
                <w:vertAlign w:val="subscript"/>
              </w:rPr>
              <w:t>1</w:t>
            </w:r>
            <w:r>
              <w:rPr>
                <w:rFonts w:hint="default"/>
                <w:color w:val="auto"/>
                <w:sz w:val="24"/>
                <w:u w:val="none"/>
              </w:rPr>
              <w:t>/Q</w:t>
            </w:r>
            <w:r>
              <w:rPr>
                <w:rFonts w:hint="default"/>
                <w:color w:val="auto"/>
                <w:sz w:val="24"/>
                <w:u w:val="none"/>
                <w:vertAlign w:val="subscript"/>
              </w:rPr>
              <w:t>1</w:t>
            </w:r>
            <w:r>
              <w:rPr>
                <w:rFonts w:hint="default"/>
                <w:color w:val="auto"/>
                <w:sz w:val="24"/>
                <w:u w:val="none"/>
              </w:rPr>
              <w:t>+q</w:t>
            </w:r>
            <w:r>
              <w:rPr>
                <w:rFonts w:hint="default"/>
                <w:color w:val="auto"/>
                <w:sz w:val="24"/>
                <w:u w:val="none"/>
                <w:vertAlign w:val="subscript"/>
              </w:rPr>
              <w:t>2</w:t>
            </w:r>
            <w:r>
              <w:rPr>
                <w:rFonts w:hint="default"/>
                <w:color w:val="auto"/>
                <w:sz w:val="24"/>
                <w:u w:val="none"/>
              </w:rPr>
              <w:t>/Q</w:t>
            </w:r>
            <w:r>
              <w:rPr>
                <w:rFonts w:hint="default"/>
                <w:color w:val="auto"/>
                <w:sz w:val="24"/>
                <w:u w:val="none"/>
                <w:vertAlign w:val="subscript"/>
              </w:rPr>
              <w:t>2</w:t>
            </w:r>
            <w:r>
              <w:rPr>
                <w:rFonts w:hint="default"/>
                <w:color w:val="auto"/>
                <w:sz w:val="24"/>
                <w:u w:val="none"/>
              </w:rPr>
              <w:t>+···+q</w:t>
            </w:r>
            <w:r>
              <w:rPr>
                <w:rFonts w:hint="default"/>
                <w:color w:val="auto"/>
                <w:sz w:val="24"/>
                <w:u w:val="none"/>
                <w:vertAlign w:val="subscript"/>
              </w:rPr>
              <w:t>n</w:t>
            </w:r>
            <w:r>
              <w:rPr>
                <w:rFonts w:hint="default"/>
                <w:color w:val="auto"/>
                <w:sz w:val="24"/>
                <w:u w:val="none"/>
              </w:rPr>
              <w:t>/Q</w:t>
            </w:r>
            <w:r>
              <w:rPr>
                <w:rFonts w:hint="default"/>
                <w:color w:val="auto"/>
                <w:sz w:val="24"/>
                <w:u w:val="none"/>
                <w:vertAlign w:val="subscript"/>
              </w:rPr>
              <w:t>n</w:t>
            </w:r>
          </w:p>
          <w:p w14:paraId="76BD09B7">
            <w:pPr>
              <w:keepNext w:val="0"/>
              <w:keepLines w:val="0"/>
              <w:suppressLineNumbers w:val="0"/>
              <w:spacing w:before="0" w:beforeAutospacing="0" w:after="0" w:afterAutospacing="0" w:line="360" w:lineRule="auto"/>
              <w:ind w:left="0" w:right="0" w:firstLine="480" w:firstLineChars="200"/>
              <w:rPr>
                <w:rFonts w:hint="default"/>
                <w:color w:val="auto"/>
                <w:sz w:val="24"/>
                <w:u w:val="none"/>
              </w:rPr>
            </w:pPr>
            <w:r>
              <w:rPr>
                <w:rFonts w:hint="default"/>
                <w:color w:val="auto"/>
                <w:sz w:val="24"/>
                <w:u w:val="none"/>
              </w:rPr>
              <w:t>式中：q</w:t>
            </w:r>
            <w:r>
              <w:rPr>
                <w:rFonts w:hint="default"/>
                <w:color w:val="auto"/>
                <w:sz w:val="24"/>
                <w:u w:val="none"/>
                <w:vertAlign w:val="subscript"/>
              </w:rPr>
              <w:t>1</w:t>
            </w:r>
            <w:r>
              <w:rPr>
                <w:rFonts w:hint="default"/>
                <w:color w:val="auto"/>
                <w:sz w:val="24"/>
                <w:u w:val="none"/>
              </w:rPr>
              <w:t>，q</w:t>
            </w:r>
            <w:r>
              <w:rPr>
                <w:rFonts w:hint="default"/>
                <w:color w:val="auto"/>
                <w:sz w:val="24"/>
                <w:u w:val="none"/>
                <w:vertAlign w:val="subscript"/>
              </w:rPr>
              <w:t>2</w:t>
            </w:r>
            <w:r>
              <w:rPr>
                <w:rFonts w:hint="default"/>
                <w:color w:val="auto"/>
                <w:sz w:val="24"/>
                <w:u w:val="none"/>
              </w:rPr>
              <w:t>，…，q</w:t>
            </w:r>
            <w:r>
              <w:rPr>
                <w:rFonts w:hint="default"/>
                <w:color w:val="auto"/>
                <w:sz w:val="24"/>
                <w:u w:val="none"/>
                <w:vertAlign w:val="subscript"/>
              </w:rPr>
              <w:t>n</w:t>
            </w:r>
            <w:r>
              <w:rPr>
                <w:rFonts w:hint="default"/>
                <w:color w:val="auto"/>
                <w:sz w:val="24"/>
                <w:u w:val="none"/>
              </w:rPr>
              <w:t>——每种危险物质的最大存在总量，t；</w:t>
            </w:r>
          </w:p>
          <w:p w14:paraId="1A2EABD6">
            <w:pPr>
              <w:keepNext w:val="0"/>
              <w:keepLines w:val="0"/>
              <w:suppressLineNumbers w:val="0"/>
              <w:spacing w:before="0" w:beforeAutospacing="0" w:after="0" w:afterAutospacing="0" w:line="360" w:lineRule="auto"/>
              <w:ind w:left="0" w:right="0" w:firstLine="1200" w:firstLineChars="500"/>
              <w:rPr>
                <w:rFonts w:hint="default"/>
                <w:color w:val="auto"/>
                <w:sz w:val="24"/>
                <w:u w:val="none"/>
              </w:rPr>
            </w:pPr>
            <w:r>
              <w:rPr>
                <w:rFonts w:hint="default"/>
                <w:color w:val="auto"/>
                <w:sz w:val="24"/>
                <w:u w:val="none"/>
              </w:rPr>
              <w:t>Q</w:t>
            </w:r>
            <w:r>
              <w:rPr>
                <w:rFonts w:hint="default"/>
                <w:color w:val="auto"/>
                <w:sz w:val="24"/>
                <w:u w:val="none"/>
                <w:vertAlign w:val="subscript"/>
              </w:rPr>
              <w:t>1</w:t>
            </w:r>
            <w:r>
              <w:rPr>
                <w:rFonts w:hint="default"/>
                <w:color w:val="auto"/>
                <w:sz w:val="24"/>
                <w:u w:val="none"/>
              </w:rPr>
              <w:t>，Q</w:t>
            </w:r>
            <w:r>
              <w:rPr>
                <w:rFonts w:hint="default"/>
                <w:color w:val="auto"/>
                <w:sz w:val="24"/>
                <w:u w:val="none"/>
                <w:vertAlign w:val="subscript"/>
              </w:rPr>
              <w:t>2</w:t>
            </w:r>
            <w:r>
              <w:rPr>
                <w:rFonts w:hint="default"/>
                <w:color w:val="auto"/>
                <w:sz w:val="24"/>
                <w:u w:val="none"/>
              </w:rPr>
              <w:t>，…，Q</w:t>
            </w:r>
            <w:r>
              <w:rPr>
                <w:rFonts w:hint="default"/>
                <w:color w:val="auto"/>
                <w:sz w:val="24"/>
                <w:u w:val="none"/>
                <w:vertAlign w:val="subscript"/>
              </w:rPr>
              <w:t>n</w:t>
            </w:r>
            <w:r>
              <w:rPr>
                <w:rFonts w:hint="default"/>
                <w:color w:val="auto"/>
                <w:sz w:val="24"/>
                <w:u w:val="none"/>
              </w:rPr>
              <w:t>——每种危险物质的临界量，t。</w:t>
            </w:r>
          </w:p>
          <w:p w14:paraId="26B59168">
            <w:pPr>
              <w:keepNext w:val="0"/>
              <w:keepLines w:val="0"/>
              <w:suppressLineNumbers w:val="0"/>
              <w:spacing w:before="0" w:beforeAutospacing="0" w:after="0" w:afterAutospacing="0" w:line="360" w:lineRule="auto"/>
              <w:ind w:left="0" w:right="0" w:firstLine="480" w:firstLineChars="200"/>
              <w:rPr>
                <w:rFonts w:hint="default"/>
                <w:color w:val="auto"/>
                <w:sz w:val="24"/>
                <w:u w:val="none"/>
              </w:rPr>
            </w:pPr>
            <w:r>
              <w:rPr>
                <w:rFonts w:hint="default"/>
                <w:color w:val="auto"/>
                <w:sz w:val="24"/>
                <w:u w:val="none"/>
              </w:rPr>
              <w:t>本项目危险物质数量与临界量比值（Q）计算过程见下表。</w:t>
            </w:r>
          </w:p>
          <w:p w14:paraId="305A4678">
            <w:pPr>
              <w:keepNext w:val="0"/>
              <w:keepLines w:val="0"/>
              <w:suppressLineNumbers w:val="0"/>
              <w:spacing w:before="0" w:beforeAutospacing="0" w:after="0" w:afterAutospacing="0" w:line="360" w:lineRule="auto"/>
              <w:ind w:left="0" w:right="0"/>
              <w:jc w:val="center"/>
              <w:rPr>
                <w:rFonts w:hint="default"/>
                <w:color w:val="auto"/>
                <w:sz w:val="24"/>
                <w:szCs w:val="24"/>
                <w:u w:val="none"/>
              </w:rPr>
            </w:pPr>
            <w:r>
              <w:rPr>
                <w:rFonts w:hint="default"/>
                <w:b/>
                <w:color w:val="auto"/>
                <w:sz w:val="24"/>
                <w:szCs w:val="24"/>
                <w:u w:val="none"/>
              </w:rPr>
              <w:t>表</w:t>
            </w:r>
            <w:r>
              <w:rPr>
                <w:rFonts w:hint="eastAsia"/>
                <w:b/>
                <w:color w:val="auto"/>
                <w:sz w:val="24"/>
                <w:szCs w:val="24"/>
                <w:u w:val="none"/>
                <w:lang w:val="en-US" w:eastAsia="zh-CN"/>
              </w:rPr>
              <w:t xml:space="preserve">4-20 </w:t>
            </w:r>
            <w:r>
              <w:rPr>
                <w:rFonts w:hint="default"/>
                <w:b/>
                <w:color w:val="auto"/>
                <w:sz w:val="24"/>
                <w:szCs w:val="24"/>
                <w:u w:val="none"/>
              </w:rPr>
              <w:t xml:space="preserve"> 危险物质数量与临界量比值（Q）计算过程</w:t>
            </w:r>
          </w:p>
          <w:tbl>
            <w:tblPr>
              <w:tblStyle w:val="3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2115"/>
              <w:gridCol w:w="1814"/>
              <w:gridCol w:w="2152"/>
            </w:tblGrid>
            <w:tr w14:paraId="28F4A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pct"/>
                  <w:tcBorders>
                    <w:tl2br w:val="nil"/>
                    <w:tr2bl w:val="nil"/>
                  </w:tcBorders>
                  <w:noWrap w:val="0"/>
                  <w:vAlign w:val="center"/>
                </w:tcPr>
                <w:p w14:paraId="1C6F44DB">
                  <w:pPr>
                    <w:keepNext w:val="0"/>
                    <w:keepLines w:val="0"/>
                    <w:suppressLineNumbers w:val="0"/>
                    <w:spacing w:before="0" w:beforeAutospacing="0" w:after="0" w:afterAutospacing="0"/>
                    <w:ind w:left="0" w:right="0"/>
                    <w:jc w:val="center"/>
                    <w:rPr>
                      <w:rFonts w:hint="default"/>
                      <w:b/>
                      <w:bCs/>
                      <w:color w:val="auto"/>
                      <w:szCs w:val="21"/>
                      <w:u w:val="none"/>
                    </w:rPr>
                  </w:pPr>
                  <w:r>
                    <w:rPr>
                      <w:rFonts w:hint="default"/>
                      <w:b/>
                      <w:bCs/>
                      <w:color w:val="auto"/>
                      <w:szCs w:val="21"/>
                      <w:u w:val="none"/>
                    </w:rPr>
                    <w:t>物质名称</w:t>
                  </w:r>
                </w:p>
              </w:tc>
              <w:tc>
                <w:tcPr>
                  <w:tcW w:w="1219" w:type="pct"/>
                  <w:tcBorders>
                    <w:tl2br w:val="nil"/>
                    <w:tr2bl w:val="nil"/>
                  </w:tcBorders>
                  <w:noWrap w:val="0"/>
                  <w:vAlign w:val="center"/>
                </w:tcPr>
                <w:p w14:paraId="6F23D2BF">
                  <w:pPr>
                    <w:keepNext w:val="0"/>
                    <w:keepLines w:val="0"/>
                    <w:suppressLineNumbers w:val="0"/>
                    <w:spacing w:before="0" w:beforeAutospacing="0" w:after="0" w:afterAutospacing="0"/>
                    <w:ind w:left="0" w:right="0"/>
                    <w:jc w:val="center"/>
                    <w:rPr>
                      <w:rFonts w:hint="default"/>
                      <w:b/>
                      <w:bCs/>
                      <w:color w:val="auto"/>
                      <w:szCs w:val="21"/>
                      <w:u w:val="none"/>
                    </w:rPr>
                  </w:pPr>
                  <w:r>
                    <w:rPr>
                      <w:rFonts w:hint="default"/>
                      <w:b/>
                      <w:bCs/>
                      <w:color w:val="auto"/>
                      <w:szCs w:val="21"/>
                      <w:u w:val="none"/>
                    </w:rPr>
                    <w:t>q</w:t>
                  </w:r>
                  <w:r>
                    <w:rPr>
                      <w:rFonts w:hint="default"/>
                      <w:b/>
                      <w:bCs/>
                      <w:color w:val="auto"/>
                      <w:szCs w:val="21"/>
                      <w:u w:val="none"/>
                      <w:vertAlign w:val="subscript"/>
                    </w:rPr>
                    <w:t>n</w:t>
                  </w:r>
                  <w:r>
                    <w:rPr>
                      <w:rFonts w:hint="default"/>
                      <w:b/>
                      <w:bCs/>
                      <w:color w:val="auto"/>
                      <w:szCs w:val="21"/>
                      <w:u w:val="none"/>
                    </w:rPr>
                    <w:t>（t）</w:t>
                  </w:r>
                </w:p>
              </w:tc>
              <w:tc>
                <w:tcPr>
                  <w:tcW w:w="1046" w:type="pct"/>
                  <w:tcBorders>
                    <w:tl2br w:val="nil"/>
                    <w:tr2bl w:val="nil"/>
                  </w:tcBorders>
                  <w:noWrap w:val="0"/>
                  <w:vAlign w:val="center"/>
                </w:tcPr>
                <w:p w14:paraId="7F6A327D">
                  <w:pPr>
                    <w:keepNext w:val="0"/>
                    <w:keepLines w:val="0"/>
                    <w:suppressLineNumbers w:val="0"/>
                    <w:spacing w:before="0" w:beforeAutospacing="0" w:after="0" w:afterAutospacing="0"/>
                    <w:ind w:left="0" w:right="0"/>
                    <w:jc w:val="center"/>
                    <w:rPr>
                      <w:rFonts w:hint="default"/>
                      <w:b/>
                      <w:bCs/>
                      <w:color w:val="auto"/>
                      <w:szCs w:val="21"/>
                      <w:u w:val="none"/>
                    </w:rPr>
                  </w:pPr>
                  <w:r>
                    <w:rPr>
                      <w:rFonts w:hint="default"/>
                      <w:b/>
                      <w:bCs/>
                      <w:color w:val="auto"/>
                      <w:szCs w:val="21"/>
                      <w:u w:val="none"/>
                    </w:rPr>
                    <w:t>Q</w:t>
                  </w:r>
                  <w:r>
                    <w:rPr>
                      <w:rFonts w:hint="default"/>
                      <w:b/>
                      <w:bCs/>
                      <w:color w:val="auto"/>
                      <w:szCs w:val="21"/>
                      <w:u w:val="none"/>
                      <w:vertAlign w:val="subscript"/>
                    </w:rPr>
                    <w:t>n</w:t>
                  </w:r>
                  <w:r>
                    <w:rPr>
                      <w:rFonts w:hint="default"/>
                      <w:b/>
                      <w:bCs/>
                      <w:color w:val="auto"/>
                      <w:szCs w:val="21"/>
                      <w:u w:val="none"/>
                    </w:rPr>
                    <w:t>（t）</w:t>
                  </w:r>
                </w:p>
              </w:tc>
              <w:tc>
                <w:tcPr>
                  <w:tcW w:w="1241" w:type="pct"/>
                  <w:tcBorders>
                    <w:tl2br w:val="nil"/>
                    <w:tr2bl w:val="nil"/>
                  </w:tcBorders>
                  <w:noWrap w:val="0"/>
                  <w:vAlign w:val="center"/>
                </w:tcPr>
                <w:p w14:paraId="00479A26">
                  <w:pPr>
                    <w:keepNext w:val="0"/>
                    <w:keepLines w:val="0"/>
                    <w:suppressLineNumbers w:val="0"/>
                    <w:spacing w:before="0" w:beforeAutospacing="0" w:after="0" w:afterAutospacing="0"/>
                    <w:ind w:left="0" w:right="0"/>
                    <w:jc w:val="center"/>
                    <w:rPr>
                      <w:rFonts w:hint="default"/>
                      <w:b/>
                      <w:bCs/>
                      <w:color w:val="auto"/>
                      <w:szCs w:val="21"/>
                      <w:u w:val="none"/>
                    </w:rPr>
                  </w:pPr>
                  <w:r>
                    <w:rPr>
                      <w:rFonts w:hint="default"/>
                      <w:b/>
                      <w:bCs/>
                      <w:color w:val="auto"/>
                      <w:szCs w:val="21"/>
                      <w:u w:val="none"/>
                    </w:rPr>
                    <w:t>q</w:t>
                  </w:r>
                  <w:r>
                    <w:rPr>
                      <w:rFonts w:hint="default"/>
                      <w:b/>
                      <w:bCs/>
                      <w:color w:val="auto"/>
                      <w:szCs w:val="21"/>
                      <w:u w:val="none"/>
                      <w:vertAlign w:val="subscript"/>
                    </w:rPr>
                    <w:t>n</w:t>
                  </w:r>
                  <w:r>
                    <w:rPr>
                      <w:rFonts w:hint="default"/>
                      <w:b/>
                      <w:bCs/>
                      <w:color w:val="auto"/>
                      <w:szCs w:val="21"/>
                      <w:u w:val="none"/>
                    </w:rPr>
                    <w:t>/Q</w:t>
                  </w:r>
                  <w:r>
                    <w:rPr>
                      <w:rFonts w:hint="default"/>
                      <w:b/>
                      <w:bCs/>
                      <w:color w:val="auto"/>
                      <w:szCs w:val="21"/>
                      <w:u w:val="none"/>
                      <w:vertAlign w:val="subscript"/>
                    </w:rPr>
                    <w:t>n</w:t>
                  </w:r>
                </w:p>
              </w:tc>
            </w:tr>
            <w:tr w14:paraId="36AC2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pct"/>
                  <w:tcBorders>
                    <w:tl2br w:val="nil"/>
                    <w:tr2bl w:val="nil"/>
                  </w:tcBorders>
                  <w:noWrap w:val="0"/>
                  <w:vAlign w:val="center"/>
                </w:tcPr>
                <w:p w14:paraId="249BB86D">
                  <w:pPr>
                    <w:keepNext w:val="0"/>
                    <w:keepLines w:val="0"/>
                    <w:suppressLineNumbers w:val="0"/>
                    <w:spacing w:before="0" w:beforeAutospacing="0" w:after="0" w:afterAutospacing="0"/>
                    <w:ind w:left="0" w:right="0"/>
                    <w:jc w:val="center"/>
                    <w:rPr>
                      <w:rFonts w:hint="eastAsia" w:eastAsia="宋体"/>
                      <w:b w:val="0"/>
                      <w:bCs w:val="0"/>
                      <w:color w:val="auto"/>
                      <w:szCs w:val="21"/>
                      <w:u w:val="none"/>
                      <w:lang w:eastAsia="zh-CN"/>
                    </w:rPr>
                  </w:pPr>
                  <w:r>
                    <w:rPr>
                      <w:rFonts w:hint="eastAsia"/>
                      <w:b w:val="0"/>
                      <w:bCs w:val="0"/>
                      <w:color w:val="auto"/>
                      <w:szCs w:val="21"/>
                      <w:u w:val="none"/>
                      <w:lang w:eastAsia="zh-CN"/>
                    </w:rPr>
                    <w:t>丙烷</w:t>
                  </w:r>
                </w:p>
              </w:tc>
              <w:tc>
                <w:tcPr>
                  <w:tcW w:w="2115" w:type="dxa"/>
                  <w:tcBorders>
                    <w:tl2br w:val="nil"/>
                    <w:tr2bl w:val="nil"/>
                  </w:tcBorders>
                  <w:noWrap w:val="0"/>
                  <w:vAlign w:val="center"/>
                </w:tcPr>
                <w:p w14:paraId="0CC0C21B">
                  <w:pPr>
                    <w:keepNext w:val="0"/>
                    <w:keepLines w:val="0"/>
                    <w:widowControl/>
                    <w:suppressLineNumbers w:val="0"/>
                    <w:spacing w:before="0" w:beforeAutospacing="0" w:after="0" w:afterAutospacing="0"/>
                    <w:ind w:left="0" w:right="0"/>
                    <w:jc w:val="center"/>
                    <w:textAlignment w:val="center"/>
                    <w:rPr>
                      <w:rFonts w:hint="eastAsia" w:eastAsia="宋体"/>
                      <w:b w:val="0"/>
                      <w:bCs w:val="0"/>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0.035</w:t>
                  </w:r>
                </w:p>
              </w:tc>
              <w:tc>
                <w:tcPr>
                  <w:tcW w:w="1814" w:type="dxa"/>
                  <w:tcBorders>
                    <w:tl2br w:val="nil"/>
                    <w:tr2bl w:val="nil"/>
                  </w:tcBorders>
                  <w:noWrap w:val="0"/>
                  <w:vAlign w:val="center"/>
                </w:tcPr>
                <w:p w14:paraId="6F0E2518">
                  <w:pPr>
                    <w:keepNext w:val="0"/>
                    <w:keepLines w:val="0"/>
                    <w:widowControl/>
                    <w:suppressLineNumbers w:val="0"/>
                    <w:spacing w:before="0" w:beforeAutospacing="0" w:after="0" w:afterAutospacing="0"/>
                    <w:ind w:left="0" w:right="0"/>
                    <w:jc w:val="center"/>
                    <w:textAlignment w:val="center"/>
                    <w:rPr>
                      <w:rFonts w:hint="default" w:eastAsia="宋体"/>
                      <w:b w:val="0"/>
                      <w:bCs w:val="0"/>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152" w:type="dxa"/>
                  <w:tcBorders>
                    <w:tl2br w:val="nil"/>
                    <w:tr2bl w:val="nil"/>
                  </w:tcBorders>
                  <w:noWrap w:val="0"/>
                  <w:vAlign w:val="center"/>
                </w:tcPr>
                <w:p w14:paraId="0C48375E">
                  <w:pPr>
                    <w:keepNext w:val="0"/>
                    <w:keepLines w:val="0"/>
                    <w:widowControl/>
                    <w:suppressLineNumbers w:val="0"/>
                    <w:spacing w:before="0" w:beforeAutospacing="0" w:after="0" w:afterAutospacing="0"/>
                    <w:ind w:left="0" w:right="0"/>
                    <w:jc w:val="center"/>
                    <w:textAlignment w:val="center"/>
                    <w:rPr>
                      <w:rFonts w:hint="default" w:eastAsia="宋体"/>
                      <w:b w:val="0"/>
                      <w:bCs w:val="0"/>
                      <w:color w:val="auto"/>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0.0035</w:t>
                  </w:r>
                </w:p>
              </w:tc>
            </w:tr>
            <w:tr w14:paraId="5B59D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pct"/>
                  <w:tcBorders>
                    <w:tl2br w:val="nil"/>
                    <w:tr2bl w:val="nil"/>
                  </w:tcBorders>
                  <w:noWrap w:val="0"/>
                  <w:vAlign w:val="center"/>
                </w:tcPr>
                <w:p w14:paraId="5386AF78">
                  <w:pPr>
                    <w:pStyle w:val="91"/>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Cs w:val="21"/>
                      <w:u w:val="none"/>
                      <w:lang w:val="en-US" w:eastAsia="zh-CN"/>
                    </w:rPr>
                  </w:pPr>
                  <w:r>
                    <w:rPr>
                      <w:rFonts w:hint="eastAsia"/>
                      <w:color w:val="auto"/>
                      <w:sz w:val="21"/>
                      <w:szCs w:val="21"/>
                      <w:highlight w:val="none"/>
                      <w:u w:val="none"/>
                      <w:lang w:val="en-US" w:eastAsia="zh-CN"/>
                    </w:rPr>
                    <w:t>乙炔</w:t>
                  </w:r>
                </w:p>
              </w:tc>
              <w:tc>
                <w:tcPr>
                  <w:tcW w:w="2115" w:type="dxa"/>
                  <w:tcBorders>
                    <w:tl2br w:val="nil"/>
                    <w:tr2bl w:val="nil"/>
                  </w:tcBorders>
                  <w:noWrap w:val="0"/>
                  <w:vAlign w:val="center"/>
                </w:tcPr>
                <w:p w14:paraId="23AFA87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1814" w:type="dxa"/>
                  <w:tcBorders>
                    <w:tl2br w:val="nil"/>
                    <w:tr2bl w:val="nil"/>
                  </w:tcBorders>
                  <w:noWrap w:val="0"/>
                  <w:vAlign w:val="center"/>
                </w:tcPr>
                <w:p w14:paraId="3940B46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152" w:type="dxa"/>
                  <w:tcBorders>
                    <w:tl2br w:val="nil"/>
                    <w:tr2bl w:val="nil"/>
                  </w:tcBorders>
                  <w:noWrap w:val="0"/>
                  <w:vAlign w:val="center"/>
                </w:tcPr>
                <w:p w14:paraId="10EDF2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0.0014</w:t>
                  </w:r>
                </w:p>
              </w:tc>
            </w:tr>
            <w:tr w14:paraId="1C65C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pct"/>
                  <w:tcBorders>
                    <w:tl2br w:val="nil"/>
                    <w:tr2bl w:val="nil"/>
                  </w:tcBorders>
                  <w:noWrap w:val="0"/>
                  <w:vAlign w:val="center"/>
                </w:tcPr>
                <w:p w14:paraId="0CE27D73">
                  <w:pPr>
                    <w:pStyle w:val="91"/>
                    <w:keepNext w:val="0"/>
                    <w:keepLines w:val="0"/>
                    <w:suppressLineNumbers w:val="0"/>
                    <w:bidi w:val="0"/>
                    <w:spacing w:before="0" w:beforeAutospacing="0" w:after="0" w:afterAutospacing="0"/>
                    <w:ind w:left="0" w:right="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二甲苯</w:t>
                  </w:r>
                </w:p>
              </w:tc>
              <w:tc>
                <w:tcPr>
                  <w:tcW w:w="2115" w:type="dxa"/>
                  <w:tcBorders>
                    <w:tl2br w:val="nil"/>
                    <w:tr2bl w:val="nil"/>
                  </w:tcBorders>
                  <w:noWrap w:val="0"/>
                  <w:vAlign w:val="center"/>
                </w:tcPr>
                <w:p w14:paraId="0C50F72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0.758</w:t>
                  </w:r>
                </w:p>
              </w:tc>
              <w:tc>
                <w:tcPr>
                  <w:tcW w:w="1814" w:type="dxa"/>
                  <w:tcBorders>
                    <w:tl2br w:val="nil"/>
                    <w:tr2bl w:val="nil"/>
                  </w:tcBorders>
                  <w:noWrap w:val="0"/>
                  <w:vAlign w:val="center"/>
                </w:tcPr>
                <w:p w14:paraId="0099C92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152" w:type="dxa"/>
                  <w:tcBorders>
                    <w:tl2br w:val="nil"/>
                    <w:tr2bl w:val="nil"/>
                  </w:tcBorders>
                  <w:noWrap w:val="0"/>
                  <w:vAlign w:val="center"/>
                </w:tcPr>
                <w:p w14:paraId="5F840F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0.0758</w:t>
                  </w:r>
                </w:p>
              </w:tc>
            </w:tr>
            <w:tr w14:paraId="5928F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pct"/>
                  <w:tcBorders>
                    <w:tl2br w:val="nil"/>
                    <w:tr2bl w:val="nil"/>
                  </w:tcBorders>
                  <w:noWrap w:val="0"/>
                  <w:vAlign w:val="center"/>
                </w:tcPr>
                <w:p w14:paraId="75725C71">
                  <w:pPr>
                    <w:pStyle w:val="91"/>
                    <w:keepNext w:val="0"/>
                    <w:keepLines w:val="0"/>
                    <w:suppressLineNumbers w:val="0"/>
                    <w:bidi w:val="0"/>
                    <w:spacing w:before="0" w:beforeAutospacing="0" w:after="0" w:afterAutospacing="0"/>
                    <w:ind w:left="0" w:right="0"/>
                    <w:jc w:val="center"/>
                    <w:rPr>
                      <w:rFonts w:hint="eastAsia"/>
                      <w:color w:val="auto"/>
                      <w:sz w:val="21"/>
                      <w:szCs w:val="21"/>
                      <w:highlight w:val="none"/>
                      <w:u w:val="none"/>
                      <w:lang w:val="en-US" w:eastAsia="zh-CN"/>
                    </w:rPr>
                  </w:pPr>
                  <w:r>
                    <w:rPr>
                      <w:rFonts w:hint="eastAsia"/>
                      <w:color w:val="auto"/>
                      <w:sz w:val="21"/>
                      <w:szCs w:val="21"/>
                      <w:highlight w:val="none"/>
                      <w:u w:val="none"/>
                      <w:lang w:val="en-US" w:eastAsia="zh-CN"/>
                    </w:rPr>
                    <w:t>乙苯</w:t>
                  </w:r>
                </w:p>
              </w:tc>
              <w:tc>
                <w:tcPr>
                  <w:tcW w:w="2115" w:type="dxa"/>
                  <w:tcBorders>
                    <w:tl2br w:val="nil"/>
                    <w:tr2bl w:val="nil"/>
                  </w:tcBorders>
                  <w:noWrap w:val="0"/>
                  <w:vAlign w:val="center"/>
                </w:tcPr>
                <w:p w14:paraId="7F8AC30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0.052</w:t>
                  </w:r>
                </w:p>
              </w:tc>
              <w:tc>
                <w:tcPr>
                  <w:tcW w:w="1814" w:type="dxa"/>
                  <w:tcBorders>
                    <w:tl2br w:val="nil"/>
                    <w:tr2bl w:val="nil"/>
                  </w:tcBorders>
                  <w:noWrap w:val="0"/>
                  <w:vAlign w:val="center"/>
                </w:tcPr>
                <w:p w14:paraId="0A3EB5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152" w:type="dxa"/>
                  <w:tcBorders>
                    <w:tl2br w:val="nil"/>
                    <w:tr2bl w:val="nil"/>
                  </w:tcBorders>
                  <w:noWrap w:val="0"/>
                  <w:vAlign w:val="center"/>
                </w:tcPr>
                <w:p w14:paraId="64D98C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0.0052</w:t>
                  </w:r>
                </w:p>
              </w:tc>
            </w:tr>
            <w:tr w14:paraId="70717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pct"/>
                  <w:tcBorders>
                    <w:tl2br w:val="nil"/>
                    <w:tr2bl w:val="nil"/>
                  </w:tcBorders>
                  <w:noWrap w:val="0"/>
                  <w:vAlign w:val="center"/>
                </w:tcPr>
                <w:p w14:paraId="6F2CC2F2">
                  <w:pPr>
                    <w:pStyle w:val="9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Cs w:val="21"/>
                      <w:u w:val="none"/>
                      <w:lang w:val="en-US" w:eastAsia="zh-CN"/>
                    </w:rPr>
                  </w:pPr>
                  <w:r>
                    <w:rPr>
                      <w:rFonts w:hint="eastAsia" w:eastAsia="宋体" w:cs="Times New Roman"/>
                      <w:color w:val="auto"/>
                      <w:szCs w:val="21"/>
                      <w:u w:val="none"/>
                      <w:lang w:val="en-US" w:eastAsia="zh-CN"/>
                    </w:rPr>
                    <w:t>丁醇</w:t>
                  </w:r>
                </w:p>
              </w:tc>
              <w:tc>
                <w:tcPr>
                  <w:tcW w:w="2115" w:type="dxa"/>
                  <w:tcBorders>
                    <w:tl2br w:val="nil"/>
                    <w:tr2bl w:val="nil"/>
                  </w:tcBorders>
                  <w:noWrap w:val="0"/>
                  <w:vAlign w:val="center"/>
                </w:tcPr>
                <w:p w14:paraId="203BC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0.17</w:t>
                  </w:r>
                </w:p>
              </w:tc>
              <w:tc>
                <w:tcPr>
                  <w:tcW w:w="1814" w:type="dxa"/>
                  <w:tcBorders>
                    <w:tl2br w:val="nil"/>
                    <w:tr2bl w:val="nil"/>
                  </w:tcBorders>
                  <w:noWrap w:val="0"/>
                  <w:vAlign w:val="center"/>
                </w:tcPr>
                <w:p w14:paraId="33FC29F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152" w:type="dxa"/>
                  <w:tcBorders>
                    <w:tl2br w:val="nil"/>
                    <w:tr2bl w:val="nil"/>
                  </w:tcBorders>
                  <w:noWrap w:val="0"/>
                  <w:vAlign w:val="center"/>
                </w:tcPr>
                <w:p w14:paraId="666987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0.017</w:t>
                  </w:r>
                </w:p>
              </w:tc>
            </w:tr>
            <w:tr w14:paraId="0167F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pct"/>
                  <w:tcBorders>
                    <w:tl2br w:val="nil"/>
                    <w:tr2bl w:val="nil"/>
                  </w:tcBorders>
                  <w:noWrap w:val="0"/>
                  <w:vAlign w:val="center"/>
                </w:tcPr>
                <w:p w14:paraId="3C51A59B">
                  <w:pPr>
                    <w:pStyle w:val="9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Cs w:val="21"/>
                      <w:u w:val="none"/>
                      <w:lang w:val="en-US" w:eastAsia="zh-CN"/>
                    </w:rPr>
                  </w:pPr>
                  <w:r>
                    <w:rPr>
                      <w:rFonts w:hint="eastAsia" w:eastAsia="宋体" w:cs="Times New Roman"/>
                      <w:color w:val="auto"/>
                      <w:szCs w:val="21"/>
                      <w:u w:val="none"/>
                      <w:lang w:val="en-US" w:eastAsia="zh-CN"/>
                    </w:rPr>
                    <w:t>溶剂汽油</w:t>
                  </w:r>
                </w:p>
              </w:tc>
              <w:tc>
                <w:tcPr>
                  <w:tcW w:w="2115" w:type="dxa"/>
                  <w:tcBorders>
                    <w:tl2br w:val="nil"/>
                    <w:tr2bl w:val="nil"/>
                  </w:tcBorders>
                  <w:noWrap w:val="0"/>
                  <w:vAlign w:val="center"/>
                </w:tcPr>
                <w:p w14:paraId="7629DD6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0.046</w:t>
                  </w:r>
                </w:p>
              </w:tc>
              <w:tc>
                <w:tcPr>
                  <w:tcW w:w="1814" w:type="dxa"/>
                  <w:tcBorders>
                    <w:tl2br w:val="nil"/>
                    <w:tr2bl w:val="nil"/>
                  </w:tcBorders>
                  <w:noWrap w:val="0"/>
                  <w:vAlign w:val="center"/>
                </w:tcPr>
                <w:p w14:paraId="7A37521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2152" w:type="dxa"/>
                  <w:tcBorders>
                    <w:tl2br w:val="nil"/>
                    <w:tr2bl w:val="nil"/>
                  </w:tcBorders>
                  <w:noWrap w:val="0"/>
                  <w:vAlign w:val="center"/>
                </w:tcPr>
                <w:p w14:paraId="70A402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0.0000184</w:t>
                  </w:r>
                </w:p>
              </w:tc>
            </w:tr>
            <w:tr w14:paraId="516E2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pct"/>
                  <w:tcBorders>
                    <w:tl2br w:val="nil"/>
                    <w:tr2bl w:val="nil"/>
                  </w:tcBorders>
                  <w:noWrap w:val="0"/>
                  <w:vAlign w:val="center"/>
                </w:tcPr>
                <w:p w14:paraId="7482E7AC">
                  <w:pPr>
                    <w:pStyle w:val="9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Cs w:val="21"/>
                      <w:u w:val="none"/>
                      <w:lang w:val="en-US" w:eastAsia="zh-CN"/>
                    </w:rPr>
                  </w:pPr>
                  <w:r>
                    <w:rPr>
                      <w:rFonts w:hint="eastAsia" w:eastAsia="宋体" w:cs="Times New Roman"/>
                      <w:color w:val="auto"/>
                      <w:szCs w:val="21"/>
                      <w:u w:val="none"/>
                      <w:lang w:val="en-US" w:eastAsia="zh-CN"/>
                    </w:rPr>
                    <w:t>危险废物</w:t>
                  </w:r>
                </w:p>
              </w:tc>
              <w:tc>
                <w:tcPr>
                  <w:tcW w:w="2115" w:type="dxa"/>
                  <w:tcBorders>
                    <w:tl2br w:val="nil"/>
                    <w:tr2bl w:val="nil"/>
                  </w:tcBorders>
                  <w:noWrap w:val="0"/>
                  <w:vAlign w:val="center"/>
                </w:tcPr>
                <w:p w14:paraId="0D943E05">
                  <w:pPr>
                    <w:keepNext w:val="0"/>
                    <w:keepLines w:val="0"/>
                    <w:widowControl/>
                    <w:suppressLineNumbers w:val="0"/>
                    <w:spacing w:before="0" w:beforeAutospacing="0" w:after="0" w:afterAutospacing="0"/>
                    <w:ind w:left="0" w:right="0"/>
                    <w:jc w:val="center"/>
                    <w:textAlignment w:val="center"/>
                    <w:rPr>
                      <w:rFonts w:hint="default"/>
                      <w:color w:val="auto"/>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0.511</w:t>
                  </w:r>
                </w:p>
              </w:tc>
              <w:tc>
                <w:tcPr>
                  <w:tcW w:w="1814" w:type="dxa"/>
                  <w:tcBorders>
                    <w:tl2br w:val="nil"/>
                    <w:tr2bl w:val="nil"/>
                  </w:tcBorders>
                  <w:noWrap w:val="0"/>
                  <w:vAlign w:val="center"/>
                </w:tcPr>
                <w:p w14:paraId="7B9CB588">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2152" w:type="dxa"/>
                  <w:tcBorders>
                    <w:tl2br w:val="nil"/>
                    <w:tr2bl w:val="nil"/>
                  </w:tcBorders>
                  <w:noWrap w:val="0"/>
                  <w:vAlign w:val="center"/>
                </w:tcPr>
                <w:p w14:paraId="1916C04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FF0000"/>
                      <w:sz w:val="21"/>
                      <w:szCs w:val="21"/>
                      <w:highlight w:val="none"/>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0.01022</w:t>
                  </w:r>
                </w:p>
              </w:tc>
            </w:tr>
            <w:tr w14:paraId="29A81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58" w:type="pct"/>
                  <w:gridSpan w:val="3"/>
                  <w:tcBorders>
                    <w:tl2br w:val="nil"/>
                    <w:tr2bl w:val="nil"/>
                  </w:tcBorders>
                  <w:noWrap w:val="0"/>
                  <w:vAlign w:val="center"/>
                </w:tcPr>
                <w:p w14:paraId="51C4E9F7">
                  <w:pPr>
                    <w:keepNext w:val="0"/>
                    <w:keepLines w:val="0"/>
                    <w:suppressLineNumbers w:val="0"/>
                    <w:spacing w:before="0" w:beforeAutospacing="0" w:after="0" w:afterAutospacing="0"/>
                    <w:ind w:left="0" w:right="0"/>
                    <w:jc w:val="center"/>
                    <w:rPr>
                      <w:rFonts w:hint="eastAsia"/>
                      <w:color w:val="auto"/>
                      <w:szCs w:val="21"/>
                      <w:u w:val="none"/>
                      <w:lang w:val="en-US" w:eastAsia="zh-CN"/>
                    </w:rPr>
                  </w:pPr>
                  <w:r>
                    <w:rPr>
                      <w:rFonts w:hint="eastAsia"/>
                      <w:color w:val="auto"/>
                      <w:szCs w:val="21"/>
                      <w:u w:val="none"/>
                      <w:lang w:val="en-US" w:eastAsia="zh-CN"/>
                    </w:rPr>
                    <w:t>合计</w:t>
                  </w:r>
                </w:p>
              </w:tc>
              <w:tc>
                <w:tcPr>
                  <w:tcW w:w="1241" w:type="pct"/>
                  <w:tcBorders>
                    <w:tl2br w:val="nil"/>
                    <w:tr2bl w:val="nil"/>
                  </w:tcBorders>
                  <w:noWrap w:val="0"/>
                  <w:vAlign w:val="center"/>
                </w:tcPr>
                <w:p w14:paraId="4EDBFF27">
                  <w:pPr>
                    <w:pStyle w:val="91"/>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0.</w:t>
                  </w:r>
                  <w:r>
                    <w:rPr>
                      <w:rFonts w:hint="eastAsia" w:eastAsia="宋体" w:cs="Times New Roman"/>
                      <w:color w:val="auto"/>
                      <w:sz w:val="21"/>
                      <w:szCs w:val="21"/>
                      <w:highlight w:val="none"/>
                      <w:u w:val="none"/>
                      <w:lang w:val="en-US" w:eastAsia="zh-CN"/>
                    </w:rPr>
                    <w:t>1131</w:t>
                  </w:r>
                </w:p>
              </w:tc>
            </w:tr>
          </w:tbl>
          <w:p w14:paraId="5898DC29">
            <w:pPr>
              <w:keepNext w:val="0"/>
              <w:keepLines w:val="0"/>
              <w:suppressLineNumbers w:val="0"/>
              <w:spacing w:before="0" w:beforeAutospacing="0" w:after="0" w:afterAutospacing="0" w:line="360" w:lineRule="auto"/>
              <w:ind w:left="0" w:right="0" w:firstLine="480" w:firstLineChars="200"/>
              <w:rPr>
                <w:rFonts w:hint="default"/>
                <w:color w:val="auto"/>
                <w:sz w:val="24"/>
                <w:szCs w:val="24"/>
                <w:u w:val="single"/>
              </w:rPr>
            </w:pPr>
            <w:r>
              <w:rPr>
                <w:rFonts w:hint="default"/>
                <w:color w:val="auto"/>
                <w:sz w:val="24"/>
                <w:szCs w:val="24"/>
                <w:u w:val="none"/>
              </w:rPr>
              <w:t>经</w:t>
            </w:r>
            <w:r>
              <w:rPr>
                <w:rFonts w:hint="default" w:ascii="Times New Roman" w:hAnsi="Times New Roman" w:eastAsia="宋体" w:cs="Times New Roman"/>
                <w:color w:val="auto"/>
                <w:sz w:val="24"/>
                <w:szCs w:val="24"/>
                <w:u w:val="none"/>
              </w:rPr>
              <w:t>计算得，</w:t>
            </w:r>
            <w:r>
              <w:rPr>
                <w:rFonts w:hint="eastAsia" w:ascii="Times New Roman" w:hAnsi="Times New Roman" w:eastAsia="宋体" w:cs="Times New Roman"/>
                <w:color w:val="auto"/>
                <w:sz w:val="24"/>
                <w:szCs w:val="24"/>
                <w:u w:val="none"/>
                <w:lang w:val="en-US" w:eastAsia="zh-CN"/>
              </w:rPr>
              <w:t>本项目</w:t>
            </w:r>
            <w:r>
              <w:rPr>
                <w:rFonts w:hint="default" w:ascii="Times New Roman" w:hAnsi="Times New Roman" w:eastAsia="宋体" w:cs="Times New Roman"/>
                <w:color w:val="auto"/>
                <w:sz w:val="24"/>
                <w:szCs w:val="24"/>
                <w:u w:val="none"/>
              </w:rPr>
              <w:t>Q=0.</w:t>
            </w:r>
            <w:r>
              <w:rPr>
                <w:rFonts w:hint="eastAsia" w:eastAsia="宋体" w:cs="Times New Roman"/>
                <w:color w:val="auto"/>
                <w:sz w:val="24"/>
                <w:szCs w:val="24"/>
                <w:u w:val="none"/>
                <w:lang w:val="en-US" w:eastAsia="zh-CN"/>
              </w:rPr>
              <w:t>1131</w:t>
            </w:r>
            <w:r>
              <w:rPr>
                <w:rFonts w:hint="default" w:ascii="Times New Roman" w:hAnsi="Times New Roman" w:eastAsia="宋体" w:cs="Times New Roman"/>
                <w:color w:val="auto"/>
                <w:sz w:val="24"/>
                <w:szCs w:val="24"/>
                <w:u w:val="none"/>
              </w:rPr>
              <w:t>＜1。本项目环境风险潜势为Ⅰ，可开展</w:t>
            </w:r>
            <w:r>
              <w:rPr>
                <w:rFonts w:hint="default"/>
                <w:color w:val="auto"/>
                <w:sz w:val="24"/>
                <w:szCs w:val="24"/>
                <w:u w:val="none"/>
              </w:rPr>
              <w:t>简单分析。</w:t>
            </w:r>
          </w:p>
          <w:p w14:paraId="06EA7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u w:val="none"/>
                <w:lang w:val="en-US" w:eastAsia="zh-CN"/>
              </w:rPr>
            </w:pPr>
            <w:r>
              <w:rPr>
                <w:rFonts w:hint="eastAsia" w:cs="Times New Roman"/>
                <w:b/>
                <w:bCs/>
                <w:color w:val="auto"/>
                <w:sz w:val="24"/>
                <w:szCs w:val="24"/>
                <w:u w:val="none"/>
                <w:lang w:val="en-US" w:eastAsia="zh-CN"/>
              </w:rPr>
              <w:t>（2）环境风险识别</w:t>
            </w:r>
          </w:p>
          <w:p w14:paraId="41F7C76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Times New Roman" w:hAnsi="Times New Roman" w:eastAsia="宋体" w:cs="Times New Roman"/>
                <w:color w:val="auto"/>
                <w:kern w:val="2"/>
                <w:sz w:val="24"/>
                <w:szCs w:val="24"/>
                <w:u w:val="none"/>
                <w:lang w:val="en-US" w:eastAsia="zh-CN"/>
              </w:rPr>
              <w:t>根据《危险化学品重大危险源识别》</w:t>
            </w:r>
            <w:r>
              <w:rPr>
                <w:rFonts w:hint="default" w:ascii="Times New Roman" w:hAnsi="Times New Roman" w:eastAsia="宋体" w:cs="Times New Roman"/>
                <w:color w:val="auto"/>
                <w:kern w:val="2"/>
                <w:sz w:val="24"/>
                <w:szCs w:val="24"/>
                <w:u w:val="none"/>
                <w:lang w:val="en-US" w:eastAsia="zh-CN"/>
              </w:rPr>
              <w:t>(GB18218-2018)</w:t>
            </w:r>
            <w:r>
              <w:rPr>
                <w:rFonts w:hint="eastAsia" w:ascii="Times New Roman" w:hAnsi="Times New Roman" w:eastAsia="宋体" w:cs="Times New Roman"/>
                <w:color w:val="auto"/>
                <w:kern w:val="2"/>
                <w:sz w:val="24"/>
                <w:szCs w:val="24"/>
                <w:u w:val="none"/>
                <w:lang w:val="en-US" w:eastAsia="zh-CN"/>
              </w:rPr>
              <w:t>，本项目使用原料均未超过其规定的临界量，且危险化学品数量与临界量比值之和</w:t>
            </w:r>
            <w:r>
              <w:rPr>
                <w:rFonts w:hint="default" w:ascii="Times New Roman" w:hAnsi="Times New Roman" w:eastAsia="宋体" w:cs="Times New Roman"/>
                <w:color w:val="auto"/>
                <w:kern w:val="2"/>
                <w:sz w:val="24"/>
                <w:szCs w:val="24"/>
                <w:u w:val="none"/>
                <w:lang w:val="en-US" w:eastAsia="zh-CN"/>
              </w:rPr>
              <w:t>Q&lt;1</w:t>
            </w:r>
            <w:r>
              <w:rPr>
                <w:rFonts w:hint="eastAsia" w:ascii="Times New Roman" w:hAnsi="Times New Roman" w:eastAsia="宋体" w:cs="Times New Roman"/>
                <w:color w:val="auto"/>
                <w:kern w:val="2"/>
                <w:sz w:val="24"/>
                <w:szCs w:val="24"/>
                <w:u w:val="none"/>
                <w:lang w:val="en-US" w:eastAsia="zh-CN"/>
              </w:rPr>
              <w:t>，故不构成重大危险源。</w:t>
            </w:r>
          </w:p>
          <w:p w14:paraId="5A1B45F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Times New Roman" w:hAnsi="Times New Roman" w:eastAsia="宋体" w:cs="Times New Roman"/>
                <w:color w:val="auto"/>
                <w:kern w:val="2"/>
                <w:sz w:val="24"/>
                <w:szCs w:val="24"/>
                <w:u w:val="none"/>
                <w:lang w:val="en-US" w:eastAsia="zh-CN"/>
              </w:rPr>
              <w:t>本项目主要可能发生的事故为危废、原辅材料泄露，以下评价仅进行可能产生的环境风险分析，本项目风险识别见下表。</w:t>
            </w:r>
          </w:p>
          <w:p w14:paraId="52E76480">
            <w:pPr>
              <w:keepNext w:val="0"/>
              <w:keepLines w:val="0"/>
              <w:suppressLineNumbers w:val="0"/>
              <w:spacing w:before="0" w:beforeAutospacing="0" w:after="0" w:afterAutospacing="0" w:line="360" w:lineRule="auto"/>
              <w:ind w:left="0" w:right="0"/>
              <w:jc w:val="center"/>
              <w:rPr>
                <w:rFonts w:hint="eastAsia" w:cs="宋体"/>
                <w:b/>
                <w:kern w:val="0"/>
                <w:sz w:val="24"/>
                <w:szCs w:val="24"/>
              </w:rPr>
            </w:pPr>
            <w:r>
              <w:rPr>
                <w:rFonts w:hint="eastAsia" w:cs="宋体"/>
                <w:b/>
                <w:kern w:val="0"/>
                <w:sz w:val="24"/>
                <w:szCs w:val="24"/>
              </w:rPr>
              <w:t>表</w:t>
            </w:r>
            <w:r>
              <w:rPr>
                <w:rFonts w:hint="eastAsia" w:cs="宋体"/>
                <w:b/>
                <w:kern w:val="0"/>
                <w:sz w:val="24"/>
                <w:szCs w:val="24"/>
                <w:lang w:val="en-US" w:eastAsia="zh-CN"/>
              </w:rPr>
              <w:t>4-21</w:t>
            </w:r>
            <w:r>
              <w:rPr>
                <w:rFonts w:hint="eastAsia" w:cs="宋体"/>
                <w:b/>
                <w:kern w:val="0"/>
                <w:sz w:val="24"/>
                <w:szCs w:val="24"/>
              </w:rPr>
              <w:t xml:space="preserve">  主要风险因素识别表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830"/>
              <w:gridCol w:w="1521"/>
              <w:gridCol w:w="1644"/>
              <w:gridCol w:w="2499"/>
            </w:tblGrid>
            <w:tr w14:paraId="202C5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tcBorders>
                    <w:tl2br w:val="nil"/>
                    <w:tr2bl w:val="nil"/>
                  </w:tcBorders>
                  <w:noWrap w:val="0"/>
                  <w:vAlign w:val="center"/>
                </w:tcPr>
                <w:p w14:paraId="00A00FF7">
                  <w:pPr>
                    <w:keepNext w:val="0"/>
                    <w:keepLines w:val="0"/>
                    <w:suppressLineNumbers w:val="0"/>
                    <w:spacing w:before="0" w:beforeAutospacing="0" w:after="0" w:afterAutospacing="0" w:line="240" w:lineRule="auto"/>
                    <w:ind w:left="0" w:right="0"/>
                    <w:jc w:val="center"/>
                    <w:rPr>
                      <w:rFonts w:hint="default" w:eastAsia="宋体"/>
                      <w:b/>
                      <w:bCs/>
                      <w:sz w:val="21"/>
                      <w:szCs w:val="21"/>
                    </w:rPr>
                  </w:pPr>
                  <w:r>
                    <w:rPr>
                      <w:rFonts w:hint="eastAsia" w:eastAsia="宋体"/>
                      <w:b/>
                      <w:bCs/>
                      <w:sz w:val="21"/>
                      <w:szCs w:val="21"/>
                    </w:rPr>
                    <w:t>风险源</w:t>
                  </w:r>
                </w:p>
              </w:tc>
              <w:tc>
                <w:tcPr>
                  <w:tcW w:w="1830" w:type="dxa"/>
                  <w:tcBorders>
                    <w:tl2br w:val="nil"/>
                    <w:tr2bl w:val="nil"/>
                  </w:tcBorders>
                  <w:noWrap w:val="0"/>
                  <w:vAlign w:val="center"/>
                </w:tcPr>
                <w:p w14:paraId="7F43015B">
                  <w:pPr>
                    <w:keepNext w:val="0"/>
                    <w:keepLines w:val="0"/>
                    <w:suppressLineNumbers w:val="0"/>
                    <w:spacing w:before="0" w:beforeAutospacing="0" w:after="0" w:afterAutospacing="0" w:line="240" w:lineRule="auto"/>
                    <w:ind w:left="0" w:right="0"/>
                    <w:jc w:val="center"/>
                    <w:rPr>
                      <w:rFonts w:hint="default" w:eastAsia="宋体"/>
                      <w:b/>
                      <w:bCs/>
                      <w:sz w:val="21"/>
                      <w:szCs w:val="21"/>
                    </w:rPr>
                  </w:pPr>
                  <w:r>
                    <w:rPr>
                      <w:rFonts w:hint="eastAsia" w:eastAsia="宋体"/>
                      <w:b/>
                      <w:bCs/>
                      <w:sz w:val="21"/>
                      <w:szCs w:val="21"/>
                    </w:rPr>
                    <w:t>主要危险物质</w:t>
                  </w:r>
                </w:p>
              </w:tc>
              <w:tc>
                <w:tcPr>
                  <w:tcW w:w="1521" w:type="dxa"/>
                  <w:tcBorders>
                    <w:tl2br w:val="nil"/>
                    <w:tr2bl w:val="nil"/>
                  </w:tcBorders>
                  <w:noWrap w:val="0"/>
                  <w:vAlign w:val="center"/>
                </w:tcPr>
                <w:p w14:paraId="282181F0">
                  <w:pPr>
                    <w:keepNext w:val="0"/>
                    <w:keepLines w:val="0"/>
                    <w:suppressLineNumbers w:val="0"/>
                    <w:spacing w:before="0" w:beforeAutospacing="0" w:after="0" w:afterAutospacing="0" w:line="240" w:lineRule="auto"/>
                    <w:ind w:left="0" w:right="0"/>
                    <w:jc w:val="center"/>
                    <w:rPr>
                      <w:rFonts w:hint="default" w:eastAsia="宋体"/>
                      <w:b/>
                      <w:bCs/>
                      <w:sz w:val="21"/>
                      <w:szCs w:val="21"/>
                    </w:rPr>
                  </w:pPr>
                  <w:r>
                    <w:rPr>
                      <w:rFonts w:hint="eastAsia" w:eastAsia="宋体"/>
                      <w:b/>
                      <w:bCs/>
                      <w:sz w:val="21"/>
                      <w:szCs w:val="21"/>
                    </w:rPr>
                    <w:t>环境风险类别</w:t>
                  </w:r>
                </w:p>
              </w:tc>
              <w:tc>
                <w:tcPr>
                  <w:tcW w:w="1644" w:type="dxa"/>
                  <w:tcBorders>
                    <w:tl2br w:val="nil"/>
                    <w:tr2bl w:val="nil"/>
                  </w:tcBorders>
                  <w:noWrap w:val="0"/>
                  <w:vAlign w:val="center"/>
                </w:tcPr>
                <w:p w14:paraId="5F8CD2A0">
                  <w:pPr>
                    <w:keepNext w:val="0"/>
                    <w:keepLines w:val="0"/>
                    <w:suppressLineNumbers w:val="0"/>
                    <w:spacing w:before="0" w:beforeAutospacing="0" w:after="0" w:afterAutospacing="0" w:line="240" w:lineRule="auto"/>
                    <w:ind w:left="0" w:right="0"/>
                    <w:jc w:val="center"/>
                    <w:rPr>
                      <w:rFonts w:hint="default" w:eastAsia="宋体"/>
                      <w:b/>
                      <w:bCs/>
                      <w:sz w:val="21"/>
                      <w:szCs w:val="21"/>
                    </w:rPr>
                  </w:pPr>
                  <w:r>
                    <w:rPr>
                      <w:rFonts w:hint="eastAsia" w:eastAsia="宋体"/>
                      <w:b/>
                      <w:bCs/>
                      <w:sz w:val="21"/>
                      <w:szCs w:val="21"/>
                    </w:rPr>
                    <w:t>环境影响途径</w:t>
                  </w:r>
                </w:p>
              </w:tc>
              <w:tc>
                <w:tcPr>
                  <w:tcW w:w="2499" w:type="dxa"/>
                  <w:tcBorders>
                    <w:tl2br w:val="nil"/>
                    <w:tr2bl w:val="nil"/>
                  </w:tcBorders>
                  <w:noWrap w:val="0"/>
                  <w:vAlign w:val="center"/>
                </w:tcPr>
                <w:p w14:paraId="07474A53">
                  <w:pPr>
                    <w:keepNext w:val="0"/>
                    <w:keepLines w:val="0"/>
                    <w:suppressLineNumbers w:val="0"/>
                    <w:spacing w:before="0" w:beforeAutospacing="0" w:after="0" w:afterAutospacing="0" w:line="240" w:lineRule="auto"/>
                    <w:ind w:left="0" w:right="0"/>
                    <w:jc w:val="center"/>
                    <w:rPr>
                      <w:rFonts w:hint="default" w:eastAsia="宋体"/>
                      <w:b/>
                      <w:bCs/>
                      <w:sz w:val="21"/>
                      <w:szCs w:val="21"/>
                    </w:rPr>
                  </w:pPr>
                  <w:r>
                    <w:rPr>
                      <w:rFonts w:hint="eastAsia" w:eastAsia="宋体"/>
                      <w:b/>
                      <w:bCs/>
                      <w:sz w:val="21"/>
                      <w:szCs w:val="21"/>
                    </w:rPr>
                    <w:t>可能受影响的环境保护目标</w:t>
                  </w:r>
                </w:p>
              </w:tc>
            </w:tr>
            <w:tr w14:paraId="51F49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tcBorders>
                    <w:tl2br w:val="nil"/>
                    <w:tr2bl w:val="nil"/>
                  </w:tcBorders>
                  <w:noWrap w:val="0"/>
                  <w:vAlign w:val="center"/>
                </w:tcPr>
                <w:p w14:paraId="1133A04A">
                  <w:pPr>
                    <w:keepNext w:val="0"/>
                    <w:keepLines w:val="0"/>
                    <w:suppressLineNumbers w:val="0"/>
                    <w:spacing w:before="0" w:beforeAutospacing="0" w:after="0" w:afterAutospacing="0" w:line="240" w:lineRule="auto"/>
                    <w:ind w:left="0" w:right="0"/>
                    <w:jc w:val="center"/>
                    <w:rPr>
                      <w:rFonts w:hint="default" w:eastAsia="宋体"/>
                      <w:sz w:val="21"/>
                      <w:szCs w:val="21"/>
                      <w:lang w:val="en-US" w:eastAsia="zh-CN"/>
                    </w:rPr>
                  </w:pPr>
                  <w:r>
                    <w:rPr>
                      <w:rFonts w:hint="eastAsia" w:eastAsia="宋体"/>
                      <w:sz w:val="21"/>
                      <w:szCs w:val="21"/>
                      <w:lang w:val="en-US" w:eastAsia="zh-CN"/>
                    </w:rPr>
                    <w:t>油漆房、危化库</w:t>
                  </w:r>
                </w:p>
              </w:tc>
              <w:tc>
                <w:tcPr>
                  <w:tcW w:w="1830" w:type="dxa"/>
                  <w:tcBorders>
                    <w:tl2br w:val="nil"/>
                    <w:tr2bl w:val="nil"/>
                  </w:tcBorders>
                  <w:noWrap w:val="0"/>
                  <w:vAlign w:val="center"/>
                </w:tcPr>
                <w:p w14:paraId="39D42091">
                  <w:pPr>
                    <w:keepNext w:val="0"/>
                    <w:keepLines w:val="0"/>
                    <w:widowControl/>
                    <w:suppressLineNumbers w:val="0"/>
                    <w:spacing w:before="0" w:beforeAutospacing="0" w:after="0" w:afterAutospacing="0"/>
                    <w:ind w:left="0" w:right="0"/>
                    <w:jc w:val="left"/>
                    <w:rPr>
                      <w:rFonts w:hint="default" w:eastAsia="宋体"/>
                      <w:sz w:val="21"/>
                      <w:szCs w:val="21"/>
                      <w:lang w:val="en-US" w:eastAsia="zh-CN"/>
                    </w:rPr>
                  </w:pPr>
                  <w:r>
                    <w:rPr>
                      <w:rFonts w:hint="eastAsia" w:ascii="Times New Roman"/>
                      <w:b w:val="0"/>
                      <w:i w:val="0"/>
                      <w:color w:val="auto"/>
                      <w:sz w:val="21"/>
                      <w:szCs w:val="21"/>
                      <w:u w:val="none"/>
                      <w:lang w:val="en-US" w:eastAsia="zh-CN"/>
                    </w:rPr>
                    <w:t>二甲苯、乙苯、丁醇、溶剂汽油</w:t>
                  </w:r>
                  <w:r>
                    <w:rPr>
                      <w:rFonts w:hint="eastAsia"/>
                      <w:b w:val="0"/>
                      <w:i w:val="0"/>
                      <w:color w:val="auto"/>
                      <w:sz w:val="21"/>
                      <w:szCs w:val="21"/>
                      <w:u w:val="none"/>
                      <w:lang w:val="en-US" w:eastAsia="zh-CN"/>
                    </w:rPr>
                    <w:t>等</w:t>
                  </w:r>
                </w:p>
              </w:tc>
              <w:tc>
                <w:tcPr>
                  <w:tcW w:w="1521" w:type="dxa"/>
                  <w:tcBorders>
                    <w:tl2br w:val="nil"/>
                    <w:tr2bl w:val="nil"/>
                  </w:tcBorders>
                  <w:noWrap w:val="0"/>
                  <w:vAlign w:val="center"/>
                </w:tcPr>
                <w:p w14:paraId="46AB6658">
                  <w:pPr>
                    <w:keepNext w:val="0"/>
                    <w:keepLines w:val="0"/>
                    <w:suppressLineNumbers w:val="0"/>
                    <w:spacing w:before="0" w:beforeAutospacing="0" w:after="0" w:afterAutospacing="0" w:line="240" w:lineRule="auto"/>
                    <w:ind w:left="0" w:right="0"/>
                    <w:jc w:val="center"/>
                    <w:rPr>
                      <w:rFonts w:hint="default" w:eastAsia="宋体"/>
                      <w:sz w:val="21"/>
                      <w:szCs w:val="21"/>
                    </w:rPr>
                  </w:pPr>
                  <w:r>
                    <w:rPr>
                      <w:rFonts w:hint="eastAsia" w:eastAsia="宋体"/>
                      <w:sz w:val="21"/>
                      <w:szCs w:val="21"/>
                    </w:rPr>
                    <w:t>泄露以及火灾、爆炸的伴生污染</w:t>
                  </w:r>
                </w:p>
              </w:tc>
              <w:tc>
                <w:tcPr>
                  <w:tcW w:w="1644" w:type="dxa"/>
                  <w:tcBorders>
                    <w:tl2br w:val="nil"/>
                    <w:tr2bl w:val="nil"/>
                  </w:tcBorders>
                  <w:noWrap w:val="0"/>
                  <w:vAlign w:val="center"/>
                </w:tcPr>
                <w:p w14:paraId="0D08A3CF">
                  <w:pPr>
                    <w:keepNext w:val="0"/>
                    <w:keepLines w:val="0"/>
                    <w:suppressLineNumbers w:val="0"/>
                    <w:spacing w:before="0" w:beforeAutospacing="0" w:after="0" w:afterAutospacing="0" w:line="240" w:lineRule="auto"/>
                    <w:ind w:left="0" w:right="0"/>
                    <w:jc w:val="center"/>
                    <w:rPr>
                      <w:rFonts w:hint="default" w:eastAsia="宋体"/>
                      <w:sz w:val="21"/>
                      <w:szCs w:val="21"/>
                    </w:rPr>
                  </w:pPr>
                  <w:r>
                    <w:rPr>
                      <w:rFonts w:hint="eastAsia" w:eastAsia="宋体"/>
                      <w:sz w:val="21"/>
                      <w:szCs w:val="21"/>
                    </w:rPr>
                    <w:t>大气、</w:t>
                  </w:r>
                  <w:r>
                    <w:rPr>
                      <w:rFonts w:hint="eastAsia" w:eastAsia="宋体"/>
                      <w:sz w:val="21"/>
                      <w:szCs w:val="21"/>
                      <w:lang w:eastAsia="zh-CN"/>
                    </w:rPr>
                    <w:t>地表水、</w:t>
                  </w:r>
                  <w:r>
                    <w:rPr>
                      <w:rFonts w:hint="eastAsia" w:eastAsia="宋体"/>
                      <w:sz w:val="21"/>
                      <w:szCs w:val="21"/>
                    </w:rPr>
                    <w:t>地下水</w:t>
                  </w:r>
                  <w:r>
                    <w:rPr>
                      <w:rFonts w:hint="eastAsia" w:eastAsia="宋体"/>
                      <w:sz w:val="21"/>
                      <w:szCs w:val="21"/>
                      <w:lang w:eastAsia="zh-CN"/>
                    </w:rPr>
                    <w:t>、土壤</w:t>
                  </w:r>
                </w:p>
              </w:tc>
              <w:tc>
                <w:tcPr>
                  <w:tcW w:w="2499" w:type="dxa"/>
                  <w:tcBorders>
                    <w:tl2br w:val="nil"/>
                    <w:tr2bl w:val="nil"/>
                  </w:tcBorders>
                  <w:noWrap w:val="0"/>
                  <w:vAlign w:val="center"/>
                </w:tcPr>
                <w:p w14:paraId="648F617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pacing w:val="0"/>
                      <w:w w:val="100"/>
                      <w:position w:val="0"/>
                      <w:sz w:val="21"/>
                      <w:szCs w:val="21"/>
                      <w:highlight w:val="none"/>
                      <w:u w:val="none" w:color="auto"/>
                      <w:lang w:val="en-US" w:eastAsia="zh-CN"/>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周边居民、环境空气、</w:t>
                  </w:r>
                </w:p>
                <w:p w14:paraId="2A164FF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eastAsia="宋体"/>
                      <w:sz w:val="21"/>
                      <w:szCs w:val="21"/>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地表水、地下水、土壤等</w:t>
                  </w:r>
                </w:p>
              </w:tc>
            </w:tr>
            <w:tr w14:paraId="1F459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tcBorders>
                    <w:tl2br w:val="nil"/>
                    <w:tr2bl w:val="nil"/>
                  </w:tcBorders>
                  <w:noWrap w:val="0"/>
                  <w:vAlign w:val="center"/>
                </w:tcPr>
                <w:p w14:paraId="54A793B5">
                  <w:pPr>
                    <w:keepNext w:val="0"/>
                    <w:keepLines w:val="0"/>
                    <w:suppressLineNumbers w:val="0"/>
                    <w:spacing w:before="0" w:beforeAutospacing="0" w:after="0" w:afterAutospacing="0" w:line="240" w:lineRule="auto"/>
                    <w:ind w:left="0" w:right="0"/>
                    <w:jc w:val="center"/>
                    <w:rPr>
                      <w:rFonts w:hint="default" w:eastAsia="宋体"/>
                      <w:sz w:val="21"/>
                      <w:szCs w:val="21"/>
                      <w:lang w:val="en-US" w:eastAsia="zh-CN"/>
                    </w:rPr>
                  </w:pPr>
                  <w:r>
                    <w:rPr>
                      <w:rFonts w:hint="eastAsia" w:eastAsia="宋体"/>
                      <w:sz w:val="21"/>
                      <w:szCs w:val="21"/>
                      <w:lang w:val="en-US" w:eastAsia="zh-CN"/>
                    </w:rPr>
                    <w:t>气体库、乙炔库</w:t>
                  </w:r>
                </w:p>
              </w:tc>
              <w:tc>
                <w:tcPr>
                  <w:tcW w:w="1830" w:type="dxa"/>
                  <w:tcBorders>
                    <w:tl2br w:val="nil"/>
                    <w:tr2bl w:val="nil"/>
                  </w:tcBorders>
                  <w:noWrap w:val="0"/>
                  <w:vAlign w:val="center"/>
                </w:tcPr>
                <w:p w14:paraId="441AE56D">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乙炔、丙烷</w:t>
                  </w:r>
                </w:p>
              </w:tc>
              <w:tc>
                <w:tcPr>
                  <w:tcW w:w="1521" w:type="dxa"/>
                  <w:tcBorders>
                    <w:tl2br w:val="nil"/>
                    <w:tr2bl w:val="nil"/>
                  </w:tcBorders>
                  <w:noWrap w:val="0"/>
                  <w:vAlign w:val="center"/>
                </w:tcPr>
                <w:p w14:paraId="0D27D33D">
                  <w:pPr>
                    <w:keepNext w:val="0"/>
                    <w:keepLines w:val="0"/>
                    <w:widowControl/>
                    <w:suppressLineNumbers w:val="0"/>
                    <w:spacing w:before="0" w:beforeAutospacing="0" w:after="0" w:afterAutospacing="0"/>
                    <w:ind w:left="0" w:right="0"/>
                    <w:jc w:val="left"/>
                    <w:rPr>
                      <w:rFonts w:hint="eastAsia" w:eastAsia="宋体"/>
                      <w:sz w:val="21"/>
                      <w:szCs w:val="21"/>
                    </w:rPr>
                  </w:pPr>
                  <w:r>
                    <w:rPr>
                      <w:rFonts w:hint="eastAsia" w:ascii="宋体" w:hAnsi="宋体" w:eastAsia="宋体" w:cs="宋体"/>
                      <w:color w:val="000000"/>
                      <w:kern w:val="0"/>
                      <w:sz w:val="21"/>
                      <w:szCs w:val="21"/>
                      <w:lang w:val="en-US" w:eastAsia="zh-CN" w:bidi="ar"/>
                    </w:rPr>
                    <w:t>泄露、火灾、爆炸</w:t>
                  </w:r>
                </w:p>
              </w:tc>
              <w:tc>
                <w:tcPr>
                  <w:tcW w:w="1644" w:type="dxa"/>
                  <w:tcBorders>
                    <w:tl2br w:val="nil"/>
                    <w:tr2bl w:val="nil"/>
                  </w:tcBorders>
                  <w:noWrap w:val="0"/>
                  <w:vAlign w:val="center"/>
                </w:tcPr>
                <w:p w14:paraId="4AD4F4C0">
                  <w:pPr>
                    <w:keepNext w:val="0"/>
                    <w:keepLines w:val="0"/>
                    <w:widowControl/>
                    <w:suppressLineNumbers w:val="0"/>
                    <w:spacing w:before="0" w:beforeAutospacing="0" w:after="0" w:afterAutospacing="0"/>
                    <w:ind w:left="0" w:right="0"/>
                    <w:jc w:val="left"/>
                    <w:rPr>
                      <w:rFonts w:hint="eastAsia" w:eastAsia="宋体"/>
                      <w:sz w:val="21"/>
                      <w:szCs w:val="21"/>
                    </w:rPr>
                  </w:pPr>
                  <w:r>
                    <w:rPr>
                      <w:rFonts w:hint="eastAsia" w:ascii="宋体" w:hAnsi="宋体" w:eastAsia="宋体" w:cs="宋体"/>
                      <w:color w:val="000000"/>
                      <w:kern w:val="0"/>
                      <w:sz w:val="21"/>
                      <w:szCs w:val="21"/>
                      <w:lang w:val="en-US" w:eastAsia="zh-CN" w:bidi="ar"/>
                    </w:rPr>
                    <w:t>地表水、地下水、土壤、环境空气</w:t>
                  </w:r>
                </w:p>
              </w:tc>
              <w:tc>
                <w:tcPr>
                  <w:tcW w:w="2499" w:type="dxa"/>
                  <w:tcBorders>
                    <w:tl2br w:val="nil"/>
                    <w:tr2bl w:val="nil"/>
                  </w:tcBorders>
                  <w:noWrap w:val="0"/>
                  <w:vAlign w:val="center"/>
                </w:tcPr>
                <w:p w14:paraId="355D753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pacing w:val="0"/>
                      <w:w w:val="100"/>
                      <w:position w:val="0"/>
                      <w:sz w:val="21"/>
                      <w:szCs w:val="21"/>
                      <w:highlight w:val="none"/>
                      <w:u w:val="none" w:color="auto"/>
                      <w:lang w:val="en-US" w:eastAsia="zh-CN"/>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周边居民、环境空气、</w:t>
                  </w:r>
                </w:p>
                <w:p w14:paraId="19BE378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pacing w:val="0"/>
                      <w:w w:val="100"/>
                      <w:position w:val="0"/>
                      <w:sz w:val="21"/>
                      <w:szCs w:val="21"/>
                      <w:highlight w:val="none"/>
                      <w:u w:val="none" w:color="auto"/>
                      <w:lang w:val="en-US" w:eastAsia="zh-CN"/>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地表水、地下水、土壤等</w:t>
                  </w:r>
                </w:p>
              </w:tc>
            </w:tr>
            <w:tr w14:paraId="0AB3C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tcBorders>
                    <w:tl2br w:val="nil"/>
                    <w:tr2bl w:val="nil"/>
                  </w:tcBorders>
                  <w:noWrap w:val="0"/>
                  <w:vAlign w:val="center"/>
                </w:tcPr>
                <w:p w14:paraId="0FFBE697">
                  <w:pPr>
                    <w:keepNext w:val="0"/>
                    <w:keepLines w:val="0"/>
                    <w:suppressLineNumbers w:val="0"/>
                    <w:spacing w:before="0" w:beforeAutospacing="0" w:after="0" w:afterAutospacing="0" w:line="240" w:lineRule="auto"/>
                    <w:ind w:left="0" w:right="0"/>
                    <w:jc w:val="center"/>
                    <w:rPr>
                      <w:rFonts w:hint="default" w:eastAsia="宋体"/>
                      <w:sz w:val="21"/>
                      <w:szCs w:val="21"/>
                      <w:lang w:val="en-US" w:eastAsia="zh-CN"/>
                    </w:rPr>
                  </w:pPr>
                  <w:r>
                    <w:rPr>
                      <w:rFonts w:hint="eastAsia" w:eastAsia="宋体"/>
                      <w:sz w:val="21"/>
                      <w:szCs w:val="21"/>
                      <w:lang w:val="en-US" w:eastAsia="zh-CN"/>
                    </w:rPr>
                    <w:t>危废暂存间</w:t>
                  </w:r>
                </w:p>
              </w:tc>
              <w:tc>
                <w:tcPr>
                  <w:tcW w:w="1830" w:type="dxa"/>
                  <w:tcBorders>
                    <w:tl2br w:val="nil"/>
                    <w:tr2bl w:val="nil"/>
                  </w:tcBorders>
                  <w:noWrap w:val="0"/>
                  <w:vAlign w:val="center"/>
                </w:tcPr>
                <w:p w14:paraId="5EE9CD96">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危险废物</w:t>
                  </w:r>
                </w:p>
              </w:tc>
              <w:tc>
                <w:tcPr>
                  <w:tcW w:w="1521" w:type="dxa"/>
                  <w:tcBorders>
                    <w:tl2br w:val="nil"/>
                    <w:tr2bl w:val="nil"/>
                  </w:tcBorders>
                  <w:noWrap w:val="0"/>
                  <w:vAlign w:val="center"/>
                </w:tcPr>
                <w:p w14:paraId="186C5C63">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泄露、火灾、爆炸</w:t>
                  </w:r>
                </w:p>
              </w:tc>
              <w:tc>
                <w:tcPr>
                  <w:tcW w:w="1644" w:type="dxa"/>
                  <w:tcBorders>
                    <w:tl2br w:val="nil"/>
                    <w:tr2bl w:val="nil"/>
                  </w:tcBorders>
                  <w:noWrap w:val="0"/>
                  <w:vAlign w:val="center"/>
                </w:tcPr>
                <w:p w14:paraId="069D8589">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地表水、地下水、土壤、环境空气</w:t>
                  </w:r>
                </w:p>
              </w:tc>
              <w:tc>
                <w:tcPr>
                  <w:tcW w:w="2499" w:type="dxa"/>
                  <w:tcBorders>
                    <w:tl2br w:val="nil"/>
                    <w:tr2bl w:val="nil"/>
                  </w:tcBorders>
                  <w:noWrap w:val="0"/>
                  <w:vAlign w:val="center"/>
                </w:tcPr>
                <w:p w14:paraId="24942F7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pacing w:val="0"/>
                      <w:w w:val="100"/>
                      <w:position w:val="0"/>
                      <w:sz w:val="21"/>
                      <w:szCs w:val="21"/>
                      <w:highlight w:val="none"/>
                      <w:u w:val="none" w:color="auto"/>
                      <w:lang w:val="en-US" w:eastAsia="zh-CN"/>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周边居民、环境空气、</w:t>
                  </w:r>
                </w:p>
                <w:p w14:paraId="2F8EEF4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pacing w:val="0"/>
                      <w:w w:val="100"/>
                      <w:position w:val="0"/>
                      <w:sz w:val="21"/>
                      <w:szCs w:val="21"/>
                      <w:highlight w:val="none"/>
                      <w:u w:val="none" w:color="auto"/>
                      <w:lang w:val="en-US" w:eastAsia="zh-CN"/>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地表水、地下水、土壤等</w:t>
                  </w:r>
                </w:p>
              </w:tc>
            </w:tr>
            <w:tr w14:paraId="7D45C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tcBorders>
                    <w:tl2br w:val="nil"/>
                    <w:tr2bl w:val="nil"/>
                  </w:tcBorders>
                  <w:noWrap w:val="0"/>
                  <w:vAlign w:val="center"/>
                </w:tcPr>
                <w:p w14:paraId="0B4B8BC3">
                  <w:pPr>
                    <w:keepNext w:val="0"/>
                    <w:keepLines w:val="0"/>
                    <w:suppressLineNumbers w:val="0"/>
                    <w:spacing w:before="0" w:beforeAutospacing="0" w:after="0" w:afterAutospacing="0" w:line="240" w:lineRule="auto"/>
                    <w:ind w:left="0" w:right="0"/>
                    <w:jc w:val="center"/>
                    <w:rPr>
                      <w:rFonts w:hint="default" w:eastAsia="宋体"/>
                      <w:sz w:val="21"/>
                      <w:szCs w:val="21"/>
                    </w:rPr>
                  </w:pPr>
                  <w:r>
                    <w:rPr>
                      <w:rFonts w:hint="eastAsia" w:eastAsia="宋体"/>
                      <w:sz w:val="21"/>
                      <w:szCs w:val="21"/>
                    </w:rPr>
                    <w:t>废气处理设施</w:t>
                  </w:r>
                </w:p>
              </w:tc>
              <w:tc>
                <w:tcPr>
                  <w:tcW w:w="1830" w:type="dxa"/>
                  <w:tcBorders>
                    <w:tl2br w:val="nil"/>
                    <w:tr2bl w:val="nil"/>
                  </w:tcBorders>
                  <w:noWrap w:val="0"/>
                  <w:vAlign w:val="center"/>
                </w:tcPr>
                <w:p w14:paraId="75F77952">
                  <w:pPr>
                    <w:keepNext w:val="0"/>
                    <w:keepLines w:val="0"/>
                    <w:suppressLineNumbers w:val="0"/>
                    <w:spacing w:before="0" w:beforeAutospacing="0" w:after="0" w:afterAutospacing="0" w:line="240" w:lineRule="auto"/>
                    <w:ind w:left="0" w:right="0"/>
                    <w:jc w:val="center"/>
                    <w:rPr>
                      <w:rFonts w:hint="default" w:eastAsia="宋体"/>
                      <w:sz w:val="21"/>
                      <w:szCs w:val="21"/>
                      <w:lang w:val="en-US" w:eastAsia="zh-CN"/>
                    </w:rPr>
                  </w:pPr>
                  <w:r>
                    <w:rPr>
                      <w:rFonts w:hint="eastAsia" w:eastAsia="宋体"/>
                      <w:sz w:val="21"/>
                      <w:szCs w:val="21"/>
                      <w:lang w:val="en-US" w:eastAsia="zh-CN"/>
                    </w:rPr>
                    <w:t>颗粒物、</w:t>
                  </w:r>
                  <w:r>
                    <w:rPr>
                      <w:rFonts w:hint="eastAsia" w:ascii="Times New Roman"/>
                      <w:b w:val="0"/>
                      <w:i w:val="0"/>
                      <w:color w:val="auto"/>
                      <w:sz w:val="21"/>
                      <w:szCs w:val="21"/>
                      <w:u w:val="none"/>
                      <w:lang w:val="en-US" w:eastAsia="zh-CN"/>
                    </w:rPr>
                    <w:t>二甲苯</w:t>
                  </w:r>
                  <w:r>
                    <w:rPr>
                      <w:rFonts w:hint="eastAsia"/>
                      <w:b w:val="0"/>
                      <w:i w:val="0"/>
                      <w:color w:val="auto"/>
                      <w:sz w:val="21"/>
                      <w:szCs w:val="21"/>
                      <w:u w:val="none"/>
                      <w:lang w:val="en-US" w:eastAsia="zh-CN"/>
                    </w:rPr>
                    <w:t>、</w:t>
                  </w:r>
                  <w:r>
                    <w:rPr>
                      <w:rFonts w:hint="eastAsia" w:eastAsia="宋体"/>
                      <w:sz w:val="21"/>
                      <w:szCs w:val="21"/>
                      <w:lang w:val="en-US" w:eastAsia="zh-CN"/>
                    </w:rPr>
                    <w:t>有机废气</w:t>
                  </w:r>
                </w:p>
              </w:tc>
              <w:tc>
                <w:tcPr>
                  <w:tcW w:w="1521" w:type="dxa"/>
                  <w:tcBorders>
                    <w:tl2br w:val="nil"/>
                    <w:tr2bl w:val="nil"/>
                  </w:tcBorders>
                  <w:noWrap w:val="0"/>
                  <w:vAlign w:val="center"/>
                </w:tcPr>
                <w:p w14:paraId="3AFF4E85">
                  <w:pPr>
                    <w:keepNext w:val="0"/>
                    <w:keepLines w:val="0"/>
                    <w:suppressLineNumbers w:val="0"/>
                    <w:spacing w:before="0" w:beforeAutospacing="0" w:after="0" w:afterAutospacing="0" w:line="240" w:lineRule="auto"/>
                    <w:ind w:left="0" w:right="0"/>
                    <w:jc w:val="center"/>
                    <w:rPr>
                      <w:rFonts w:hint="default" w:eastAsia="宋体"/>
                      <w:sz w:val="21"/>
                      <w:szCs w:val="21"/>
                    </w:rPr>
                  </w:pPr>
                  <w:r>
                    <w:rPr>
                      <w:rFonts w:hint="eastAsia" w:eastAsia="宋体"/>
                      <w:sz w:val="21"/>
                      <w:szCs w:val="21"/>
                    </w:rPr>
                    <w:t>事故排放</w:t>
                  </w:r>
                </w:p>
              </w:tc>
              <w:tc>
                <w:tcPr>
                  <w:tcW w:w="1644" w:type="dxa"/>
                  <w:tcBorders>
                    <w:tl2br w:val="nil"/>
                    <w:tr2bl w:val="nil"/>
                  </w:tcBorders>
                  <w:noWrap w:val="0"/>
                  <w:vAlign w:val="center"/>
                </w:tcPr>
                <w:p w14:paraId="4D90905C">
                  <w:pPr>
                    <w:keepNext w:val="0"/>
                    <w:keepLines w:val="0"/>
                    <w:suppressLineNumbers w:val="0"/>
                    <w:spacing w:before="0" w:beforeAutospacing="0" w:after="0" w:afterAutospacing="0" w:line="240" w:lineRule="auto"/>
                    <w:ind w:left="0" w:right="0"/>
                    <w:jc w:val="center"/>
                    <w:rPr>
                      <w:rFonts w:hint="default" w:eastAsia="宋体"/>
                      <w:sz w:val="21"/>
                      <w:szCs w:val="21"/>
                    </w:rPr>
                  </w:pPr>
                  <w:r>
                    <w:rPr>
                      <w:rFonts w:hint="eastAsia" w:eastAsia="宋体"/>
                      <w:sz w:val="21"/>
                      <w:szCs w:val="21"/>
                    </w:rPr>
                    <w:t>大气</w:t>
                  </w:r>
                </w:p>
              </w:tc>
              <w:tc>
                <w:tcPr>
                  <w:tcW w:w="2499" w:type="dxa"/>
                  <w:tcBorders>
                    <w:tl2br w:val="nil"/>
                    <w:tr2bl w:val="nil"/>
                  </w:tcBorders>
                  <w:noWrap w:val="0"/>
                  <w:vAlign w:val="center"/>
                </w:tcPr>
                <w:p w14:paraId="38785766">
                  <w:pPr>
                    <w:keepNext w:val="0"/>
                    <w:keepLines w:val="0"/>
                    <w:suppressLineNumbers w:val="0"/>
                    <w:spacing w:before="0" w:beforeAutospacing="0" w:after="0" w:afterAutospacing="0" w:line="240" w:lineRule="auto"/>
                    <w:ind w:left="0" w:right="0"/>
                    <w:jc w:val="center"/>
                    <w:rPr>
                      <w:rFonts w:hint="default" w:eastAsia="宋体"/>
                      <w:sz w:val="21"/>
                      <w:szCs w:val="21"/>
                    </w:rPr>
                  </w:pPr>
                  <w:r>
                    <w:rPr>
                      <w:rFonts w:hint="default" w:ascii="Times New Roman" w:hAnsi="Times New Roman" w:eastAsia="宋体" w:cs="Times New Roman"/>
                      <w:color w:val="auto"/>
                      <w:spacing w:val="0"/>
                      <w:w w:val="100"/>
                      <w:position w:val="0"/>
                      <w:sz w:val="21"/>
                      <w:szCs w:val="21"/>
                      <w:highlight w:val="none"/>
                      <w:u w:val="none" w:color="auto"/>
                      <w:lang w:val="en-US" w:eastAsia="zh-CN"/>
                    </w:rPr>
                    <w:t>周边居民、环境空气</w:t>
                  </w:r>
                </w:p>
              </w:tc>
            </w:tr>
          </w:tbl>
          <w:p w14:paraId="39D3D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lang w:val="en-US" w:eastAsia="zh-CN"/>
              </w:rPr>
            </w:pPr>
            <w:r>
              <w:rPr>
                <w:rFonts w:hint="eastAsia" w:cs="Times New Roman"/>
                <w:b/>
                <w:bCs/>
                <w:color w:val="auto"/>
                <w:sz w:val="24"/>
                <w:szCs w:val="24"/>
                <w:u w:val="none"/>
                <w:lang w:val="en-US" w:eastAsia="zh-CN"/>
              </w:rPr>
              <w:t>（3）</w:t>
            </w:r>
            <w:r>
              <w:rPr>
                <w:rFonts w:hint="default" w:ascii="Times New Roman" w:hAnsi="Times New Roman" w:cs="Times New Roman"/>
                <w:b/>
                <w:bCs/>
                <w:color w:val="auto"/>
                <w:sz w:val="24"/>
                <w:szCs w:val="24"/>
                <w:lang w:val="en-US" w:eastAsia="zh-CN"/>
              </w:rPr>
              <w:t>环境风险防范措施</w:t>
            </w:r>
          </w:p>
          <w:p w14:paraId="58546934">
            <w:pPr>
              <w:keepNext w:val="0"/>
              <w:keepLines w:val="0"/>
              <w:widowControl w:val="0"/>
              <w:suppressLineNumbers w:val="0"/>
              <w:spacing w:before="0" w:beforeAutospacing="0" w:after="0" w:afterAutospacing="0" w:line="360" w:lineRule="auto"/>
              <w:ind w:left="0" w:right="0" w:firstLine="482" w:firstLineChars="200"/>
              <w:jc w:val="both"/>
              <w:outlineLvl w:val="3"/>
              <w:rPr>
                <w:rFonts w:hint="default" w:ascii="Times New Roman" w:hAnsi="Times New Roman" w:eastAsia="宋体" w:cs="Times New Roman"/>
                <w:b/>
                <w:bCs/>
                <w:color w:val="auto"/>
                <w:kern w:val="20"/>
                <w:sz w:val="24"/>
                <w:szCs w:val="24"/>
                <w:u w:val="none"/>
              </w:rPr>
            </w:pPr>
            <w:r>
              <w:rPr>
                <w:rFonts w:hint="eastAsia" w:cs="Times New Roman"/>
                <w:b/>
                <w:bCs/>
                <w:color w:val="auto"/>
                <w:kern w:val="20"/>
                <w:sz w:val="24"/>
                <w:szCs w:val="24"/>
                <w:u w:val="none"/>
                <w:lang w:val="en-US" w:eastAsia="zh-CN"/>
              </w:rPr>
              <w:t>1）</w:t>
            </w:r>
            <w:r>
              <w:rPr>
                <w:rFonts w:hint="default" w:ascii="Times New Roman" w:hAnsi="Times New Roman" w:eastAsia="宋体" w:cs="Times New Roman"/>
                <w:b/>
                <w:bCs/>
                <w:color w:val="auto"/>
                <w:kern w:val="20"/>
                <w:sz w:val="24"/>
                <w:szCs w:val="24"/>
                <w:u w:val="none"/>
              </w:rPr>
              <w:t>火灾事故风险防范措施</w:t>
            </w:r>
          </w:p>
          <w:p w14:paraId="08E40D5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微软雅黑" w:hAnsi="微软雅黑" w:eastAsia="微软雅黑" w:cs="微软雅黑"/>
                <w:color w:val="auto"/>
                <w:kern w:val="2"/>
                <w:sz w:val="24"/>
                <w:szCs w:val="24"/>
                <w:u w:val="none"/>
                <w:lang w:eastAsia="zh-CN"/>
              </w:rPr>
              <w:t>①</w:t>
            </w:r>
            <w:r>
              <w:rPr>
                <w:rFonts w:hint="default" w:ascii="Times New Roman" w:hAnsi="Times New Roman" w:eastAsia="宋体" w:cs="Times New Roman"/>
                <w:color w:val="auto"/>
                <w:kern w:val="2"/>
                <w:sz w:val="24"/>
                <w:szCs w:val="24"/>
                <w:u w:val="none"/>
              </w:rPr>
              <w:t>消除和控制明火源：</w:t>
            </w:r>
            <w:r>
              <w:rPr>
                <w:rFonts w:hint="eastAsia" w:cs="Times New Roman"/>
                <w:color w:val="auto"/>
                <w:kern w:val="2"/>
                <w:sz w:val="24"/>
                <w:szCs w:val="24"/>
                <w:u w:val="none"/>
                <w:lang w:eastAsia="zh-CN"/>
              </w:rPr>
              <w:t>本项目使用稀释剂、油漆等原料属于易燃液体，</w:t>
            </w:r>
            <w:r>
              <w:rPr>
                <w:rFonts w:hint="default" w:ascii="Times New Roman" w:hAnsi="Times New Roman" w:eastAsia="宋体" w:cs="Times New Roman"/>
                <w:color w:val="auto"/>
                <w:kern w:val="2"/>
                <w:sz w:val="24"/>
                <w:szCs w:val="24"/>
                <w:u w:val="none"/>
              </w:rPr>
              <w:t>在</w:t>
            </w:r>
            <w:r>
              <w:rPr>
                <w:rFonts w:hint="eastAsia" w:cs="Times New Roman"/>
                <w:color w:val="auto"/>
                <w:kern w:val="2"/>
                <w:sz w:val="24"/>
                <w:szCs w:val="24"/>
                <w:u w:val="none"/>
                <w:lang w:eastAsia="zh-CN"/>
              </w:rPr>
              <w:t>原料区及成品区、危废暂存间</w:t>
            </w:r>
            <w:r>
              <w:rPr>
                <w:rFonts w:hint="eastAsia" w:eastAsia="宋体" w:cs="Times New Roman"/>
                <w:color w:val="auto"/>
                <w:kern w:val="2"/>
                <w:sz w:val="24"/>
                <w:szCs w:val="24"/>
                <w:u w:val="none"/>
                <w:lang w:eastAsia="zh-CN"/>
              </w:rPr>
              <w:t>等</w:t>
            </w:r>
            <w:r>
              <w:rPr>
                <w:rFonts w:hint="default" w:ascii="Times New Roman" w:hAnsi="Times New Roman" w:eastAsia="宋体" w:cs="Times New Roman"/>
                <w:color w:val="auto"/>
                <w:kern w:val="2"/>
                <w:sz w:val="24"/>
                <w:szCs w:val="24"/>
                <w:u w:val="none"/>
              </w:rPr>
              <w:t>设置严禁烟火标志，严禁携带火柴、打火机等；在各厂房处配灭火器、消防栓、消防沙等消防物资，以便及时扑灭初期火灾。</w:t>
            </w:r>
          </w:p>
          <w:p w14:paraId="3D1DC1F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微软雅黑" w:hAnsi="微软雅黑" w:eastAsia="微软雅黑" w:cs="微软雅黑"/>
                <w:color w:val="auto"/>
                <w:kern w:val="2"/>
                <w:sz w:val="24"/>
                <w:szCs w:val="24"/>
                <w:u w:val="none"/>
                <w:lang w:eastAsia="zh-CN"/>
              </w:rPr>
              <w:t>②</w:t>
            </w:r>
            <w:r>
              <w:rPr>
                <w:rFonts w:hint="default" w:ascii="Times New Roman" w:hAnsi="Times New Roman" w:eastAsia="宋体" w:cs="Times New Roman"/>
                <w:color w:val="auto"/>
                <w:kern w:val="2"/>
                <w:sz w:val="24"/>
                <w:szCs w:val="24"/>
                <w:u w:val="none"/>
              </w:rPr>
              <w:t>防止电气火花：采取有效措施防止电气线路和电气设施在开关断开、接触不良、短路、漏电时产生火花，防止静电放电火花；采取防雷接地措施，防止雷电放电火花。</w:t>
            </w:r>
          </w:p>
          <w:p w14:paraId="4F41FD6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微软雅黑" w:hAnsi="微软雅黑" w:eastAsia="微软雅黑" w:cs="微软雅黑"/>
                <w:color w:val="auto"/>
                <w:kern w:val="2"/>
                <w:sz w:val="24"/>
                <w:szCs w:val="24"/>
                <w:u w:val="none"/>
                <w:lang w:eastAsia="zh-CN"/>
              </w:rPr>
              <w:t>③</w:t>
            </w:r>
            <w:r>
              <w:rPr>
                <w:rFonts w:hint="default" w:ascii="Times New Roman" w:hAnsi="Times New Roman" w:eastAsia="宋体" w:cs="Times New Roman"/>
                <w:color w:val="auto"/>
                <w:kern w:val="2"/>
                <w:sz w:val="24"/>
                <w:szCs w:val="24"/>
                <w:u w:val="none"/>
              </w:rPr>
              <w:t>原料储存于阴凉、通风处。库温不超过30℃，相对湿度不超过85</w:t>
            </w:r>
            <w:r>
              <w:rPr>
                <w:rFonts w:hint="eastAsia" w:cs="Times New Roman"/>
                <w:color w:val="auto"/>
                <w:kern w:val="2"/>
                <w:sz w:val="24"/>
                <w:szCs w:val="24"/>
                <w:u w:val="none"/>
                <w:lang w:val="en-US" w:eastAsia="zh-CN"/>
              </w:rPr>
              <w:t>%</w:t>
            </w:r>
            <w:r>
              <w:rPr>
                <w:rFonts w:hint="default" w:ascii="Times New Roman" w:hAnsi="Times New Roman" w:eastAsia="宋体" w:cs="Times New Roman"/>
                <w:color w:val="auto"/>
                <w:kern w:val="2"/>
                <w:sz w:val="24"/>
                <w:szCs w:val="24"/>
                <w:u w:val="none"/>
              </w:rPr>
              <w:t>，保持干燥通风。</w:t>
            </w:r>
          </w:p>
          <w:p w14:paraId="6DF36F5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微软雅黑" w:hAnsi="微软雅黑" w:eastAsia="微软雅黑" w:cs="微软雅黑"/>
                <w:color w:val="auto"/>
                <w:kern w:val="2"/>
                <w:sz w:val="24"/>
                <w:szCs w:val="24"/>
                <w:u w:val="none"/>
                <w:lang w:eastAsia="zh-CN"/>
              </w:rPr>
              <w:t>④</w:t>
            </w:r>
            <w:r>
              <w:rPr>
                <w:rFonts w:hint="default" w:ascii="Times New Roman" w:hAnsi="Times New Roman" w:eastAsia="宋体" w:cs="Times New Roman"/>
                <w:color w:val="auto"/>
                <w:kern w:val="2"/>
                <w:sz w:val="24"/>
                <w:szCs w:val="24"/>
                <w:u w:val="none"/>
              </w:rPr>
              <w:t>定期对原料使用过程中的相关人员，如联络员、仓管员、直接使用人员进行过程监查，定期对上述人员进行相关知识教育和岗位职责培训。</w:t>
            </w:r>
          </w:p>
          <w:p w14:paraId="7BBEB56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微软雅黑" w:hAnsi="微软雅黑" w:eastAsia="微软雅黑" w:cs="微软雅黑"/>
                <w:color w:val="auto"/>
                <w:kern w:val="2"/>
                <w:sz w:val="24"/>
                <w:szCs w:val="24"/>
                <w:u w:val="none"/>
                <w:lang w:eastAsia="zh-CN"/>
              </w:rPr>
              <w:t>⑤</w:t>
            </w:r>
            <w:r>
              <w:rPr>
                <w:rFonts w:hint="default" w:ascii="Times New Roman" w:hAnsi="Times New Roman" w:eastAsia="宋体" w:cs="Times New Roman"/>
                <w:color w:val="auto"/>
                <w:kern w:val="2"/>
                <w:sz w:val="24"/>
                <w:szCs w:val="24"/>
                <w:u w:val="none"/>
              </w:rPr>
              <w:t>严格控制原料品质，做到从源头防控风险事故。</w:t>
            </w:r>
          </w:p>
          <w:p w14:paraId="58120CC6">
            <w:pPr>
              <w:keepNext w:val="0"/>
              <w:keepLines w:val="0"/>
              <w:widowControl w:val="0"/>
              <w:suppressLineNumbers w:val="0"/>
              <w:spacing w:before="0" w:beforeAutospacing="0" w:after="0" w:afterAutospacing="0" w:line="360" w:lineRule="auto"/>
              <w:ind w:left="0" w:right="0" w:firstLine="482" w:firstLineChars="200"/>
              <w:jc w:val="both"/>
              <w:outlineLvl w:val="3"/>
              <w:rPr>
                <w:rFonts w:hint="default" w:ascii="Times New Roman" w:hAnsi="Times New Roman" w:eastAsia="宋体" w:cs="Times New Roman"/>
                <w:b/>
                <w:bCs/>
                <w:color w:val="auto"/>
                <w:kern w:val="20"/>
                <w:sz w:val="24"/>
                <w:szCs w:val="24"/>
                <w:u w:val="none"/>
              </w:rPr>
            </w:pPr>
            <w:r>
              <w:rPr>
                <w:rFonts w:hint="eastAsia" w:cs="Times New Roman"/>
                <w:b/>
                <w:bCs/>
                <w:color w:val="auto"/>
                <w:kern w:val="20"/>
                <w:sz w:val="24"/>
                <w:szCs w:val="24"/>
                <w:u w:val="none"/>
                <w:lang w:val="en-US" w:eastAsia="zh-CN"/>
              </w:rPr>
              <w:t>2）危化品及</w:t>
            </w:r>
            <w:r>
              <w:rPr>
                <w:rFonts w:hint="default" w:ascii="Times New Roman" w:hAnsi="Times New Roman" w:eastAsia="宋体" w:cs="Times New Roman"/>
                <w:b/>
                <w:bCs/>
                <w:color w:val="auto"/>
                <w:kern w:val="20"/>
                <w:sz w:val="24"/>
                <w:szCs w:val="24"/>
                <w:u w:val="none"/>
              </w:rPr>
              <w:t>危险废物泄漏事故防范措施</w:t>
            </w:r>
          </w:p>
          <w:p w14:paraId="3F160F9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Times New Roman" w:hAnsi="Times New Roman" w:eastAsia="宋体" w:cs="Times New Roman"/>
                <w:color w:val="auto"/>
                <w:kern w:val="2"/>
                <w:sz w:val="24"/>
                <w:szCs w:val="24"/>
                <w:u w:val="none"/>
                <w:lang w:eastAsia="zh-CN"/>
              </w:rPr>
              <w:t>①</w:t>
            </w:r>
            <w:r>
              <w:rPr>
                <w:rFonts w:hint="eastAsia" w:ascii="Times New Roman" w:hAnsi="Times New Roman" w:eastAsia="宋体" w:cs="Times New Roman"/>
                <w:color w:val="auto"/>
                <w:kern w:val="2"/>
                <w:sz w:val="24"/>
                <w:szCs w:val="24"/>
                <w:u w:val="none"/>
                <w:lang w:val="en-US" w:eastAsia="zh-CN"/>
              </w:rPr>
              <w:t>厂内采取分区防渗措施，对</w:t>
            </w:r>
            <w:r>
              <w:rPr>
                <w:rFonts w:hint="eastAsia" w:eastAsia="宋体" w:cs="Times New Roman"/>
                <w:color w:val="auto"/>
                <w:kern w:val="2"/>
                <w:sz w:val="24"/>
                <w:szCs w:val="24"/>
                <w:u w:val="none"/>
                <w:lang w:val="en-US" w:eastAsia="zh-CN"/>
              </w:rPr>
              <w:t>危化库、危废暂存间</w:t>
            </w:r>
            <w:r>
              <w:rPr>
                <w:rFonts w:hint="eastAsia" w:ascii="Times New Roman" w:hAnsi="Times New Roman" w:eastAsia="宋体" w:cs="Times New Roman"/>
                <w:color w:val="auto"/>
                <w:kern w:val="2"/>
                <w:sz w:val="24"/>
                <w:szCs w:val="24"/>
                <w:u w:val="none"/>
                <w:lang w:val="en-US" w:eastAsia="zh-CN"/>
              </w:rPr>
              <w:t>等重点防渗区</w:t>
            </w:r>
            <w:r>
              <w:rPr>
                <w:rFonts w:hint="eastAsia" w:eastAsia="宋体" w:cs="Times New Roman"/>
                <w:color w:val="auto"/>
                <w:kern w:val="2"/>
                <w:sz w:val="24"/>
                <w:szCs w:val="24"/>
                <w:u w:val="none"/>
                <w:lang w:val="en-US" w:eastAsia="zh-CN"/>
              </w:rPr>
              <w:t>域，严格落实防渗要求</w:t>
            </w:r>
            <w:r>
              <w:rPr>
                <w:rFonts w:hint="eastAsia" w:ascii="Times New Roman" w:hAnsi="Times New Roman" w:eastAsia="宋体" w:cs="Times New Roman"/>
                <w:color w:val="auto"/>
                <w:kern w:val="2"/>
                <w:sz w:val="24"/>
                <w:szCs w:val="24"/>
                <w:u w:val="none"/>
                <w:lang w:val="en-US" w:eastAsia="zh-CN"/>
              </w:rPr>
              <w:t>，定期检查底部防渗层是否存在破损情况，及时发现及时处理。</w:t>
            </w:r>
          </w:p>
          <w:p w14:paraId="16149A47">
            <w:pPr>
              <w:keepNext w:val="0"/>
              <w:keepLines w:val="0"/>
              <w:widowControl w:val="0"/>
              <w:suppressLineNumbers w:val="0"/>
              <w:spacing w:before="0" w:beforeAutospacing="0" w:after="0" w:afterAutospacing="0" w:line="360" w:lineRule="auto"/>
              <w:ind w:left="0" w:right="0" w:firstLine="480" w:firstLineChars="200"/>
              <w:jc w:val="both"/>
              <w:rPr>
                <w:rFonts w:hint="eastAsia" w:eastAsia="宋体" w:cs="Times New Roman"/>
                <w:color w:val="auto"/>
                <w:kern w:val="2"/>
                <w:sz w:val="24"/>
                <w:szCs w:val="24"/>
                <w:u w:val="none"/>
                <w:lang w:eastAsia="zh-CN"/>
              </w:rPr>
            </w:pPr>
            <w:r>
              <w:rPr>
                <w:rFonts w:hint="eastAsia" w:ascii="微软雅黑" w:hAnsi="微软雅黑" w:eastAsia="微软雅黑" w:cs="微软雅黑"/>
                <w:color w:val="auto"/>
                <w:kern w:val="2"/>
                <w:sz w:val="24"/>
                <w:szCs w:val="24"/>
                <w:u w:val="none"/>
                <w:lang w:val="en-US" w:eastAsia="zh-CN"/>
              </w:rPr>
              <w:t>②</w:t>
            </w:r>
            <w:r>
              <w:rPr>
                <w:rFonts w:hint="default" w:ascii="Times New Roman" w:hAnsi="Times New Roman" w:eastAsia="宋体" w:cs="Times New Roman"/>
                <w:color w:val="auto"/>
                <w:kern w:val="2"/>
                <w:sz w:val="24"/>
                <w:szCs w:val="24"/>
                <w:u w:val="none"/>
              </w:rPr>
              <w:t>危</w:t>
            </w:r>
            <w:r>
              <w:rPr>
                <w:rFonts w:hint="eastAsia" w:eastAsia="宋体" w:cs="Times New Roman"/>
                <w:color w:val="auto"/>
                <w:kern w:val="2"/>
                <w:sz w:val="24"/>
                <w:szCs w:val="24"/>
                <w:u w:val="none"/>
                <w:lang w:eastAsia="zh-CN"/>
              </w:rPr>
              <w:t>废暂存间严格按照</w:t>
            </w:r>
            <w:r>
              <w:rPr>
                <w:rFonts w:hint="default" w:ascii="Times New Roman" w:hAnsi="Times New Roman" w:eastAsia="宋体" w:cs="Times New Roman"/>
                <w:color w:val="auto"/>
                <w:kern w:val="2"/>
                <w:sz w:val="24"/>
                <w:szCs w:val="24"/>
                <w:u w:val="none"/>
              </w:rPr>
              <w:t>《危险废物贮存污染控制标准》（GB18597-20</w:t>
            </w:r>
            <w:r>
              <w:rPr>
                <w:rFonts w:hint="eastAsia" w:eastAsia="宋体" w:cs="Times New Roman"/>
                <w:color w:val="auto"/>
                <w:kern w:val="2"/>
                <w:sz w:val="24"/>
                <w:szCs w:val="24"/>
                <w:u w:val="none"/>
                <w:lang w:val="en-US" w:eastAsia="zh-CN"/>
              </w:rPr>
              <w:t>23</w:t>
            </w:r>
            <w:r>
              <w:rPr>
                <w:rFonts w:hint="default" w:ascii="Times New Roman" w:hAnsi="Times New Roman" w:eastAsia="宋体" w:cs="Times New Roman"/>
                <w:color w:val="auto"/>
                <w:kern w:val="2"/>
                <w:sz w:val="24"/>
                <w:szCs w:val="24"/>
                <w:u w:val="none"/>
              </w:rPr>
              <w:t>）及</w:t>
            </w:r>
            <w:r>
              <w:rPr>
                <w:rFonts w:hint="eastAsia" w:eastAsia="宋体" w:cs="Times New Roman"/>
                <w:color w:val="auto"/>
                <w:kern w:val="2"/>
                <w:sz w:val="24"/>
                <w:szCs w:val="24"/>
                <w:u w:val="none"/>
                <w:lang w:eastAsia="zh-CN"/>
              </w:rPr>
              <w:t>相关</w:t>
            </w:r>
            <w:r>
              <w:rPr>
                <w:rFonts w:hint="default" w:ascii="Times New Roman" w:hAnsi="Times New Roman" w:eastAsia="宋体" w:cs="Times New Roman"/>
                <w:color w:val="auto"/>
                <w:kern w:val="2"/>
                <w:sz w:val="24"/>
                <w:szCs w:val="24"/>
                <w:u w:val="none"/>
              </w:rPr>
              <w:t>要求</w:t>
            </w:r>
            <w:r>
              <w:rPr>
                <w:rFonts w:hint="eastAsia" w:eastAsia="宋体" w:cs="Times New Roman"/>
                <w:color w:val="auto"/>
                <w:kern w:val="2"/>
                <w:sz w:val="24"/>
                <w:szCs w:val="24"/>
                <w:u w:val="none"/>
                <w:lang w:eastAsia="zh-CN"/>
              </w:rPr>
              <w:t>建设，</w:t>
            </w:r>
            <w:r>
              <w:rPr>
                <w:rFonts w:hint="default" w:ascii="Times New Roman" w:hAnsi="Times New Roman" w:eastAsia="宋体" w:cs="Times New Roman"/>
                <w:color w:val="auto"/>
                <w:kern w:val="2"/>
                <w:sz w:val="24"/>
                <w:szCs w:val="24"/>
                <w:u w:val="none"/>
              </w:rPr>
              <w:t>使用醒目的标识，</w:t>
            </w:r>
            <w:r>
              <w:rPr>
                <w:rFonts w:hint="eastAsia" w:eastAsia="宋体" w:cs="Times New Roman"/>
                <w:color w:val="auto"/>
                <w:kern w:val="2"/>
                <w:sz w:val="24"/>
                <w:szCs w:val="24"/>
                <w:u w:val="none"/>
                <w:lang w:eastAsia="zh-CN"/>
              </w:rPr>
              <w:t>分区储存</w:t>
            </w:r>
            <w:r>
              <w:rPr>
                <w:rFonts w:hint="eastAsia" w:ascii="Times New Roman" w:hAnsi="Times New Roman" w:eastAsia="宋体" w:cs="Times New Roman"/>
                <w:color w:val="auto"/>
                <w:kern w:val="2"/>
                <w:sz w:val="24"/>
                <w:szCs w:val="24"/>
                <w:u w:val="none"/>
                <w:lang w:eastAsia="zh-CN"/>
              </w:rPr>
              <w:t>，</w:t>
            </w:r>
            <w:r>
              <w:rPr>
                <w:rFonts w:hint="default" w:ascii="Times New Roman" w:hAnsi="Times New Roman" w:eastAsia="宋体" w:cs="Times New Roman"/>
                <w:color w:val="auto"/>
                <w:kern w:val="2"/>
                <w:sz w:val="24"/>
                <w:szCs w:val="24"/>
                <w:u w:val="none"/>
                <w:lang w:eastAsia="zh-CN"/>
              </w:rPr>
              <w:t>液态物料</w:t>
            </w:r>
            <w:r>
              <w:rPr>
                <w:rFonts w:hint="eastAsia" w:ascii="Times New Roman" w:hAnsi="Times New Roman" w:eastAsia="宋体" w:cs="Times New Roman"/>
                <w:color w:val="auto"/>
                <w:kern w:val="2"/>
                <w:sz w:val="24"/>
                <w:szCs w:val="24"/>
                <w:u w:val="none"/>
                <w:lang w:eastAsia="zh-CN"/>
              </w:rPr>
              <w:t>使用桶暂存并</w:t>
            </w:r>
            <w:r>
              <w:rPr>
                <w:rFonts w:hint="default" w:ascii="Times New Roman" w:hAnsi="Times New Roman" w:eastAsia="宋体" w:cs="Times New Roman"/>
                <w:color w:val="auto"/>
                <w:kern w:val="2"/>
                <w:sz w:val="24"/>
                <w:szCs w:val="24"/>
                <w:u w:val="none"/>
                <w:lang w:eastAsia="zh-CN"/>
              </w:rPr>
              <w:t>设托盘防泄漏，</w:t>
            </w:r>
            <w:r>
              <w:rPr>
                <w:rFonts w:hint="eastAsia" w:ascii="Times New Roman" w:hAnsi="Times New Roman" w:eastAsia="宋体" w:cs="Times New Roman"/>
                <w:color w:val="auto"/>
                <w:kern w:val="2"/>
                <w:sz w:val="24"/>
                <w:szCs w:val="24"/>
                <w:u w:val="none"/>
                <w:lang w:eastAsia="zh-CN"/>
              </w:rPr>
              <w:t>设置液体泄漏收集设施等。</w:t>
            </w:r>
          </w:p>
          <w:p w14:paraId="656BCFEE">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lang w:val="en-US" w:eastAsia="zh-CN"/>
              </w:rPr>
            </w:pPr>
            <w:r>
              <w:rPr>
                <w:rFonts w:hint="eastAsia" w:ascii="微软雅黑" w:hAnsi="微软雅黑" w:eastAsia="微软雅黑" w:cs="微软雅黑"/>
                <w:color w:val="auto"/>
                <w:kern w:val="2"/>
                <w:sz w:val="24"/>
                <w:szCs w:val="24"/>
                <w:u w:val="none"/>
                <w:lang w:val="en-US" w:eastAsia="zh-CN"/>
              </w:rPr>
              <w:t>③</w:t>
            </w:r>
            <w:r>
              <w:rPr>
                <w:rFonts w:hint="default" w:ascii="Times New Roman" w:hAnsi="Times New Roman" w:eastAsia="宋体" w:cs="Times New Roman"/>
                <w:color w:val="auto"/>
                <w:kern w:val="2"/>
                <w:sz w:val="24"/>
                <w:szCs w:val="24"/>
                <w:u w:val="none"/>
              </w:rPr>
              <w:t>危险废物的存放和转移派专门负责人进行记录登记，其中包括存放和转移的量以及日</w:t>
            </w:r>
            <w:r>
              <w:rPr>
                <w:rFonts w:hint="default" w:ascii="Times New Roman" w:hAnsi="Times New Roman" w:eastAsia="宋体" w:cs="Times New Roman"/>
                <w:color w:val="auto"/>
                <w:kern w:val="2"/>
                <w:sz w:val="24"/>
                <w:szCs w:val="24"/>
                <w:u w:val="none"/>
                <w:lang w:val="en-US" w:eastAsia="zh-CN"/>
              </w:rPr>
              <w:t>期等，及时联系有资质的单位进行处置。</w:t>
            </w:r>
          </w:p>
          <w:p w14:paraId="38853EBA">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u w:val="none"/>
                <w:lang w:val="en-US" w:eastAsia="zh-CN"/>
              </w:rPr>
            </w:pPr>
            <w:r>
              <w:rPr>
                <w:rFonts w:hint="eastAsia" w:ascii="微软雅黑" w:hAnsi="微软雅黑" w:eastAsia="微软雅黑" w:cs="微软雅黑"/>
                <w:color w:val="auto"/>
                <w:kern w:val="2"/>
                <w:sz w:val="24"/>
                <w:szCs w:val="24"/>
                <w:u w:val="none"/>
                <w:lang w:eastAsia="zh-CN"/>
              </w:rPr>
              <w:t>④</w:t>
            </w:r>
            <w:r>
              <w:rPr>
                <w:rFonts w:hint="eastAsia" w:ascii="Times New Roman" w:hAnsi="Times New Roman" w:eastAsia="宋体" w:cs="Times New Roman"/>
                <w:color w:val="auto"/>
                <w:kern w:val="2"/>
                <w:sz w:val="24"/>
                <w:szCs w:val="24"/>
                <w:u w:val="none"/>
                <w:lang w:val="en-US" w:eastAsia="zh-CN"/>
              </w:rPr>
              <w:t>危险化学品泄漏主要发生在运输与储存环节，对于其运输与储存风险的防范，应在运输管理、运输设备、储存设备及其维护方面加强控制，建立完善的化学品管理制度</w:t>
            </w:r>
            <w:r>
              <w:rPr>
                <w:rFonts w:hint="eastAsia" w:eastAsia="宋体" w:cs="Times New Roman"/>
                <w:color w:val="auto"/>
                <w:kern w:val="2"/>
                <w:sz w:val="24"/>
                <w:szCs w:val="24"/>
                <w:u w:val="none"/>
                <w:lang w:val="en-US" w:eastAsia="zh-CN"/>
              </w:rPr>
              <w:t>。</w:t>
            </w:r>
          </w:p>
          <w:p w14:paraId="2E262B95">
            <w:pPr>
              <w:keepNext w:val="0"/>
              <w:keepLines w:val="0"/>
              <w:widowControl w:val="0"/>
              <w:suppressLineNumbers w:val="0"/>
              <w:spacing w:before="0" w:beforeAutospacing="0" w:after="0" w:afterAutospacing="0" w:line="360" w:lineRule="auto"/>
              <w:ind w:left="0" w:right="0" w:firstLine="482" w:firstLineChars="200"/>
              <w:jc w:val="both"/>
              <w:outlineLvl w:val="3"/>
              <w:rPr>
                <w:rFonts w:hint="default" w:ascii="Times New Roman" w:hAnsi="Times New Roman" w:eastAsia="宋体" w:cs="Times New Roman"/>
                <w:b/>
                <w:bCs/>
                <w:color w:val="auto"/>
                <w:kern w:val="20"/>
                <w:sz w:val="24"/>
                <w:szCs w:val="24"/>
                <w:u w:val="none"/>
              </w:rPr>
            </w:pPr>
            <w:r>
              <w:rPr>
                <w:rFonts w:hint="eastAsia" w:cs="Times New Roman"/>
                <w:b/>
                <w:bCs/>
                <w:color w:val="auto"/>
                <w:kern w:val="20"/>
                <w:sz w:val="24"/>
                <w:szCs w:val="24"/>
                <w:u w:val="none"/>
                <w:lang w:val="en-US" w:eastAsia="zh-CN"/>
              </w:rPr>
              <w:t>3）</w:t>
            </w:r>
            <w:r>
              <w:rPr>
                <w:rFonts w:hint="default" w:ascii="Times New Roman" w:hAnsi="Times New Roman" w:eastAsia="宋体" w:cs="Times New Roman"/>
                <w:b/>
                <w:bCs/>
                <w:color w:val="auto"/>
                <w:kern w:val="20"/>
                <w:sz w:val="24"/>
                <w:szCs w:val="24"/>
                <w:u w:val="none"/>
              </w:rPr>
              <w:t>废气事故</w:t>
            </w:r>
            <w:r>
              <w:rPr>
                <w:rFonts w:hint="eastAsia" w:cs="Times New Roman"/>
                <w:b/>
                <w:bCs/>
                <w:color w:val="auto"/>
                <w:kern w:val="20"/>
                <w:sz w:val="24"/>
                <w:szCs w:val="24"/>
                <w:u w:val="none"/>
                <w:lang w:val="en-US" w:eastAsia="zh-CN"/>
              </w:rPr>
              <w:t>排放</w:t>
            </w:r>
            <w:r>
              <w:rPr>
                <w:rFonts w:hint="default" w:ascii="Times New Roman" w:hAnsi="Times New Roman" w:eastAsia="宋体" w:cs="Times New Roman"/>
                <w:b/>
                <w:bCs/>
                <w:color w:val="auto"/>
                <w:kern w:val="20"/>
                <w:sz w:val="24"/>
                <w:szCs w:val="24"/>
                <w:u w:val="none"/>
              </w:rPr>
              <w:t>防范措施</w:t>
            </w:r>
          </w:p>
          <w:p w14:paraId="532F645D">
            <w:pPr>
              <w:keepNext w:val="0"/>
              <w:keepLines w:val="0"/>
              <w:widowControl/>
              <w:suppressLineNumbers w:val="0"/>
              <w:spacing w:before="0" w:beforeAutospacing="0" w:after="0" w:afterAutospacing="0" w:line="360" w:lineRule="auto"/>
              <w:ind w:left="0" w:right="0" w:firstLine="480" w:firstLineChars="200"/>
              <w:jc w:val="left"/>
              <w:rPr>
                <w:rFonts w:hint="default"/>
              </w:rPr>
            </w:pPr>
            <w:r>
              <w:rPr>
                <w:rFonts w:hint="eastAsia" w:ascii="微软雅黑" w:hAnsi="微软雅黑" w:eastAsia="微软雅黑" w:cs="微软雅黑"/>
                <w:color w:val="auto"/>
                <w:kern w:val="2"/>
                <w:sz w:val="24"/>
                <w:szCs w:val="24"/>
                <w:u w:val="none"/>
                <w:lang w:eastAsia="zh-CN"/>
              </w:rPr>
              <w:t>①</w:t>
            </w:r>
            <w:r>
              <w:rPr>
                <w:rFonts w:hint="default" w:ascii="Times New Roman" w:hAnsi="Times New Roman" w:eastAsia="宋体" w:cs="Times New Roman"/>
                <w:color w:val="auto"/>
                <w:kern w:val="2"/>
                <w:sz w:val="24"/>
                <w:szCs w:val="24"/>
                <w:u w:val="none"/>
              </w:rPr>
              <w:t>废气处理设备制定严格的操作规程，严格按操作规程进行运行控制，</w:t>
            </w:r>
            <w:r>
              <w:rPr>
                <w:rFonts w:hint="eastAsia" w:ascii="Times New Roman" w:hAnsi="Times New Roman" w:eastAsia="宋体" w:cs="Times New Roman"/>
                <w:color w:val="auto"/>
                <w:kern w:val="2"/>
                <w:sz w:val="24"/>
                <w:szCs w:val="24"/>
                <w:u w:val="none"/>
                <w:lang w:val="en-US" w:eastAsia="zh-CN"/>
              </w:rPr>
              <w:t>加强对操作工人的培训，培养员工的安全和环境意识，提高操作工人的技术水平和责任感，降低操作失误而造成的事故。</w:t>
            </w:r>
          </w:p>
          <w:p w14:paraId="3B82A3D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微软雅黑" w:hAnsi="微软雅黑" w:eastAsia="微软雅黑" w:cs="微软雅黑"/>
                <w:color w:val="auto"/>
                <w:kern w:val="2"/>
                <w:sz w:val="24"/>
                <w:szCs w:val="24"/>
                <w:u w:val="none"/>
                <w:lang w:eastAsia="zh-CN"/>
              </w:rPr>
              <w:t>②</w:t>
            </w:r>
            <w:r>
              <w:rPr>
                <w:rFonts w:hint="eastAsia" w:ascii="Times New Roman" w:hAnsi="Times New Roman" w:eastAsia="宋体" w:cs="Times New Roman"/>
                <w:color w:val="auto"/>
                <w:kern w:val="2"/>
                <w:sz w:val="24"/>
                <w:szCs w:val="24"/>
                <w:u w:val="none"/>
                <w:lang w:val="en-US" w:eastAsia="zh-CN"/>
              </w:rPr>
              <w:t>定期检修设备，加强日常维护保养，避免或减少故障发生，确保设备处于正常的工作状态。</w:t>
            </w:r>
          </w:p>
          <w:p w14:paraId="710216F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微软雅黑" w:hAnsi="微软雅黑" w:eastAsia="微软雅黑" w:cs="微软雅黑"/>
                <w:color w:val="auto"/>
                <w:kern w:val="2"/>
                <w:sz w:val="24"/>
                <w:szCs w:val="24"/>
                <w:u w:val="none"/>
                <w:lang w:eastAsia="zh-CN"/>
              </w:rPr>
              <w:t>③</w:t>
            </w:r>
            <w:r>
              <w:rPr>
                <w:rFonts w:hint="default" w:ascii="Times New Roman" w:hAnsi="Times New Roman" w:eastAsia="宋体" w:cs="Times New Roman"/>
                <w:color w:val="auto"/>
                <w:kern w:val="2"/>
                <w:sz w:val="24"/>
                <w:szCs w:val="24"/>
                <w:u w:val="none"/>
              </w:rPr>
              <w:t>管理人员每天对各废气处理设施巡检一次，查看废气处理设施运转是否正常，运行控制是否到位，不定时对各记录表进行检查。</w:t>
            </w:r>
          </w:p>
          <w:p w14:paraId="63823D6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eastAsia" w:ascii="微软雅黑" w:hAnsi="微软雅黑" w:eastAsia="微软雅黑" w:cs="微软雅黑"/>
                <w:color w:val="auto"/>
                <w:kern w:val="2"/>
                <w:sz w:val="24"/>
                <w:szCs w:val="24"/>
                <w:u w:val="none"/>
                <w:lang w:eastAsia="zh-CN"/>
              </w:rPr>
              <w:t>④</w:t>
            </w:r>
            <w:r>
              <w:rPr>
                <w:rFonts w:hint="eastAsia" w:ascii="Times New Roman" w:hAnsi="Times New Roman" w:eastAsia="宋体" w:cs="Times New Roman"/>
                <w:color w:val="auto"/>
                <w:kern w:val="2"/>
                <w:sz w:val="24"/>
                <w:szCs w:val="24"/>
                <w:u w:val="none"/>
                <w:lang w:eastAsia="zh-CN"/>
              </w:rPr>
              <w:t>一旦发现废气事故排放</w:t>
            </w:r>
            <w:r>
              <w:rPr>
                <w:rFonts w:hint="eastAsia" w:eastAsia="宋体" w:cs="Times New Roman"/>
                <w:color w:val="auto"/>
                <w:kern w:val="2"/>
                <w:sz w:val="24"/>
                <w:szCs w:val="24"/>
                <w:u w:val="none"/>
                <w:lang w:eastAsia="zh-CN"/>
              </w:rPr>
              <w:t>情况</w:t>
            </w:r>
            <w:r>
              <w:rPr>
                <w:rFonts w:hint="eastAsia" w:ascii="Times New Roman" w:hAnsi="Times New Roman" w:eastAsia="宋体" w:cs="Times New Roman"/>
                <w:color w:val="auto"/>
                <w:kern w:val="2"/>
                <w:sz w:val="24"/>
                <w:szCs w:val="24"/>
                <w:u w:val="none"/>
                <w:lang w:eastAsia="zh-CN"/>
              </w:rPr>
              <w:t>，应立即停止生产，待检修恢复正常后方可正常生产</w:t>
            </w:r>
            <w:r>
              <w:rPr>
                <w:rFonts w:hint="default" w:ascii="Times New Roman" w:hAnsi="Times New Roman" w:eastAsia="宋体" w:cs="Times New Roman"/>
                <w:color w:val="auto"/>
                <w:kern w:val="2"/>
                <w:sz w:val="24"/>
                <w:szCs w:val="24"/>
                <w:u w:val="none"/>
              </w:rPr>
              <w:t>。</w:t>
            </w:r>
          </w:p>
          <w:p w14:paraId="34F9FEC3">
            <w:pPr>
              <w:keepNext w:val="0"/>
              <w:keepLines w:val="0"/>
              <w:widowControl w:val="0"/>
              <w:suppressLineNumbers w:val="0"/>
              <w:spacing w:before="0" w:beforeAutospacing="0" w:after="0" w:afterAutospacing="0" w:line="360" w:lineRule="auto"/>
              <w:ind w:left="0" w:right="0" w:firstLine="482" w:firstLineChars="200"/>
              <w:jc w:val="both"/>
              <w:outlineLvl w:val="3"/>
              <w:rPr>
                <w:rFonts w:hint="default" w:ascii="Times New Roman" w:hAnsi="Times New Roman" w:eastAsia="宋体" w:cs="Times New Roman"/>
                <w:b/>
                <w:bCs/>
                <w:color w:val="auto"/>
                <w:kern w:val="20"/>
                <w:sz w:val="24"/>
                <w:szCs w:val="24"/>
                <w:u w:val="none"/>
              </w:rPr>
            </w:pPr>
            <w:r>
              <w:rPr>
                <w:rFonts w:hint="eastAsia" w:cs="Times New Roman"/>
                <w:b/>
                <w:bCs/>
                <w:color w:val="auto"/>
                <w:kern w:val="20"/>
                <w:sz w:val="24"/>
                <w:szCs w:val="24"/>
                <w:u w:val="none"/>
                <w:lang w:val="en-US" w:eastAsia="zh-CN"/>
              </w:rPr>
              <w:t>4）</w:t>
            </w:r>
            <w:r>
              <w:rPr>
                <w:rFonts w:hint="default" w:ascii="Times New Roman" w:hAnsi="Times New Roman" w:eastAsia="宋体" w:cs="Times New Roman"/>
                <w:b/>
                <w:bCs/>
                <w:color w:val="auto"/>
                <w:kern w:val="20"/>
                <w:sz w:val="24"/>
                <w:szCs w:val="24"/>
                <w:u w:val="none"/>
              </w:rPr>
              <w:t>建立健全的安全环境管理制度</w:t>
            </w:r>
          </w:p>
          <w:p w14:paraId="5AA6A3E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default" w:ascii="Times New Roman" w:hAnsi="Times New Roman" w:eastAsia="微软雅黑" w:cs="Times New Roman"/>
                <w:color w:val="auto"/>
                <w:kern w:val="2"/>
                <w:sz w:val="24"/>
                <w:szCs w:val="24"/>
                <w:u w:val="none"/>
                <w:lang w:eastAsia="zh-CN"/>
              </w:rPr>
              <w:t>①</w:t>
            </w:r>
            <w:r>
              <w:rPr>
                <w:rFonts w:hint="default" w:ascii="Times New Roman" w:hAnsi="Times New Roman" w:eastAsia="宋体" w:cs="Times New Roman"/>
                <w:color w:val="auto"/>
                <w:kern w:val="2"/>
                <w:sz w:val="24"/>
                <w:szCs w:val="24"/>
                <w:u w:val="none"/>
              </w:rPr>
              <w:t>制定和强化健康/安全/环境管理制度，并严格予以执行。</w:t>
            </w:r>
          </w:p>
          <w:p w14:paraId="5D5A733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default" w:ascii="Times New Roman" w:hAnsi="Times New Roman" w:eastAsia="微软雅黑" w:cs="Times New Roman"/>
                <w:color w:val="auto"/>
                <w:kern w:val="2"/>
                <w:sz w:val="24"/>
                <w:szCs w:val="24"/>
                <w:u w:val="none"/>
                <w:lang w:eastAsia="zh-CN"/>
              </w:rPr>
              <w:t>②</w:t>
            </w:r>
            <w:r>
              <w:rPr>
                <w:rFonts w:hint="default" w:ascii="Times New Roman" w:hAnsi="Times New Roman" w:eastAsia="宋体" w:cs="Times New Roman"/>
                <w:color w:val="auto"/>
                <w:kern w:val="2"/>
                <w:sz w:val="24"/>
                <w:szCs w:val="24"/>
                <w:u w:val="none"/>
              </w:rPr>
              <w:t>严格执行我国有关劳动安全、环保与卫生的规范和标准，在设计、施工和运行过程中必须针对可能存在的不安全、不卫生因素采取相应的安全防卫措施，消除事故隐患，一旦发生事故应采取有效措施，降低因事故引起的损失和对环境的污染。</w:t>
            </w:r>
          </w:p>
          <w:p w14:paraId="55CD72A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default" w:ascii="Times New Roman" w:hAnsi="Times New Roman" w:eastAsia="微软雅黑" w:cs="Times New Roman"/>
                <w:color w:val="auto"/>
                <w:kern w:val="2"/>
                <w:sz w:val="24"/>
                <w:szCs w:val="24"/>
                <w:u w:val="none"/>
                <w:lang w:eastAsia="zh-CN"/>
              </w:rPr>
              <w:t>③</w:t>
            </w:r>
            <w:r>
              <w:rPr>
                <w:rFonts w:hint="default" w:ascii="Times New Roman" w:hAnsi="Times New Roman" w:eastAsia="宋体" w:cs="Times New Roman"/>
                <w:color w:val="auto"/>
                <w:kern w:val="2"/>
                <w:sz w:val="24"/>
                <w:szCs w:val="24"/>
                <w:u w:val="none"/>
              </w:rPr>
              <w:t>加强原料区及成品存放区的安全环保管理，对公司职工进行安全环保的教育和培训，做到持证上岗，减少人为风险事故（如误操作）的发生。</w:t>
            </w:r>
          </w:p>
          <w:p w14:paraId="33C48FFA">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u w:val="none"/>
              </w:rPr>
            </w:pPr>
            <w:r>
              <w:rPr>
                <w:rFonts w:hint="default" w:ascii="Times New Roman" w:hAnsi="Times New Roman" w:eastAsia="微软雅黑" w:cs="Times New Roman"/>
                <w:color w:val="auto"/>
                <w:kern w:val="2"/>
                <w:sz w:val="24"/>
                <w:szCs w:val="24"/>
                <w:u w:val="none"/>
                <w:lang w:eastAsia="zh-CN"/>
              </w:rPr>
              <w:t>④</w:t>
            </w:r>
            <w:r>
              <w:rPr>
                <w:rFonts w:hint="default" w:ascii="Times New Roman" w:hAnsi="Times New Roman" w:eastAsia="宋体" w:cs="Times New Roman"/>
                <w:color w:val="000000"/>
                <w:kern w:val="0"/>
                <w:sz w:val="24"/>
                <w:szCs w:val="24"/>
                <w:lang w:val="en-US" w:eastAsia="zh-CN" w:bidi="ar"/>
              </w:rPr>
              <w:t>制定应急处理措施，编制事故应急预案，预防意外突发事故</w:t>
            </w:r>
            <w:r>
              <w:rPr>
                <w:rFonts w:hint="default" w:ascii="Times New Roman" w:hAnsi="Times New Roman" w:eastAsia="宋体" w:cs="Times New Roman"/>
                <w:color w:val="auto"/>
                <w:kern w:val="2"/>
                <w:sz w:val="24"/>
                <w:szCs w:val="24"/>
                <w:u w:val="none"/>
              </w:rPr>
              <w:t>。</w:t>
            </w:r>
          </w:p>
          <w:p w14:paraId="5F0F379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u w:val="none"/>
              </w:rPr>
            </w:pPr>
            <w:r>
              <w:rPr>
                <w:rFonts w:hint="default" w:ascii="Times New Roman" w:hAnsi="Times New Roman" w:eastAsia="微软雅黑" w:cs="Times New Roman"/>
                <w:color w:val="auto"/>
                <w:kern w:val="2"/>
                <w:sz w:val="24"/>
                <w:szCs w:val="24"/>
                <w:u w:val="none"/>
                <w:lang w:eastAsia="zh-CN"/>
              </w:rPr>
              <w:t>⑤</w:t>
            </w:r>
            <w:r>
              <w:rPr>
                <w:rFonts w:hint="default" w:ascii="Times New Roman" w:hAnsi="Times New Roman" w:eastAsia="宋体" w:cs="Times New Roman"/>
                <w:color w:val="auto"/>
                <w:kern w:val="2"/>
                <w:sz w:val="24"/>
                <w:szCs w:val="24"/>
                <w:u w:val="none"/>
              </w:rPr>
              <w:t>加强设备、仪表的维修、保养，定期检查各种设备，杜绝事故隐患，降低事故发生概率。定期检查和更换危险化学品的储存输送设备，杜绝由于设备劳损、折旧带来的事故隐患。</w:t>
            </w:r>
          </w:p>
          <w:p w14:paraId="4CB6B97E">
            <w:pPr>
              <w:pStyle w:val="13"/>
              <w:keepNext w:val="0"/>
              <w:keepLines w:val="0"/>
              <w:pageBreakBefore w:val="0"/>
              <w:widowControl w:val="0"/>
              <w:suppressLineNumbers w:val="0"/>
              <w:tabs>
                <w:tab w:val="left" w:pos="1080"/>
              </w:tabs>
              <w:kinsoku/>
              <w:wordWrap/>
              <w:overflowPunct/>
              <w:topLinePunct w:val="0"/>
              <w:autoSpaceDE/>
              <w:autoSpaceDN/>
              <w:bidi w:val="0"/>
              <w:adjustRightInd w:val="0"/>
              <w:snapToGrid/>
              <w:spacing w:before="0" w:beforeAutospacing="0" w:after="0" w:afterAutospacing="0" w:line="360" w:lineRule="auto"/>
              <w:ind w:left="0" w:right="0" w:firstLine="0" w:firstLineChars="0"/>
              <w:jc w:val="both"/>
              <w:textAlignment w:val="baseline"/>
              <w:rPr>
                <w:rFonts w:hint="default" w:ascii="Times New Roman" w:hAnsi="Times New Roman" w:eastAsia="宋体" w:cs="Times New Roman"/>
                <w:b/>
                <w:bCs/>
                <w:color w:val="000000" w:themeColor="text1"/>
                <w:spacing w:val="0"/>
                <w:position w:val="0"/>
                <w:sz w:val="24"/>
                <w:szCs w:val="24"/>
                <w:highlight w:val="none"/>
                <w:u w:val="none" w:color="auto"/>
                <w:lang w:val="en-US" w:eastAsia="zh-CN"/>
                <w14:textFill>
                  <w14:solidFill>
                    <w14:schemeClr w14:val="tx1"/>
                  </w14:solidFill>
                </w14:textFill>
              </w:rPr>
            </w:pPr>
            <w:r>
              <w:rPr>
                <w:rFonts w:hint="eastAsia" w:cs="Times New Roman"/>
                <w:b/>
                <w:bCs/>
                <w:color w:val="000000" w:themeColor="text1"/>
                <w:spacing w:val="0"/>
                <w:position w:val="0"/>
                <w:sz w:val="24"/>
                <w:szCs w:val="24"/>
                <w:highlight w:val="none"/>
                <w:u w:val="none" w:color="auto"/>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0"/>
                <w:position w:val="0"/>
                <w:sz w:val="24"/>
                <w:szCs w:val="24"/>
                <w:highlight w:val="none"/>
                <w:u w:val="none" w:color="auto"/>
                <w:lang w:val="en-US" w:eastAsia="zh-CN"/>
                <w14:textFill>
                  <w14:solidFill>
                    <w14:schemeClr w14:val="tx1"/>
                  </w14:solidFill>
                </w14:textFill>
              </w:rPr>
              <w:t>、项目建设前后全厂排污变化情况</w:t>
            </w:r>
          </w:p>
          <w:p w14:paraId="58639D4C">
            <w:pPr>
              <w:pStyle w:val="13"/>
              <w:keepNext w:val="0"/>
              <w:keepLines w:val="0"/>
              <w:pageBreakBefore w:val="0"/>
              <w:widowControl w:val="0"/>
              <w:suppressLineNumbers w:val="0"/>
              <w:tabs>
                <w:tab w:val="left" w:pos="108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default" w:ascii="Times New Roman" w:hAnsi="Times New Roman" w:eastAsia="宋体" w:cs="Times New Roman"/>
                <w:color w:val="000000" w:themeColor="text1"/>
                <w:spacing w:val="0"/>
                <w:position w:val="0"/>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highlight w:val="none"/>
                <w:u w:val="none" w:color="auto"/>
                <w:lang w:val="en-US" w:eastAsia="zh-CN"/>
                <w14:textFill>
                  <w14:solidFill>
                    <w14:schemeClr w14:val="tx1"/>
                  </w14:solidFill>
                </w14:textFill>
              </w:rPr>
              <w:t>本项目建设前后全厂污染物“三本账”情况见表</w:t>
            </w:r>
            <w:r>
              <w:rPr>
                <w:rFonts w:hint="eastAsia" w:cs="Times New Roman"/>
                <w:color w:val="000000" w:themeColor="text1"/>
                <w:spacing w:val="0"/>
                <w:position w:val="0"/>
                <w:sz w:val="24"/>
                <w:szCs w:val="24"/>
                <w:highlight w:val="none"/>
                <w:u w:val="none" w:color="auto"/>
                <w:lang w:val="en-US" w:eastAsia="zh-CN"/>
                <w14:textFill>
                  <w14:solidFill>
                    <w14:schemeClr w14:val="tx1"/>
                  </w14:solidFill>
                </w14:textFill>
              </w:rPr>
              <w:t>4</w:t>
            </w:r>
            <w:r>
              <w:rPr>
                <w:rFonts w:hint="default" w:ascii="Times New Roman" w:hAnsi="Times New Roman" w:eastAsia="宋体" w:cs="Times New Roman"/>
                <w:color w:val="000000" w:themeColor="text1"/>
                <w:spacing w:val="0"/>
                <w:position w:val="0"/>
                <w:sz w:val="24"/>
                <w:szCs w:val="24"/>
                <w:highlight w:val="none"/>
                <w:u w:val="none" w:color="auto"/>
                <w:lang w:val="en-US" w:eastAsia="zh-CN"/>
                <w14:textFill>
                  <w14:solidFill>
                    <w14:schemeClr w14:val="tx1"/>
                  </w14:solidFill>
                </w14:textFill>
              </w:rPr>
              <w:t>-1</w:t>
            </w:r>
            <w:r>
              <w:rPr>
                <w:rFonts w:hint="eastAsia" w:cs="Times New Roman"/>
                <w:color w:val="000000" w:themeColor="text1"/>
                <w:spacing w:val="0"/>
                <w:position w:val="0"/>
                <w:sz w:val="24"/>
                <w:szCs w:val="24"/>
                <w:highlight w:val="none"/>
                <w:u w:val="none" w:color="auto"/>
                <w:lang w:val="en-US" w:eastAsia="zh-CN"/>
                <w14:textFill>
                  <w14:solidFill>
                    <w14:schemeClr w14:val="tx1"/>
                  </w14:solidFill>
                </w14:textFill>
              </w:rPr>
              <w:t>9</w:t>
            </w:r>
            <w:r>
              <w:rPr>
                <w:rFonts w:hint="default" w:ascii="Times New Roman" w:hAnsi="Times New Roman" w:eastAsia="宋体" w:cs="Times New Roman"/>
                <w:color w:val="000000" w:themeColor="text1"/>
                <w:spacing w:val="0"/>
                <w:position w:val="0"/>
                <w:sz w:val="24"/>
                <w:szCs w:val="24"/>
                <w:highlight w:val="none"/>
                <w:u w:val="none" w:color="auto"/>
                <w:lang w:val="en-US" w:eastAsia="zh-CN"/>
                <w14:textFill>
                  <w14:solidFill>
                    <w14:schemeClr w14:val="tx1"/>
                  </w14:solidFill>
                </w14:textFill>
              </w:rPr>
              <w:t>。</w:t>
            </w:r>
          </w:p>
          <w:p w14:paraId="5BA165CE">
            <w:pPr>
              <w:pStyle w:val="13"/>
              <w:keepNext w:val="0"/>
              <w:keepLines w:val="0"/>
              <w:pageBreakBefore w:val="0"/>
              <w:widowControl w:val="0"/>
              <w:suppressLineNumbers w:val="0"/>
              <w:tabs>
                <w:tab w:val="left" w:pos="1080"/>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baseline"/>
              <w:rPr>
                <w:rFonts w:hint="default" w:ascii="Times New Roman" w:hAnsi="Times New Roman" w:eastAsia="宋体" w:cs="Times New Roman"/>
                <w:b/>
                <w:bCs/>
                <w:color w:val="auto"/>
                <w:spacing w:val="0"/>
                <w:position w:val="0"/>
                <w:sz w:val="24"/>
                <w:szCs w:val="24"/>
                <w:highlight w:val="none"/>
                <w:u w:val="none" w:color="auto"/>
                <w:lang w:val="en-US" w:eastAsia="zh-CN"/>
              </w:rPr>
            </w:pPr>
            <w:r>
              <w:rPr>
                <w:rFonts w:hint="default" w:ascii="Times New Roman" w:hAnsi="Times New Roman" w:eastAsia="宋体" w:cs="Times New Roman"/>
                <w:b/>
                <w:bCs/>
                <w:color w:val="auto"/>
                <w:spacing w:val="0"/>
                <w:position w:val="0"/>
                <w:sz w:val="24"/>
                <w:szCs w:val="24"/>
                <w:highlight w:val="none"/>
                <w:u w:val="none" w:color="auto"/>
                <w:lang w:val="en-US" w:eastAsia="zh-CN"/>
              </w:rPr>
              <w:t>表</w:t>
            </w:r>
            <w:r>
              <w:rPr>
                <w:rFonts w:hint="eastAsia" w:cs="Times New Roman"/>
                <w:b/>
                <w:bCs/>
                <w:color w:val="auto"/>
                <w:spacing w:val="0"/>
                <w:position w:val="0"/>
                <w:sz w:val="24"/>
                <w:szCs w:val="24"/>
                <w:highlight w:val="none"/>
                <w:u w:val="none" w:color="auto"/>
                <w:lang w:val="en-US" w:eastAsia="zh-CN"/>
              </w:rPr>
              <w:t>4</w:t>
            </w:r>
            <w:r>
              <w:rPr>
                <w:rFonts w:hint="default" w:ascii="Times New Roman" w:hAnsi="Times New Roman" w:eastAsia="宋体" w:cs="Times New Roman"/>
                <w:b/>
                <w:bCs/>
                <w:color w:val="auto"/>
                <w:spacing w:val="0"/>
                <w:position w:val="0"/>
                <w:sz w:val="24"/>
                <w:szCs w:val="24"/>
                <w:highlight w:val="none"/>
                <w:u w:val="none" w:color="auto"/>
                <w:lang w:val="en-US" w:eastAsia="zh-CN"/>
              </w:rPr>
              <w:t>-</w:t>
            </w:r>
            <w:r>
              <w:rPr>
                <w:rFonts w:hint="eastAsia" w:cs="Times New Roman"/>
                <w:b/>
                <w:bCs/>
                <w:color w:val="auto"/>
                <w:spacing w:val="0"/>
                <w:position w:val="0"/>
                <w:sz w:val="24"/>
                <w:szCs w:val="24"/>
                <w:highlight w:val="none"/>
                <w:u w:val="none" w:color="auto"/>
                <w:lang w:val="en-US" w:eastAsia="zh-CN"/>
              </w:rPr>
              <w:t>22</w:t>
            </w:r>
            <w:r>
              <w:rPr>
                <w:rFonts w:hint="default" w:ascii="Times New Roman" w:hAnsi="Times New Roman" w:eastAsia="宋体" w:cs="Times New Roman"/>
                <w:b/>
                <w:bCs/>
                <w:color w:val="auto"/>
                <w:spacing w:val="0"/>
                <w:position w:val="0"/>
                <w:sz w:val="24"/>
                <w:szCs w:val="24"/>
                <w:highlight w:val="none"/>
                <w:u w:val="none" w:color="auto"/>
                <w:lang w:val="en-US" w:eastAsia="zh-CN"/>
              </w:rPr>
              <w:t xml:space="preserve">   项目建成前后全厂排污变化情况汇总表（单位：t/a）</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35"/>
              <w:gridCol w:w="1431"/>
              <w:gridCol w:w="1035"/>
              <w:gridCol w:w="1035"/>
              <w:gridCol w:w="1035"/>
              <w:gridCol w:w="1035"/>
              <w:gridCol w:w="1035"/>
              <w:gridCol w:w="1035"/>
            </w:tblGrid>
            <w:tr w14:paraId="40837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35" w:type="dxa"/>
                  <w:vMerge w:val="restart"/>
                  <w:tcBorders>
                    <w:tl2br w:val="nil"/>
                    <w:tr2bl w:val="nil"/>
                  </w:tcBorders>
                  <w:shd w:val="clear" w:color="auto" w:fill="auto"/>
                  <w:noWrap/>
                  <w:vAlign w:val="center"/>
                </w:tcPr>
                <w:p w14:paraId="43AABE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类别</w:t>
                  </w:r>
                </w:p>
              </w:tc>
              <w:tc>
                <w:tcPr>
                  <w:tcW w:w="1431" w:type="dxa"/>
                  <w:vMerge w:val="restart"/>
                  <w:tcBorders>
                    <w:tl2br w:val="nil"/>
                    <w:tr2bl w:val="nil"/>
                  </w:tcBorders>
                  <w:shd w:val="clear" w:color="auto" w:fill="auto"/>
                  <w:vAlign w:val="center"/>
                </w:tcPr>
                <w:p w14:paraId="5B553C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w:t>
                  </w:r>
                </w:p>
              </w:tc>
              <w:tc>
                <w:tcPr>
                  <w:tcW w:w="1035" w:type="dxa"/>
                  <w:vMerge w:val="restart"/>
                  <w:tcBorders>
                    <w:tl2br w:val="nil"/>
                    <w:tr2bl w:val="nil"/>
                  </w:tcBorders>
                  <w:shd w:val="clear" w:color="auto" w:fill="auto"/>
                  <w:vAlign w:val="center"/>
                </w:tcPr>
                <w:p w14:paraId="4BEE4D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现有排放量</w:t>
                  </w:r>
                </w:p>
              </w:tc>
              <w:tc>
                <w:tcPr>
                  <w:tcW w:w="1035" w:type="dxa"/>
                  <w:vMerge w:val="restart"/>
                  <w:tcBorders>
                    <w:tl2br w:val="nil"/>
                    <w:tr2bl w:val="nil"/>
                  </w:tcBorders>
                  <w:shd w:val="clear" w:color="auto" w:fill="auto"/>
                  <w:vAlign w:val="center"/>
                </w:tcPr>
                <w:p w14:paraId="0C9B49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在建项目排放量</w:t>
                  </w:r>
                </w:p>
              </w:tc>
              <w:tc>
                <w:tcPr>
                  <w:tcW w:w="1035" w:type="dxa"/>
                  <w:vMerge w:val="restart"/>
                  <w:tcBorders>
                    <w:tl2br w:val="nil"/>
                    <w:tr2bl w:val="nil"/>
                  </w:tcBorders>
                  <w:shd w:val="clear" w:color="auto" w:fill="auto"/>
                  <w:vAlign w:val="center"/>
                </w:tcPr>
                <w:p w14:paraId="63EEF2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本项目排放量</w:t>
                  </w:r>
                </w:p>
              </w:tc>
              <w:tc>
                <w:tcPr>
                  <w:tcW w:w="1035" w:type="dxa"/>
                  <w:vMerge w:val="restart"/>
                  <w:tcBorders>
                    <w:tl2br w:val="nil"/>
                    <w:tr2bl w:val="nil"/>
                  </w:tcBorders>
                  <w:shd w:val="clear" w:color="auto" w:fill="auto"/>
                  <w:vAlign w:val="center"/>
                </w:tcPr>
                <w:p w14:paraId="407CBD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“以新带老”削减量</w:t>
                  </w:r>
                </w:p>
              </w:tc>
              <w:tc>
                <w:tcPr>
                  <w:tcW w:w="1035" w:type="dxa"/>
                  <w:vMerge w:val="restart"/>
                  <w:tcBorders>
                    <w:tl2br w:val="nil"/>
                    <w:tr2bl w:val="nil"/>
                  </w:tcBorders>
                  <w:shd w:val="clear" w:color="auto" w:fill="auto"/>
                  <w:vAlign w:val="center"/>
                </w:tcPr>
                <w:p w14:paraId="5C35A4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本项目建成后排放量</w:t>
                  </w:r>
                </w:p>
              </w:tc>
              <w:tc>
                <w:tcPr>
                  <w:tcW w:w="1035" w:type="dxa"/>
                  <w:vMerge w:val="restart"/>
                  <w:tcBorders>
                    <w:tl2br w:val="nil"/>
                    <w:tr2bl w:val="nil"/>
                  </w:tcBorders>
                  <w:shd w:val="clear" w:color="auto" w:fill="auto"/>
                  <w:vAlign w:val="center"/>
                </w:tcPr>
                <w:p w14:paraId="0C4027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增减量</w:t>
                  </w:r>
                </w:p>
              </w:tc>
            </w:tr>
            <w:tr w14:paraId="58E65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042A308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vMerge w:val="continue"/>
                  <w:tcBorders>
                    <w:tl2br w:val="nil"/>
                    <w:tr2bl w:val="nil"/>
                  </w:tcBorders>
                  <w:shd w:val="clear" w:color="auto" w:fill="auto"/>
                  <w:vAlign w:val="center"/>
                </w:tcPr>
                <w:p w14:paraId="40035A0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1035" w:type="dxa"/>
                  <w:vMerge w:val="continue"/>
                  <w:tcBorders>
                    <w:tl2br w:val="nil"/>
                    <w:tr2bl w:val="nil"/>
                  </w:tcBorders>
                  <w:shd w:val="clear" w:color="auto" w:fill="auto"/>
                  <w:vAlign w:val="center"/>
                </w:tcPr>
                <w:p w14:paraId="67A4C72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1035" w:type="dxa"/>
                  <w:vMerge w:val="continue"/>
                  <w:tcBorders>
                    <w:tl2br w:val="nil"/>
                    <w:tr2bl w:val="nil"/>
                  </w:tcBorders>
                  <w:shd w:val="clear" w:color="auto" w:fill="auto"/>
                  <w:vAlign w:val="center"/>
                </w:tcPr>
                <w:p w14:paraId="01E04C1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1035" w:type="dxa"/>
                  <w:vMerge w:val="continue"/>
                  <w:tcBorders>
                    <w:tl2br w:val="nil"/>
                    <w:tr2bl w:val="nil"/>
                  </w:tcBorders>
                  <w:shd w:val="clear" w:color="auto" w:fill="auto"/>
                  <w:vAlign w:val="center"/>
                </w:tcPr>
                <w:p w14:paraId="398FE6D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1035" w:type="dxa"/>
                  <w:vMerge w:val="continue"/>
                  <w:tcBorders>
                    <w:tl2br w:val="nil"/>
                    <w:tr2bl w:val="nil"/>
                  </w:tcBorders>
                  <w:shd w:val="clear" w:color="auto" w:fill="auto"/>
                  <w:vAlign w:val="center"/>
                </w:tcPr>
                <w:p w14:paraId="5C42592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1035" w:type="dxa"/>
                  <w:vMerge w:val="continue"/>
                  <w:tcBorders>
                    <w:tl2br w:val="nil"/>
                    <w:tr2bl w:val="nil"/>
                  </w:tcBorders>
                  <w:shd w:val="clear" w:color="auto" w:fill="auto"/>
                  <w:vAlign w:val="center"/>
                </w:tcPr>
                <w:p w14:paraId="65EF6D2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c>
                <w:tcPr>
                  <w:tcW w:w="1035" w:type="dxa"/>
                  <w:vMerge w:val="continue"/>
                  <w:tcBorders>
                    <w:tl2br w:val="nil"/>
                    <w:tr2bl w:val="nil"/>
                  </w:tcBorders>
                  <w:shd w:val="clear" w:color="auto" w:fill="auto"/>
                  <w:vAlign w:val="center"/>
                </w:tcPr>
                <w:p w14:paraId="026C760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z w:val="21"/>
                      <w:szCs w:val="21"/>
                      <w:u w:val="none"/>
                    </w:rPr>
                  </w:pPr>
                </w:p>
              </w:tc>
            </w:tr>
            <w:tr w14:paraId="541D4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restart"/>
                  <w:tcBorders>
                    <w:tl2br w:val="nil"/>
                    <w:tr2bl w:val="nil"/>
                  </w:tcBorders>
                  <w:shd w:val="clear" w:color="auto" w:fill="auto"/>
                  <w:vAlign w:val="center"/>
                </w:tcPr>
                <w:p w14:paraId="37B802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废气</w:t>
                  </w:r>
                </w:p>
              </w:tc>
              <w:tc>
                <w:tcPr>
                  <w:tcW w:w="1431" w:type="dxa"/>
                  <w:tcBorders>
                    <w:tl2br w:val="nil"/>
                    <w:tr2bl w:val="nil"/>
                  </w:tcBorders>
                  <w:shd w:val="clear" w:color="auto" w:fill="auto"/>
                  <w:vAlign w:val="center"/>
                </w:tcPr>
                <w:p w14:paraId="5ABF5C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035" w:type="dxa"/>
                  <w:tcBorders>
                    <w:tl2br w:val="nil"/>
                    <w:tr2bl w:val="nil"/>
                  </w:tcBorders>
                  <w:shd w:val="clear" w:color="auto" w:fill="auto"/>
                  <w:vAlign w:val="center"/>
                </w:tcPr>
                <w:p w14:paraId="081D18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1.031</w:t>
                  </w:r>
                </w:p>
              </w:tc>
              <w:tc>
                <w:tcPr>
                  <w:tcW w:w="1035" w:type="dxa"/>
                  <w:tcBorders>
                    <w:tl2br w:val="nil"/>
                    <w:tr2bl w:val="nil"/>
                  </w:tcBorders>
                  <w:shd w:val="clear" w:color="auto" w:fill="auto"/>
                  <w:vAlign w:val="center"/>
                </w:tcPr>
                <w:p w14:paraId="4F88D9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0.684</w:t>
                  </w:r>
                </w:p>
              </w:tc>
              <w:tc>
                <w:tcPr>
                  <w:tcW w:w="1035" w:type="dxa"/>
                  <w:tcBorders>
                    <w:tl2br w:val="nil"/>
                    <w:tr2bl w:val="nil"/>
                  </w:tcBorders>
                  <w:shd w:val="clear" w:color="auto" w:fill="auto"/>
                  <w:noWrap/>
                  <w:vAlign w:val="center"/>
                </w:tcPr>
                <w:p w14:paraId="1F01C3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1.045</w:t>
                  </w:r>
                </w:p>
              </w:tc>
              <w:tc>
                <w:tcPr>
                  <w:tcW w:w="1035" w:type="dxa"/>
                  <w:tcBorders>
                    <w:tl2br w:val="nil"/>
                    <w:tr2bl w:val="nil"/>
                  </w:tcBorders>
                  <w:shd w:val="clear" w:color="auto" w:fill="auto"/>
                  <w:noWrap/>
                  <w:vAlign w:val="center"/>
                </w:tcPr>
                <w:p w14:paraId="63A05E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409459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1035" w:type="dxa"/>
                  <w:tcBorders>
                    <w:tl2br w:val="nil"/>
                    <w:tr2bl w:val="nil"/>
                  </w:tcBorders>
                  <w:shd w:val="clear" w:color="auto" w:fill="auto"/>
                  <w:noWrap/>
                  <w:vAlign w:val="center"/>
                </w:tcPr>
                <w:p w14:paraId="7B055D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1.729</w:t>
                  </w:r>
                </w:p>
              </w:tc>
            </w:tr>
            <w:tr w14:paraId="02483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vAlign w:val="center"/>
                </w:tcPr>
                <w:p w14:paraId="08557A7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096FE7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甲苯</w:t>
                  </w:r>
                </w:p>
              </w:tc>
              <w:tc>
                <w:tcPr>
                  <w:tcW w:w="1035" w:type="dxa"/>
                  <w:tcBorders>
                    <w:tl2br w:val="nil"/>
                    <w:tr2bl w:val="nil"/>
                  </w:tcBorders>
                  <w:shd w:val="clear" w:color="auto" w:fill="auto"/>
                  <w:noWrap/>
                  <w:vAlign w:val="center"/>
                </w:tcPr>
                <w:p w14:paraId="4E6C2C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vAlign w:val="center"/>
                </w:tcPr>
                <w:p w14:paraId="26E59D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0.017</w:t>
                  </w:r>
                </w:p>
              </w:tc>
              <w:tc>
                <w:tcPr>
                  <w:tcW w:w="1035" w:type="dxa"/>
                  <w:tcBorders>
                    <w:tl2br w:val="nil"/>
                    <w:tr2bl w:val="nil"/>
                  </w:tcBorders>
                  <w:shd w:val="clear" w:color="auto" w:fill="auto"/>
                  <w:noWrap/>
                  <w:vAlign w:val="center"/>
                </w:tcPr>
                <w:p w14:paraId="4BC723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4EB423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5EF258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0.017</w:t>
                  </w:r>
                </w:p>
              </w:tc>
              <w:tc>
                <w:tcPr>
                  <w:tcW w:w="1035" w:type="dxa"/>
                  <w:tcBorders>
                    <w:tl2br w:val="nil"/>
                    <w:tr2bl w:val="nil"/>
                  </w:tcBorders>
                  <w:shd w:val="clear" w:color="auto" w:fill="auto"/>
                  <w:noWrap/>
                  <w:vAlign w:val="center"/>
                </w:tcPr>
                <w:p w14:paraId="1763FC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0.017</w:t>
                  </w:r>
                </w:p>
              </w:tc>
            </w:tr>
            <w:tr w14:paraId="26585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vAlign w:val="center"/>
                </w:tcPr>
                <w:p w14:paraId="13AE888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319727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035" w:type="dxa"/>
                  <w:tcBorders>
                    <w:tl2br w:val="nil"/>
                    <w:tr2bl w:val="nil"/>
                  </w:tcBorders>
                  <w:shd w:val="clear" w:color="auto" w:fill="auto"/>
                  <w:noWrap/>
                  <w:vAlign w:val="center"/>
                </w:tcPr>
                <w:p w14:paraId="5E67B1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vAlign w:val="center"/>
                </w:tcPr>
                <w:p w14:paraId="6F05FC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0.179</w:t>
                  </w:r>
                </w:p>
              </w:tc>
              <w:tc>
                <w:tcPr>
                  <w:tcW w:w="1035" w:type="dxa"/>
                  <w:tcBorders>
                    <w:tl2br w:val="nil"/>
                    <w:tr2bl w:val="nil"/>
                  </w:tcBorders>
                  <w:shd w:val="clear" w:color="auto" w:fill="auto"/>
                  <w:vAlign w:val="center"/>
                </w:tcPr>
                <w:p w14:paraId="3FB8C6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0.212</w:t>
                  </w:r>
                </w:p>
              </w:tc>
              <w:tc>
                <w:tcPr>
                  <w:tcW w:w="1035" w:type="dxa"/>
                  <w:tcBorders>
                    <w:tl2br w:val="nil"/>
                    <w:tr2bl w:val="nil"/>
                  </w:tcBorders>
                  <w:shd w:val="clear" w:color="auto" w:fill="auto"/>
                  <w:noWrap/>
                  <w:vAlign w:val="center"/>
                </w:tcPr>
                <w:p w14:paraId="1F5B67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208876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0.391</w:t>
                  </w:r>
                </w:p>
              </w:tc>
              <w:tc>
                <w:tcPr>
                  <w:tcW w:w="1035" w:type="dxa"/>
                  <w:tcBorders>
                    <w:tl2br w:val="nil"/>
                    <w:tr2bl w:val="nil"/>
                  </w:tcBorders>
                  <w:shd w:val="clear" w:color="auto" w:fill="auto"/>
                  <w:noWrap/>
                  <w:vAlign w:val="center"/>
                </w:tcPr>
                <w:p w14:paraId="13C9F4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0.391</w:t>
                  </w:r>
                </w:p>
              </w:tc>
            </w:tr>
            <w:tr w14:paraId="283E01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vAlign w:val="center"/>
                </w:tcPr>
                <w:p w14:paraId="7A47292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01BF7F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035" w:type="dxa"/>
                  <w:tcBorders>
                    <w:tl2br w:val="nil"/>
                    <w:tr2bl w:val="nil"/>
                  </w:tcBorders>
                  <w:shd w:val="clear" w:color="auto" w:fill="auto"/>
                  <w:vAlign w:val="center"/>
                </w:tcPr>
                <w:p w14:paraId="380293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vAlign w:val="center"/>
                </w:tcPr>
                <w:p w14:paraId="37268A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0.342</w:t>
                  </w:r>
                </w:p>
              </w:tc>
              <w:tc>
                <w:tcPr>
                  <w:tcW w:w="1035" w:type="dxa"/>
                  <w:tcBorders>
                    <w:tl2br w:val="nil"/>
                    <w:tr2bl w:val="nil"/>
                  </w:tcBorders>
                  <w:shd w:val="clear" w:color="auto" w:fill="auto"/>
                  <w:vAlign w:val="center"/>
                </w:tcPr>
                <w:p w14:paraId="1E8E60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0.336</w:t>
                  </w:r>
                </w:p>
              </w:tc>
              <w:tc>
                <w:tcPr>
                  <w:tcW w:w="1035" w:type="dxa"/>
                  <w:tcBorders>
                    <w:tl2br w:val="nil"/>
                    <w:tr2bl w:val="nil"/>
                  </w:tcBorders>
                  <w:shd w:val="clear" w:color="auto" w:fill="auto"/>
                  <w:noWrap/>
                  <w:vAlign w:val="center"/>
                </w:tcPr>
                <w:p w14:paraId="2B12C5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36F3D7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0.678</w:t>
                  </w:r>
                </w:p>
              </w:tc>
              <w:tc>
                <w:tcPr>
                  <w:tcW w:w="1035" w:type="dxa"/>
                  <w:tcBorders>
                    <w:tl2br w:val="nil"/>
                    <w:tr2bl w:val="nil"/>
                  </w:tcBorders>
                  <w:shd w:val="clear" w:color="auto" w:fill="auto"/>
                  <w:noWrap/>
                  <w:vAlign w:val="center"/>
                </w:tcPr>
                <w:p w14:paraId="2B3354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0.678</w:t>
                  </w:r>
                </w:p>
              </w:tc>
            </w:tr>
            <w:tr w14:paraId="71BF4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restart"/>
                  <w:tcBorders>
                    <w:tl2br w:val="nil"/>
                    <w:tr2bl w:val="nil"/>
                  </w:tcBorders>
                  <w:shd w:val="clear" w:color="auto" w:fill="auto"/>
                  <w:vAlign w:val="center"/>
                </w:tcPr>
                <w:p w14:paraId="7FCDF2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废水</w:t>
                  </w:r>
                </w:p>
              </w:tc>
              <w:tc>
                <w:tcPr>
                  <w:tcW w:w="1431" w:type="dxa"/>
                  <w:tcBorders>
                    <w:tl2br w:val="nil"/>
                    <w:tr2bl w:val="nil"/>
                  </w:tcBorders>
                  <w:shd w:val="clear" w:color="auto" w:fill="auto"/>
                  <w:vAlign w:val="center"/>
                </w:tcPr>
                <w:p w14:paraId="5F8BD9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CODcr</w:t>
                  </w:r>
                </w:p>
              </w:tc>
              <w:tc>
                <w:tcPr>
                  <w:tcW w:w="1035" w:type="dxa"/>
                  <w:tcBorders>
                    <w:tl2br w:val="nil"/>
                    <w:tr2bl w:val="nil"/>
                  </w:tcBorders>
                  <w:shd w:val="clear" w:color="auto" w:fill="auto"/>
                  <w:vAlign w:val="center"/>
                </w:tcPr>
                <w:p w14:paraId="7E7FD0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1035" w:type="dxa"/>
                  <w:tcBorders>
                    <w:tl2br w:val="nil"/>
                    <w:tr2bl w:val="nil"/>
                  </w:tcBorders>
                  <w:shd w:val="clear" w:color="auto" w:fill="auto"/>
                  <w:vAlign w:val="center"/>
                </w:tcPr>
                <w:p w14:paraId="034F24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0.036</w:t>
                  </w:r>
                </w:p>
              </w:tc>
              <w:tc>
                <w:tcPr>
                  <w:tcW w:w="1035" w:type="dxa"/>
                  <w:tcBorders>
                    <w:tl2br w:val="nil"/>
                    <w:tr2bl w:val="nil"/>
                  </w:tcBorders>
                  <w:shd w:val="clear" w:color="auto" w:fill="auto"/>
                  <w:noWrap/>
                  <w:vAlign w:val="center"/>
                </w:tcPr>
                <w:p w14:paraId="76AD8E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0.039</w:t>
                  </w:r>
                </w:p>
              </w:tc>
              <w:tc>
                <w:tcPr>
                  <w:tcW w:w="1035" w:type="dxa"/>
                  <w:tcBorders>
                    <w:tl2br w:val="nil"/>
                    <w:tr2bl w:val="nil"/>
                  </w:tcBorders>
                  <w:shd w:val="clear" w:color="auto" w:fill="auto"/>
                  <w:noWrap/>
                  <w:vAlign w:val="center"/>
                </w:tcPr>
                <w:p w14:paraId="187CFA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4BC0AF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0.099</w:t>
                  </w:r>
                </w:p>
              </w:tc>
              <w:tc>
                <w:tcPr>
                  <w:tcW w:w="1035" w:type="dxa"/>
                  <w:tcBorders>
                    <w:tl2br w:val="nil"/>
                    <w:tr2bl w:val="nil"/>
                  </w:tcBorders>
                  <w:shd w:val="clear" w:color="auto" w:fill="auto"/>
                  <w:noWrap/>
                  <w:vAlign w:val="center"/>
                </w:tcPr>
                <w:p w14:paraId="489B97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0.075</w:t>
                  </w:r>
                </w:p>
              </w:tc>
            </w:tr>
            <w:tr w14:paraId="29040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vAlign w:val="center"/>
                </w:tcPr>
                <w:p w14:paraId="16880D40">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32F9B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NH</w:t>
                  </w:r>
                  <w:r>
                    <w:rPr>
                      <w:rStyle w:val="99"/>
                      <w:rFonts w:hint="default" w:ascii="Times New Roman" w:hAnsi="Times New Roman" w:eastAsia="宋体" w:cs="Times New Roman"/>
                      <w:sz w:val="21"/>
                      <w:szCs w:val="21"/>
                      <w:lang w:val="en-US" w:eastAsia="zh-CN" w:bidi="ar"/>
                    </w:rPr>
                    <w:t>3</w:t>
                  </w:r>
                  <w:r>
                    <w:rPr>
                      <w:rStyle w:val="100"/>
                      <w:rFonts w:hint="default" w:ascii="Times New Roman" w:hAnsi="Times New Roman" w:eastAsia="宋体" w:cs="Times New Roman"/>
                      <w:sz w:val="21"/>
                      <w:szCs w:val="21"/>
                      <w:lang w:val="en-US" w:eastAsia="zh-CN" w:bidi="ar"/>
                    </w:rPr>
                    <w:t>-N</w:t>
                  </w:r>
                </w:p>
              </w:tc>
              <w:tc>
                <w:tcPr>
                  <w:tcW w:w="1035" w:type="dxa"/>
                  <w:tcBorders>
                    <w:tl2br w:val="nil"/>
                    <w:tr2bl w:val="nil"/>
                  </w:tcBorders>
                  <w:shd w:val="clear" w:color="auto" w:fill="auto"/>
                  <w:vAlign w:val="center"/>
                </w:tcPr>
                <w:p w14:paraId="1573DA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035" w:type="dxa"/>
                  <w:tcBorders>
                    <w:tl2br w:val="nil"/>
                    <w:tr2bl w:val="nil"/>
                  </w:tcBorders>
                  <w:shd w:val="clear" w:color="auto" w:fill="auto"/>
                  <w:vAlign w:val="center"/>
                </w:tcPr>
                <w:p w14:paraId="0C6EBD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1035" w:type="dxa"/>
                  <w:tcBorders>
                    <w:tl2br w:val="nil"/>
                    <w:tr2bl w:val="nil"/>
                  </w:tcBorders>
                  <w:shd w:val="clear" w:color="auto" w:fill="auto"/>
                  <w:noWrap/>
                  <w:vAlign w:val="center"/>
                </w:tcPr>
                <w:p w14:paraId="0533ED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035" w:type="dxa"/>
                  <w:tcBorders>
                    <w:tl2br w:val="nil"/>
                    <w:tr2bl w:val="nil"/>
                  </w:tcBorders>
                  <w:shd w:val="clear" w:color="auto" w:fill="auto"/>
                  <w:noWrap/>
                  <w:vAlign w:val="center"/>
                </w:tcPr>
                <w:p w14:paraId="26B36E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2677AB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0.0065</w:t>
                  </w:r>
                </w:p>
              </w:tc>
              <w:tc>
                <w:tcPr>
                  <w:tcW w:w="1035" w:type="dxa"/>
                  <w:tcBorders>
                    <w:tl2br w:val="nil"/>
                    <w:tr2bl w:val="nil"/>
                  </w:tcBorders>
                  <w:shd w:val="clear" w:color="auto" w:fill="auto"/>
                  <w:noWrap/>
                  <w:vAlign w:val="center"/>
                </w:tcPr>
                <w:p w14:paraId="64C501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0.0055</w:t>
                  </w:r>
                </w:p>
              </w:tc>
            </w:tr>
            <w:tr w14:paraId="3272B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vAlign w:val="center"/>
                </w:tcPr>
                <w:p w14:paraId="1C16893F">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4BA8A8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1035" w:type="dxa"/>
                  <w:tcBorders>
                    <w:tl2br w:val="nil"/>
                    <w:tr2bl w:val="nil"/>
                  </w:tcBorders>
                  <w:shd w:val="clear" w:color="auto" w:fill="auto"/>
                  <w:vAlign w:val="center"/>
                </w:tcPr>
                <w:p w14:paraId="3A127A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0.0002</w:t>
                  </w:r>
                </w:p>
              </w:tc>
              <w:tc>
                <w:tcPr>
                  <w:tcW w:w="1035" w:type="dxa"/>
                  <w:tcBorders>
                    <w:tl2br w:val="nil"/>
                    <w:tr2bl w:val="nil"/>
                  </w:tcBorders>
                  <w:shd w:val="clear" w:color="auto" w:fill="auto"/>
                  <w:vAlign w:val="center"/>
                </w:tcPr>
                <w:p w14:paraId="3F0BBB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0.0003</w:t>
                  </w:r>
                </w:p>
              </w:tc>
              <w:tc>
                <w:tcPr>
                  <w:tcW w:w="1035" w:type="dxa"/>
                  <w:tcBorders>
                    <w:tl2br w:val="nil"/>
                    <w:tr2bl w:val="nil"/>
                  </w:tcBorders>
                  <w:shd w:val="clear" w:color="auto" w:fill="auto"/>
                  <w:noWrap/>
                  <w:vAlign w:val="center"/>
                </w:tcPr>
                <w:p w14:paraId="07A5FD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1035" w:type="dxa"/>
                  <w:tcBorders>
                    <w:tl2br w:val="nil"/>
                    <w:tr2bl w:val="nil"/>
                  </w:tcBorders>
                  <w:shd w:val="clear" w:color="auto" w:fill="auto"/>
                  <w:noWrap/>
                  <w:vAlign w:val="center"/>
                </w:tcPr>
                <w:p w14:paraId="2BC280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373CC1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0.0009</w:t>
                  </w:r>
                </w:p>
              </w:tc>
              <w:tc>
                <w:tcPr>
                  <w:tcW w:w="1035" w:type="dxa"/>
                  <w:tcBorders>
                    <w:tl2br w:val="nil"/>
                    <w:tr2bl w:val="nil"/>
                  </w:tcBorders>
                  <w:shd w:val="clear" w:color="auto" w:fill="auto"/>
                  <w:noWrap/>
                  <w:vAlign w:val="center"/>
                </w:tcPr>
                <w:p w14:paraId="4BEFFF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0.0007</w:t>
                  </w:r>
                </w:p>
              </w:tc>
            </w:tr>
            <w:tr w14:paraId="1F18E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vAlign w:val="center"/>
                </w:tcPr>
                <w:p w14:paraId="1A4FAE5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0080FE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TN</w:t>
                  </w:r>
                </w:p>
              </w:tc>
              <w:tc>
                <w:tcPr>
                  <w:tcW w:w="1035" w:type="dxa"/>
                  <w:tcBorders>
                    <w:tl2br w:val="nil"/>
                    <w:tr2bl w:val="nil"/>
                  </w:tcBorders>
                  <w:shd w:val="clear" w:color="auto" w:fill="auto"/>
                  <w:vAlign w:val="center"/>
                </w:tcPr>
                <w:p w14:paraId="20C496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0.0022</w:t>
                  </w:r>
                </w:p>
              </w:tc>
              <w:tc>
                <w:tcPr>
                  <w:tcW w:w="1035" w:type="dxa"/>
                  <w:tcBorders>
                    <w:tl2br w:val="nil"/>
                    <w:tr2bl w:val="nil"/>
                  </w:tcBorders>
                  <w:shd w:val="clear" w:color="auto" w:fill="auto"/>
                  <w:vAlign w:val="center"/>
                </w:tcPr>
                <w:p w14:paraId="3F447B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0.0033</w:t>
                  </w:r>
                </w:p>
              </w:tc>
              <w:tc>
                <w:tcPr>
                  <w:tcW w:w="1035" w:type="dxa"/>
                  <w:tcBorders>
                    <w:tl2br w:val="nil"/>
                    <w:tr2bl w:val="nil"/>
                  </w:tcBorders>
                  <w:shd w:val="clear" w:color="auto" w:fill="auto"/>
                  <w:noWrap/>
                  <w:vAlign w:val="center"/>
                </w:tcPr>
                <w:p w14:paraId="028BEC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035" w:type="dxa"/>
                  <w:tcBorders>
                    <w:tl2br w:val="nil"/>
                    <w:tr2bl w:val="nil"/>
                  </w:tcBorders>
                  <w:shd w:val="clear" w:color="auto" w:fill="auto"/>
                  <w:noWrap/>
                  <w:vAlign w:val="center"/>
                </w:tcPr>
                <w:p w14:paraId="3C9F81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063469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0.0105</w:t>
                  </w:r>
                </w:p>
              </w:tc>
              <w:tc>
                <w:tcPr>
                  <w:tcW w:w="1035" w:type="dxa"/>
                  <w:tcBorders>
                    <w:tl2br w:val="nil"/>
                    <w:tr2bl w:val="nil"/>
                  </w:tcBorders>
                  <w:shd w:val="clear" w:color="auto" w:fill="auto"/>
                  <w:noWrap/>
                  <w:vAlign w:val="center"/>
                </w:tcPr>
                <w:p w14:paraId="030CD4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0.0083</w:t>
                  </w:r>
                </w:p>
              </w:tc>
            </w:tr>
            <w:tr w14:paraId="1B6DC9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vAlign w:val="center"/>
                </w:tcPr>
                <w:p w14:paraId="44CC579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31745F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1035" w:type="dxa"/>
                  <w:tcBorders>
                    <w:tl2br w:val="nil"/>
                    <w:tr2bl w:val="nil"/>
                  </w:tcBorders>
                  <w:shd w:val="clear" w:color="auto" w:fill="auto"/>
                  <w:vAlign w:val="center"/>
                </w:tcPr>
                <w:p w14:paraId="305C0B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0.0225</w:t>
                  </w:r>
                </w:p>
              </w:tc>
              <w:tc>
                <w:tcPr>
                  <w:tcW w:w="1035" w:type="dxa"/>
                  <w:tcBorders>
                    <w:tl2br w:val="nil"/>
                    <w:tr2bl w:val="nil"/>
                  </w:tcBorders>
                  <w:shd w:val="clear" w:color="auto" w:fill="auto"/>
                  <w:vAlign w:val="center"/>
                </w:tcPr>
                <w:p w14:paraId="737E35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0.0338</w:t>
                  </w:r>
                </w:p>
              </w:tc>
              <w:tc>
                <w:tcPr>
                  <w:tcW w:w="1035" w:type="dxa"/>
                  <w:tcBorders>
                    <w:tl2br w:val="nil"/>
                    <w:tr2bl w:val="nil"/>
                  </w:tcBorders>
                  <w:shd w:val="clear" w:color="auto" w:fill="auto"/>
                  <w:noWrap/>
                  <w:vAlign w:val="center"/>
                </w:tcPr>
                <w:p w14:paraId="6FFE15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0.015</w:t>
                  </w:r>
                </w:p>
              </w:tc>
              <w:tc>
                <w:tcPr>
                  <w:tcW w:w="1035" w:type="dxa"/>
                  <w:tcBorders>
                    <w:tl2br w:val="nil"/>
                    <w:tr2bl w:val="nil"/>
                  </w:tcBorders>
                  <w:shd w:val="clear" w:color="auto" w:fill="auto"/>
                  <w:noWrap/>
                  <w:vAlign w:val="center"/>
                </w:tcPr>
                <w:p w14:paraId="18E985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51B8D5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0.0713</w:t>
                  </w:r>
                </w:p>
              </w:tc>
              <w:tc>
                <w:tcPr>
                  <w:tcW w:w="1035" w:type="dxa"/>
                  <w:tcBorders>
                    <w:tl2br w:val="nil"/>
                    <w:tr2bl w:val="nil"/>
                  </w:tcBorders>
                  <w:shd w:val="clear" w:color="auto" w:fill="auto"/>
                  <w:noWrap/>
                  <w:vAlign w:val="center"/>
                </w:tcPr>
                <w:p w14:paraId="73FCAE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0.0488</w:t>
                  </w:r>
                </w:p>
              </w:tc>
            </w:tr>
            <w:tr w14:paraId="33562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restart"/>
                  <w:tcBorders>
                    <w:tl2br w:val="nil"/>
                    <w:tr2bl w:val="nil"/>
                  </w:tcBorders>
                  <w:shd w:val="clear" w:color="auto" w:fill="auto"/>
                  <w:noWrap/>
                  <w:vAlign w:val="center"/>
                </w:tcPr>
                <w:p w14:paraId="0823128F">
                  <w:pPr>
                    <w:keepNext w:val="0"/>
                    <w:keepLines w:val="0"/>
                    <w:suppressLineNumbers w:val="0"/>
                    <w:spacing w:before="0" w:beforeAutospacing="0" w:after="0" w:afterAutospacing="0"/>
                    <w:ind w:left="0" w:right="0"/>
                    <w:jc w:val="center"/>
                    <w:rPr>
                      <w:rFonts w:hint="eastAsia" w:ascii="Times New Roman" w:hAnsi="Times New Roman" w:eastAsia="宋体" w:cs="Times New Roman"/>
                      <w:i w:val="0"/>
                      <w:iCs w:val="0"/>
                      <w:color w:val="000000"/>
                      <w:sz w:val="21"/>
                      <w:szCs w:val="21"/>
                      <w:u w:val="none"/>
                      <w:lang w:eastAsia="zh-CN"/>
                    </w:rPr>
                  </w:pPr>
                  <w:r>
                    <w:rPr>
                      <w:rFonts w:hint="eastAsia" w:ascii="Times New Roman" w:hAnsi="Times New Roman" w:eastAsia="宋体" w:cs="Times New Roman"/>
                      <w:i w:val="0"/>
                      <w:iCs w:val="0"/>
                      <w:color w:val="000000"/>
                      <w:sz w:val="21"/>
                      <w:szCs w:val="21"/>
                      <w:u w:val="none"/>
                      <w:lang w:eastAsia="zh-CN"/>
                    </w:rPr>
                    <w:t>固体废物</w:t>
                  </w:r>
                </w:p>
              </w:tc>
              <w:tc>
                <w:tcPr>
                  <w:tcW w:w="1431" w:type="dxa"/>
                  <w:tcBorders>
                    <w:tl2br w:val="nil"/>
                    <w:tr2bl w:val="nil"/>
                  </w:tcBorders>
                  <w:shd w:val="clear" w:color="auto" w:fill="auto"/>
                  <w:vAlign w:val="center"/>
                </w:tcPr>
                <w:p w14:paraId="592099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废包装物</w:t>
                  </w:r>
                </w:p>
              </w:tc>
              <w:tc>
                <w:tcPr>
                  <w:tcW w:w="1035" w:type="dxa"/>
                  <w:tcBorders>
                    <w:tl2br w:val="nil"/>
                    <w:tr2bl w:val="nil"/>
                  </w:tcBorders>
                  <w:shd w:val="clear" w:color="auto" w:fill="auto"/>
                  <w:noWrap/>
                  <w:vAlign w:val="center"/>
                </w:tcPr>
                <w:p w14:paraId="1F7398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035" w:type="dxa"/>
                  <w:tcBorders>
                    <w:tl2br w:val="nil"/>
                    <w:tr2bl w:val="nil"/>
                  </w:tcBorders>
                  <w:shd w:val="clear" w:color="auto" w:fill="auto"/>
                  <w:vAlign w:val="center"/>
                </w:tcPr>
                <w:p w14:paraId="4A4BB9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035" w:type="dxa"/>
                  <w:tcBorders>
                    <w:tl2br w:val="nil"/>
                    <w:tr2bl w:val="nil"/>
                  </w:tcBorders>
                  <w:shd w:val="clear" w:color="auto" w:fill="auto"/>
                  <w:noWrap/>
                  <w:vAlign w:val="center"/>
                </w:tcPr>
                <w:p w14:paraId="134E1A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1035" w:type="dxa"/>
                  <w:tcBorders>
                    <w:tl2br w:val="nil"/>
                    <w:tr2bl w:val="nil"/>
                  </w:tcBorders>
                  <w:shd w:val="clear" w:color="auto" w:fill="auto"/>
                  <w:noWrap/>
                  <w:vAlign w:val="center"/>
                </w:tcPr>
                <w:p w14:paraId="5BD418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0BDEF6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1035" w:type="dxa"/>
                  <w:tcBorders>
                    <w:tl2br w:val="nil"/>
                    <w:tr2bl w:val="nil"/>
                  </w:tcBorders>
                  <w:shd w:val="clear" w:color="auto" w:fill="auto"/>
                  <w:noWrap/>
                  <w:vAlign w:val="center"/>
                </w:tcPr>
                <w:p w14:paraId="7A0C62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0.03</w:t>
                  </w:r>
                </w:p>
              </w:tc>
            </w:tr>
            <w:tr w14:paraId="5881E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2F55194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757B7D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金属边角料</w:t>
                  </w:r>
                </w:p>
              </w:tc>
              <w:tc>
                <w:tcPr>
                  <w:tcW w:w="1035" w:type="dxa"/>
                  <w:tcBorders>
                    <w:tl2br w:val="nil"/>
                    <w:tr2bl w:val="nil"/>
                  </w:tcBorders>
                  <w:shd w:val="clear" w:color="auto" w:fill="auto"/>
                  <w:noWrap/>
                  <w:vAlign w:val="center"/>
                </w:tcPr>
                <w:p w14:paraId="1A8D6D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0.87</w:t>
                  </w:r>
                </w:p>
              </w:tc>
              <w:tc>
                <w:tcPr>
                  <w:tcW w:w="1035" w:type="dxa"/>
                  <w:tcBorders>
                    <w:tl2br w:val="nil"/>
                    <w:tr2bl w:val="nil"/>
                  </w:tcBorders>
                  <w:shd w:val="clear" w:color="auto" w:fill="auto"/>
                  <w:vAlign w:val="center"/>
                </w:tcPr>
                <w:p w14:paraId="10BA1F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1035" w:type="dxa"/>
                  <w:tcBorders>
                    <w:tl2br w:val="nil"/>
                    <w:tr2bl w:val="nil"/>
                  </w:tcBorders>
                  <w:shd w:val="clear" w:color="auto" w:fill="auto"/>
                  <w:noWrap/>
                  <w:vAlign w:val="center"/>
                </w:tcPr>
                <w:p w14:paraId="0D9488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035" w:type="dxa"/>
                  <w:tcBorders>
                    <w:tl2br w:val="nil"/>
                    <w:tr2bl w:val="nil"/>
                  </w:tcBorders>
                  <w:shd w:val="clear" w:color="auto" w:fill="auto"/>
                  <w:noWrap/>
                  <w:vAlign w:val="center"/>
                </w:tcPr>
                <w:p w14:paraId="49C634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534C7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1035" w:type="dxa"/>
                  <w:tcBorders>
                    <w:tl2br w:val="nil"/>
                    <w:tr2bl w:val="nil"/>
                  </w:tcBorders>
                  <w:shd w:val="clear" w:color="auto" w:fill="auto"/>
                  <w:noWrap/>
                  <w:vAlign w:val="center"/>
                </w:tcPr>
                <w:p w14:paraId="132202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3.83</w:t>
                  </w:r>
                </w:p>
              </w:tc>
            </w:tr>
            <w:tr w14:paraId="4EDBD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3E2ACE57">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020100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焊渣</w:t>
                  </w:r>
                </w:p>
              </w:tc>
              <w:tc>
                <w:tcPr>
                  <w:tcW w:w="1035" w:type="dxa"/>
                  <w:tcBorders>
                    <w:tl2br w:val="nil"/>
                    <w:tr2bl w:val="nil"/>
                  </w:tcBorders>
                  <w:shd w:val="clear" w:color="auto" w:fill="auto"/>
                  <w:noWrap/>
                  <w:vAlign w:val="center"/>
                </w:tcPr>
                <w:p w14:paraId="5B305B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1035" w:type="dxa"/>
                  <w:tcBorders>
                    <w:tl2br w:val="nil"/>
                    <w:tr2bl w:val="nil"/>
                  </w:tcBorders>
                  <w:shd w:val="clear" w:color="auto" w:fill="auto"/>
                  <w:vAlign w:val="center"/>
                </w:tcPr>
                <w:p w14:paraId="18003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1035" w:type="dxa"/>
                  <w:tcBorders>
                    <w:tl2br w:val="nil"/>
                    <w:tr2bl w:val="nil"/>
                  </w:tcBorders>
                  <w:shd w:val="clear" w:color="auto" w:fill="auto"/>
                  <w:noWrap/>
                  <w:vAlign w:val="center"/>
                </w:tcPr>
                <w:p w14:paraId="395C1E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0.075</w:t>
                  </w:r>
                </w:p>
              </w:tc>
              <w:tc>
                <w:tcPr>
                  <w:tcW w:w="1035" w:type="dxa"/>
                  <w:tcBorders>
                    <w:tl2br w:val="nil"/>
                    <w:tr2bl w:val="nil"/>
                  </w:tcBorders>
                  <w:shd w:val="clear" w:color="auto" w:fill="auto"/>
                  <w:noWrap/>
                  <w:vAlign w:val="center"/>
                </w:tcPr>
                <w:p w14:paraId="7E9583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2D979F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0.355</w:t>
                  </w:r>
                </w:p>
              </w:tc>
              <w:tc>
                <w:tcPr>
                  <w:tcW w:w="1035" w:type="dxa"/>
                  <w:tcBorders>
                    <w:tl2br w:val="nil"/>
                    <w:tr2bl w:val="nil"/>
                  </w:tcBorders>
                  <w:shd w:val="clear" w:color="auto" w:fill="auto"/>
                  <w:noWrap/>
                  <w:vAlign w:val="center"/>
                </w:tcPr>
                <w:p w14:paraId="1AFFC2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0.265</w:t>
                  </w:r>
                </w:p>
              </w:tc>
            </w:tr>
            <w:tr w14:paraId="436A1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108E4F8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08A58B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废钢丸</w:t>
                  </w:r>
                </w:p>
              </w:tc>
              <w:tc>
                <w:tcPr>
                  <w:tcW w:w="1035" w:type="dxa"/>
                  <w:tcBorders>
                    <w:tl2br w:val="nil"/>
                    <w:tr2bl w:val="nil"/>
                  </w:tcBorders>
                  <w:shd w:val="clear" w:color="auto" w:fill="auto"/>
                  <w:noWrap/>
                  <w:vAlign w:val="center"/>
                </w:tcPr>
                <w:p w14:paraId="2061BA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035" w:type="dxa"/>
                  <w:tcBorders>
                    <w:tl2br w:val="nil"/>
                    <w:tr2bl w:val="nil"/>
                  </w:tcBorders>
                  <w:shd w:val="clear" w:color="auto" w:fill="auto"/>
                  <w:vAlign w:val="center"/>
                </w:tcPr>
                <w:p w14:paraId="7FB30C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35" w:type="dxa"/>
                  <w:tcBorders>
                    <w:tl2br w:val="nil"/>
                    <w:tr2bl w:val="nil"/>
                  </w:tcBorders>
                  <w:shd w:val="clear" w:color="auto" w:fill="auto"/>
                  <w:noWrap/>
                  <w:vAlign w:val="center"/>
                </w:tcPr>
                <w:p w14:paraId="146131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5" w:type="dxa"/>
                  <w:tcBorders>
                    <w:tl2br w:val="nil"/>
                    <w:tr2bl w:val="nil"/>
                  </w:tcBorders>
                  <w:shd w:val="clear" w:color="auto" w:fill="auto"/>
                  <w:noWrap/>
                  <w:vAlign w:val="center"/>
                </w:tcPr>
                <w:p w14:paraId="761231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02FF1D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35" w:type="dxa"/>
                  <w:tcBorders>
                    <w:tl2br w:val="nil"/>
                    <w:tr2bl w:val="nil"/>
                  </w:tcBorders>
                  <w:shd w:val="clear" w:color="auto" w:fill="auto"/>
                  <w:noWrap/>
                  <w:vAlign w:val="center"/>
                </w:tcPr>
                <w:p w14:paraId="3C6AEA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w:t>
                  </w:r>
                </w:p>
              </w:tc>
            </w:tr>
            <w:tr w14:paraId="2A9E0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3AC4C6E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530CF7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抛丸收集粉尘</w:t>
                  </w:r>
                </w:p>
              </w:tc>
              <w:tc>
                <w:tcPr>
                  <w:tcW w:w="1035" w:type="dxa"/>
                  <w:tcBorders>
                    <w:tl2br w:val="nil"/>
                    <w:tr2bl w:val="nil"/>
                  </w:tcBorders>
                  <w:shd w:val="clear" w:color="auto" w:fill="auto"/>
                  <w:noWrap/>
                  <w:vAlign w:val="center"/>
                </w:tcPr>
                <w:p w14:paraId="2AF6D8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035" w:type="dxa"/>
                  <w:tcBorders>
                    <w:tl2br w:val="nil"/>
                    <w:tr2bl w:val="nil"/>
                  </w:tcBorders>
                  <w:shd w:val="clear" w:color="auto" w:fill="auto"/>
                  <w:vAlign w:val="center"/>
                </w:tcPr>
                <w:p w14:paraId="602864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5.301</w:t>
                  </w:r>
                </w:p>
              </w:tc>
              <w:tc>
                <w:tcPr>
                  <w:tcW w:w="1035" w:type="dxa"/>
                  <w:tcBorders>
                    <w:tl2br w:val="nil"/>
                    <w:tr2bl w:val="nil"/>
                  </w:tcBorders>
                  <w:shd w:val="clear" w:color="auto" w:fill="auto"/>
                  <w:noWrap/>
                  <w:vAlign w:val="center"/>
                </w:tcPr>
                <w:p w14:paraId="75655D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9.58</w:t>
                  </w:r>
                </w:p>
              </w:tc>
              <w:tc>
                <w:tcPr>
                  <w:tcW w:w="1035" w:type="dxa"/>
                  <w:tcBorders>
                    <w:tl2br w:val="nil"/>
                    <w:tr2bl w:val="nil"/>
                  </w:tcBorders>
                  <w:shd w:val="clear" w:color="auto" w:fill="auto"/>
                  <w:noWrap/>
                  <w:vAlign w:val="center"/>
                </w:tcPr>
                <w:p w14:paraId="3D0871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05759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14.881</w:t>
                  </w:r>
                </w:p>
              </w:tc>
              <w:tc>
                <w:tcPr>
                  <w:tcW w:w="1035" w:type="dxa"/>
                  <w:tcBorders>
                    <w:tl2br w:val="nil"/>
                    <w:tr2bl w:val="nil"/>
                  </w:tcBorders>
                  <w:shd w:val="clear" w:color="auto" w:fill="auto"/>
                  <w:noWrap/>
                  <w:vAlign w:val="center"/>
                </w:tcPr>
                <w:p w14:paraId="2C59ED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14.881</w:t>
                  </w:r>
                </w:p>
              </w:tc>
            </w:tr>
            <w:tr w14:paraId="4D895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6614D35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347F79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废包装桶</w:t>
                  </w:r>
                </w:p>
              </w:tc>
              <w:tc>
                <w:tcPr>
                  <w:tcW w:w="1035" w:type="dxa"/>
                  <w:tcBorders>
                    <w:tl2br w:val="nil"/>
                    <w:tr2bl w:val="nil"/>
                  </w:tcBorders>
                  <w:shd w:val="clear" w:color="auto" w:fill="auto"/>
                  <w:noWrap/>
                  <w:vAlign w:val="center"/>
                </w:tcPr>
                <w:p w14:paraId="69EB3C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vAlign w:val="center"/>
                </w:tcPr>
                <w:p w14:paraId="723DB7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1035" w:type="dxa"/>
                  <w:tcBorders>
                    <w:tl2br w:val="nil"/>
                    <w:tr2bl w:val="nil"/>
                  </w:tcBorders>
                  <w:shd w:val="clear" w:color="auto" w:fill="auto"/>
                  <w:noWrap/>
                  <w:vAlign w:val="center"/>
                </w:tcPr>
                <w:p w14:paraId="02D920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1035" w:type="dxa"/>
                  <w:tcBorders>
                    <w:tl2br w:val="nil"/>
                    <w:tr2bl w:val="nil"/>
                  </w:tcBorders>
                  <w:shd w:val="clear" w:color="auto" w:fill="auto"/>
                  <w:noWrap/>
                  <w:vAlign w:val="center"/>
                </w:tcPr>
                <w:p w14:paraId="369420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5CAA5B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1035" w:type="dxa"/>
                  <w:tcBorders>
                    <w:tl2br w:val="nil"/>
                    <w:tr2bl w:val="nil"/>
                  </w:tcBorders>
                  <w:shd w:val="clear" w:color="auto" w:fill="auto"/>
                  <w:noWrap/>
                  <w:vAlign w:val="center"/>
                </w:tcPr>
                <w:p w14:paraId="3EE3C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0.38</w:t>
                  </w:r>
                </w:p>
              </w:tc>
            </w:tr>
            <w:tr w14:paraId="6529A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549C45A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4812CD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废过滤棉</w:t>
                  </w:r>
                </w:p>
              </w:tc>
              <w:tc>
                <w:tcPr>
                  <w:tcW w:w="1035" w:type="dxa"/>
                  <w:tcBorders>
                    <w:tl2br w:val="nil"/>
                    <w:tr2bl w:val="nil"/>
                  </w:tcBorders>
                  <w:shd w:val="clear" w:color="auto" w:fill="auto"/>
                  <w:noWrap/>
                  <w:vAlign w:val="center"/>
                </w:tcPr>
                <w:p w14:paraId="0C3B6D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vAlign w:val="center"/>
                </w:tcPr>
                <w:p w14:paraId="61AA3B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5" w:type="dxa"/>
                  <w:tcBorders>
                    <w:tl2br w:val="nil"/>
                    <w:tr2bl w:val="nil"/>
                  </w:tcBorders>
                  <w:shd w:val="clear" w:color="auto" w:fill="auto"/>
                  <w:noWrap/>
                  <w:vAlign w:val="center"/>
                </w:tcPr>
                <w:p w14:paraId="6F0419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3606FA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5D22B6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35" w:type="dxa"/>
                  <w:tcBorders>
                    <w:tl2br w:val="nil"/>
                    <w:tr2bl w:val="nil"/>
                  </w:tcBorders>
                  <w:shd w:val="clear" w:color="auto" w:fill="auto"/>
                  <w:noWrap/>
                  <w:vAlign w:val="center"/>
                </w:tcPr>
                <w:p w14:paraId="0A17A2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w:t>
                  </w:r>
                </w:p>
              </w:tc>
            </w:tr>
            <w:tr w14:paraId="3A630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43909BC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1700EF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废活性炭</w:t>
                  </w:r>
                </w:p>
              </w:tc>
              <w:tc>
                <w:tcPr>
                  <w:tcW w:w="1035" w:type="dxa"/>
                  <w:tcBorders>
                    <w:tl2br w:val="nil"/>
                    <w:tr2bl w:val="nil"/>
                  </w:tcBorders>
                  <w:shd w:val="clear" w:color="auto" w:fill="auto"/>
                  <w:noWrap/>
                  <w:vAlign w:val="center"/>
                </w:tcPr>
                <w:p w14:paraId="6EA38C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vAlign w:val="center"/>
                </w:tcPr>
                <w:p w14:paraId="03A0C5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1035" w:type="dxa"/>
                  <w:tcBorders>
                    <w:tl2br w:val="nil"/>
                    <w:tr2bl w:val="nil"/>
                  </w:tcBorders>
                  <w:shd w:val="clear" w:color="auto" w:fill="auto"/>
                  <w:noWrap/>
                  <w:vAlign w:val="center"/>
                </w:tcPr>
                <w:p w14:paraId="5DA77E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189F16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4E8115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1035" w:type="dxa"/>
                  <w:tcBorders>
                    <w:tl2br w:val="nil"/>
                    <w:tr2bl w:val="nil"/>
                  </w:tcBorders>
                  <w:shd w:val="clear" w:color="auto" w:fill="auto"/>
                  <w:noWrap/>
                  <w:vAlign w:val="center"/>
                </w:tcPr>
                <w:p w14:paraId="0EA81B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r>
            <w:tr w14:paraId="06024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26884D75">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749F45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钝化毛刷、抹布</w:t>
                  </w:r>
                </w:p>
              </w:tc>
              <w:tc>
                <w:tcPr>
                  <w:tcW w:w="1035" w:type="dxa"/>
                  <w:tcBorders>
                    <w:tl2br w:val="nil"/>
                    <w:tr2bl w:val="nil"/>
                  </w:tcBorders>
                  <w:shd w:val="clear" w:color="auto" w:fill="auto"/>
                  <w:noWrap/>
                  <w:vAlign w:val="center"/>
                </w:tcPr>
                <w:p w14:paraId="427BB0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1035" w:type="dxa"/>
                  <w:tcBorders>
                    <w:tl2br w:val="nil"/>
                    <w:tr2bl w:val="nil"/>
                  </w:tcBorders>
                  <w:shd w:val="clear" w:color="auto" w:fill="auto"/>
                  <w:vAlign w:val="center"/>
                </w:tcPr>
                <w:p w14:paraId="17FE1A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1035" w:type="dxa"/>
                  <w:tcBorders>
                    <w:tl2br w:val="nil"/>
                    <w:tr2bl w:val="nil"/>
                  </w:tcBorders>
                  <w:shd w:val="clear" w:color="auto" w:fill="auto"/>
                  <w:noWrap/>
                  <w:vAlign w:val="center"/>
                </w:tcPr>
                <w:p w14:paraId="1EF687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4AC315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30AACB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035" w:type="dxa"/>
                  <w:tcBorders>
                    <w:tl2br w:val="nil"/>
                    <w:tr2bl w:val="nil"/>
                  </w:tcBorders>
                  <w:shd w:val="clear" w:color="auto" w:fill="auto"/>
                  <w:noWrap/>
                  <w:vAlign w:val="center"/>
                </w:tcPr>
                <w:p w14:paraId="4B88CB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0.07</w:t>
                  </w:r>
                </w:p>
              </w:tc>
            </w:tr>
            <w:tr w14:paraId="6949F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441C14D1">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noWrap/>
                  <w:vAlign w:val="center"/>
                </w:tcPr>
                <w:p w14:paraId="06FB8C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废辊涂工具、废毛刷</w:t>
                  </w:r>
                </w:p>
              </w:tc>
              <w:tc>
                <w:tcPr>
                  <w:tcW w:w="1035" w:type="dxa"/>
                  <w:tcBorders>
                    <w:tl2br w:val="nil"/>
                    <w:tr2bl w:val="nil"/>
                  </w:tcBorders>
                  <w:shd w:val="clear" w:color="auto" w:fill="auto"/>
                  <w:noWrap/>
                  <w:vAlign w:val="center"/>
                </w:tcPr>
                <w:p w14:paraId="64A376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vAlign w:val="center"/>
                </w:tcPr>
                <w:p w14:paraId="4C3F81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1F6889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1035" w:type="dxa"/>
                  <w:tcBorders>
                    <w:tl2br w:val="nil"/>
                    <w:tr2bl w:val="nil"/>
                  </w:tcBorders>
                  <w:shd w:val="clear" w:color="auto" w:fill="auto"/>
                  <w:noWrap/>
                  <w:vAlign w:val="center"/>
                </w:tcPr>
                <w:p w14:paraId="12345B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4B6878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1035" w:type="dxa"/>
                  <w:tcBorders>
                    <w:tl2br w:val="nil"/>
                    <w:tr2bl w:val="nil"/>
                  </w:tcBorders>
                  <w:shd w:val="clear" w:color="auto" w:fill="auto"/>
                  <w:noWrap/>
                  <w:vAlign w:val="center"/>
                </w:tcPr>
                <w:p w14:paraId="5D2FBC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0.05</w:t>
                  </w:r>
                </w:p>
              </w:tc>
            </w:tr>
            <w:tr w14:paraId="32431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2080371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3BC341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废液压油</w:t>
                  </w:r>
                </w:p>
              </w:tc>
              <w:tc>
                <w:tcPr>
                  <w:tcW w:w="1035" w:type="dxa"/>
                  <w:tcBorders>
                    <w:tl2br w:val="nil"/>
                    <w:tr2bl w:val="nil"/>
                  </w:tcBorders>
                  <w:shd w:val="clear" w:color="auto" w:fill="auto"/>
                  <w:noWrap/>
                  <w:vAlign w:val="center"/>
                </w:tcPr>
                <w:p w14:paraId="0A6555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1035" w:type="dxa"/>
                  <w:tcBorders>
                    <w:tl2br w:val="nil"/>
                    <w:tr2bl w:val="nil"/>
                  </w:tcBorders>
                  <w:shd w:val="clear" w:color="auto" w:fill="auto"/>
                  <w:vAlign w:val="center"/>
                </w:tcPr>
                <w:p w14:paraId="15A012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0.33</w:t>
                  </w:r>
                </w:p>
              </w:tc>
              <w:tc>
                <w:tcPr>
                  <w:tcW w:w="1035" w:type="dxa"/>
                  <w:tcBorders>
                    <w:tl2br w:val="nil"/>
                    <w:tr2bl w:val="nil"/>
                  </w:tcBorders>
                  <w:shd w:val="clear" w:color="auto" w:fill="auto"/>
                  <w:noWrap/>
                  <w:vAlign w:val="center"/>
                </w:tcPr>
                <w:p w14:paraId="264B15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035" w:type="dxa"/>
                  <w:tcBorders>
                    <w:tl2br w:val="nil"/>
                    <w:tr2bl w:val="nil"/>
                  </w:tcBorders>
                  <w:shd w:val="clear" w:color="auto" w:fill="auto"/>
                  <w:noWrap/>
                  <w:vAlign w:val="center"/>
                </w:tcPr>
                <w:p w14:paraId="3AEFA9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011433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1035" w:type="dxa"/>
                  <w:tcBorders>
                    <w:tl2br w:val="nil"/>
                    <w:tr2bl w:val="nil"/>
                  </w:tcBorders>
                  <w:shd w:val="clear" w:color="auto" w:fill="auto"/>
                  <w:noWrap/>
                  <w:vAlign w:val="center"/>
                </w:tcPr>
                <w:p w14:paraId="202918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0.43</w:t>
                  </w:r>
                </w:p>
              </w:tc>
            </w:tr>
            <w:tr w14:paraId="2FA57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7B34F05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18AF4B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废冷却液</w:t>
                  </w:r>
                </w:p>
              </w:tc>
              <w:tc>
                <w:tcPr>
                  <w:tcW w:w="1035" w:type="dxa"/>
                  <w:tcBorders>
                    <w:tl2br w:val="nil"/>
                    <w:tr2bl w:val="nil"/>
                  </w:tcBorders>
                  <w:shd w:val="clear" w:color="auto" w:fill="auto"/>
                  <w:noWrap/>
                  <w:vAlign w:val="center"/>
                </w:tcPr>
                <w:p w14:paraId="1A6499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1035" w:type="dxa"/>
                  <w:tcBorders>
                    <w:tl2br w:val="nil"/>
                    <w:tr2bl w:val="nil"/>
                  </w:tcBorders>
                  <w:shd w:val="clear" w:color="auto" w:fill="auto"/>
                  <w:vAlign w:val="center"/>
                </w:tcPr>
                <w:p w14:paraId="74C02F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1035" w:type="dxa"/>
                  <w:tcBorders>
                    <w:tl2br w:val="nil"/>
                    <w:tr2bl w:val="nil"/>
                  </w:tcBorders>
                  <w:shd w:val="clear" w:color="auto" w:fill="auto"/>
                  <w:noWrap/>
                  <w:vAlign w:val="center"/>
                </w:tcPr>
                <w:p w14:paraId="1318EF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035" w:type="dxa"/>
                  <w:tcBorders>
                    <w:tl2br w:val="nil"/>
                    <w:tr2bl w:val="nil"/>
                  </w:tcBorders>
                  <w:shd w:val="clear" w:color="auto" w:fill="auto"/>
                  <w:noWrap/>
                  <w:vAlign w:val="center"/>
                </w:tcPr>
                <w:p w14:paraId="2941FD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57A7B4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1035" w:type="dxa"/>
                  <w:tcBorders>
                    <w:tl2br w:val="nil"/>
                    <w:tr2bl w:val="nil"/>
                  </w:tcBorders>
                  <w:shd w:val="clear" w:color="auto" w:fill="auto"/>
                  <w:noWrap/>
                  <w:vAlign w:val="center"/>
                </w:tcPr>
                <w:p w14:paraId="51B7C6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0.23</w:t>
                  </w:r>
                </w:p>
              </w:tc>
            </w:tr>
            <w:tr w14:paraId="758D9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288E1F8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0D4627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废润滑油</w:t>
                  </w:r>
                </w:p>
              </w:tc>
              <w:tc>
                <w:tcPr>
                  <w:tcW w:w="1035" w:type="dxa"/>
                  <w:tcBorders>
                    <w:tl2br w:val="nil"/>
                    <w:tr2bl w:val="nil"/>
                  </w:tcBorders>
                  <w:shd w:val="clear" w:color="auto" w:fill="auto"/>
                  <w:noWrap/>
                  <w:vAlign w:val="center"/>
                </w:tcPr>
                <w:p w14:paraId="24C301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1035" w:type="dxa"/>
                  <w:tcBorders>
                    <w:tl2br w:val="nil"/>
                    <w:tr2bl w:val="nil"/>
                  </w:tcBorders>
                  <w:shd w:val="clear" w:color="auto" w:fill="auto"/>
                  <w:vAlign w:val="center"/>
                </w:tcPr>
                <w:p w14:paraId="7D7DB1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1035" w:type="dxa"/>
                  <w:tcBorders>
                    <w:tl2br w:val="nil"/>
                    <w:tr2bl w:val="nil"/>
                  </w:tcBorders>
                  <w:shd w:val="clear" w:color="auto" w:fill="auto"/>
                  <w:noWrap/>
                  <w:vAlign w:val="center"/>
                </w:tcPr>
                <w:p w14:paraId="4D6C3E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1035" w:type="dxa"/>
                  <w:tcBorders>
                    <w:tl2br w:val="nil"/>
                    <w:tr2bl w:val="nil"/>
                  </w:tcBorders>
                  <w:shd w:val="clear" w:color="auto" w:fill="auto"/>
                  <w:noWrap/>
                  <w:vAlign w:val="center"/>
                </w:tcPr>
                <w:p w14:paraId="44A3A2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556BFC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035" w:type="dxa"/>
                  <w:tcBorders>
                    <w:tl2br w:val="nil"/>
                    <w:tr2bl w:val="nil"/>
                  </w:tcBorders>
                  <w:shd w:val="clear" w:color="auto" w:fill="auto"/>
                  <w:noWrap/>
                  <w:vAlign w:val="center"/>
                </w:tcPr>
                <w:p w14:paraId="0EF13F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0.08</w:t>
                  </w:r>
                </w:p>
              </w:tc>
            </w:tr>
            <w:tr w14:paraId="234AD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5646174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1A7332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废油抹布及手套</w:t>
                  </w:r>
                </w:p>
              </w:tc>
              <w:tc>
                <w:tcPr>
                  <w:tcW w:w="1035" w:type="dxa"/>
                  <w:tcBorders>
                    <w:tl2br w:val="nil"/>
                    <w:tr2bl w:val="nil"/>
                  </w:tcBorders>
                  <w:shd w:val="clear" w:color="auto" w:fill="auto"/>
                  <w:noWrap/>
                  <w:vAlign w:val="center"/>
                </w:tcPr>
                <w:p w14:paraId="54601E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1035" w:type="dxa"/>
                  <w:tcBorders>
                    <w:tl2br w:val="nil"/>
                    <w:tr2bl w:val="nil"/>
                  </w:tcBorders>
                  <w:shd w:val="clear" w:color="auto" w:fill="auto"/>
                  <w:vAlign w:val="center"/>
                </w:tcPr>
                <w:p w14:paraId="2065FB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35" w:type="dxa"/>
                  <w:tcBorders>
                    <w:tl2br w:val="nil"/>
                    <w:tr2bl w:val="nil"/>
                  </w:tcBorders>
                  <w:shd w:val="clear" w:color="auto" w:fill="auto"/>
                  <w:noWrap/>
                  <w:vAlign w:val="center"/>
                </w:tcPr>
                <w:p w14:paraId="3EED2D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035" w:type="dxa"/>
                  <w:tcBorders>
                    <w:tl2br w:val="nil"/>
                    <w:tr2bl w:val="nil"/>
                  </w:tcBorders>
                  <w:shd w:val="clear" w:color="auto" w:fill="auto"/>
                  <w:noWrap/>
                  <w:vAlign w:val="center"/>
                </w:tcPr>
                <w:p w14:paraId="0B42AE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2F92A6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1035" w:type="dxa"/>
                  <w:tcBorders>
                    <w:tl2br w:val="nil"/>
                    <w:tr2bl w:val="nil"/>
                  </w:tcBorders>
                  <w:shd w:val="clear" w:color="auto" w:fill="auto"/>
                  <w:noWrap/>
                  <w:vAlign w:val="center"/>
                </w:tcPr>
                <w:p w14:paraId="47432D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0.017</w:t>
                  </w:r>
                </w:p>
              </w:tc>
            </w:tr>
            <w:tr w14:paraId="1371F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4E3D0A3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07BBAA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油类包装桶</w:t>
                  </w:r>
                </w:p>
              </w:tc>
              <w:tc>
                <w:tcPr>
                  <w:tcW w:w="1035" w:type="dxa"/>
                  <w:tcBorders>
                    <w:tl2br w:val="nil"/>
                    <w:tr2bl w:val="nil"/>
                  </w:tcBorders>
                  <w:shd w:val="clear" w:color="auto" w:fill="auto"/>
                  <w:noWrap/>
                  <w:vAlign w:val="center"/>
                </w:tcPr>
                <w:p w14:paraId="0F480A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1035" w:type="dxa"/>
                  <w:tcBorders>
                    <w:tl2br w:val="nil"/>
                    <w:tr2bl w:val="nil"/>
                  </w:tcBorders>
                  <w:shd w:val="clear" w:color="auto" w:fill="auto"/>
                  <w:vAlign w:val="center"/>
                </w:tcPr>
                <w:p w14:paraId="597C13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035" w:type="dxa"/>
                  <w:tcBorders>
                    <w:tl2br w:val="nil"/>
                    <w:tr2bl w:val="nil"/>
                  </w:tcBorders>
                  <w:shd w:val="clear" w:color="auto" w:fill="auto"/>
                  <w:noWrap/>
                  <w:vAlign w:val="center"/>
                </w:tcPr>
                <w:p w14:paraId="5FECF5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035" w:type="dxa"/>
                  <w:tcBorders>
                    <w:tl2br w:val="nil"/>
                    <w:tr2bl w:val="nil"/>
                  </w:tcBorders>
                  <w:shd w:val="clear" w:color="auto" w:fill="auto"/>
                  <w:noWrap/>
                  <w:vAlign w:val="center"/>
                </w:tcPr>
                <w:p w14:paraId="5DF5FF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7DF633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0.011</w:t>
                  </w:r>
                </w:p>
              </w:tc>
              <w:tc>
                <w:tcPr>
                  <w:tcW w:w="1035" w:type="dxa"/>
                  <w:tcBorders>
                    <w:tl2br w:val="nil"/>
                    <w:tr2bl w:val="nil"/>
                  </w:tcBorders>
                  <w:shd w:val="clear" w:color="auto" w:fill="auto"/>
                  <w:noWrap/>
                  <w:vAlign w:val="center"/>
                </w:tcPr>
                <w:p w14:paraId="28B020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0.008</w:t>
                  </w:r>
                </w:p>
              </w:tc>
            </w:tr>
            <w:tr w14:paraId="3C2F3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shd w:val="clear" w:color="auto" w:fill="auto"/>
                  <w:noWrap/>
                  <w:vAlign w:val="center"/>
                </w:tcPr>
                <w:p w14:paraId="123F20D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431" w:type="dxa"/>
                  <w:tcBorders>
                    <w:tl2br w:val="nil"/>
                    <w:tr2bl w:val="nil"/>
                  </w:tcBorders>
                  <w:shd w:val="clear" w:color="auto" w:fill="auto"/>
                  <w:vAlign w:val="center"/>
                </w:tcPr>
                <w:p w14:paraId="002199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生活垃圾</w:t>
                  </w:r>
                </w:p>
              </w:tc>
              <w:tc>
                <w:tcPr>
                  <w:tcW w:w="1035" w:type="dxa"/>
                  <w:tcBorders>
                    <w:tl2br w:val="nil"/>
                    <w:tr2bl w:val="nil"/>
                  </w:tcBorders>
                  <w:shd w:val="clear" w:color="auto" w:fill="auto"/>
                  <w:vAlign w:val="center"/>
                </w:tcPr>
                <w:p w14:paraId="3D7C36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035" w:type="dxa"/>
                  <w:tcBorders>
                    <w:tl2br w:val="nil"/>
                    <w:tr2bl w:val="nil"/>
                  </w:tcBorders>
                  <w:shd w:val="clear" w:color="auto" w:fill="auto"/>
                  <w:vAlign w:val="center"/>
                </w:tcPr>
                <w:p w14:paraId="0AABD8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1035" w:type="dxa"/>
                  <w:tcBorders>
                    <w:tl2br w:val="nil"/>
                    <w:tr2bl w:val="nil"/>
                  </w:tcBorders>
                  <w:shd w:val="clear" w:color="auto" w:fill="auto"/>
                  <w:noWrap/>
                  <w:vAlign w:val="center"/>
                </w:tcPr>
                <w:p w14:paraId="39A1AC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35" w:type="dxa"/>
                  <w:tcBorders>
                    <w:tl2br w:val="nil"/>
                    <w:tr2bl w:val="nil"/>
                  </w:tcBorders>
                  <w:shd w:val="clear" w:color="auto" w:fill="auto"/>
                  <w:noWrap/>
                  <w:vAlign w:val="center"/>
                </w:tcPr>
                <w:p w14:paraId="7167C8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35" w:type="dxa"/>
                  <w:tcBorders>
                    <w:tl2br w:val="nil"/>
                    <w:tr2bl w:val="nil"/>
                  </w:tcBorders>
                  <w:shd w:val="clear" w:color="auto" w:fill="auto"/>
                  <w:noWrap/>
                  <w:vAlign w:val="center"/>
                </w:tcPr>
                <w:p w14:paraId="13D002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7.05</w:t>
                  </w:r>
                </w:p>
              </w:tc>
              <w:tc>
                <w:tcPr>
                  <w:tcW w:w="1035" w:type="dxa"/>
                  <w:tcBorders>
                    <w:tl2br w:val="nil"/>
                    <w:tr2bl w:val="nil"/>
                  </w:tcBorders>
                  <w:shd w:val="clear" w:color="auto" w:fill="auto"/>
                  <w:noWrap/>
                  <w:vAlign w:val="center"/>
                </w:tcPr>
                <w:p w14:paraId="2F9BA0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5.15</w:t>
                  </w:r>
                </w:p>
              </w:tc>
            </w:tr>
          </w:tbl>
          <w:p w14:paraId="15E74989">
            <w:pPr>
              <w:keepNext w:val="0"/>
              <w:keepLines w:val="0"/>
              <w:pageBreakBefore w:val="0"/>
              <w:suppressLineNumbers w:val="0"/>
              <w:kinsoku/>
              <w:overflowPunct/>
              <w:bidi w:val="0"/>
              <w:spacing w:before="0" w:beforeAutospacing="0" w:after="0" w:afterAutospacing="0" w:line="360" w:lineRule="auto"/>
              <w:ind w:left="0" w:right="0"/>
              <w:outlineLvl w:val="9"/>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9</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、自行监测要求</w:t>
            </w:r>
          </w:p>
          <w:p w14:paraId="66DAC627">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pacing w:val="0"/>
                <w:position w:val="0"/>
                <w:sz w:val="24"/>
                <w:szCs w:val="24"/>
                <w:u w:val="none" w:color="auto"/>
                <w:lang w:val="en-US" w:eastAsia="zh-CN"/>
              </w:rPr>
            </w:pPr>
            <w:r>
              <w:rPr>
                <w:rFonts w:hint="default" w:ascii="Times New Roman" w:hAnsi="Times New Roman" w:eastAsia="宋体" w:cs="Times New Roman"/>
                <w:b w:val="0"/>
                <w:bCs w:val="0"/>
                <w:color w:val="auto"/>
                <w:spacing w:val="0"/>
                <w:position w:val="0"/>
                <w:sz w:val="24"/>
                <w:szCs w:val="24"/>
                <w:u w:val="none" w:color="auto"/>
                <w:lang w:val="en-US" w:eastAsia="zh-CN"/>
              </w:rPr>
              <w:t>根据《排污单位自行监测技术指南 总则》（HJ819-2017）</w:t>
            </w:r>
            <w:r>
              <w:rPr>
                <w:rFonts w:hint="eastAsia" w:cs="Times New Roman"/>
                <w:b w:val="0"/>
                <w:bCs w:val="0"/>
                <w:color w:val="auto"/>
                <w:spacing w:val="0"/>
                <w:position w:val="0"/>
                <w:sz w:val="24"/>
                <w:szCs w:val="24"/>
                <w:u w:val="none" w:color="auto"/>
                <w:lang w:val="en-US" w:eastAsia="zh-CN"/>
              </w:rPr>
              <w:t>，参照</w:t>
            </w:r>
            <w:r>
              <w:rPr>
                <w:rFonts w:hint="default" w:ascii="Times New Roman" w:hAnsi="Times New Roman" w:eastAsia="宋体" w:cs="Times New Roman"/>
                <w:b w:val="0"/>
                <w:bCs w:val="0"/>
                <w:color w:val="auto"/>
                <w:spacing w:val="0"/>
                <w:position w:val="0"/>
                <w:sz w:val="24"/>
                <w:szCs w:val="24"/>
                <w:u w:val="none" w:color="auto"/>
                <w:lang w:val="en-US" w:eastAsia="zh-CN"/>
              </w:rPr>
              <w:t>《排污许可证申请与核发技术规范</w:t>
            </w:r>
            <w:r>
              <w:rPr>
                <w:rFonts w:hint="eastAsia" w:cs="Times New Roman"/>
                <w:b w:val="0"/>
                <w:bCs w:val="0"/>
                <w:color w:val="auto"/>
                <w:spacing w:val="0"/>
                <w:position w:val="0"/>
                <w:sz w:val="24"/>
                <w:szCs w:val="24"/>
                <w:u w:val="none" w:color="auto"/>
                <w:lang w:val="en-US" w:eastAsia="zh-CN"/>
              </w:rPr>
              <w:t xml:space="preserve">  </w:t>
            </w:r>
            <w:r>
              <w:rPr>
                <w:rFonts w:hint="default" w:ascii="Times New Roman" w:hAnsi="Times New Roman" w:eastAsia="宋体" w:cs="Times New Roman"/>
                <w:b w:val="0"/>
                <w:bCs w:val="0"/>
                <w:color w:val="auto"/>
                <w:spacing w:val="0"/>
                <w:position w:val="0"/>
                <w:sz w:val="24"/>
                <w:szCs w:val="24"/>
                <w:u w:val="none" w:color="auto"/>
                <w:lang w:val="en-US" w:eastAsia="zh-CN"/>
              </w:rPr>
              <w:t>铁路、船舶、航空航天和其他运输设备</w:t>
            </w:r>
            <w:r>
              <w:rPr>
                <w:rFonts w:hint="eastAsia" w:ascii="Times New Roman" w:hAnsi="Times New Roman" w:eastAsia="宋体" w:cs="Times New Roman"/>
                <w:b w:val="0"/>
                <w:bCs w:val="0"/>
                <w:color w:val="auto"/>
                <w:spacing w:val="0"/>
                <w:position w:val="0"/>
                <w:sz w:val="24"/>
                <w:szCs w:val="24"/>
                <w:u w:val="none" w:color="auto"/>
                <w:lang w:val="en-US" w:eastAsia="zh-CN"/>
              </w:rPr>
              <w:t>制造业</w:t>
            </w:r>
            <w:r>
              <w:rPr>
                <w:rFonts w:hint="default" w:ascii="Times New Roman" w:hAnsi="Times New Roman" w:eastAsia="宋体" w:cs="Times New Roman"/>
                <w:b w:val="0"/>
                <w:bCs w:val="0"/>
                <w:color w:val="auto"/>
                <w:spacing w:val="0"/>
                <w:position w:val="0"/>
                <w:sz w:val="24"/>
                <w:szCs w:val="24"/>
                <w:u w:val="none" w:color="auto"/>
                <w:lang w:val="en-US" w:eastAsia="zh-CN"/>
              </w:rPr>
              <w:t>》（HJ1122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b w:val="0"/>
                <w:bCs w:val="0"/>
                <w:color w:val="auto"/>
                <w:spacing w:val="0"/>
                <w:position w:val="0"/>
                <w:sz w:val="24"/>
                <w:szCs w:val="24"/>
                <w:u w:val="none" w:color="auto"/>
                <w:lang w:val="en-US" w:eastAsia="zh-CN"/>
              </w:rPr>
              <w:t>2020），</w:t>
            </w:r>
            <w:r>
              <w:rPr>
                <w:rFonts w:hint="default" w:ascii="Times New Roman" w:hAnsi="Times New Roman" w:eastAsia="宋体" w:cs="Times New Roman"/>
                <w:color w:val="auto"/>
                <w:spacing w:val="0"/>
                <w:position w:val="0"/>
                <w:sz w:val="24"/>
                <w:szCs w:val="24"/>
                <w:u w:val="none" w:color="auto"/>
              </w:rPr>
              <w:t>《</w:t>
            </w:r>
            <w:r>
              <w:rPr>
                <w:rFonts w:hint="default" w:ascii="Times New Roman" w:hAnsi="Times New Roman" w:cs="Times New Roman"/>
                <w:color w:val="auto"/>
                <w:sz w:val="24"/>
                <w:szCs w:val="24"/>
                <w:u w:val="none"/>
              </w:rPr>
              <w:t xml:space="preserve">排污单位自行监测技术指南 </w:t>
            </w:r>
            <w:r>
              <w:rPr>
                <w:rFonts w:hint="eastAsia" w:cs="Times New Roman"/>
                <w:color w:val="auto"/>
                <w:sz w:val="24"/>
                <w:szCs w:val="24"/>
                <w:u w:val="none"/>
                <w:lang w:eastAsia="zh-CN"/>
              </w:rPr>
              <w:t>涂装</w:t>
            </w:r>
            <w:r>
              <w:rPr>
                <w:rFonts w:hint="default" w:ascii="Times New Roman" w:hAnsi="Times New Roman" w:eastAsia="宋体" w:cs="Times New Roman"/>
                <w:color w:val="auto"/>
                <w:spacing w:val="0"/>
                <w:position w:val="0"/>
                <w:sz w:val="24"/>
                <w:szCs w:val="24"/>
                <w:u w:val="none" w:color="auto"/>
              </w:rPr>
              <w:t>》</w:t>
            </w:r>
            <w:r>
              <w:rPr>
                <w:rFonts w:hint="default" w:ascii="Times New Roman" w:hAnsi="Times New Roman" w:eastAsia="宋体" w:cs="Times New Roman"/>
                <w:color w:val="auto"/>
                <w:spacing w:val="0"/>
                <w:position w:val="0"/>
                <w:sz w:val="24"/>
                <w:szCs w:val="24"/>
                <w:u w:val="none" w:color="auto"/>
                <w:lang w:eastAsia="zh-CN"/>
              </w:rPr>
              <w:t>（</w:t>
            </w:r>
            <w:r>
              <w:rPr>
                <w:rFonts w:hint="default" w:ascii="Times New Roman" w:hAnsi="Times New Roman" w:eastAsia="宋体" w:cs="Times New Roman"/>
                <w:color w:val="auto"/>
                <w:spacing w:val="0"/>
                <w:position w:val="0"/>
                <w:sz w:val="24"/>
                <w:szCs w:val="24"/>
                <w:u w:val="none" w:color="auto"/>
              </w:rPr>
              <w:t>HJ</w:t>
            </w:r>
            <w:r>
              <w:rPr>
                <w:rFonts w:hint="default" w:ascii="Times New Roman" w:hAnsi="Times New Roman" w:eastAsia="宋体" w:cs="Times New Roman"/>
                <w:color w:val="auto"/>
                <w:sz w:val="24"/>
                <w:highlight w:val="none"/>
              </w:rPr>
              <w:t>1086-2020</w:t>
            </w:r>
            <w:r>
              <w:rPr>
                <w:rFonts w:hint="default" w:ascii="Times New Roman" w:hAnsi="Times New Roman" w:eastAsia="宋体" w:cs="Times New Roman"/>
                <w:color w:val="auto"/>
                <w:spacing w:val="0"/>
                <w:position w:val="0"/>
                <w:sz w:val="24"/>
                <w:szCs w:val="24"/>
                <w:u w:val="none" w:color="auto"/>
              </w:rPr>
              <w:t>）</w:t>
            </w:r>
            <w:r>
              <w:rPr>
                <w:rFonts w:hint="eastAsia" w:cs="Times New Roman"/>
                <w:color w:val="auto"/>
                <w:spacing w:val="0"/>
                <w:position w:val="0"/>
                <w:sz w:val="24"/>
                <w:szCs w:val="24"/>
                <w:u w:val="none" w:color="auto"/>
                <w:lang w:eastAsia="zh-CN"/>
              </w:rPr>
              <w:t>相关要求</w:t>
            </w:r>
            <w:r>
              <w:rPr>
                <w:rFonts w:hint="default" w:ascii="Times New Roman" w:hAnsi="Times New Roman" w:eastAsia="宋体" w:cs="Times New Roman"/>
                <w:color w:val="auto"/>
                <w:spacing w:val="0"/>
                <w:position w:val="0"/>
                <w:sz w:val="24"/>
                <w:szCs w:val="24"/>
                <w:u w:val="none" w:color="auto"/>
                <w:lang w:eastAsia="zh-CN"/>
              </w:rPr>
              <w:t>，</w:t>
            </w:r>
            <w:r>
              <w:rPr>
                <w:rFonts w:hint="eastAsia" w:cs="Times New Roman"/>
                <w:color w:val="auto"/>
                <w:spacing w:val="0"/>
                <w:position w:val="0"/>
                <w:sz w:val="24"/>
                <w:szCs w:val="24"/>
                <w:u w:val="none" w:color="auto"/>
                <w:lang w:eastAsia="zh-CN"/>
              </w:rPr>
              <w:t>本</w:t>
            </w:r>
            <w:r>
              <w:rPr>
                <w:rFonts w:hint="default" w:ascii="Times New Roman" w:hAnsi="Times New Roman" w:eastAsia="宋体" w:cs="Times New Roman"/>
                <w:b w:val="0"/>
                <w:bCs w:val="0"/>
                <w:color w:val="auto"/>
                <w:spacing w:val="0"/>
                <w:position w:val="0"/>
                <w:sz w:val="24"/>
                <w:szCs w:val="24"/>
                <w:u w:val="none" w:color="auto"/>
                <w:lang w:val="en-US" w:eastAsia="zh-CN"/>
              </w:rPr>
              <w:t>项目</w:t>
            </w:r>
            <w:r>
              <w:rPr>
                <w:rFonts w:hint="eastAsia" w:cs="Times New Roman"/>
                <w:b w:val="0"/>
                <w:bCs w:val="0"/>
                <w:color w:val="auto"/>
                <w:spacing w:val="0"/>
                <w:position w:val="0"/>
                <w:sz w:val="24"/>
                <w:szCs w:val="24"/>
                <w:u w:val="none" w:color="auto"/>
                <w:lang w:val="en-US" w:eastAsia="zh-CN"/>
              </w:rPr>
              <w:t>建成后湖南众联智能机械设备制造有限公司可委托</w:t>
            </w:r>
            <w:r>
              <w:rPr>
                <w:rFonts w:hint="eastAsia" w:ascii="Times New Roman" w:hAnsi="Times New Roman" w:eastAsia="宋体" w:cs="Times New Roman"/>
                <w:b w:val="0"/>
                <w:bCs w:val="0"/>
                <w:color w:val="auto"/>
                <w:spacing w:val="0"/>
                <w:position w:val="0"/>
                <w:sz w:val="24"/>
                <w:szCs w:val="24"/>
                <w:u w:val="none" w:color="auto"/>
                <w:lang w:val="en-US" w:eastAsia="zh-CN"/>
              </w:rPr>
              <w:t>有资质的单位进行监测，具体</w:t>
            </w:r>
            <w:r>
              <w:rPr>
                <w:rFonts w:hint="default" w:ascii="Times New Roman" w:hAnsi="Times New Roman" w:eastAsia="宋体" w:cs="Times New Roman"/>
                <w:b w:val="0"/>
                <w:bCs w:val="0"/>
                <w:color w:val="auto"/>
                <w:spacing w:val="0"/>
                <w:position w:val="0"/>
                <w:sz w:val="24"/>
                <w:szCs w:val="24"/>
                <w:u w:val="none" w:color="auto"/>
                <w:lang w:val="en-US" w:eastAsia="zh-CN"/>
              </w:rPr>
              <w:t>监测</w:t>
            </w:r>
            <w:r>
              <w:rPr>
                <w:rFonts w:hint="eastAsia" w:cs="Times New Roman"/>
                <w:b w:val="0"/>
                <w:bCs w:val="0"/>
                <w:color w:val="auto"/>
                <w:spacing w:val="0"/>
                <w:position w:val="0"/>
                <w:sz w:val="24"/>
                <w:szCs w:val="24"/>
                <w:u w:val="none" w:color="auto"/>
                <w:lang w:val="en-US" w:eastAsia="zh-CN"/>
              </w:rPr>
              <w:t>计划</w:t>
            </w:r>
            <w:r>
              <w:rPr>
                <w:rFonts w:hint="default" w:ascii="Times New Roman" w:hAnsi="Times New Roman" w:eastAsia="宋体" w:cs="Times New Roman"/>
                <w:b w:val="0"/>
                <w:bCs w:val="0"/>
                <w:color w:val="auto"/>
                <w:spacing w:val="0"/>
                <w:position w:val="0"/>
                <w:sz w:val="24"/>
                <w:szCs w:val="24"/>
                <w:u w:val="none" w:color="auto"/>
                <w:lang w:val="en-US" w:eastAsia="zh-CN"/>
              </w:rPr>
              <w:t>详见下表</w:t>
            </w:r>
            <w:r>
              <w:rPr>
                <w:rFonts w:hint="eastAsia" w:cs="Times New Roman"/>
                <w:b w:val="0"/>
                <w:bCs w:val="0"/>
                <w:color w:val="auto"/>
                <w:spacing w:val="0"/>
                <w:position w:val="0"/>
                <w:sz w:val="24"/>
                <w:szCs w:val="24"/>
                <w:u w:val="none" w:color="auto"/>
                <w:lang w:val="en-US" w:eastAsia="zh-CN"/>
              </w:rPr>
              <w:t xml:space="preserve">： </w:t>
            </w:r>
          </w:p>
          <w:p w14:paraId="3CEED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pacing w:val="0"/>
                <w:kern w:val="2"/>
                <w:position w:val="0"/>
                <w:sz w:val="24"/>
                <w:szCs w:val="24"/>
                <w:highlight w:val="none"/>
                <w:u w:val="none" w:color="auto"/>
                <w:lang w:val="en-US" w:eastAsia="zh-CN" w:bidi="ar-SA"/>
              </w:rPr>
            </w:pPr>
            <w:r>
              <w:rPr>
                <w:rFonts w:hint="default" w:ascii="Times New Roman" w:hAnsi="Times New Roman" w:eastAsia="宋体" w:cs="Times New Roman"/>
                <w:b/>
                <w:bCs/>
                <w:color w:val="auto"/>
                <w:spacing w:val="0"/>
                <w:kern w:val="2"/>
                <w:position w:val="0"/>
                <w:sz w:val="24"/>
                <w:szCs w:val="24"/>
                <w:highlight w:val="none"/>
                <w:u w:val="none" w:color="auto"/>
                <w:lang w:val="en-US" w:eastAsia="zh-CN" w:bidi="ar-SA"/>
              </w:rPr>
              <w:t>表</w:t>
            </w:r>
            <w:r>
              <w:rPr>
                <w:rFonts w:hint="eastAsia" w:ascii="Times New Roman" w:hAnsi="Times New Roman" w:eastAsia="宋体" w:cs="Times New Roman"/>
                <w:b/>
                <w:bCs/>
                <w:color w:val="auto"/>
                <w:spacing w:val="0"/>
                <w:kern w:val="2"/>
                <w:position w:val="0"/>
                <w:sz w:val="24"/>
                <w:szCs w:val="24"/>
                <w:highlight w:val="none"/>
                <w:u w:val="none" w:color="auto"/>
                <w:lang w:val="en-US" w:eastAsia="zh-CN" w:bidi="ar-SA"/>
              </w:rPr>
              <w:t>4</w:t>
            </w:r>
            <w:r>
              <w:rPr>
                <w:rFonts w:hint="default" w:ascii="Times New Roman" w:hAnsi="Times New Roman" w:eastAsia="宋体" w:cs="Times New Roman"/>
                <w:b/>
                <w:bCs/>
                <w:color w:val="auto"/>
                <w:spacing w:val="0"/>
                <w:kern w:val="2"/>
                <w:position w:val="0"/>
                <w:sz w:val="24"/>
                <w:szCs w:val="24"/>
                <w:highlight w:val="none"/>
                <w:u w:val="none" w:color="auto"/>
                <w:lang w:val="en-US" w:eastAsia="zh-CN" w:bidi="ar-SA"/>
              </w:rPr>
              <w:t>-</w:t>
            </w:r>
            <w:r>
              <w:rPr>
                <w:rFonts w:hint="eastAsia" w:cs="Times New Roman"/>
                <w:b/>
                <w:bCs/>
                <w:color w:val="auto"/>
                <w:spacing w:val="0"/>
                <w:kern w:val="2"/>
                <w:position w:val="0"/>
                <w:sz w:val="24"/>
                <w:szCs w:val="24"/>
                <w:highlight w:val="none"/>
                <w:u w:val="none" w:color="auto"/>
                <w:lang w:val="en-US" w:eastAsia="zh-CN" w:bidi="ar-SA"/>
              </w:rPr>
              <w:t>23</w:t>
            </w:r>
            <w:r>
              <w:rPr>
                <w:rFonts w:hint="default" w:ascii="Times New Roman" w:hAnsi="Times New Roman" w:eastAsia="宋体" w:cs="Times New Roman"/>
                <w:b/>
                <w:bCs/>
                <w:color w:val="auto"/>
                <w:spacing w:val="0"/>
                <w:kern w:val="2"/>
                <w:position w:val="0"/>
                <w:sz w:val="24"/>
                <w:szCs w:val="24"/>
                <w:highlight w:val="none"/>
                <w:u w:val="none" w:color="auto"/>
                <w:lang w:val="en-US" w:eastAsia="zh-CN" w:bidi="ar-SA"/>
              </w:rPr>
              <w:t xml:space="preserve">   本项目</w:t>
            </w:r>
            <w:r>
              <w:rPr>
                <w:rFonts w:hint="eastAsia" w:cs="Times New Roman"/>
                <w:b/>
                <w:bCs/>
                <w:color w:val="auto"/>
                <w:spacing w:val="0"/>
                <w:kern w:val="2"/>
                <w:position w:val="0"/>
                <w:sz w:val="24"/>
                <w:szCs w:val="24"/>
                <w:highlight w:val="none"/>
                <w:u w:val="none" w:color="auto"/>
                <w:lang w:val="en-US" w:eastAsia="zh-CN" w:bidi="ar-SA"/>
              </w:rPr>
              <w:t>建成后全厂</w:t>
            </w:r>
            <w:r>
              <w:rPr>
                <w:rFonts w:hint="default" w:ascii="Times New Roman" w:hAnsi="Times New Roman" w:eastAsia="宋体" w:cs="Times New Roman"/>
                <w:b/>
                <w:bCs/>
                <w:color w:val="auto"/>
                <w:spacing w:val="0"/>
                <w:kern w:val="2"/>
                <w:position w:val="0"/>
                <w:sz w:val="24"/>
                <w:szCs w:val="24"/>
                <w:highlight w:val="none"/>
                <w:u w:val="none" w:color="auto"/>
                <w:lang w:val="en-US" w:eastAsia="zh-CN" w:bidi="ar-SA"/>
              </w:rPr>
              <w:t>环境监测计划</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
              <w:gridCol w:w="558"/>
              <w:gridCol w:w="1424"/>
              <w:gridCol w:w="1439"/>
              <w:gridCol w:w="1132"/>
              <w:gridCol w:w="3585"/>
            </w:tblGrid>
            <w:tr w14:paraId="2D485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5" w:type="dxa"/>
                  <w:gridSpan w:val="2"/>
                  <w:tcBorders>
                    <w:tl2br w:val="nil"/>
                    <w:tr2bl w:val="nil"/>
                  </w:tcBorders>
                  <w:noWrap w:val="0"/>
                  <w:vAlign w:val="center"/>
                </w:tcPr>
                <w:p w14:paraId="441FAD2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b/>
                      <w:bCs/>
                      <w:color w:val="auto"/>
                      <w:sz w:val="21"/>
                      <w:szCs w:val="21"/>
                      <w:u w:val="none"/>
                      <w:lang w:val="en-US"/>
                    </w:rPr>
                  </w:pPr>
                  <w:r>
                    <w:rPr>
                      <w:rFonts w:hint="default" w:ascii="Times New Roman" w:hAnsi="Times New Roman" w:cs="Times New Roman"/>
                      <w:b/>
                      <w:bCs/>
                      <w:color w:val="auto"/>
                      <w:sz w:val="21"/>
                      <w:szCs w:val="21"/>
                      <w:u w:val="none"/>
                      <w:lang w:val="en-US"/>
                    </w:rPr>
                    <w:t>项目</w:t>
                  </w:r>
                </w:p>
              </w:tc>
              <w:tc>
                <w:tcPr>
                  <w:tcW w:w="1424" w:type="dxa"/>
                  <w:tcBorders>
                    <w:tl2br w:val="nil"/>
                    <w:tr2bl w:val="nil"/>
                  </w:tcBorders>
                  <w:noWrap w:val="0"/>
                  <w:vAlign w:val="center"/>
                </w:tcPr>
                <w:p w14:paraId="60D70B7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b/>
                      <w:bCs/>
                      <w:color w:val="auto"/>
                      <w:sz w:val="21"/>
                      <w:szCs w:val="21"/>
                      <w:u w:val="none"/>
                      <w:lang w:val="en-US"/>
                    </w:rPr>
                  </w:pPr>
                  <w:r>
                    <w:rPr>
                      <w:rFonts w:hint="default" w:ascii="Times New Roman" w:hAnsi="Times New Roman" w:cs="Times New Roman"/>
                      <w:b/>
                      <w:bCs/>
                      <w:color w:val="auto"/>
                      <w:sz w:val="21"/>
                      <w:szCs w:val="21"/>
                      <w:u w:val="none"/>
                      <w:lang w:val="en-US"/>
                    </w:rPr>
                    <w:t>监测点位</w:t>
                  </w:r>
                </w:p>
              </w:tc>
              <w:tc>
                <w:tcPr>
                  <w:tcW w:w="1439" w:type="dxa"/>
                  <w:tcBorders>
                    <w:tl2br w:val="nil"/>
                    <w:tr2bl w:val="nil"/>
                  </w:tcBorders>
                  <w:noWrap w:val="0"/>
                  <w:vAlign w:val="center"/>
                </w:tcPr>
                <w:p w14:paraId="25CDFEB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b/>
                      <w:bCs/>
                      <w:color w:val="auto"/>
                      <w:sz w:val="21"/>
                      <w:szCs w:val="21"/>
                      <w:u w:val="none"/>
                      <w:lang w:val="en-US"/>
                    </w:rPr>
                  </w:pPr>
                  <w:r>
                    <w:rPr>
                      <w:rFonts w:hint="default" w:ascii="Times New Roman" w:hAnsi="Times New Roman" w:cs="Times New Roman"/>
                      <w:b/>
                      <w:bCs/>
                      <w:color w:val="auto"/>
                      <w:sz w:val="21"/>
                      <w:szCs w:val="21"/>
                      <w:u w:val="none"/>
                      <w:lang w:val="en-US"/>
                    </w:rPr>
                    <w:t>监测因子</w:t>
                  </w:r>
                </w:p>
              </w:tc>
              <w:tc>
                <w:tcPr>
                  <w:tcW w:w="1132" w:type="dxa"/>
                  <w:tcBorders>
                    <w:tl2br w:val="nil"/>
                    <w:tr2bl w:val="nil"/>
                  </w:tcBorders>
                  <w:noWrap w:val="0"/>
                  <w:vAlign w:val="center"/>
                </w:tcPr>
                <w:p w14:paraId="3A70144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b/>
                      <w:bCs/>
                      <w:color w:val="auto"/>
                      <w:sz w:val="21"/>
                      <w:szCs w:val="21"/>
                      <w:u w:val="none"/>
                      <w:lang w:val="en-US"/>
                    </w:rPr>
                  </w:pPr>
                  <w:r>
                    <w:rPr>
                      <w:rFonts w:hint="default" w:ascii="Times New Roman" w:hAnsi="Times New Roman" w:cs="Times New Roman"/>
                      <w:b/>
                      <w:bCs/>
                      <w:color w:val="auto"/>
                      <w:sz w:val="21"/>
                      <w:szCs w:val="21"/>
                      <w:u w:val="none"/>
                      <w:lang w:val="en-US"/>
                    </w:rPr>
                    <w:t>监测频次</w:t>
                  </w:r>
                </w:p>
              </w:tc>
              <w:tc>
                <w:tcPr>
                  <w:tcW w:w="3585" w:type="dxa"/>
                  <w:tcBorders>
                    <w:tl2br w:val="nil"/>
                    <w:tr2bl w:val="nil"/>
                  </w:tcBorders>
                  <w:noWrap w:val="0"/>
                  <w:vAlign w:val="center"/>
                </w:tcPr>
                <w:p w14:paraId="2EF4027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执行标准</w:t>
                  </w:r>
                </w:p>
              </w:tc>
            </w:tr>
            <w:tr w14:paraId="709A5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37" w:type="dxa"/>
                  <w:vMerge w:val="restart"/>
                  <w:tcBorders>
                    <w:tl2br w:val="nil"/>
                    <w:tr2bl w:val="nil"/>
                  </w:tcBorders>
                  <w:noWrap w:val="0"/>
                  <w:vAlign w:val="center"/>
                </w:tcPr>
                <w:p w14:paraId="495E884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rPr>
                    <w:t>污染源监测</w:t>
                  </w:r>
                </w:p>
              </w:tc>
              <w:tc>
                <w:tcPr>
                  <w:tcW w:w="558" w:type="dxa"/>
                  <w:vMerge w:val="restart"/>
                  <w:tcBorders>
                    <w:tl2br w:val="nil"/>
                    <w:tr2bl w:val="nil"/>
                  </w:tcBorders>
                  <w:noWrap w:val="0"/>
                  <w:vAlign w:val="center"/>
                </w:tcPr>
                <w:p w14:paraId="022222D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eastAsia="zh-CN"/>
                    </w:rPr>
                    <w:t>有组织</w:t>
                  </w:r>
                  <w:r>
                    <w:rPr>
                      <w:rFonts w:hint="default" w:ascii="Times New Roman" w:hAnsi="Times New Roman" w:cs="Times New Roman"/>
                      <w:color w:val="auto"/>
                      <w:sz w:val="21"/>
                      <w:szCs w:val="21"/>
                      <w:u w:val="none"/>
                      <w:lang w:val="en-US"/>
                    </w:rPr>
                    <w:t>废气</w:t>
                  </w:r>
                </w:p>
              </w:tc>
              <w:tc>
                <w:tcPr>
                  <w:tcW w:w="1424" w:type="dxa"/>
                  <w:tcBorders>
                    <w:tl2br w:val="nil"/>
                    <w:tr2bl w:val="nil"/>
                  </w:tcBorders>
                  <w:noWrap w:val="0"/>
                  <w:vAlign w:val="center"/>
                </w:tcPr>
                <w:p w14:paraId="5F2E5D4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DA001</w:t>
                  </w:r>
                </w:p>
                <w:p w14:paraId="1B3F256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（焊接排气筒，现有）</w:t>
                  </w:r>
                </w:p>
              </w:tc>
              <w:tc>
                <w:tcPr>
                  <w:tcW w:w="1439" w:type="dxa"/>
                  <w:tcBorders>
                    <w:tl2br w:val="nil"/>
                    <w:tr2bl w:val="nil"/>
                  </w:tcBorders>
                  <w:noWrap w:val="0"/>
                  <w:vAlign w:val="center"/>
                </w:tcPr>
                <w:p w14:paraId="17EA9B7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颗粒物</w:t>
                  </w:r>
                </w:p>
              </w:tc>
              <w:tc>
                <w:tcPr>
                  <w:tcW w:w="1132" w:type="dxa"/>
                  <w:tcBorders>
                    <w:tl2br w:val="nil"/>
                    <w:tr2bl w:val="nil"/>
                  </w:tcBorders>
                  <w:noWrap w:val="0"/>
                  <w:vAlign w:val="center"/>
                </w:tcPr>
                <w:p w14:paraId="149097F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r>
                    <w:rPr>
                      <w:rFonts w:hint="default"/>
                      <w:color w:val="auto"/>
                      <w:sz w:val="21"/>
                      <w:szCs w:val="21"/>
                      <w:u w:val="none"/>
                    </w:rPr>
                    <w:t>1次/</w:t>
                  </w:r>
                  <w:r>
                    <w:rPr>
                      <w:rFonts w:hint="eastAsia"/>
                      <w:color w:val="auto"/>
                      <w:sz w:val="21"/>
                      <w:szCs w:val="21"/>
                      <w:u w:val="none"/>
                    </w:rPr>
                    <w:t>年</w:t>
                  </w:r>
                </w:p>
              </w:tc>
              <w:tc>
                <w:tcPr>
                  <w:tcW w:w="3585" w:type="dxa"/>
                  <w:tcBorders>
                    <w:tl2br w:val="nil"/>
                    <w:tr2bl w:val="nil"/>
                  </w:tcBorders>
                  <w:noWrap w:val="0"/>
                  <w:vAlign w:val="center"/>
                </w:tcPr>
                <w:p w14:paraId="1C17352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r>
                    <w:rPr>
                      <w:rFonts w:hint="eastAsia"/>
                      <w:color w:val="auto"/>
                      <w:sz w:val="21"/>
                      <w:szCs w:val="21"/>
                      <w:u w:val="none"/>
                    </w:rPr>
                    <w:t>《大气污染物综合排放标准》（</w:t>
                  </w:r>
                  <w:r>
                    <w:rPr>
                      <w:rFonts w:hint="default"/>
                      <w:color w:val="auto"/>
                      <w:sz w:val="21"/>
                      <w:szCs w:val="21"/>
                      <w:u w:val="none"/>
                    </w:rPr>
                    <w:t>GB16297-1996</w:t>
                  </w:r>
                  <w:r>
                    <w:rPr>
                      <w:rFonts w:hint="eastAsia"/>
                      <w:color w:val="auto"/>
                      <w:sz w:val="21"/>
                      <w:szCs w:val="21"/>
                      <w:u w:val="none"/>
                    </w:rPr>
                    <w:t>）表</w:t>
                  </w:r>
                  <w:r>
                    <w:rPr>
                      <w:rFonts w:hint="default"/>
                      <w:color w:val="auto"/>
                      <w:sz w:val="21"/>
                      <w:szCs w:val="21"/>
                      <w:u w:val="none"/>
                    </w:rPr>
                    <w:t xml:space="preserve">2 </w:t>
                  </w:r>
                  <w:r>
                    <w:rPr>
                      <w:rFonts w:hint="eastAsia"/>
                      <w:color w:val="auto"/>
                      <w:sz w:val="21"/>
                      <w:szCs w:val="21"/>
                      <w:u w:val="none"/>
                    </w:rPr>
                    <w:t>中二级标准</w:t>
                  </w:r>
                </w:p>
              </w:tc>
            </w:tr>
            <w:tr w14:paraId="723D5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dxa"/>
                  <w:vMerge w:val="continue"/>
                  <w:tcBorders>
                    <w:tl2br w:val="nil"/>
                    <w:tr2bl w:val="nil"/>
                  </w:tcBorders>
                  <w:noWrap w:val="0"/>
                  <w:vAlign w:val="center"/>
                </w:tcPr>
                <w:p w14:paraId="3257E85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p>
              </w:tc>
              <w:tc>
                <w:tcPr>
                  <w:tcW w:w="558" w:type="dxa"/>
                  <w:vMerge w:val="continue"/>
                  <w:tcBorders>
                    <w:tl2br w:val="nil"/>
                    <w:tr2bl w:val="nil"/>
                  </w:tcBorders>
                  <w:noWrap w:val="0"/>
                  <w:vAlign w:val="center"/>
                </w:tcPr>
                <w:p w14:paraId="23B4406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eastAsia="zh-CN"/>
                    </w:rPr>
                  </w:pPr>
                </w:p>
              </w:tc>
              <w:tc>
                <w:tcPr>
                  <w:tcW w:w="1424" w:type="dxa"/>
                  <w:vMerge w:val="restart"/>
                  <w:tcBorders>
                    <w:tl2br w:val="nil"/>
                    <w:tr2bl w:val="nil"/>
                  </w:tcBorders>
                  <w:noWrap w:val="0"/>
                  <w:vAlign w:val="center"/>
                </w:tcPr>
                <w:p w14:paraId="7F89A66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DA002</w:t>
                  </w:r>
                </w:p>
                <w:p w14:paraId="1E182485">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（油漆房排气筒）</w:t>
                  </w:r>
                </w:p>
              </w:tc>
              <w:tc>
                <w:tcPr>
                  <w:tcW w:w="1439" w:type="dxa"/>
                  <w:tcBorders>
                    <w:tl2br w:val="nil"/>
                    <w:tr2bl w:val="nil"/>
                  </w:tcBorders>
                  <w:noWrap w:val="0"/>
                  <w:vAlign w:val="center"/>
                </w:tcPr>
                <w:p w14:paraId="7ACD03A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颗粒物</w:t>
                  </w:r>
                </w:p>
              </w:tc>
              <w:tc>
                <w:tcPr>
                  <w:tcW w:w="1132" w:type="dxa"/>
                  <w:tcBorders>
                    <w:tl2br w:val="nil"/>
                    <w:tr2bl w:val="nil"/>
                  </w:tcBorders>
                  <w:noWrap w:val="0"/>
                  <w:vAlign w:val="center"/>
                </w:tcPr>
                <w:p w14:paraId="0F53E55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color w:val="auto"/>
                      <w:sz w:val="21"/>
                      <w:szCs w:val="21"/>
                      <w:u w:val="none"/>
                    </w:rPr>
                  </w:pPr>
                  <w:r>
                    <w:rPr>
                      <w:rFonts w:hint="default"/>
                      <w:color w:val="auto"/>
                      <w:sz w:val="21"/>
                      <w:szCs w:val="21"/>
                      <w:u w:val="none"/>
                    </w:rPr>
                    <w:t>1次/</w:t>
                  </w:r>
                  <w:r>
                    <w:rPr>
                      <w:rFonts w:hint="eastAsia"/>
                      <w:color w:val="auto"/>
                      <w:sz w:val="21"/>
                      <w:szCs w:val="21"/>
                      <w:u w:val="none"/>
                    </w:rPr>
                    <w:t>年</w:t>
                  </w:r>
                </w:p>
              </w:tc>
              <w:tc>
                <w:tcPr>
                  <w:tcW w:w="3585" w:type="dxa"/>
                  <w:tcBorders>
                    <w:tl2br w:val="nil"/>
                    <w:tr2bl w:val="nil"/>
                  </w:tcBorders>
                  <w:noWrap w:val="0"/>
                  <w:vAlign w:val="center"/>
                </w:tcPr>
                <w:p w14:paraId="6A82420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color w:val="auto"/>
                      <w:sz w:val="21"/>
                      <w:szCs w:val="21"/>
                      <w:u w:val="none"/>
                    </w:rPr>
                  </w:pPr>
                  <w:r>
                    <w:rPr>
                      <w:rFonts w:hint="eastAsia"/>
                      <w:color w:val="auto"/>
                      <w:sz w:val="21"/>
                      <w:szCs w:val="21"/>
                      <w:u w:val="none"/>
                    </w:rPr>
                    <w:t>《大气污染物综合排放标准》（</w:t>
                  </w:r>
                  <w:r>
                    <w:rPr>
                      <w:rFonts w:hint="default"/>
                      <w:color w:val="auto"/>
                      <w:sz w:val="21"/>
                      <w:szCs w:val="21"/>
                      <w:u w:val="none"/>
                    </w:rPr>
                    <w:t>GB16297-1996</w:t>
                  </w:r>
                  <w:r>
                    <w:rPr>
                      <w:rFonts w:hint="eastAsia"/>
                      <w:color w:val="auto"/>
                      <w:sz w:val="21"/>
                      <w:szCs w:val="21"/>
                      <w:u w:val="none"/>
                    </w:rPr>
                    <w:t>）表</w:t>
                  </w:r>
                  <w:r>
                    <w:rPr>
                      <w:rFonts w:hint="default"/>
                      <w:color w:val="auto"/>
                      <w:sz w:val="21"/>
                      <w:szCs w:val="21"/>
                      <w:u w:val="none"/>
                    </w:rPr>
                    <w:t xml:space="preserve">2 </w:t>
                  </w:r>
                  <w:r>
                    <w:rPr>
                      <w:rFonts w:hint="eastAsia"/>
                      <w:color w:val="auto"/>
                      <w:sz w:val="21"/>
                      <w:szCs w:val="21"/>
                      <w:u w:val="none"/>
                    </w:rPr>
                    <w:t>中二级标准</w:t>
                  </w:r>
                </w:p>
              </w:tc>
            </w:tr>
            <w:tr w14:paraId="026C0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7" w:type="dxa"/>
                  <w:vMerge w:val="continue"/>
                  <w:tcBorders>
                    <w:tl2br w:val="nil"/>
                    <w:tr2bl w:val="nil"/>
                  </w:tcBorders>
                  <w:noWrap w:val="0"/>
                  <w:vAlign w:val="center"/>
                </w:tcPr>
                <w:p w14:paraId="335BCEE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p>
              </w:tc>
              <w:tc>
                <w:tcPr>
                  <w:tcW w:w="558" w:type="dxa"/>
                  <w:vMerge w:val="continue"/>
                  <w:tcBorders>
                    <w:tl2br w:val="nil"/>
                    <w:tr2bl w:val="nil"/>
                  </w:tcBorders>
                  <w:noWrap w:val="0"/>
                  <w:vAlign w:val="center"/>
                </w:tcPr>
                <w:p w14:paraId="4E1A68B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eastAsia="zh-CN"/>
                    </w:rPr>
                  </w:pPr>
                </w:p>
              </w:tc>
              <w:tc>
                <w:tcPr>
                  <w:tcW w:w="1424" w:type="dxa"/>
                  <w:vMerge w:val="continue"/>
                  <w:tcBorders>
                    <w:tl2br w:val="nil"/>
                    <w:tr2bl w:val="nil"/>
                  </w:tcBorders>
                  <w:noWrap w:val="0"/>
                  <w:vAlign w:val="center"/>
                </w:tcPr>
                <w:p w14:paraId="1263BA4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ascii="Times New Roman" w:hAnsi="Times New Roman" w:cs="Times New Roman"/>
                      <w:color w:val="auto"/>
                      <w:sz w:val="21"/>
                      <w:szCs w:val="21"/>
                      <w:u w:val="none"/>
                      <w:lang w:val="en-US" w:eastAsia="zh-CN"/>
                    </w:rPr>
                  </w:pPr>
                </w:p>
              </w:tc>
              <w:tc>
                <w:tcPr>
                  <w:tcW w:w="1439" w:type="dxa"/>
                  <w:tcBorders>
                    <w:tl2br w:val="nil"/>
                    <w:tr2bl w:val="nil"/>
                  </w:tcBorders>
                  <w:noWrap w:val="0"/>
                  <w:vAlign w:val="center"/>
                </w:tcPr>
                <w:p w14:paraId="2C3EE7C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甲苯、二甲苯、VOCs</w:t>
                  </w:r>
                </w:p>
              </w:tc>
              <w:tc>
                <w:tcPr>
                  <w:tcW w:w="1132" w:type="dxa"/>
                  <w:tcBorders>
                    <w:tl2br w:val="nil"/>
                    <w:tr2bl w:val="nil"/>
                  </w:tcBorders>
                  <w:noWrap w:val="0"/>
                  <w:vAlign w:val="center"/>
                </w:tcPr>
                <w:p w14:paraId="5F332BB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color w:val="auto"/>
                      <w:sz w:val="21"/>
                      <w:szCs w:val="21"/>
                      <w:u w:val="none"/>
                    </w:rPr>
                  </w:pPr>
                  <w:r>
                    <w:rPr>
                      <w:rFonts w:hint="default"/>
                      <w:color w:val="auto"/>
                      <w:sz w:val="21"/>
                      <w:szCs w:val="21"/>
                      <w:u w:val="none"/>
                    </w:rPr>
                    <w:t>1次/</w:t>
                  </w:r>
                  <w:r>
                    <w:rPr>
                      <w:rFonts w:hint="eastAsia"/>
                      <w:color w:val="auto"/>
                      <w:sz w:val="21"/>
                      <w:szCs w:val="21"/>
                      <w:u w:val="none"/>
                    </w:rPr>
                    <w:t>年</w:t>
                  </w:r>
                </w:p>
              </w:tc>
              <w:tc>
                <w:tcPr>
                  <w:tcW w:w="3585" w:type="dxa"/>
                  <w:tcBorders>
                    <w:tl2br w:val="nil"/>
                    <w:tr2bl w:val="nil"/>
                  </w:tcBorders>
                  <w:noWrap w:val="0"/>
                  <w:vAlign w:val="center"/>
                </w:tcPr>
                <w:p w14:paraId="176BA98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color w:val="auto"/>
                      <w:sz w:val="21"/>
                      <w:szCs w:val="21"/>
                      <w:u w:val="none"/>
                    </w:rPr>
                  </w:pPr>
                  <w:r>
                    <w:rPr>
                      <w:rFonts w:hint="eastAsia" w:ascii="Times New Roman" w:hAnsi="Times New Roman" w:eastAsia="宋体" w:cs="Times New Roman"/>
                      <w:color w:val="auto"/>
                      <w:u w:val="none"/>
                      <w:lang w:eastAsia="zh-CN"/>
                    </w:rPr>
                    <w:t>《表面涂装（汽车制造及维修）挥发性有机物、镍排放标准》（DB43/1356-2017）表</w:t>
                  </w:r>
                  <w:r>
                    <w:rPr>
                      <w:rFonts w:hint="eastAsia" w:cs="Times New Roman"/>
                      <w:color w:val="auto"/>
                      <w:u w:val="none"/>
                      <w:lang w:val="en-US" w:eastAsia="zh-CN"/>
                    </w:rPr>
                    <w:t>1</w:t>
                  </w:r>
                  <w:r>
                    <w:rPr>
                      <w:rFonts w:hint="eastAsia" w:ascii="Times New Roman" w:hAnsi="Times New Roman" w:eastAsia="宋体" w:cs="Times New Roman"/>
                      <w:color w:val="auto"/>
                      <w:u w:val="none"/>
                      <w:lang w:eastAsia="zh-CN"/>
                    </w:rPr>
                    <w:t>限值</w:t>
                  </w:r>
                </w:p>
              </w:tc>
            </w:tr>
            <w:tr w14:paraId="65F04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537" w:type="dxa"/>
                  <w:vMerge w:val="continue"/>
                  <w:tcBorders>
                    <w:tl2br w:val="nil"/>
                    <w:tr2bl w:val="nil"/>
                  </w:tcBorders>
                  <w:noWrap w:val="0"/>
                  <w:vAlign w:val="center"/>
                </w:tcPr>
                <w:p w14:paraId="3BB102C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p>
              </w:tc>
              <w:tc>
                <w:tcPr>
                  <w:tcW w:w="558" w:type="dxa"/>
                  <w:vMerge w:val="continue"/>
                  <w:tcBorders>
                    <w:tl2br w:val="nil"/>
                    <w:tr2bl w:val="nil"/>
                  </w:tcBorders>
                  <w:noWrap w:val="0"/>
                  <w:vAlign w:val="center"/>
                </w:tcPr>
                <w:p w14:paraId="5EB8B63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eastAsia="zh-CN"/>
                    </w:rPr>
                  </w:pPr>
                </w:p>
              </w:tc>
              <w:tc>
                <w:tcPr>
                  <w:tcW w:w="1424" w:type="dxa"/>
                  <w:tcBorders>
                    <w:tl2br w:val="nil"/>
                    <w:tr2bl w:val="nil"/>
                  </w:tcBorders>
                  <w:noWrap w:val="0"/>
                  <w:vAlign w:val="center"/>
                </w:tcPr>
                <w:p w14:paraId="6FA24E0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DA003</w:t>
                  </w:r>
                </w:p>
                <w:p w14:paraId="2701F4F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(抛丸排气筒)</w:t>
                  </w:r>
                </w:p>
              </w:tc>
              <w:tc>
                <w:tcPr>
                  <w:tcW w:w="1439" w:type="dxa"/>
                  <w:tcBorders>
                    <w:tl2br w:val="nil"/>
                    <w:tr2bl w:val="nil"/>
                  </w:tcBorders>
                  <w:noWrap w:val="0"/>
                  <w:vAlign w:val="center"/>
                </w:tcPr>
                <w:p w14:paraId="665DFE9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颗粒物</w:t>
                  </w:r>
                </w:p>
              </w:tc>
              <w:tc>
                <w:tcPr>
                  <w:tcW w:w="1132" w:type="dxa"/>
                  <w:tcBorders>
                    <w:tl2br w:val="nil"/>
                    <w:tr2bl w:val="nil"/>
                  </w:tcBorders>
                  <w:noWrap w:val="0"/>
                  <w:vAlign w:val="center"/>
                </w:tcPr>
                <w:p w14:paraId="7CFB7F7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color w:val="auto"/>
                      <w:sz w:val="21"/>
                      <w:szCs w:val="21"/>
                      <w:u w:val="none"/>
                    </w:rPr>
                  </w:pPr>
                  <w:r>
                    <w:rPr>
                      <w:rFonts w:hint="default"/>
                      <w:color w:val="auto"/>
                      <w:sz w:val="21"/>
                      <w:szCs w:val="21"/>
                      <w:u w:val="none"/>
                    </w:rPr>
                    <w:t>1次/</w:t>
                  </w:r>
                  <w:r>
                    <w:rPr>
                      <w:rFonts w:hint="eastAsia"/>
                      <w:color w:val="auto"/>
                      <w:sz w:val="21"/>
                      <w:szCs w:val="21"/>
                      <w:u w:val="none"/>
                    </w:rPr>
                    <w:t>年</w:t>
                  </w:r>
                </w:p>
              </w:tc>
              <w:tc>
                <w:tcPr>
                  <w:tcW w:w="3585" w:type="dxa"/>
                  <w:tcBorders>
                    <w:tl2br w:val="nil"/>
                    <w:tr2bl w:val="nil"/>
                  </w:tcBorders>
                  <w:noWrap w:val="0"/>
                  <w:vAlign w:val="center"/>
                </w:tcPr>
                <w:p w14:paraId="55C7B25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ascii="Times New Roman" w:hAnsi="Times New Roman" w:eastAsia="宋体" w:cs="Times New Roman"/>
                      <w:color w:val="auto"/>
                      <w:u w:val="none"/>
                      <w:lang w:eastAsia="zh-CN"/>
                    </w:rPr>
                  </w:pPr>
                  <w:r>
                    <w:rPr>
                      <w:rFonts w:hint="eastAsia"/>
                      <w:color w:val="auto"/>
                      <w:sz w:val="21"/>
                      <w:szCs w:val="21"/>
                      <w:u w:val="none"/>
                    </w:rPr>
                    <w:t>《大气污染物综合排放标准》（</w:t>
                  </w:r>
                  <w:r>
                    <w:rPr>
                      <w:rFonts w:hint="default"/>
                      <w:color w:val="auto"/>
                      <w:sz w:val="21"/>
                      <w:szCs w:val="21"/>
                      <w:u w:val="none"/>
                    </w:rPr>
                    <w:t>GB16297-1996</w:t>
                  </w:r>
                  <w:r>
                    <w:rPr>
                      <w:rFonts w:hint="eastAsia"/>
                      <w:color w:val="auto"/>
                      <w:sz w:val="21"/>
                      <w:szCs w:val="21"/>
                      <w:u w:val="none"/>
                    </w:rPr>
                    <w:t>）表</w:t>
                  </w:r>
                  <w:r>
                    <w:rPr>
                      <w:rFonts w:hint="default"/>
                      <w:color w:val="auto"/>
                      <w:sz w:val="21"/>
                      <w:szCs w:val="21"/>
                      <w:u w:val="none"/>
                    </w:rPr>
                    <w:t xml:space="preserve">2 </w:t>
                  </w:r>
                  <w:r>
                    <w:rPr>
                      <w:rFonts w:hint="eastAsia"/>
                      <w:color w:val="auto"/>
                      <w:sz w:val="21"/>
                      <w:szCs w:val="21"/>
                      <w:u w:val="none"/>
                    </w:rPr>
                    <w:t>中二级标准</w:t>
                  </w:r>
                </w:p>
              </w:tc>
            </w:tr>
            <w:tr w14:paraId="6C335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dxa"/>
                  <w:vMerge w:val="continue"/>
                  <w:tcBorders>
                    <w:tl2br w:val="nil"/>
                    <w:tr2bl w:val="nil"/>
                  </w:tcBorders>
                  <w:noWrap w:val="0"/>
                  <w:vAlign w:val="center"/>
                </w:tcPr>
                <w:p w14:paraId="753C8D4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p>
              </w:tc>
              <w:tc>
                <w:tcPr>
                  <w:tcW w:w="558" w:type="dxa"/>
                  <w:vMerge w:val="restart"/>
                  <w:tcBorders>
                    <w:tl2br w:val="nil"/>
                    <w:tr2bl w:val="nil"/>
                  </w:tcBorders>
                  <w:noWrap w:val="0"/>
                  <w:vAlign w:val="center"/>
                </w:tcPr>
                <w:p w14:paraId="04E9710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eastAsia="zh-CN"/>
                    </w:rPr>
                    <w:t>无组织</w:t>
                  </w:r>
                  <w:r>
                    <w:rPr>
                      <w:rFonts w:hint="default" w:ascii="Times New Roman" w:hAnsi="Times New Roman" w:cs="Times New Roman"/>
                      <w:color w:val="auto"/>
                      <w:sz w:val="21"/>
                      <w:szCs w:val="21"/>
                      <w:u w:val="none"/>
                      <w:lang w:val="en-US"/>
                    </w:rPr>
                    <w:t>废气</w:t>
                  </w:r>
                </w:p>
              </w:tc>
              <w:tc>
                <w:tcPr>
                  <w:tcW w:w="1424" w:type="dxa"/>
                  <w:tcBorders>
                    <w:tl2br w:val="nil"/>
                    <w:tr2bl w:val="nil"/>
                  </w:tcBorders>
                  <w:noWrap w:val="0"/>
                  <w:vAlign w:val="center"/>
                </w:tcPr>
                <w:p w14:paraId="61BFEA9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厂界</w:t>
                  </w:r>
                </w:p>
              </w:tc>
              <w:tc>
                <w:tcPr>
                  <w:tcW w:w="1439" w:type="dxa"/>
                  <w:tcBorders>
                    <w:tl2br w:val="nil"/>
                    <w:tr2bl w:val="nil"/>
                  </w:tcBorders>
                  <w:noWrap w:val="0"/>
                  <w:vAlign w:val="center"/>
                </w:tcPr>
                <w:p w14:paraId="7AA71CA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颗粒物</w:t>
                  </w:r>
                </w:p>
              </w:tc>
              <w:tc>
                <w:tcPr>
                  <w:tcW w:w="1132" w:type="dxa"/>
                  <w:tcBorders>
                    <w:tl2br w:val="nil"/>
                    <w:tr2bl w:val="nil"/>
                  </w:tcBorders>
                  <w:noWrap w:val="0"/>
                  <w:vAlign w:val="center"/>
                </w:tcPr>
                <w:p w14:paraId="6F8BD244">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r>
                    <w:rPr>
                      <w:rFonts w:hint="default"/>
                      <w:color w:val="auto"/>
                      <w:sz w:val="21"/>
                      <w:szCs w:val="21"/>
                      <w:u w:val="none"/>
                    </w:rPr>
                    <w:t>1次/</w:t>
                  </w:r>
                  <w:r>
                    <w:rPr>
                      <w:rFonts w:hint="eastAsia"/>
                      <w:color w:val="auto"/>
                      <w:sz w:val="21"/>
                      <w:szCs w:val="21"/>
                      <w:u w:val="none"/>
                    </w:rPr>
                    <w:t>年</w:t>
                  </w:r>
                </w:p>
              </w:tc>
              <w:tc>
                <w:tcPr>
                  <w:tcW w:w="3585" w:type="dxa"/>
                  <w:tcBorders>
                    <w:tl2br w:val="nil"/>
                    <w:tr2bl w:val="nil"/>
                  </w:tcBorders>
                  <w:noWrap w:val="0"/>
                  <w:vAlign w:val="center"/>
                </w:tcPr>
                <w:p w14:paraId="672C9AB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z w:val="21"/>
                      <w:szCs w:val="21"/>
                      <w:u w:val="none"/>
                      <w:lang w:val="en-US" w:eastAsia="zh-CN"/>
                    </w:rPr>
                  </w:pPr>
                  <w:r>
                    <w:rPr>
                      <w:rFonts w:hint="eastAsia"/>
                      <w:color w:val="auto"/>
                      <w:sz w:val="21"/>
                      <w:szCs w:val="21"/>
                      <w:u w:val="none"/>
                    </w:rPr>
                    <w:t>《大气污染物综合排放标准》（</w:t>
                  </w:r>
                  <w:r>
                    <w:rPr>
                      <w:rFonts w:hint="default"/>
                      <w:color w:val="auto"/>
                      <w:sz w:val="21"/>
                      <w:szCs w:val="21"/>
                      <w:u w:val="none"/>
                    </w:rPr>
                    <w:t>GB16297-1996</w:t>
                  </w:r>
                  <w:r>
                    <w:rPr>
                      <w:rFonts w:hint="eastAsia"/>
                      <w:color w:val="auto"/>
                      <w:sz w:val="21"/>
                      <w:szCs w:val="21"/>
                      <w:u w:val="none"/>
                    </w:rPr>
                    <w:t>）表</w:t>
                  </w:r>
                  <w:r>
                    <w:rPr>
                      <w:rFonts w:hint="default"/>
                      <w:color w:val="auto"/>
                      <w:sz w:val="21"/>
                      <w:szCs w:val="21"/>
                      <w:u w:val="none"/>
                    </w:rPr>
                    <w:t>2</w:t>
                  </w:r>
                  <w:r>
                    <w:rPr>
                      <w:rFonts w:hint="eastAsia"/>
                      <w:color w:val="auto"/>
                      <w:sz w:val="21"/>
                      <w:szCs w:val="21"/>
                      <w:u w:val="none"/>
                    </w:rPr>
                    <w:t>中</w:t>
                  </w:r>
                  <w:r>
                    <w:rPr>
                      <w:rFonts w:hint="eastAsia"/>
                      <w:color w:val="auto"/>
                      <w:sz w:val="21"/>
                      <w:szCs w:val="21"/>
                      <w:u w:val="none"/>
                      <w:lang w:val="en-US" w:eastAsia="zh-CN"/>
                    </w:rPr>
                    <w:t>无组织排放监控浓度限值</w:t>
                  </w:r>
                </w:p>
              </w:tc>
            </w:tr>
            <w:tr w14:paraId="658A0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dxa"/>
                  <w:vMerge w:val="continue"/>
                  <w:tcBorders>
                    <w:tl2br w:val="nil"/>
                    <w:tr2bl w:val="nil"/>
                  </w:tcBorders>
                  <w:noWrap w:val="0"/>
                  <w:vAlign w:val="center"/>
                </w:tcPr>
                <w:p w14:paraId="280FFC2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p>
              </w:tc>
              <w:tc>
                <w:tcPr>
                  <w:tcW w:w="558" w:type="dxa"/>
                  <w:vMerge w:val="continue"/>
                  <w:tcBorders>
                    <w:tl2br w:val="nil"/>
                    <w:tr2bl w:val="nil"/>
                  </w:tcBorders>
                  <w:noWrap w:val="0"/>
                  <w:vAlign w:val="center"/>
                </w:tcPr>
                <w:p w14:paraId="5F1A1A9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z w:val="21"/>
                      <w:szCs w:val="21"/>
                      <w:u w:val="none"/>
                      <w:lang w:val="en-US" w:eastAsia="zh-CN"/>
                    </w:rPr>
                  </w:pPr>
                </w:p>
              </w:tc>
              <w:tc>
                <w:tcPr>
                  <w:tcW w:w="1424" w:type="dxa"/>
                  <w:tcBorders>
                    <w:tl2br w:val="nil"/>
                    <w:tr2bl w:val="nil"/>
                  </w:tcBorders>
                  <w:noWrap w:val="0"/>
                  <w:vAlign w:val="center"/>
                </w:tcPr>
                <w:p w14:paraId="0F1EC82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厂界</w:t>
                  </w:r>
                </w:p>
              </w:tc>
              <w:tc>
                <w:tcPr>
                  <w:tcW w:w="1439" w:type="dxa"/>
                  <w:tcBorders>
                    <w:tl2br w:val="nil"/>
                    <w:tr2bl w:val="nil"/>
                  </w:tcBorders>
                  <w:noWrap w:val="0"/>
                  <w:vAlign w:val="center"/>
                </w:tcPr>
                <w:p w14:paraId="36080CD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非甲烷总烃</w:t>
                  </w:r>
                </w:p>
              </w:tc>
              <w:tc>
                <w:tcPr>
                  <w:tcW w:w="1132" w:type="dxa"/>
                  <w:tcBorders>
                    <w:tl2br w:val="nil"/>
                    <w:tr2bl w:val="nil"/>
                  </w:tcBorders>
                  <w:noWrap w:val="0"/>
                  <w:vAlign w:val="center"/>
                </w:tcPr>
                <w:p w14:paraId="30D8831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r>
                    <w:rPr>
                      <w:rFonts w:hint="default"/>
                      <w:color w:val="auto"/>
                      <w:sz w:val="21"/>
                      <w:szCs w:val="21"/>
                      <w:u w:val="none"/>
                    </w:rPr>
                    <w:t>1次/</w:t>
                  </w:r>
                  <w:r>
                    <w:rPr>
                      <w:rFonts w:hint="eastAsia"/>
                      <w:color w:val="auto"/>
                      <w:sz w:val="21"/>
                      <w:szCs w:val="21"/>
                      <w:u w:val="none"/>
                    </w:rPr>
                    <w:t>年</w:t>
                  </w:r>
                </w:p>
              </w:tc>
              <w:tc>
                <w:tcPr>
                  <w:tcW w:w="3585" w:type="dxa"/>
                  <w:tcBorders>
                    <w:tl2br w:val="nil"/>
                    <w:tr2bl w:val="nil"/>
                  </w:tcBorders>
                  <w:noWrap w:val="0"/>
                  <w:vAlign w:val="center"/>
                </w:tcPr>
                <w:p w14:paraId="1F09857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u w:val="none"/>
                      <w:lang w:eastAsia="zh-CN"/>
                    </w:rPr>
                    <w:t>《表面涂装（汽车制造及维修）挥发性有机物、镍排放标准》（DB43/1356-2017）表</w:t>
                  </w:r>
                  <w:r>
                    <w:rPr>
                      <w:rFonts w:hint="eastAsia" w:cs="Times New Roman"/>
                      <w:color w:val="auto"/>
                      <w:u w:val="none"/>
                      <w:lang w:val="en-US" w:eastAsia="zh-CN"/>
                    </w:rPr>
                    <w:t>3</w:t>
                  </w:r>
                  <w:r>
                    <w:rPr>
                      <w:rFonts w:hint="eastAsia" w:ascii="Times New Roman" w:hAnsi="Times New Roman" w:eastAsia="宋体" w:cs="Times New Roman"/>
                      <w:color w:val="auto"/>
                      <w:u w:val="none"/>
                      <w:lang w:eastAsia="zh-CN"/>
                    </w:rPr>
                    <w:t>限值</w:t>
                  </w:r>
                </w:p>
              </w:tc>
            </w:tr>
            <w:tr w14:paraId="2204A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dxa"/>
                  <w:vMerge w:val="continue"/>
                  <w:tcBorders>
                    <w:tl2br w:val="nil"/>
                    <w:tr2bl w:val="nil"/>
                  </w:tcBorders>
                  <w:noWrap w:val="0"/>
                  <w:vAlign w:val="center"/>
                </w:tcPr>
                <w:p w14:paraId="1610B4B5">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p>
              </w:tc>
              <w:tc>
                <w:tcPr>
                  <w:tcW w:w="558" w:type="dxa"/>
                  <w:vMerge w:val="continue"/>
                  <w:tcBorders>
                    <w:tl2br w:val="nil"/>
                    <w:tr2bl w:val="nil"/>
                  </w:tcBorders>
                  <w:noWrap w:val="0"/>
                  <w:vAlign w:val="center"/>
                </w:tcPr>
                <w:p w14:paraId="76E7AA3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z w:val="21"/>
                      <w:szCs w:val="21"/>
                      <w:u w:val="none"/>
                      <w:lang w:val="en-US" w:eastAsia="zh-CN"/>
                    </w:rPr>
                  </w:pPr>
                </w:p>
              </w:tc>
              <w:tc>
                <w:tcPr>
                  <w:tcW w:w="1424" w:type="dxa"/>
                  <w:tcBorders>
                    <w:tl2br w:val="nil"/>
                    <w:tr2bl w:val="nil"/>
                  </w:tcBorders>
                  <w:noWrap w:val="0"/>
                  <w:vAlign w:val="center"/>
                </w:tcPr>
                <w:p w14:paraId="36E75BD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cs="Times New Roman"/>
                      <w:color w:val="auto"/>
                      <w:sz w:val="21"/>
                      <w:szCs w:val="21"/>
                      <w:u w:val="none"/>
                      <w:lang w:val="en-US" w:eastAsia="zh-CN"/>
                    </w:rPr>
                  </w:pPr>
                  <w:r>
                    <w:rPr>
                      <w:rFonts w:hint="default" w:ascii="Times New Roman" w:hAnsi="Times New Roman" w:cs="Times New Roman"/>
                      <w:color w:val="auto"/>
                      <w:highlight w:val="none"/>
                    </w:rPr>
                    <w:t>厂区内</w:t>
                  </w:r>
                </w:p>
              </w:tc>
              <w:tc>
                <w:tcPr>
                  <w:tcW w:w="1439" w:type="dxa"/>
                  <w:tcBorders>
                    <w:tl2br w:val="nil"/>
                    <w:tr2bl w:val="nil"/>
                  </w:tcBorders>
                  <w:noWrap w:val="0"/>
                  <w:vAlign w:val="center"/>
                </w:tcPr>
                <w:p w14:paraId="5DBA708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非甲烷总烃</w:t>
                  </w:r>
                </w:p>
              </w:tc>
              <w:tc>
                <w:tcPr>
                  <w:tcW w:w="1132" w:type="dxa"/>
                  <w:tcBorders>
                    <w:tl2br w:val="nil"/>
                    <w:tr2bl w:val="nil"/>
                  </w:tcBorders>
                  <w:noWrap w:val="0"/>
                  <w:vAlign w:val="center"/>
                </w:tcPr>
                <w:p w14:paraId="32F74B1B">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color w:val="auto"/>
                      <w:sz w:val="21"/>
                      <w:szCs w:val="21"/>
                      <w:u w:val="none"/>
                    </w:rPr>
                  </w:pPr>
                  <w:r>
                    <w:rPr>
                      <w:rFonts w:hint="default"/>
                      <w:color w:val="auto"/>
                      <w:sz w:val="21"/>
                      <w:szCs w:val="21"/>
                      <w:u w:val="none"/>
                    </w:rPr>
                    <w:t>1次/</w:t>
                  </w:r>
                  <w:r>
                    <w:rPr>
                      <w:rFonts w:hint="eastAsia"/>
                      <w:color w:val="auto"/>
                      <w:sz w:val="21"/>
                      <w:szCs w:val="21"/>
                      <w:u w:val="none"/>
                    </w:rPr>
                    <w:t>年</w:t>
                  </w:r>
                </w:p>
              </w:tc>
              <w:tc>
                <w:tcPr>
                  <w:tcW w:w="3585" w:type="dxa"/>
                  <w:tcBorders>
                    <w:tl2br w:val="nil"/>
                    <w:tr2bl w:val="nil"/>
                  </w:tcBorders>
                  <w:noWrap w:val="0"/>
                  <w:vAlign w:val="center"/>
                </w:tcPr>
                <w:p w14:paraId="48AFFB8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ascii="Times New Roman" w:hAnsi="Times New Roman" w:eastAsia="宋体" w:cs="Times New Roman"/>
                      <w:color w:val="auto"/>
                      <w:u w:val="none"/>
                      <w:lang w:eastAsia="zh-CN"/>
                    </w:rPr>
                  </w:pPr>
                  <w:r>
                    <w:rPr>
                      <w:rFonts w:hint="default" w:ascii="Times New Roman" w:hAnsi="Times New Roman" w:cs="Times New Roman"/>
                      <w:color w:val="auto"/>
                      <w:highlight w:val="none"/>
                    </w:rPr>
                    <w:t>《挥发性有机物无组织排放控制标准》（GB37822-2019）</w:t>
                  </w:r>
                </w:p>
              </w:tc>
            </w:tr>
            <w:tr w14:paraId="1F91F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537" w:type="dxa"/>
                  <w:vMerge w:val="continue"/>
                  <w:tcBorders>
                    <w:tl2br w:val="nil"/>
                    <w:tr2bl w:val="nil"/>
                  </w:tcBorders>
                  <w:noWrap w:val="0"/>
                  <w:vAlign w:val="center"/>
                </w:tcPr>
                <w:p w14:paraId="59F271B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p>
              </w:tc>
              <w:tc>
                <w:tcPr>
                  <w:tcW w:w="558" w:type="dxa"/>
                  <w:tcBorders>
                    <w:tl2br w:val="nil"/>
                    <w:tr2bl w:val="nil"/>
                  </w:tcBorders>
                  <w:noWrap w:val="0"/>
                  <w:vAlign w:val="center"/>
                </w:tcPr>
                <w:p w14:paraId="5E47061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废水</w:t>
                  </w:r>
                </w:p>
              </w:tc>
              <w:tc>
                <w:tcPr>
                  <w:tcW w:w="1424" w:type="dxa"/>
                  <w:tcBorders>
                    <w:tl2br w:val="nil"/>
                    <w:tr2bl w:val="nil"/>
                  </w:tcBorders>
                  <w:noWrap w:val="0"/>
                  <w:vAlign w:val="center"/>
                </w:tcPr>
                <w:p w14:paraId="30A3C67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总排口DW</w:t>
                  </w:r>
                  <w:r>
                    <w:rPr>
                      <w:rFonts w:hint="default" w:ascii="Times New Roman" w:hAnsi="Times New Roman" w:cs="Times New Roman"/>
                      <w:color w:val="auto"/>
                      <w:sz w:val="21"/>
                      <w:szCs w:val="21"/>
                      <w:u w:val="none"/>
                      <w:lang w:val="en-US" w:eastAsia="zh-CN"/>
                    </w:rPr>
                    <w:t>001</w:t>
                  </w:r>
                </w:p>
              </w:tc>
              <w:tc>
                <w:tcPr>
                  <w:tcW w:w="1439" w:type="dxa"/>
                  <w:tcBorders>
                    <w:tl2br w:val="nil"/>
                    <w:tr2bl w:val="nil"/>
                  </w:tcBorders>
                  <w:noWrap w:val="0"/>
                  <w:vAlign w:val="center"/>
                </w:tcPr>
                <w:p w14:paraId="333849A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cs="Times New Roman"/>
                      <w:color w:val="auto"/>
                      <w:sz w:val="21"/>
                      <w:szCs w:val="21"/>
                      <w:u w:val="none"/>
                      <w:lang w:val="en-US" w:eastAsia="zh-CN"/>
                    </w:rPr>
                  </w:pPr>
                  <w:r>
                    <w:rPr>
                      <w:rFonts w:hint="eastAsia"/>
                      <w:color w:val="auto"/>
                      <w:szCs w:val="21"/>
                      <w:u w:val="none"/>
                      <w:lang w:val="en-US" w:eastAsia="zh-CN"/>
                    </w:rPr>
                    <w:t>流量、pH、</w:t>
                  </w:r>
                  <w:r>
                    <w:rPr>
                      <w:rFonts w:hint="default"/>
                      <w:color w:val="auto"/>
                      <w:szCs w:val="21"/>
                      <w:u w:val="none"/>
                    </w:rPr>
                    <w:t>COD、氨氮、SS</w:t>
                  </w:r>
                  <w:r>
                    <w:rPr>
                      <w:rFonts w:hint="eastAsia"/>
                      <w:color w:val="auto"/>
                      <w:szCs w:val="21"/>
                      <w:u w:val="none"/>
                      <w:lang w:eastAsia="zh-CN"/>
                    </w:rPr>
                    <w:t>、</w:t>
                  </w:r>
                  <w:r>
                    <w:rPr>
                      <w:rFonts w:hint="eastAsia"/>
                      <w:color w:val="auto"/>
                      <w:szCs w:val="21"/>
                      <w:u w:val="none"/>
                      <w:lang w:val="en-US" w:eastAsia="zh-CN"/>
                    </w:rPr>
                    <w:t>TP、TN</w:t>
                  </w:r>
                </w:p>
              </w:tc>
              <w:tc>
                <w:tcPr>
                  <w:tcW w:w="1132" w:type="dxa"/>
                  <w:tcBorders>
                    <w:tl2br w:val="nil"/>
                    <w:tr2bl w:val="nil"/>
                  </w:tcBorders>
                  <w:noWrap w:val="0"/>
                  <w:vAlign w:val="center"/>
                </w:tcPr>
                <w:p w14:paraId="15DA777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color w:val="auto"/>
                      <w:sz w:val="21"/>
                      <w:szCs w:val="21"/>
                      <w:u w:val="none"/>
                    </w:rPr>
                  </w:pPr>
                  <w:r>
                    <w:rPr>
                      <w:rFonts w:hint="default"/>
                      <w:color w:val="auto"/>
                      <w:sz w:val="21"/>
                      <w:szCs w:val="21"/>
                      <w:u w:val="none"/>
                    </w:rPr>
                    <w:t>1次/</w:t>
                  </w:r>
                  <w:r>
                    <w:rPr>
                      <w:rFonts w:hint="eastAsia"/>
                      <w:color w:val="auto"/>
                      <w:sz w:val="21"/>
                      <w:szCs w:val="21"/>
                      <w:u w:val="none"/>
                      <w:lang w:eastAsia="zh-CN"/>
                    </w:rPr>
                    <w:t>半</w:t>
                  </w:r>
                  <w:r>
                    <w:rPr>
                      <w:rFonts w:hint="eastAsia"/>
                      <w:color w:val="auto"/>
                      <w:sz w:val="21"/>
                      <w:szCs w:val="21"/>
                      <w:u w:val="none"/>
                    </w:rPr>
                    <w:t>年</w:t>
                  </w:r>
                </w:p>
              </w:tc>
              <w:tc>
                <w:tcPr>
                  <w:tcW w:w="3585" w:type="dxa"/>
                  <w:tcBorders>
                    <w:tl2br w:val="nil"/>
                    <w:tr2bl w:val="nil"/>
                  </w:tcBorders>
                  <w:noWrap w:val="0"/>
                  <w:vAlign w:val="center"/>
                </w:tcPr>
                <w:p w14:paraId="37E9ADC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eastAsia"/>
                      <w:color w:val="auto"/>
                      <w:sz w:val="21"/>
                      <w:szCs w:val="21"/>
                      <w:u w:val="none"/>
                    </w:rPr>
                  </w:pPr>
                  <w:r>
                    <w:rPr>
                      <w:rFonts w:hint="eastAsia"/>
                      <w:color w:val="auto"/>
                      <w:sz w:val="21"/>
                      <w:szCs w:val="21"/>
                      <w:u w:val="none"/>
                    </w:rPr>
                    <w:t>《污水综合排放标准》（GB8978-1996）中三级标准</w:t>
                  </w:r>
                  <w:r>
                    <w:rPr>
                      <w:rFonts w:hint="eastAsia"/>
                      <w:color w:val="auto"/>
                      <w:sz w:val="21"/>
                      <w:szCs w:val="21"/>
                      <w:u w:val="none"/>
                      <w:lang w:eastAsia="zh-CN"/>
                    </w:rPr>
                    <w:t>及</w:t>
                  </w:r>
                  <w:r>
                    <w:rPr>
                      <w:rFonts w:hint="eastAsia"/>
                      <w:color w:val="auto"/>
                      <w:sz w:val="21"/>
                      <w:szCs w:val="21"/>
                      <w:u w:val="none"/>
                    </w:rPr>
                    <w:t>湖南城陵矶临港产业新区污水处理厂进水水质要求</w:t>
                  </w:r>
                </w:p>
              </w:tc>
            </w:tr>
            <w:tr w14:paraId="2628E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dxa"/>
                  <w:vMerge w:val="continue"/>
                  <w:tcBorders>
                    <w:tl2br w:val="nil"/>
                    <w:tr2bl w:val="nil"/>
                  </w:tcBorders>
                  <w:noWrap w:val="0"/>
                  <w:vAlign w:val="center"/>
                </w:tcPr>
                <w:p w14:paraId="249A08D6">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p>
              </w:tc>
              <w:tc>
                <w:tcPr>
                  <w:tcW w:w="558" w:type="dxa"/>
                  <w:tcBorders>
                    <w:tl2br w:val="nil"/>
                    <w:tr2bl w:val="nil"/>
                  </w:tcBorders>
                  <w:noWrap w:val="0"/>
                  <w:vAlign w:val="center"/>
                </w:tcPr>
                <w:p w14:paraId="4E876FC5">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rPr>
                    <w:t>噪声</w:t>
                  </w:r>
                </w:p>
              </w:tc>
              <w:tc>
                <w:tcPr>
                  <w:tcW w:w="1424" w:type="dxa"/>
                  <w:tcBorders>
                    <w:tl2br w:val="nil"/>
                    <w:tr2bl w:val="nil"/>
                  </w:tcBorders>
                  <w:noWrap w:val="0"/>
                  <w:vAlign w:val="center"/>
                </w:tcPr>
                <w:p w14:paraId="321332D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厂</w:t>
                  </w:r>
                  <w:r>
                    <w:rPr>
                      <w:rFonts w:hint="default" w:ascii="Times New Roman" w:hAnsi="Times New Roman" w:cs="Times New Roman"/>
                      <w:color w:val="auto"/>
                      <w:sz w:val="21"/>
                      <w:szCs w:val="21"/>
                      <w:u w:val="none"/>
                      <w:lang w:val="en-US" w:eastAsia="zh-CN"/>
                    </w:rPr>
                    <w:t>界</w:t>
                  </w:r>
                </w:p>
              </w:tc>
              <w:tc>
                <w:tcPr>
                  <w:tcW w:w="1439" w:type="dxa"/>
                  <w:tcBorders>
                    <w:tl2br w:val="nil"/>
                    <w:tr2bl w:val="nil"/>
                  </w:tcBorders>
                  <w:noWrap w:val="0"/>
                  <w:vAlign w:val="center"/>
                </w:tcPr>
                <w:p w14:paraId="3E1BE96E">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rPr>
                    <w:t>等效</w:t>
                  </w:r>
                  <w:r>
                    <w:rPr>
                      <w:rFonts w:hint="default" w:ascii="Times New Roman" w:hAnsi="Times New Roman" w:cs="Times New Roman"/>
                      <w:color w:val="auto"/>
                      <w:sz w:val="21"/>
                      <w:szCs w:val="21"/>
                      <w:u w:val="none"/>
                      <w:lang w:val="en-US" w:eastAsia="zh-CN"/>
                    </w:rPr>
                    <w:t>连续</w:t>
                  </w:r>
                  <w:r>
                    <w:rPr>
                      <w:rFonts w:hint="default" w:ascii="Times New Roman" w:hAnsi="Times New Roman" w:cs="Times New Roman"/>
                      <w:color w:val="auto"/>
                      <w:sz w:val="21"/>
                      <w:szCs w:val="21"/>
                      <w:u w:val="none"/>
                      <w:lang w:val="en-US"/>
                    </w:rPr>
                    <w:t>A声级</w:t>
                  </w:r>
                </w:p>
              </w:tc>
              <w:tc>
                <w:tcPr>
                  <w:tcW w:w="1132" w:type="dxa"/>
                  <w:tcBorders>
                    <w:tl2br w:val="nil"/>
                    <w:tr2bl w:val="nil"/>
                  </w:tcBorders>
                  <w:noWrap w:val="0"/>
                  <w:vAlign w:val="center"/>
                </w:tcPr>
                <w:p w14:paraId="499D5321">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cs="Times New Roman"/>
                      <w:color w:val="auto"/>
                      <w:sz w:val="21"/>
                      <w:szCs w:val="21"/>
                      <w:u w:val="none"/>
                      <w:lang w:val="en-US"/>
                    </w:rPr>
                  </w:pPr>
                  <w:r>
                    <w:rPr>
                      <w:rFonts w:hint="default"/>
                      <w:color w:val="auto"/>
                      <w:sz w:val="21"/>
                      <w:szCs w:val="21"/>
                      <w:u w:val="none"/>
                    </w:rPr>
                    <w:t>1次/</w:t>
                  </w:r>
                  <w:r>
                    <w:rPr>
                      <w:rFonts w:hint="default" w:ascii="Times New Roman" w:hAnsi="Times New Roman" w:cs="Times New Roman"/>
                      <w:color w:val="auto"/>
                      <w:sz w:val="21"/>
                      <w:szCs w:val="21"/>
                      <w:u w:val="none"/>
                      <w:lang w:val="en-US"/>
                    </w:rPr>
                    <w:t>每</w:t>
                  </w:r>
                  <w:r>
                    <w:rPr>
                      <w:rFonts w:hint="default" w:ascii="Times New Roman" w:hAnsi="Times New Roman" w:cs="Times New Roman"/>
                      <w:color w:val="auto"/>
                      <w:sz w:val="21"/>
                      <w:szCs w:val="21"/>
                      <w:u w:val="none"/>
                      <w:lang w:val="en-US" w:eastAsia="zh-CN"/>
                    </w:rPr>
                    <w:t>季</w:t>
                  </w:r>
                </w:p>
              </w:tc>
              <w:tc>
                <w:tcPr>
                  <w:tcW w:w="3585" w:type="dxa"/>
                  <w:tcBorders>
                    <w:tl2br w:val="nil"/>
                    <w:tr2bl w:val="nil"/>
                  </w:tcBorders>
                  <w:noWrap w:val="0"/>
                  <w:vAlign w:val="center"/>
                </w:tcPr>
                <w:p w14:paraId="542821E0">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line="240" w:lineRule="auto"/>
                    <w:ind w:left="0" w:right="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《工业企业厂界环境噪声排放标准》（GB12348-2008）</w:t>
                  </w:r>
                  <w:r>
                    <w:rPr>
                      <w:rFonts w:hint="eastAsia" w:cs="Times New Roman"/>
                      <w:color w:val="auto"/>
                      <w:sz w:val="21"/>
                      <w:szCs w:val="21"/>
                      <w:u w:val="none"/>
                      <w:lang w:val="en-US" w:eastAsia="zh-CN"/>
                    </w:rPr>
                    <w:t>3</w:t>
                  </w:r>
                  <w:r>
                    <w:rPr>
                      <w:rFonts w:hint="default" w:ascii="Times New Roman" w:hAnsi="Times New Roman" w:cs="Times New Roman"/>
                      <w:color w:val="auto"/>
                      <w:sz w:val="21"/>
                      <w:szCs w:val="21"/>
                      <w:u w:val="none"/>
                    </w:rPr>
                    <w:t>类标准</w:t>
                  </w:r>
                </w:p>
              </w:tc>
            </w:tr>
          </w:tbl>
          <w:p w14:paraId="0262C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4"/>
                <w:szCs w:val="24"/>
                <w:u w:val="none" w:color="auto"/>
                <w:lang w:val="en-US" w:eastAsia="zh-CN"/>
                <w14:textFill>
                  <w14:solidFill>
                    <w14:schemeClr w14:val="tx1"/>
                  </w14:solidFill>
                </w14:textFill>
              </w:rPr>
              <w:t>1</w:t>
            </w:r>
            <w:r>
              <w:rPr>
                <w:rFonts w:hint="eastAsia" w:cs="Times New Roman"/>
                <w:b/>
                <w:bCs/>
                <w:color w:val="000000" w:themeColor="text1"/>
                <w:spacing w:val="0"/>
                <w:position w:val="0"/>
                <w:sz w:val="24"/>
                <w:szCs w:val="24"/>
                <w:u w:val="none" w:color="auto"/>
                <w:lang w:val="en-US" w:eastAsia="zh-CN"/>
                <w14:textFill>
                  <w14:solidFill>
                    <w14:schemeClr w14:val="tx1"/>
                  </w14:solidFill>
                </w14:textFill>
              </w:rPr>
              <w:t>0</w:t>
            </w:r>
            <w:r>
              <w:rPr>
                <w:rFonts w:hint="default" w:ascii="Times New Roman" w:hAnsi="Times New Roman" w:eastAsia="宋体" w:cs="Times New Roman"/>
                <w:b/>
                <w:bCs/>
                <w:color w:val="000000" w:themeColor="text1"/>
                <w:spacing w:val="0"/>
                <w:position w:val="0"/>
                <w:sz w:val="24"/>
                <w:szCs w:val="24"/>
                <w:u w:val="none" w:color="auto"/>
                <w:lang w:val="en-US" w:eastAsia="zh-CN"/>
                <w14:textFill>
                  <w14:solidFill>
                    <w14:schemeClr w14:val="tx1"/>
                  </w14:solidFill>
                </w14:textFill>
              </w:rPr>
              <w:t>、环保投资</w:t>
            </w:r>
          </w:p>
          <w:p w14:paraId="64DA97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auto"/>
                <w:spacing w:val="0"/>
                <w:position w:val="0"/>
                <w:sz w:val="24"/>
                <w:szCs w:val="24"/>
                <w:u w:val="none" w:color="auto"/>
                <w:lang w:eastAsia="zh-CN"/>
              </w:rPr>
            </w:pPr>
            <w:r>
              <w:rPr>
                <w:rFonts w:hint="eastAsia" w:cs="Times New Roman"/>
                <w:color w:val="auto"/>
                <w:spacing w:val="0"/>
                <w:position w:val="0"/>
                <w:sz w:val="24"/>
                <w:szCs w:val="24"/>
                <w:u w:val="none" w:color="auto"/>
                <w:lang w:eastAsia="zh-CN"/>
              </w:rPr>
              <w:t>本项目</w:t>
            </w:r>
            <w:r>
              <w:rPr>
                <w:rFonts w:hint="default" w:ascii="Times New Roman" w:hAnsi="Times New Roman" w:eastAsia="宋体" w:cs="Times New Roman"/>
                <w:color w:val="auto"/>
                <w:spacing w:val="0"/>
                <w:position w:val="0"/>
                <w:sz w:val="24"/>
                <w:szCs w:val="24"/>
                <w:u w:val="none" w:color="auto"/>
              </w:rPr>
              <w:t>总投资</w:t>
            </w:r>
            <w:r>
              <w:rPr>
                <w:rFonts w:hint="eastAsia" w:cs="Times New Roman"/>
                <w:color w:val="auto"/>
                <w:spacing w:val="0"/>
                <w:position w:val="0"/>
                <w:sz w:val="24"/>
                <w:szCs w:val="24"/>
                <w:u w:val="none" w:color="auto"/>
                <w:lang w:val="en-US" w:eastAsia="zh-CN"/>
              </w:rPr>
              <w:t>60</w:t>
            </w:r>
            <w:r>
              <w:rPr>
                <w:rFonts w:hint="default" w:ascii="Times New Roman" w:hAnsi="Times New Roman" w:eastAsia="宋体" w:cs="Times New Roman"/>
                <w:color w:val="auto"/>
                <w:spacing w:val="0"/>
                <w:position w:val="0"/>
                <w:sz w:val="24"/>
                <w:szCs w:val="24"/>
                <w:u w:val="none" w:color="auto"/>
                <w:lang w:val="en-US" w:eastAsia="zh-CN"/>
              </w:rPr>
              <w:t>00</w:t>
            </w:r>
            <w:r>
              <w:rPr>
                <w:rFonts w:hint="default" w:ascii="Times New Roman" w:hAnsi="Times New Roman" w:eastAsia="宋体" w:cs="Times New Roman"/>
                <w:color w:val="auto"/>
                <w:spacing w:val="0"/>
                <w:position w:val="0"/>
                <w:sz w:val="24"/>
                <w:szCs w:val="24"/>
                <w:u w:val="none" w:color="auto"/>
              </w:rPr>
              <w:t>万元，其中环保投资为</w:t>
            </w:r>
            <w:r>
              <w:rPr>
                <w:rFonts w:hint="eastAsia" w:cs="Times New Roman"/>
                <w:color w:val="auto"/>
                <w:spacing w:val="0"/>
                <w:position w:val="0"/>
                <w:sz w:val="24"/>
                <w:szCs w:val="24"/>
                <w:u w:val="none" w:color="auto"/>
                <w:lang w:val="en-US" w:eastAsia="zh-CN"/>
              </w:rPr>
              <w:t>8</w:t>
            </w:r>
            <w:r>
              <w:rPr>
                <w:rFonts w:hint="default" w:ascii="Times New Roman" w:hAnsi="Times New Roman" w:eastAsia="宋体" w:cs="Times New Roman"/>
                <w:color w:val="auto"/>
                <w:spacing w:val="0"/>
                <w:position w:val="0"/>
                <w:sz w:val="24"/>
                <w:szCs w:val="24"/>
                <w:u w:val="none" w:color="auto"/>
              </w:rPr>
              <w:t>万元，所占比例为</w:t>
            </w:r>
            <w:r>
              <w:rPr>
                <w:rFonts w:hint="eastAsia" w:cs="Times New Roman"/>
                <w:color w:val="auto"/>
                <w:spacing w:val="0"/>
                <w:position w:val="0"/>
                <w:sz w:val="24"/>
                <w:szCs w:val="24"/>
                <w:u w:val="none" w:color="auto"/>
                <w:lang w:val="en-US" w:eastAsia="zh-CN"/>
              </w:rPr>
              <w:t>0.13%</w:t>
            </w:r>
            <w:r>
              <w:rPr>
                <w:rFonts w:hint="default" w:ascii="Times New Roman" w:hAnsi="Times New Roman" w:eastAsia="宋体" w:cs="Times New Roman"/>
                <w:color w:val="auto"/>
                <w:spacing w:val="0"/>
                <w:position w:val="0"/>
                <w:sz w:val="24"/>
                <w:szCs w:val="24"/>
                <w:u w:val="none" w:color="auto"/>
              </w:rPr>
              <w:t>，环保投资估算情况见下表</w:t>
            </w:r>
            <w:r>
              <w:rPr>
                <w:rFonts w:hint="eastAsia" w:cs="Times New Roman"/>
                <w:color w:val="auto"/>
                <w:spacing w:val="0"/>
                <w:position w:val="0"/>
                <w:sz w:val="24"/>
                <w:szCs w:val="24"/>
                <w:u w:val="none" w:color="auto"/>
                <w:lang w:eastAsia="zh-CN"/>
              </w:rPr>
              <w:t>：</w:t>
            </w:r>
          </w:p>
          <w:p w14:paraId="4D50C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000000" w:themeColor="text1"/>
                <w:spacing w:val="0"/>
                <w:position w:val="0"/>
                <w:sz w:val="24"/>
                <w:szCs w:val="24"/>
                <w:u w:val="none" w:color="auto"/>
                <w14:textFill>
                  <w14:solidFill>
                    <w14:schemeClr w14:val="tx1"/>
                  </w14:solidFill>
                </w14:textFill>
              </w:rPr>
            </w:pPr>
            <w:r>
              <w:rPr>
                <w:rFonts w:hint="default" w:ascii="Times New Roman" w:hAnsi="Times New Roman" w:eastAsia="宋体" w:cs="Times New Roman"/>
                <w:b/>
                <w:color w:val="000000" w:themeColor="text1"/>
                <w:spacing w:val="0"/>
                <w:position w:val="0"/>
                <w:sz w:val="24"/>
                <w:szCs w:val="24"/>
                <w:u w:val="none" w:color="auto"/>
                <w14:textFill>
                  <w14:solidFill>
                    <w14:schemeClr w14:val="tx1"/>
                  </w14:solidFill>
                </w14:textFill>
              </w:rPr>
              <w:t>表</w:t>
            </w:r>
            <w:r>
              <w:rPr>
                <w:rFonts w:hint="eastAsia" w:cs="Times New Roman"/>
                <w:b/>
                <w:color w:val="000000" w:themeColor="text1"/>
                <w:spacing w:val="0"/>
                <w:position w:val="0"/>
                <w:sz w:val="24"/>
                <w:szCs w:val="24"/>
                <w:u w:val="none" w:color="auto"/>
                <w:lang w:val="en-US" w:eastAsia="zh-CN"/>
                <w14:textFill>
                  <w14:solidFill>
                    <w14:schemeClr w14:val="tx1"/>
                  </w14:solidFill>
                </w14:textFill>
              </w:rPr>
              <w:t>4</w:t>
            </w:r>
            <w:r>
              <w:rPr>
                <w:rFonts w:hint="default" w:ascii="Times New Roman" w:hAnsi="Times New Roman" w:cs="Times New Roman"/>
                <w:b/>
                <w:color w:val="000000" w:themeColor="text1"/>
                <w:spacing w:val="0"/>
                <w:position w:val="0"/>
                <w:sz w:val="24"/>
                <w:szCs w:val="24"/>
                <w:u w:val="none" w:color="auto"/>
                <w:lang w:val="en-US" w:eastAsia="zh-CN"/>
                <w14:textFill>
                  <w14:solidFill>
                    <w14:schemeClr w14:val="tx1"/>
                  </w14:solidFill>
                </w14:textFill>
              </w:rPr>
              <w:t>-</w:t>
            </w:r>
            <w:r>
              <w:rPr>
                <w:rFonts w:hint="eastAsia" w:cs="Times New Roman"/>
                <w:b/>
                <w:color w:val="000000" w:themeColor="text1"/>
                <w:spacing w:val="0"/>
                <w:position w:val="0"/>
                <w:sz w:val="24"/>
                <w:szCs w:val="24"/>
                <w:u w:val="none" w:color="auto"/>
                <w:lang w:val="en-US" w:eastAsia="zh-CN"/>
                <w14:textFill>
                  <w14:solidFill>
                    <w14:schemeClr w14:val="tx1"/>
                  </w14:solidFill>
                </w14:textFill>
              </w:rPr>
              <w:t>24</w:t>
            </w:r>
            <w:r>
              <w:rPr>
                <w:rFonts w:hint="default" w:ascii="Times New Roman" w:hAnsi="Times New Roman" w:cs="Times New Roman"/>
                <w:b/>
                <w:color w:val="000000" w:themeColor="text1"/>
                <w:spacing w:val="0"/>
                <w:position w:val="0"/>
                <w:sz w:val="24"/>
                <w:szCs w:val="24"/>
                <w:u w:val="none" w:color="auto"/>
                <w:lang w:val="en-US" w:eastAsia="zh-CN"/>
                <w14:textFill>
                  <w14:solidFill>
                    <w14:schemeClr w14:val="tx1"/>
                  </w14:solidFill>
                </w14:textFill>
              </w:rPr>
              <w:t xml:space="preserve">   </w:t>
            </w:r>
            <w:r>
              <w:rPr>
                <w:rFonts w:hint="eastAsia" w:cs="Times New Roman"/>
                <w:b/>
                <w:color w:val="000000" w:themeColor="text1"/>
                <w:spacing w:val="0"/>
                <w:position w:val="0"/>
                <w:sz w:val="24"/>
                <w:szCs w:val="24"/>
                <w:u w:val="none" w:color="auto"/>
                <w:lang w:val="en-US" w:eastAsia="zh-CN"/>
                <w14:textFill>
                  <w14:solidFill>
                    <w14:schemeClr w14:val="tx1"/>
                  </w14:solidFill>
                </w14:textFill>
              </w:rPr>
              <w:t>本</w:t>
            </w:r>
            <w:r>
              <w:rPr>
                <w:rFonts w:hint="default" w:ascii="Times New Roman" w:hAnsi="Times New Roman" w:eastAsia="宋体" w:cs="Times New Roman"/>
                <w:b/>
                <w:color w:val="000000" w:themeColor="text1"/>
                <w:spacing w:val="0"/>
                <w:position w:val="0"/>
                <w:sz w:val="24"/>
                <w:szCs w:val="24"/>
                <w:u w:val="none" w:color="auto"/>
                <w14:textFill>
                  <w14:solidFill>
                    <w14:schemeClr w14:val="tx1"/>
                  </w14:solidFill>
                </w14:textFill>
              </w:rPr>
              <w:t>项目环保</w:t>
            </w:r>
            <w:r>
              <w:rPr>
                <w:rFonts w:hint="default" w:ascii="Times New Roman" w:hAnsi="Times New Roman" w:cs="Times New Roman"/>
                <w:b/>
                <w:color w:val="000000" w:themeColor="text1"/>
                <w:spacing w:val="0"/>
                <w:position w:val="0"/>
                <w:sz w:val="24"/>
                <w:szCs w:val="24"/>
                <w:u w:val="none" w:color="auto"/>
                <w:lang w:eastAsia="zh-CN"/>
                <w14:textFill>
                  <w14:solidFill>
                    <w14:schemeClr w14:val="tx1"/>
                  </w14:solidFill>
                </w14:textFill>
              </w:rPr>
              <w:t>措施</w:t>
            </w:r>
            <w:r>
              <w:rPr>
                <w:rFonts w:hint="default" w:ascii="Times New Roman" w:hAnsi="Times New Roman" w:eastAsia="宋体" w:cs="Times New Roman"/>
                <w:b/>
                <w:color w:val="000000" w:themeColor="text1"/>
                <w:spacing w:val="0"/>
                <w:position w:val="0"/>
                <w:sz w:val="24"/>
                <w:szCs w:val="24"/>
                <w:u w:val="none" w:color="auto"/>
                <w14:textFill>
                  <w14:solidFill>
                    <w14:schemeClr w14:val="tx1"/>
                  </w14:solidFill>
                </w14:textFill>
              </w:rPr>
              <w:t>投资</w:t>
            </w:r>
            <w:r>
              <w:rPr>
                <w:rFonts w:hint="default" w:ascii="Times New Roman" w:hAnsi="Times New Roman" w:eastAsia="宋体" w:cs="Times New Roman"/>
                <w:b/>
                <w:bCs/>
                <w:color w:val="000000" w:themeColor="text1"/>
                <w:spacing w:val="0"/>
                <w:position w:val="0"/>
                <w:sz w:val="24"/>
                <w:szCs w:val="24"/>
                <w:u w:val="none" w:color="auto"/>
                <w14:textFill>
                  <w14:solidFill>
                    <w14:schemeClr w14:val="tx1"/>
                  </w14:solidFill>
                </w14:textFill>
              </w:rPr>
              <w:t>一览表</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1"/>
              <w:gridCol w:w="771"/>
              <w:gridCol w:w="3480"/>
              <w:gridCol w:w="960"/>
              <w:gridCol w:w="2950"/>
            </w:tblGrid>
            <w:tr w14:paraId="21431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 w:type="pct"/>
                  <w:tcBorders>
                    <w:tl2br w:val="nil"/>
                    <w:tr2bl w:val="nil"/>
                  </w:tcBorders>
                  <w:noWrap w:val="0"/>
                  <w:vAlign w:val="center"/>
                </w:tcPr>
                <w:p w14:paraId="4EBDCD69">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color w:val="auto"/>
                      <w:sz w:val="21"/>
                      <w:szCs w:val="21"/>
                      <w:highlight w:val="none"/>
                      <w:u w:val="none" w:color="auto"/>
                    </w:rPr>
                  </w:pPr>
                  <w:r>
                    <w:rPr>
                      <w:rFonts w:hint="default"/>
                      <w:color w:val="auto"/>
                      <w:sz w:val="21"/>
                      <w:szCs w:val="21"/>
                      <w:highlight w:val="none"/>
                      <w:u w:val="none" w:color="auto"/>
                    </w:rPr>
                    <w:t>类别</w:t>
                  </w:r>
                </w:p>
              </w:tc>
              <w:tc>
                <w:tcPr>
                  <w:tcW w:w="444" w:type="pct"/>
                  <w:tcBorders>
                    <w:tl2br w:val="nil"/>
                    <w:tr2bl w:val="nil"/>
                  </w:tcBorders>
                  <w:noWrap w:val="0"/>
                  <w:vAlign w:val="center"/>
                </w:tcPr>
                <w:p w14:paraId="43DDB2F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eastAsia"/>
                      <w:color w:val="auto"/>
                      <w:sz w:val="21"/>
                      <w:szCs w:val="21"/>
                      <w:highlight w:val="none"/>
                      <w:u w:val="none" w:color="auto"/>
                    </w:rPr>
                  </w:pPr>
                  <w:r>
                    <w:rPr>
                      <w:rFonts w:hint="eastAsia"/>
                      <w:color w:val="auto"/>
                      <w:sz w:val="21"/>
                      <w:szCs w:val="21"/>
                      <w:highlight w:val="none"/>
                      <w:u w:val="none" w:color="auto"/>
                    </w:rPr>
                    <w:t>治理对象</w:t>
                  </w:r>
                </w:p>
              </w:tc>
              <w:tc>
                <w:tcPr>
                  <w:tcW w:w="2006" w:type="pct"/>
                  <w:tcBorders>
                    <w:tl2br w:val="nil"/>
                    <w:tr2bl w:val="nil"/>
                  </w:tcBorders>
                  <w:noWrap w:val="0"/>
                  <w:vAlign w:val="center"/>
                </w:tcPr>
                <w:p w14:paraId="038B2E5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color w:val="auto"/>
                      <w:sz w:val="21"/>
                      <w:szCs w:val="21"/>
                      <w:highlight w:val="none"/>
                      <w:u w:val="none" w:color="auto"/>
                    </w:rPr>
                  </w:pPr>
                  <w:r>
                    <w:rPr>
                      <w:rFonts w:hint="eastAsia"/>
                      <w:color w:val="auto"/>
                      <w:sz w:val="21"/>
                      <w:szCs w:val="21"/>
                      <w:highlight w:val="none"/>
                      <w:u w:val="none" w:color="auto"/>
                    </w:rPr>
                    <w:t>环保措施</w:t>
                  </w:r>
                </w:p>
              </w:tc>
              <w:tc>
                <w:tcPr>
                  <w:tcW w:w="553" w:type="pct"/>
                  <w:tcBorders>
                    <w:tl2br w:val="nil"/>
                    <w:tr2bl w:val="nil"/>
                  </w:tcBorders>
                  <w:noWrap w:val="0"/>
                  <w:vAlign w:val="center"/>
                </w:tcPr>
                <w:p w14:paraId="18298E8D">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color w:val="auto"/>
                      <w:sz w:val="21"/>
                      <w:szCs w:val="21"/>
                      <w:highlight w:val="none"/>
                      <w:u w:val="none" w:color="auto"/>
                    </w:rPr>
                  </w:pPr>
                  <w:r>
                    <w:rPr>
                      <w:rFonts w:hint="default"/>
                      <w:color w:val="auto"/>
                      <w:sz w:val="21"/>
                      <w:szCs w:val="21"/>
                      <w:highlight w:val="none"/>
                      <w:u w:val="none" w:color="auto"/>
                    </w:rPr>
                    <w:t>投资</w:t>
                  </w:r>
                </w:p>
                <w:p w14:paraId="61EC7E73">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color w:val="auto"/>
                      <w:sz w:val="21"/>
                      <w:szCs w:val="21"/>
                      <w:highlight w:val="none"/>
                      <w:u w:val="none" w:color="auto"/>
                    </w:rPr>
                  </w:pPr>
                  <w:r>
                    <w:rPr>
                      <w:rFonts w:hint="default"/>
                      <w:color w:val="auto"/>
                      <w:sz w:val="21"/>
                      <w:szCs w:val="21"/>
                      <w:highlight w:val="none"/>
                      <w:u w:val="none" w:color="auto"/>
                    </w:rPr>
                    <w:t>（万元）</w:t>
                  </w:r>
                </w:p>
              </w:tc>
              <w:tc>
                <w:tcPr>
                  <w:tcW w:w="1700" w:type="pct"/>
                  <w:tcBorders>
                    <w:tl2br w:val="nil"/>
                    <w:tr2bl w:val="nil"/>
                  </w:tcBorders>
                  <w:noWrap w:val="0"/>
                  <w:vAlign w:val="center"/>
                </w:tcPr>
                <w:p w14:paraId="48D7A6DA">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eastAsia="宋体"/>
                      <w:color w:val="auto"/>
                      <w:sz w:val="21"/>
                      <w:szCs w:val="21"/>
                      <w:highlight w:val="none"/>
                      <w:u w:val="none" w:color="auto"/>
                      <w:lang w:val="en-US" w:eastAsia="zh-CN"/>
                    </w:rPr>
                  </w:pPr>
                  <w:r>
                    <w:rPr>
                      <w:rFonts w:hint="eastAsia" w:eastAsia="宋体"/>
                      <w:color w:val="auto"/>
                      <w:sz w:val="21"/>
                      <w:szCs w:val="21"/>
                      <w:highlight w:val="none"/>
                      <w:u w:val="none" w:color="auto"/>
                      <w:lang w:val="en-US" w:eastAsia="zh-CN"/>
                    </w:rPr>
                    <w:t>备注</w:t>
                  </w:r>
                </w:p>
              </w:tc>
            </w:tr>
            <w:tr w14:paraId="6D255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 w:type="pct"/>
                  <w:vMerge w:val="restart"/>
                  <w:tcBorders>
                    <w:tl2br w:val="nil"/>
                    <w:tr2bl w:val="nil"/>
                  </w:tcBorders>
                  <w:noWrap w:val="0"/>
                  <w:vAlign w:val="center"/>
                </w:tcPr>
                <w:p w14:paraId="18290359">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废气</w:t>
                  </w:r>
                </w:p>
              </w:tc>
              <w:tc>
                <w:tcPr>
                  <w:tcW w:w="444" w:type="pct"/>
                  <w:tcBorders>
                    <w:tl2br w:val="nil"/>
                    <w:tr2bl w:val="nil"/>
                  </w:tcBorders>
                  <w:noWrap w:val="0"/>
                  <w:vAlign w:val="center"/>
                </w:tcPr>
                <w:p w14:paraId="78DA597D">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eastAsia"/>
                      <w:color w:val="auto"/>
                      <w:sz w:val="21"/>
                      <w:szCs w:val="21"/>
                      <w:highlight w:val="none"/>
                      <w:u w:val="none" w:color="auto"/>
                    </w:rPr>
                  </w:pPr>
                  <w:r>
                    <w:rPr>
                      <w:rFonts w:hint="eastAsia"/>
                      <w:bCs/>
                      <w:color w:val="auto"/>
                      <w:sz w:val="21"/>
                      <w:szCs w:val="21"/>
                      <w:highlight w:val="none"/>
                      <w:u w:val="none" w:color="auto"/>
                      <w:lang w:val="en-US" w:eastAsia="zh-CN"/>
                    </w:rPr>
                    <w:t>抛丸</w:t>
                  </w:r>
                  <w:r>
                    <w:rPr>
                      <w:rFonts w:hint="eastAsia"/>
                      <w:bCs/>
                      <w:color w:val="auto"/>
                      <w:sz w:val="21"/>
                      <w:szCs w:val="21"/>
                      <w:highlight w:val="none"/>
                      <w:u w:val="none" w:color="auto"/>
                    </w:rPr>
                    <w:t>粉尘</w:t>
                  </w:r>
                </w:p>
              </w:tc>
              <w:tc>
                <w:tcPr>
                  <w:tcW w:w="2006" w:type="pct"/>
                  <w:tcBorders>
                    <w:tl2br w:val="nil"/>
                    <w:tr2bl w:val="nil"/>
                  </w:tcBorders>
                  <w:noWrap w:val="0"/>
                  <w:vAlign w:val="center"/>
                </w:tcPr>
                <w:p w14:paraId="4B03D732">
                  <w:pPr>
                    <w:pStyle w:val="91"/>
                    <w:keepNext w:val="0"/>
                    <w:keepLines w:val="0"/>
                    <w:suppressLineNumbers w:val="0"/>
                    <w:bidi w:val="0"/>
                    <w:spacing w:before="0" w:beforeAutospacing="0" w:after="0" w:afterAutospacing="0"/>
                    <w:ind w:left="0" w:right="0"/>
                    <w:jc w:val="both"/>
                    <w:rPr>
                      <w:color w:val="auto"/>
                      <w:sz w:val="21"/>
                      <w:szCs w:val="21"/>
                      <w:highlight w:val="none"/>
                      <w:u w:val="none" w:color="auto"/>
                    </w:rPr>
                  </w:pPr>
                  <w:r>
                    <w:rPr>
                      <w:rFonts w:hint="eastAsia"/>
                      <w:strike w:val="0"/>
                      <w:dstrike w:val="0"/>
                      <w:color w:val="auto"/>
                      <w:sz w:val="21"/>
                      <w:szCs w:val="21"/>
                      <w:u w:val="none" w:color="auto"/>
                      <w:lang w:val="en-US" w:eastAsia="zh-CN"/>
                    </w:rPr>
                    <w:t>布袋</w:t>
                  </w:r>
                  <w:r>
                    <w:rPr>
                      <w:rFonts w:hint="eastAsia"/>
                      <w:strike w:val="0"/>
                      <w:dstrike w:val="0"/>
                      <w:color w:val="auto"/>
                      <w:sz w:val="21"/>
                      <w:szCs w:val="21"/>
                      <w:u w:val="none" w:color="auto"/>
                      <w:lang w:eastAsia="zh-CN"/>
                    </w:rPr>
                    <w:t>除尘器（</w:t>
                  </w:r>
                  <w:r>
                    <w:rPr>
                      <w:rFonts w:hint="eastAsia"/>
                      <w:strike w:val="0"/>
                      <w:dstrike w:val="0"/>
                      <w:color w:val="auto"/>
                      <w:sz w:val="21"/>
                      <w:szCs w:val="21"/>
                      <w:u w:val="none" w:color="auto"/>
                      <w:lang w:val="en-US" w:eastAsia="zh-CN"/>
                    </w:rPr>
                    <w:t>TA003</w:t>
                  </w:r>
                  <w:r>
                    <w:rPr>
                      <w:rFonts w:hint="eastAsia"/>
                      <w:strike w:val="0"/>
                      <w:dstrike w:val="0"/>
                      <w:color w:val="auto"/>
                      <w:sz w:val="21"/>
                      <w:szCs w:val="21"/>
                      <w:u w:val="none" w:color="auto"/>
                      <w:lang w:eastAsia="zh-CN"/>
                    </w:rPr>
                    <w:t>）</w:t>
                  </w:r>
                  <w:r>
                    <w:rPr>
                      <w:rFonts w:hint="eastAsia"/>
                      <w:strike w:val="0"/>
                      <w:dstrike w:val="0"/>
                      <w:color w:val="auto"/>
                      <w:sz w:val="21"/>
                      <w:szCs w:val="21"/>
                      <w:u w:val="none" w:color="auto"/>
                      <w:lang w:val="en-US" w:eastAsia="zh-CN"/>
                    </w:rPr>
                    <w:t>+15m</w:t>
                  </w:r>
                  <w:r>
                    <w:rPr>
                      <w:rFonts w:hint="eastAsia"/>
                      <w:strike w:val="0"/>
                      <w:dstrike w:val="0"/>
                      <w:color w:val="auto"/>
                      <w:sz w:val="21"/>
                      <w:szCs w:val="21"/>
                      <w:u w:val="none" w:color="auto"/>
                      <w:lang w:eastAsia="zh-CN"/>
                    </w:rPr>
                    <w:t>排气筒</w:t>
                  </w:r>
                  <w:r>
                    <w:rPr>
                      <w:rFonts w:hint="eastAsia"/>
                      <w:color w:val="auto"/>
                      <w:szCs w:val="21"/>
                      <w:u w:val="none" w:color="auto"/>
                      <w:lang w:val="en-US" w:eastAsia="zh-CN"/>
                    </w:rPr>
                    <w:t>（DA003）</w:t>
                  </w:r>
                </w:p>
              </w:tc>
              <w:tc>
                <w:tcPr>
                  <w:tcW w:w="553" w:type="pct"/>
                  <w:tcBorders>
                    <w:tl2br w:val="nil"/>
                    <w:tr2bl w:val="nil"/>
                  </w:tcBorders>
                  <w:noWrap w:val="0"/>
                  <w:vAlign w:val="center"/>
                </w:tcPr>
                <w:p w14:paraId="0148F883">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eastAsia="宋体"/>
                      <w:color w:val="auto"/>
                      <w:sz w:val="21"/>
                      <w:szCs w:val="21"/>
                      <w:highlight w:val="none"/>
                      <w:u w:val="none" w:color="auto"/>
                      <w:lang w:eastAsia="zh-CN"/>
                    </w:rPr>
                  </w:pPr>
                  <w:r>
                    <w:rPr>
                      <w:rFonts w:hint="eastAsia"/>
                      <w:color w:val="auto"/>
                      <w:sz w:val="21"/>
                      <w:szCs w:val="21"/>
                      <w:highlight w:val="none"/>
                      <w:u w:val="none" w:color="auto"/>
                      <w:lang w:val="en-US" w:eastAsia="zh-CN"/>
                    </w:rPr>
                    <w:t>/</w:t>
                  </w:r>
                </w:p>
              </w:tc>
              <w:tc>
                <w:tcPr>
                  <w:tcW w:w="1700" w:type="pct"/>
                  <w:tcBorders>
                    <w:tl2br w:val="nil"/>
                    <w:tr2bl w:val="nil"/>
                  </w:tcBorders>
                  <w:noWrap w:val="0"/>
                  <w:vAlign w:val="center"/>
                </w:tcPr>
                <w:p w14:paraId="323D3412">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已建，已列入在建工程环保投资，不计入本项目投资</w:t>
                  </w:r>
                </w:p>
              </w:tc>
            </w:tr>
            <w:tr w14:paraId="41339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94" w:type="pct"/>
                  <w:vMerge w:val="continue"/>
                  <w:tcBorders>
                    <w:tl2br w:val="nil"/>
                    <w:tr2bl w:val="nil"/>
                  </w:tcBorders>
                  <w:noWrap w:val="0"/>
                  <w:vAlign w:val="center"/>
                </w:tcPr>
                <w:p w14:paraId="7B96F4B4">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color w:val="auto"/>
                      <w:sz w:val="21"/>
                      <w:szCs w:val="21"/>
                      <w:highlight w:val="none"/>
                      <w:u w:val="none" w:color="auto"/>
                    </w:rPr>
                  </w:pPr>
                </w:p>
              </w:tc>
              <w:tc>
                <w:tcPr>
                  <w:tcW w:w="444" w:type="pct"/>
                  <w:tcBorders>
                    <w:tl2br w:val="nil"/>
                    <w:tr2bl w:val="nil"/>
                  </w:tcBorders>
                  <w:noWrap w:val="0"/>
                  <w:vAlign w:val="center"/>
                </w:tcPr>
                <w:p w14:paraId="407B3B9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eastAsia="宋体"/>
                      <w:color w:val="auto"/>
                      <w:sz w:val="21"/>
                      <w:szCs w:val="21"/>
                      <w:highlight w:val="none"/>
                      <w:u w:val="none" w:color="auto"/>
                      <w:lang w:val="en-US" w:eastAsia="zh-CN"/>
                    </w:rPr>
                  </w:pPr>
                  <w:r>
                    <w:rPr>
                      <w:rFonts w:hint="eastAsia"/>
                      <w:bCs/>
                      <w:color w:val="auto"/>
                      <w:sz w:val="21"/>
                      <w:szCs w:val="21"/>
                      <w:highlight w:val="none"/>
                      <w:u w:val="none" w:color="auto"/>
                      <w:lang w:val="en-US" w:eastAsia="zh-CN"/>
                    </w:rPr>
                    <w:t>喷漆废气</w:t>
                  </w:r>
                </w:p>
              </w:tc>
              <w:tc>
                <w:tcPr>
                  <w:tcW w:w="2006" w:type="pct"/>
                  <w:tcBorders>
                    <w:tl2br w:val="nil"/>
                    <w:tr2bl w:val="nil"/>
                  </w:tcBorders>
                  <w:noWrap w:val="0"/>
                  <w:vAlign w:val="center"/>
                </w:tcPr>
                <w:p w14:paraId="160FD614">
                  <w:pPr>
                    <w:pStyle w:val="91"/>
                    <w:keepNext w:val="0"/>
                    <w:keepLines w:val="0"/>
                    <w:suppressLineNumbers w:val="0"/>
                    <w:bidi w:val="0"/>
                    <w:spacing w:before="0" w:beforeAutospacing="0" w:after="0" w:afterAutospacing="0"/>
                    <w:ind w:left="0" w:right="0"/>
                    <w:jc w:val="center"/>
                    <w:rPr>
                      <w:rFonts w:hint="default"/>
                      <w:bCs/>
                      <w:color w:val="auto"/>
                      <w:sz w:val="21"/>
                      <w:szCs w:val="21"/>
                      <w:highlight w:val="none"/>
                      <w:u w:val="none" w:color="auto"/>
                      <w:lang w:val="en-US"/>
                    </w:rPr>
                  </w:pPr>
                  <w:r>
                    <w:rPr>
                      <w:rFonts w:hint="eastAsia"/>
                      <w:color w:val="auto"/>
                      <w:sz w:val="21"/>
                      <w:szCs w:val="21"/>
                      <w:highlight w:val="none"/>
                      <w:u w:val="none" w:color="auto"/>
                      <w:vertAlign w:val="baseline"/>
                      <w:lang w:val="en-US" w:eastAsia="zh-CN"/>
                    </w:rPr>
                    <w:t>密闭收集+“过滤棉+两级活性炭吸附”（TA002）+</w:t>
                  </w:r>
                  <w:r>
                    <w:rPr>
                      <w:rFonts w:hint="eastAsia"/>
                      <w:strike w:val="0"/>
                      <w:dstrike w:val="0"/>
                      <w:color w:val="auto"/>
                      <w:sz w:val="21"/>
                      <w:szCs w:val="21"/>
                      <w:u w:val="none" w:color="auto"/>
                      <w:lang w:val="en-US" w:eastAsia="zh-CN"/>
                    </w:rPr>
                    <w:t>15m</w:t>
                  </w:r>
                  <w:r>
                    <w:rPr>
                      <w:rFonts w:hint="eastAsia"/>
                      <w:strike w:val="0"/>
                      <w:dstrike w:val="0"/>
                      <w:color w:val="auto"/>
                      <w:sz w:val="21"/>
                      <w:szCs w:val="21"/>
                      <w:u w:val="none" w:color="auto"/>
                      <w:lang w:eastAsia="zh-CN"/>
                    </w:rPr>
                    <w:t>排气筒排放</w:t>
                  </w:r>
                  <w:r>
                    <w:rPr>
                      <w:rFonts w:hint="eastAsia"/>
                      <w:color w:val="auto"/>
                      <w:szCs w:val="21"/>
                      <w:u w:val="none" w:color="auto"/>
                      <w:lang w:val="en-US" w:eastAsia="zh-CN"/>
                    </w:rPr>
                    <w:t>（DA002）</w:t>
                  </w:r>
                </w:p>
              </w:tc>
              <w:tc>
                <w:tcPr>
                  <w:tcW w:w="553" w:type="pct"/>
                  <w:tcBorders>
                    <w:tl2br w:val="nil"/>
                    <w:tr2bl w:val="nil"/>
                  </w:tcBorders>
                  <w:noWrap w:val="0"/>
                  <w:vAlign w:val="center"/>
                </w:tcPr>
                <w:p w14:paraId="084709CA">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eastAsia="宋体"/>
                      <w:color w:val="auto"/>
                      <w:sz w:val="21"/>
                      <w:szCs w:val="21"/>
                      <w:highlight w:val="none"/>
                      <w:u w:val="none" w:color="auto"/>
                      <w:lang w:val="en-US" w:eastAsia="zh-CN"/>
                    </w:rPr>
                  </w:pPr>
                  <w:r>
                    <w:rPr>
                      <w:rFonts w:hint="eastAsia" w:eastAsia="宋体"/>
                      <w:color w:val="auto"/>
                      <w:sz w:val="21"/>
                      <w:szCs w:val="21"/>
                      <w:highlight w:val="none"/>
                      <w:u w:val="none" w:color="auto"/>
                      <w:lang w:val="en-US" w:eastAsia="zh-CN"/>
                    </w:rPr>
                    <w:t>/</w:t>
                  </w:r>
                </w:p>
              </w:tc>
              <w:tc>
                <w:tcPr>
                  <w:tcW w:w="1700" w:type="pct"/>
                  <w:tcBorders>
                    <w:tl2br w:val="nil"/>
                    <w:tr2bl w:val="nil"/>
                  </w:tcBorders>
                  <w:noWrap w:val="0"/>
                  <w:vAlign w:val="center"/>
                </w:tcPr>
                <w:p w14:paraId="7BD9AE00">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eastAsia="宋体"/>
                      <w:color w:val="auto"/>
                      <w:sz w:val="21"/>
                      <w:szCs w:val="21"/>
                      <w:highlight w:val="none"/>
                      <w:u w:val="none" w:color="auto"/>
                      <w:lang w:val="en-US" w:eastAsia="zh-CN"/>
                    </w:rPr>
                  </w:pPr>
                  <w:r>
                    <w:rPr>
                      <w:rFonts w:hint="eastAsia" w:eastAsia="宋体"/>
                      <w:color w:val="auto"/>
                      <w:sz w:val="21"/>
                      <w:szCs w:val="21"/>
                      <w:highlight w:val="none"/>
                      <w:u w:val="none" w:color="auto"/>
                      <w:lang w:val="en-US" w:eastAsia="zh-CN"/>
                    </w:rPr>
                    <w:t>未建，已列入</w:t>
                  </w:r>
                  <w:r>
                    <w:rPr>
                      <w:rFonts w:hint="eastAsia"/>
                      <w:color w:val="auto"/>
                      <w:sz w:val="21"/>
                      <w:szCs w:val="21"/>
                      <w:highlight w:val="none"/>
                      <w:u w:val="none" w:color="auto"/>
                      <w:lang w:val="en-US" w:eastAsia="zh-CN"/>
                    </w:rPr>
                    <w:t>在建工程环保投资，不计入本项目投资</w:t>
                  </w:r>
                </w:p>
              </w:tc>
            </w:tr>
            <w:tr w14:paraId="36EA2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 w:type="pct"/>
                  <w:vMerge w:val="continue"/>
                  <w:tcBorders>
                    <w:tl2br w:val="nil"/>
                    <w:tr2bl w:val="nil"/>
                  </w:tcBorders>
                  <w:noWrap w:val="0"/>
                  <w:vAlign w:val="center"/>
                </w:tcPr>
                <w:p w14:paraId="6D3B6076">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color w:val="auto"/>
                      <w:sz w:val="21"/>
                      <w:szCs w:val="21"/>
                      <w:highlight w:val="none"/>
                      <w:u w:val="none" w:color="auto"/>
                    </w:rPr>
                  </w:pPr>
                </w:p>
              </w:tc>
              <w:tc>
                <w:tcPr>
                  <w:tcW w:w="444" w:type="pct"/>
                  <w:tcBorders>
                    <w:tl2br w:val="nil"/>
                    <w:tr2bl w:val="nil"/>
                  </w:tcBorders>
                  <w:noWrap w:val="0"/>
                  <w:vAlign w:val="center"/>
                </w:tcPr>
                <w:p w14:paraId="5E37E91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u w:val="none" w:color="auto"/>
                      <w:lang w:val="en-US" w:eastAsia="zh-CN" w:bidi="ar-SA"/>
                    </w:rPr>
                  </w:pPr>
                  <w:r>
                    <w:rPr>
                      <w:rFonts w:hint="eastAsia"/>
                      <w:bCs/>
                      <w:color w:val="auto"/>
                      <w:sz w:val="21"/>
                      <w:szCs w:val="21"/>
                      <w:highlight w:val="none"/>
                      <w:u w:val="none" w:color="auto"/>
                    </w:rPr>
                    <w:t>焊接烟尘</w:t>
                  </w:r>
                </w:p>
              </w:tc>
              <w:tc>
                <w:tcPr>
                  <w:tcW w:w="2006" w:type="pct"/>
                  <w:tcBorders>
                    <w:tl2br w:val="nil"/>
                    <w:tr2bl w:val="nil"/>
                  </w:tcBorders>
                  <w:noWrap w:val="0"/>
                  <w:vAlign w:val="center"/>
                </w:tcPr>
                <w:p w14:paraId="5061648D">
                  <w:pPr>
                    <w:pStyle w:val="91"/>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Cs/>
                      <w:color w:val="auto"/>
                      <w:kern w:val="2"/>
                      <w:sz w:val="21"/>
                      <w:szCs w:val="21"/>
                      <w:highlight w:val="none"/>
                      <w:u w:val="none" w:color="auto"/>
                      <w:lang w:val="en-US" w:eastAsia="zh-CN" w:bidi="ar-SA"/>
                    </w:rPr>
                  </w:pPr>
                  <w:r>
                    <w:rPr>
                      <w:rFonts w:hint="eastAsia"/>
                      <w:color w:val="auto"/>
                      <w:sz w:val="21"/>
                      <w:szCs w:val="21"/>
                      <w:highlight w:val="none"/>
                      <w:u w:val="none" w:color="auto"/>
                      <w:vertAlign w:val="baseline"/>
                      <w:lang w:val="en-US" w:eastAsia="zh-CN"/>
                    </w:rPr>
                    <w:t>移动式焊机烟尘净化器</w:t>
                  </w:r>
                </w:p>
              </w:tc>
              <w:tc>
                <w:tcPr>
                  <w:tcW w:w="553" w:type="pct"/>
                  <w:tcBorders>
                    <w:tl2br w:val="nil"/>
                    <w:tr2bl w:val="nil"/>
                  </w:tcBorders>
                  <w:noWrap w:val="0"/>
                  <w:vAlign w:val="center"/>
                </w:tcPr>
                <w:p w14:paraId="700DBCBC">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2</w:t>
                  </w:r>
                </w:p>
              </w:tc>
              <w:tc>
                <w:tcPr>
                  <w:tcW w:w="1700" w:type="pct"/>
                  <w:tcBorders>
                    <w:tl2br w:val="nil"/>
                    <w:tr2bl w:val="nil"/>
                  </w:tcBorders>
                  <w:noWrap w:val="0"/>
                  <w:vAlign w:val="center"/>
                </w:tcPr>
                <w:p w14:paraId="7F24A469">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000000" w:themeColor="text1"/>
                      <w:spacing w:val="0"/>
                      <w:position w:val="0"/>
                      <w:sz w:val="21"/>
                      <w:szCs w:val="21"/>
                      <w:u w:val="none" w:color="auto"/>
                      <w:lang w:val="en-US" w:eastAsia="zh-CN"/>
                      <w14:textFill>
                        <w14:solidFill>
                          <w14:schemeClr w14:val="tx1"/>
                        </w14:solidFill>
                      </w14:textFill>
                    </w:rPr>
                    <w:t>新增</w:t>
                  </w:r>
                </w:p>
              </w:tc>
            </w:tr>
            <w:tr w14:paraId="78AED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294" w:type="pct"/>
                  <w:tcBorders>
                    <w:tl2br w:val="nil"/>
                    <w:tr2bl w:val="nil"/>
                  </w:tcBorders>
                  <w:noWrap w:val="0"/>
                  <w:vAlign w:val="center"/>
                </w:tcPr>
                <w:p w14:paraId="2D0A82AD">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废水</w:t>
                  </w:r>
                </w:p>
              </w:tc>
              <w:tc>
                <w:tcPr>
                  <w:tcW w:w="444" w:type="pct"/>
                  <w:tcBorders>
                    <w:tl2br w:val="nil"/>
                    <w:tr2bl w:val="nil"/>
                  </w:tcBorders>
                  <w:noWrap w:val="0"/>
                  <w:vAlign w:val="center"/>
                </w:tcPr>
                <w:p w14:paraId="2D1F3DD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bCs/>
                      <w:color w:val="auto"/>
                      <w:sz w:val="21"/>
                      <w:szCs w:val="21"/>
                      <w:highlight w:val="none"/>
                      <w:u w:val="none" w:color="auto"/>
                      <w:lang w:val="en-US" w:eastAsia="zh-CN"/>
                    </w:rPr>
                  </w:pPr>
                  <w:r>
                    <w:rPr>
                      <w:rFonts w:hint="eastAsia"/>
                      <w:bCs/>
                      <w:color w:val="auto"/>
                      <w:sz w:val="21"/>
                      <w:szCs w:val="21"/>
                      <w:highlight w:val="none"/>
                      <w:u w:val="none" w:color="auto"/>
                      <w:lang w:val="en-US" w:eastAsia="zh-CN"/>
                    </w:rPr>
                    <w:t>生活污水</w:t>
                  </w:r>
                </w:p>
              </w:tc>
              <w:tc>
                <w:tcPr>
                  <w:tcW w:w="2006" w:type="pct"/>
                  <w:tcBorders>
                    <w:tl2br w:val="nil"/>
                    <w:tr2bl w:val="nil"/>
                  </w:tcBorders>
                  <w:noWrap w:val="0"/>
                  <w:vAlign w:val="center"/>
                </w:tcPr>
                <w:p w14:paraId="685CBC68">
                  <w:pPr>
                    <w:pStyle w:val="91"/>
                    <w:keepNext w:val="0"/>
                    <w:keepLines w:val="0"/>
                    <w:suppressLineNumbers w:val="0"/>
                    <w:bidi w:val="0"/>
                    <w:spacing w:before="0" w:beforeAutospacing="0" w:after="0" w:afterAutospacing="0"/>
                    <w:ind w:left="0" w:right="0"/>
                    <w:jc w:val="center"/>
                    <w:rPr>
                      <w:rFonts w:hint="default"/>
                      <w:color w:val="auto"/>
                      <w:sz w:val="21"/>
                      <w:szCs w:val="21"/>
                      <w:highlight w:val="none"/>
                      <w:u w:val="none" w:color="auto"/>
                      <w:vertAlign w:val="baseline"/>
                      <w:lang w:val="en-US" w:eastAsia="zh-CN"/>
                    </w:rPr>
                  </w:pPr>
                  <w:r>
                    <w:rPr>
                      <w:rFonts w:hint="eastAsia"/>
                      <w:color w:val="auto"/>
                      <w:sz w:val="21"/>
                      <w:szCs w:val="21"/>
                      <w:highlight w:val="none"/>
                      <w:u w:val="none" w:color="auto"/>
                      <w:vertAlign w:val="baseline"/>
                      <w:lang w:val="en-US" w:eastAsia="zh-CN"/>
                    </w:rPr>
                    <w:t>隔油池、化粪池</w:t>
                  </w:r>
                </w:p>
              </w:tc>
              <w:tc>
                <w:tcPr>
                  <w:tcW w:w="553" w:type="pct"/>
                  <w:tcBorders>
                    <w:tl2br w:val="nil"/>
                    <w:tr2bl w:val="nil"/>
                  </w:tcBorders>
                  <w:noWrap w:val="0"/>
                  <w:vAlign w:val="center"/>
                </w:tcPr>
                <w:p w14:paraId="5BC15DF8">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1700" w:type="pct"/>
                  <w:tcBorders>
                    <w:tl2br w:val="nil"/>
                    <w:tr2bl w:val="nil"/>
                  </w:tcBorders>
                  <w:noWrap w:val="0"/>
                  <w:vAlign w:val="center"/>
                </w:tcPr>
                <w:p w14:paraId="454E87F2">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已建，依托，不计入本项目投资</w:t>
                  </w:r>
                </w:p>
              </w:tc>
            </w:tr>
            <w:tr w14:paraId="1DD72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 w:type="pct"/>
                  <w:tcBorders>
                    <w:tl2br w:val="nil"/>
                    <w:tr2bl w:val="nil"/>
                  </w:tcBorders>
                  <w:noWrap w:val="0"/>
                  <w:vAlign w:val="center"/>
                </w:tcPr>
                <w:p w14:paraId="19B85E00">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color w:val="auto"/>
                      <w:sz w:val="21"/>
                      <w:szCs w:val="21"/>
                      <w:highlight w:val="none"/>
                      <w:u w:val="none" w:color="auto"/>
                    </w:rPr>
                  </w:pPr>
                  <w:r>
                    <w:rPr>
                      <w:rFonts w:hint="eastAsia"/>
                      <w:color w:val="auto"/>
                      <w:sz w:val="21"/>
                      <w:szCs w:val="21"/>
                      <w:highlight w:val="none"/>
                      <w:u w:val="none" w:color="auto"/>
                    </w:rPr>
                    <w:t>噪声</w:t>
                  </w:r>
                </w:p>
              </w:tc>
              <w:tc>
                <w:tcPr>
                  <w:tcW w:w="444" w:type="pct"/>
                  <w:tcBorders>
                    <w:tl2br w:val="nil"/>
                    <w:tr2bl w:val="nil"/>
                  </w:tcBorders>
                  <w:noWrap w:val="0"/>
                  <w:vAlign w:val="center"/>
                </w:tcPr>
                <w:p w14:paraId="10E08839">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eastAsia" w:eastAsia="宋体"/>
                      <w:color w:val="auto"/>
                      <w:sz w:val="21"/>
                      <w:szCs w:val="21"/>
                      <w:highlight w:val="none"/>
                      <w:u w:val="none" w:color="auto"/>
                      <w:lang w:val="en-US" w:eastAsia="zh-CN"/>
                    </w:rPr>
                  </w:pPr>
                  <w:r>
                    <w:rPr>
                      <w:rFonts w:hint="eastAsia"/>
                      <w:color w:val="auto"/>
                      <w:sz w:val="21"/>
                      <w:szCs w:val="21"/>
                      <w:highlight w:val="none"/>
                      <w:u w:val="none" w:color="auto"/>
                    </w:rPr>
                    <w:t>设备</w:t>
                  </w:r>
                  <w:r>
                    <w:rPr>
                      <w:rFonts w:hint="eastAsia"/>
                      <w:color w:val="auto"/>
                      <w:sz w:val="21"/>
                      <w:szCs w:val="21"/>
                      <w:highlight w:val="none"/>
                      <w:u w:val="none" w:color="auto"/>
                      <w:lang w:val="en-US" w:eastAsia="zh-CN"/>
                    </w:rPr>
                    <w:t>噪声</w:t>
                  </w:r>
                </w:p>
              </w:tc>
              <w:tc>
                <w:tcPr>
                  <w:tcW w:w="2006" w:type="pct"/>
                  <w:tcBorders>
                    <w:tl2br w:val="nil"/>
                    <w:tr2bl w:val="nil"/>
                  </w:tcBorders>
                  <w:noWrap w:val="0"/>
                  <w:vAlign w:val="center"/>
                </w:tcPr>
                <w:p w14:paraId="3DE4C1E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eastAsia"/>
                      <w:color w:val="auto"/>
                      <w:sz w:val="21"/>
                      <w:szCs w:val="21"/>
                      <w:highlight w:val="none"/>
                      <w:u w:val="none" w:color="auto"/>
                    </w:rPr>
                  </w:pPr>
                  <w:r>
                    <w:rPr>
                      <w:rFonts w:hint="eastAsia"/>
                      <w:color w:val="auto"/>
                      <w:sz w:val="21"/>
                      <w:szCs w:val="21"/>
                      <w:highlight w:val="none"/>
                      <w:u w:val="none" w:color="auto"/>
                    </w:rPr>
                    <w:t>选择低噪声设备</w:t>
                  </w:r>
                  <w:r>
                    <w:rPr>
                      <w:rFonts w:hint="eastAsia"/>
                      <w:color w:val="auto"/>
                      <w:sz w:val="21"/>
                      <w:szCs w:val="21"/>
                      <w:highlight w:val="none"/>
                      <w:u w:val="none" w:color="auto"/>
                      <w:lang w:eastAsia="zh-CN"/>
                    </w:rPr>
                    <w:t>、</w:t>
                  </w:r>
                  <w:r>
                    <w:rPr>
                      <w:rFonts w:hint="eastAsia"/>
                      <w:color w:val="auto"/>
                      <w:sz w:val="21"/>
                      <w:szCs w:val="21"/>
                      <w:highlight w:val="none"/>
                      <w:u w:val="none" w:color="auto"/>
                    </w:rPr>
                    <w:t>合理布局</w:t>
                  </w:r>
                  <w:r>
                    <w:rPr>
                      <w:rFonts w:hint="eastAsia"/>
                      <w:color w:val="auto"/>
                      <w:sz w:val="21"/>
                      <w:szCs w:val="21"/>
                      <w:highlight w:val="none"/>
                      <w:u w:val="none" w:color="auto"/>
                      <w:lang w:eastAsia="zh-CN"/>
                    </w:rPr>
                    <w:t>、</w:t>
                  </w:r>
                  <w:r>
                    <w:rPr>
                      <w:rFonts w:hint="eastAsia"/>
                      <w:color w:val="auto"/>
                      <w:sz w:val="21"/>
                      <w:szCs w:val="21"/>
                      <w:highlight w:val="none"/>
                      <w:u w:val="none" w:color="auto"/>
                    </w:rPr>
                    <w:t>基础减震、消声器消声、隔音罩隔音、设备房</w:t>
                  </w:r>
                  <w:r>
                    <w:rPr>
                      <w:rFonts w:hint="eastAsia"/>
                      <w:color w:val="auto"/>
                      <w:sz w:val="21"/>
                      <w:szCs w:val="21"/>
                      <w:highlight w:val="none"/>
                      <w:u w:val="none" w:color="auto"/>
                      <w:lang w:val="en-US" w:eastAsia="zh-CN"/>
                    </w:rPr>
                    <w:t>及厂房</w:t>
                  </w:r>
                  <w:r>
                    <w:rPr>
                      <w:rFonts w:hint="eastAsia"/>
                      <w:color w:val="auto"/>
                      <w:sz w:val="21"/>
                      <w:szCs w:val="21"/>
                      <w:highlight w:val="none"/>
                      <w:u w:val="none" w:color="auto"/>
                    </w:rPr>
                    <w:t>隔声等</w:t>
                  </w:r>
                </w:p>
              </w:tc>
              <w:tc>
                <w:tcPr>
                  <w:tcW w:w="553" w:type="pct"/>
                  <w:tcBorders>
                    <w:tl2br w:val="nil"/>
                    <w:tr2bl w:val="nil"/>
                  </w:tcBorders>
                  <w:noWrap w:val="0"/>
                  <w:vAlign w:val="center"/>
                </w:tcPr>
                <w:p w14:paraId="513A882E">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eastAsia="宋体"/>
                      <w:color w:val="auto"/>
                      <w:sz w:val="21"/>
                      <w:szCs w:val="21"/>
                      <w:highlight w:val="none"/>
                      <w:u w:val="none" w:color="auto"/>
                      <w:lang w:val="en-US" w:eastAsia="zh-CN"/>
                    </w:rPr>
                  </w:pPr>
                  <w:r>
                    <w:rPr>
                      <w:rFonts w:hint="eastAsia" w:eastAsia="宋体"/>
                      <w:color w:val="auto"/>
                      <w:sz w:val="21"/>
                      <w:szCs w:val="21"/>
                      <w:highlight w:val="none"/>
                      <w:u w:val="none" w:color="auto"/>
                      <w:lang w:val="en-US" w:eastAsia="zh-CN"/>
                    </w:rPr>
                    <w:t>5</w:t>
                  </w:r>
                </w:p>
              </w:tc>
              <w:tc>
                <w:tcPr>
                  <w:tcW w:w="1700" w:type="pct"/>
                  <w:tcBorders>
                    <w:tl2br w:val="nil"/>
                    <w:tr2bl w:val="nil"/>
                  </w:tcBorders>
                  <w:noWrap w:val="0"/>
                  <w:vAlign w:val="center"/>
                </w:tcPr>
                <w:p w14:paraId="2B61D3CA">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color w:val="auto"/>
                      <w:sz w:val="21"/>
                      <w:szCs w:val="21"/>
                      <w:highlight w:val="none"/>
                      <w:u w:val="none" w:color="auto"/>
                      <w:lang w:val="en-US" w:eastAsia="zh-CN"/>
                    </w:rPr>
                  </w:pPr>
                  <w:r>
                    <w:rPr>
                      <w:rFonts w:hint="eastAsia" w:cs="Times New Roman"/>
                      <w:color w:val="000000" w:themeColor="text1"/>
                      <w:spacing w:val="0"/>
                      <w:position w:val="0"/>
                      <w:sz w:val="21"/>
                      <w:szCs w:val="21"/>
                      <w:u w:val="none" w:color="auto"/>
                      <w:lang w:val="en-US" w:eastAsia="zh-CN"/>
                      <w14:textFill>
                        <w14:solidFill>
                          <w14:schemeClr w14:val="tx1"/>
                        </w14:solidFill>
                      </w14:textFill>
                    </w:rPr>
                    <w:t>新增</w:t>
                  </w:r>
                </w:p>
              </w:tc>
            </w:tr>
            <w:tr w14:paraId="7D0A5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 w:type="pct"/>
                  <w:vMerge w:val="restart"/>
                  <w:tcBorders>
                    <w:tl2br w:val="nil"/>
                    <w:tr2bl w:val="nil"/>
                  </w:tcBorders>
                  <w:noWrap w:val="0"/>
                  <w:vAlign w:val="center"/>
                </w:tcPr>
                <w:p w14:paraId="4DAF8E01">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color w:val="auto"/>
                      <w:sz w:val="21"/>
                      <w:szCs w:val="21"/>
                      <w:highlight w:val="none"/>
                      <w:u w:val="none" w:color="auto"/>
                    </w:rPr>
                  </w:pPr>
                  <w:r>
                    <w:rPr>
                      <w:rFonts w:hint="eastAsia"/>
                      <w:color w:val="auto"/>
                      <w:sz w:val="21"/>
                      <w:szCs w:val="21"/>
                      <w:highlight w:val="none"/>
                      <w:u w:val="none" w:color="auto"/>
                    </w:rPr>
                    <w:t>固废</w:t>
                  </w:r>
                </w:p>
              </w:tc>
              <w:tc>
                <w:tcPr>
                  <w:tcW w:w="444" w:type="pct"/>
                  <w:tcBorders>
                    <w:tl2br w:val="nil"/>
                    <w:tr2bl w:val="nil"/>
                  </w:tcBorders>
                  <w:noWrap w:val="0"/>
                  <w:vAlign w:val="center"/>
                </w:tcPr>
                <w:p w14:paraId="46DA2512">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color w:val="auto"/>
                      <w:sz w:val="21"/>
                      <w:szCs w:val="21"/>
                      <w:highlight w:val="none"/>
                      <w:u w:val="none" w:color="auto"/>
                    </w:rPr>
                  </w:pPr>
                  <w:r>
                    <w:rPr>
                      <w:rFonts w:hint="eastAsia"/>
                      <w:color w:val="auto"/>
                      <w:sz w:val="21"/>
                      <w:szCs w:val="21"/>
                      <w:highlight w:val="none"/>
                      <w:u w:val="none" w:color="auto"/>
                    </w:rPr>
                    <w:t>危险固废</w:t>
                  </w:r>
                </w:p>
              </w:tc>
              <w:tc>
                <w:tcPr>
                  <w:tcW w:w="2006" w:type="pct"/>
                  <w:tcBorders>
                    <w:tl2br w:val="nil"/>
                    <w:tr2bl w:val="nil"/>
                  </w:tcBorders>
                  <w:noWrap w:val="0"/>
                  <w:vAlign w:val="center"/>
                </w:tcPr>
                <w:p w14:paraId="0A9ACFB5">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eastAsia="宋体"/>
                      <w:color w:val="auto"/>
                      <w:sz w:val="21"/>
                      <w:szCs w:val="21"/>
                      <w:highlight w:val="none"/>
                      <w:u w:val="none" w:color="auto"/>
                      <w:lang w:eastAsia="zh-CN"/>
                    </w:rPr>
                  </w:pPr>
                  <w:r>
                    <w:rPr>
                      <w:rFonts w:hint="eastAsia"/>
                      <w:color w:val="auto"/>
                      <w:sz w:val="21"/>
                      <w:szCs w:val="21"/>
                      <w:highlight w:val="none"/>
                      <w:u w:val="none" w:color="auto"/>
                    </w:rPr>
                    <w:t>按照危废暂存要求设置危废暂存间（面积</w:t>
                  </w:r>
                  <w:r>
                    <w:rPr>
                      <w:rFonts w:hint="eastAsia"/>
                      <w:color w:val="auto"/>
                      <w:sz w:val="21"/>
                      <w:szCs w:val="21"/>
                      <w:highlight w:val="none"/>
                      <w:u w:val="none" w:color="auto"/>
                      <w:lang w:val="en-US" w:eastAsia="zh-CN"/>
                    </w:rPr>
                    <w:t>20</w:t>
                  </w:r>
                  <w:r>
                    <w:rPr>
                      <w:rFonts w:hint="default"/>
                      <w:color w:val="auto"/>
                      <w:sz w:val="21"/>
                      <w:szCs w:val="21"/>
                      <w:highlight w:val="none"/>
                      <w:u w:val="none" w:color="auto"/>
                    </w:rPr>
                    <w:t>m</w:t>
                  </w:r>
                  <w:r>
                    <w:rPr>
                      <w:rFonts w:hint="default"/>
                      <w:color w:val="auto"/>
                      <w:sz w:val="21"/>
                      <w:szCs w:val="21"/>
                      <w:highlight w:val="none"/>
                      <w:u w:val="none" w:color="auto"/>
                      <w:vertAlign w:val="superscript"/>
                    </w:rPr>
                    <w:t>2</w:t>
                  </w:r>
                  <w:r>
                    <w:rPr>
                      <w:rFonts w:hint="eastAsia"/>
                      <w:color w:val="auto"/>
                      <w:sz w:val="21"/>
                      <w:szCs w:val="21"/>
                      <w:highlight w:val="none"/>
                      <w:u w:val="none" w:color="auto"/>
                    </w:rPr>
                    <w:t>）集中收集</w:t>
                  </w:r>
                  <w:r>
                    <w:rPr>
                      <w:rFonts w:hint="eastAsia"/>
                      <w:color w:val="auto"/>
                      <w:sz w:val="21"/>
                      <w:szCs w:val="21"/>
                      <w:highlight w:val="none"/>
                      <w:u w:val="none" w:color="auto"/>
                      <w:lang w:val="en-US" w:eastAsia="zh-CN"/>
                    </w:rPr>
                    <w:t>后</w:t>
                  </w:r>
                  <w:r>
                    <w:rPr>
                      <w:rFonts w:hint="eastAsia"/>
                      <w:color w:val="auto"/>
                      <w:sz w:val="21"/>
                      <w:szCs w:val="21"/>
                      <w:highlight w:val="none"/>
                      <w:u w:val="none" w:color="auto"/>
                    </w:rPr>
                    <w:t>并定期交有资质的单位处置</w:t>
                  </w:r>
                </w:p>
              </w:tc>
              <w:tc>
                <w:tcPr>
                  <w:tcW w:w="553" w:type="pct"/>
                  <w:tcBorders>
                    <w:tl2br w:val="nil"/>
                    <w:tr2bl w:val="nil"/>
                  </w:tcBorders>
                  <w:noWrap w:val="0"/>
                  <w:vAlign w:val="center"/>
                </w:tcPr>
                <w:p w14:paraId="07377A1B">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1700" w:type="pct"/>
                  <w:tcBorders>
                    <w:tl2br w:val="nil"/>
                    <w:tr2bl w:val="nil"/>
                  </w:tcBorders>
                  <w:noWrap w:val="0"/>
                  <w:vAlign w:val="center"/>
                </w:tcPr>
                <w:p w14:paraId="19FB60A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已建，依托，不计入本项目投资</w:t>
                  </w:r>
                </w:p>
              </w:tc>
            </w:tr>
            <w:tr w14:paraId="7871D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 w:type="pct"/>
                  <w:vMerge w:val="continue"/>
                  <w:tcBorders>
                    <w:tl2br w:val="nil"/>
                    <w:tr2bl w:val="nil"/>
                  </w:tcBorders>
                  <w:noWrap w:val="0"/>
                  <w:vAlign w:val="center"/>
                </w:tcPr>
                <w:p w14:paraId="006F4FA6">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color w:val="auto"/>
                      <w:sz w:val="21"/>
                      <w:szCs w:val="21"/>
                      <w:highlight w:val="none"/>
                      <w:u w:val="none" w:color="auto"/>
                    </w:rPr>
                  </w:pPr>
                </w:p>
              </w:tc>
              <w:tc>
                <w:tcPr>
                  <w:tcW w:w="444" w:type="pct"/>
                  <w:tcBorders>
                    <w:tl2br w:val="nil"/>
                    <w:tr2bl w:val="nil"/>
                  </w:tcBorders>
                  <w:noWrap w:val="0"/>
                  <w:vAlign w:val="center"/>
                </w:tcPr>
                <w:p w14:paraId="75DEADD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eastAsia"/>
                      <w:color w:val="auto"/>
                      <w:sz w:val="21"/>
                      <w:szCs w:val="21"/>
                      <w:highlight w:val="none"/>
                      <w:u w:val="none" w:color="auto"/>
                    </w:rPr>
                  </w:pPr>
                  <w:r>
                    <w:rPr>
                      <w:rFonts w:hint="eastAsia"/>
                      <w:color w:val="auto"/>
                      <w:sz w:val="21"/>
                      <w:szCs w:val="21"/>
                      <w:highlight w:val="none"/>
                      <w:u w:val="none" w:color="auto"/>
                    </w:rPr>
                    <w:t>一般固废</w:t>
                  </w:r>
                </w:p>
              </w:tc>
              <w:tc>
                <w:tcPr>
                  <w:tcW w:w="2006" w:type="pct"/>
                  <w:tcBorders>
                    <w:tl2br w:val="nil"/>
                    <w:tr2bl w:val="nil"/>
                  </w:tcBorders>
                  <w:noWrap w:val="0"/>
                  <w:vAlign w:val="center"/>
                </w:tcPr>
                <w:p w14:paraId="5CD96084">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eastAsia"/>
                      <w:color w:val="auto"/>
                      <w:sz w:val="21"/>
                      <w:szCs w:val="21"/>
                      <w:highlight w:val="none"/>
                      <w:u w:val="none" w:color="auto"/>
                    </w:rPr>
                  </w:pPr>
                  <w:r>
                    <w:rPr>
                      <w:rFonts w:hint="eastAsia" w:hAnsi="宋体"/>
                      <w:color w:val="auto"/>
                      <w:sz w:val="21"/>
                      <w:szCs w:val="21"/>
                      <w:highlight w:val="none"/>
                      <w:u w:val="none" w:color="auto"/>
                    </w:rPr>
                    <w:t>设一般固废暂存</w:t>
                  </w:r>
                  <w:r>
                    <w:rPr>
                      <w:rFonts w:hint="eastAsia" w:hAnsi="宋体"/>
                      <w:color w:val="auto"/>
                      <w:sz w:val="21"/>
                      <w:szCs w:val="21"/>
                      <w:highlight w:val="none"/>
                      <w:u w:val="none" w:color="auto"/>
                      <w:lang w:val="en-US" w:eastAsia="zh-CN"/>
                    </w:rPr>
                    <w:t>间</w:t>
                  </w:r>
                  <w:r>
                    <w:rPr>
                      <w:rFonts w:hint="eastAsia"/>
                      <w:color w:val="auto"/>
                      <w:sz w:val="21"/>
                      <w:szCs w:val="21"/>
                      <w:highlight w:val="none"/>
                      <w:u w:val="none" w:color="auto"/>
                    </w:rPr>
                    <w:t>（面积</w:t>
                  </w:r>
                  <w:r>
                    <w:rPr>
                      <w:rFonts w:hint="eastAsia"/>
                      <w:color w:val="auto"/>
                      <w:sz w:val="21"/>
                      <w:szCs w:val="21"/>
                      <w:highlight w:val="none"/>
                      <w:u w:val="none" w:color="auto"/>
                      <w:lang w:val="en-US" w:eastAsia="zh-CN"/>
                    </w:rPr>
                    <w:t>30</w:t>
                  </w:r>
                  <w:r>
                    <w:rPr>
                      <w:rFonts w:hint="default"/>
                      <w:color w:val="auto"/>
                      <w:sz w:val="21"/>
                      <w:szCs w:val="21"/>
                      <w:highlight w:val="none"/>
                      <w:u w:val="none" w:color="auto"/>
                    </w:rPr>
                    <w:t>m</w:t>
                  </w:r>
                  <w:r>
                    <w:rPr>
                      <w:rFonts w:hint="default"/>
                      <w:color w:val="auto"/>
                      <w:sz w:val="21"/>
                      <w:szCs w:val="21"/>
                      <w:highlight w:val="none"/>
                      <w:u w:val="none" w:color="auto"/>
                      <w:vertAlign w:val="superscript"/>
                    </w:rPr>
                    <w:t>2</w:t>
                  </w:r>
                  <w:r>
                    <w:rPr>
                      <w:rFonts w:hint="eastAsia"/>
                      <w:color w:val="auto"/>
                      <w:sz w:val="21"/>
                      <w:szCs w:val="21"/>
                      <w:highlight w:val="none"/>
                      <w:u w:val="none" w:color="auto"/>
                    </w:rPr>
                    <w:t>）收集生产过程中产生的一般固废</w:t>
                  </w:r>
                  <w:r>
                    <w:rPr>
                      <w:rFonts w:hint="eastAsia"/>
                      <w:color w:val="auto"/>
                      <w:sz w:val="21"/>
                      <w:szCs w:val="21"/>
                      <w:highlight w:val="none"/>
                      <w:u w:val="none" w:color="auto"/>
                      <w:lang w:val="en-US" w:eastAsia="zh-CN"/>
                    </w:rPr>
                    <w:t>后，</w:t>
                  </w:r>
                  <w:r>
                    <w:rPr>
                      <w:rFonts w:hint="eastAsia"/>
                      <w:color w:val="auto"/>
                      <w:sz w:val="21"/>
                      <w:szCs w:val="21"/>
                      <w:highlight w:val="none"/>
                      <w:u w:val="none" w:color="auto"/>
                    </w:rPr>
                    <w:t>外售综合利用</w:t>
                  </w:r>
                </w:p>
              </w:tc>
              <w:tc>
                <w:tcPr>
                  <w:tcW w:w="553" w:type="pct"/>
                  <w:tcBorders>
                    <w:tl2br w:val="nil"/>
                    <w:tr2bl w:val="nil"/>
                  </w:tcBorders>
                  <w:noWrap w:val="0"/>
                  <w:vAlign w:val="center"/>
                </w:tcPr>
                <w:p w14:paraId="1A8001D9">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w:t>
                  </w:r>
                </w:p>
              </w:tc>
              <w:tc>
                <w:tcPr>
                  <w:tcW w:w="1700" w:type="pct"/>
                  <w:tcBorders>
                    <w:tl2br w:val="nil"/>
                    <w:tr2bl w:val="nil"/>
                  </w:tcBorders>
                  <w:noWrap w:val="0"/>
                  <w:vAlign w:val="center"/>
                </w:tcPr>
                <w:p w14:paraId="2AEB14F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已建，依托，不计入本项目投资</w:t>
                  </w:r>
                </w:p>
              </w:tc>
            </w:tr>
            <w:tr w14:paraId="3DD8A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 w:type="pct"/>
                  <w:vMerge w:val="continue"/>
                  <w:tcBorders>
                    <w:tl2br w:val="nil"/>
                    <w:tr2bl w:val="nil"/>
                  </w:tcBorders>
                  <w:noWrap w:val="0"/>
                  <w:vAlign w:val="center"/>
                </w:tcPr>
                <w:p w14:paraId="2213BFCE">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eastAsia"/>
                      <w:color w:val="auto"/>
                      <w:sz w:val="21"/>
                      <w:szCs w:val="21"/>
                      <w:highlight w:val="none"/>
                      <w:u w:val="none" w:color="auto"/>
                    </w:rPr>
                  </w:pPr>
                </w:p>
              </w:tc>
              <w:tc>
                <w:tcPr>
                  <w:tcW w:w="444" w:type="pct"/>
                  <w:tcBorders>
                    <w:tl2br w:val="nil"/>
                    <w:tr2bl w:val="nil"/>
                  </w:tcBorders>
                  <w:noWrap w:val="0"/>
                  <w:vAlign w:val="center"/>
                </w:tcPr>
                <w:p w14:paraId="3777070B">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eastAsia"/>
                      <w:color w:val="auto"/>
                      <w:sz w:val="21"/>
                      <w:szCs w:val="21"/>
                      <w:highlight w:val="none"/>
                      <w:u w:val="none" w:color="auto"/>
                    </w:rPr>
                  </w:pPr>
                  <w:r>
                    <w:rPr>
                      <w:rFonts w:hint="eastAsia"/>
                      <w:color w:val="auto"/>
                      <w:sz w:val="21"/>
                      <w:szCs w:val="21"/>
                      <w:highlight w:val="none"/>
                      <w:u w:val="none" w:color="auto"/>
                    </w:rPr>
                    <w:t>生活垃圾</w:t>
                  </w:r>
                </w:p>
              </w:tc>
              <w:tc>
                <w:tcPr>
                  <w:tcW w:w="2006" w:type="pct"/>
                  <w:tcBorders>
                    <w:tl2br w:val="nil"/>
                    <w:tr2bl w:val="nil"/>
                  </w:tcBorders>
                  <w:noWrap w:val="0"/>
                  <w:vAlign w:val="center"/>
                </w:tcPr>
                <w:p w14:paraId="68C3586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eastAsia="宋体"/>
                      <w:color w:val="auto"/>
                      <w:sz w:val="21"/>
                      <w:szCs w:val="21"/>
                      <w:highlight w:val="none"/>
                      <w:u w:val="none" w:color="auto"/>
                      <w:lang w:val="en-US" w:eastAsia="zh-CN"/>
                    </w:rPr>
                  </w:pPr>
                  <w:r>
                    <w:rPr>
                      <w:rFonts w:hint="eastAsia"/>
                      <w:color w:val="auto"/>
                      <w:sz w:val="21"/>
                      <w:szCs w:val="21"/>
                      <w:highlight w:val="none"/>
                      <w:u w:val="none" w:color="auto"/>
                    </w:rPr>
                    <w:t>厂区内设垃圾桶收集后由环卫部门</w:t>
                  </w:r>
                  <w:r>
                    <w:rPr>
                      <w:rFonts w:hint="eastAsia"/>
                      <w:color w:val="auto"/>
                      <w:sz w:val="21"/>
                      <w:szCs w:val="21"/>
                      <w:highlight w:val="none"/>
                      <w:u w:val="none" w:color="auto"/>
                      <w:lang w:val="en-US" w:eastAsia="zh-CN"/>
                    </w:rPr>
                    <w:t>清运</w:t>
                  </w:r>
                </w:p>
              </w:tc>
              <w:tc>
                <w:tcPr>
                  <w:tcW w:w="553" w:type="pct"/>
                  <w:tcBorders>
                    <w:tl2br w:val="nil"/>
                    <w:tr2bl w:val="nil"/>
                  </w:tcBorders>
                  <w:noWrap w:val="0"/>
                  <w:vAlign w:val="center"/>
                </w:tcPr>
                <w:p w14:paraId="0E144CC8">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eastAsia="宋体"/>
                      <w:color w:val="auto"/>
                      <w:sz w:val="21"/>
                      <w:szCs w:val="21"/>
                      <w:highlight w:val="none"/>
                      <w:u w:val="none" w:color="auto"/>
                      <w:lang w:val="en-US" w:eastAsia="zh-CN"/>
                    </w:rPr>
                  </w:pPr>
                  <w:r>
                    <w:rPr>
                      <w:rFonts w:hint="eastAsia"/>
                      <w:color w:val="auto"/>
                      <w:sz w:val="21"/>
                      <w:szCs w:val="21"/>
                      <w:highlight w:val="none"/>
                      <w:u w:val="none" w:color="auto"/>
                      <w:lang w:val="en-US" w:eastAsia="zh-CN"/>
                    </w:rPr>
                    <w:t>1</w:t>
                  </w:r>
                </w:p>
              </w:tc>
              <w:tc>
                <w:tcPr>
                  <w:tcW w:w="1700" w:type="pct"/>
                  <w:tcBorders>
                    <w:tl2br w:val="nil"/>
                    <w:tr2bl w:val="nil"/>
                  </w:tcBorders>
                  <w:noWrap w:val="0"/>
                  <w:vAlign w:val="center"/>
                </w:tcPr>
                <w:p w14:paraId="0BECBEBD">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新增</w:t>
                  </w:r>
                </w:p>
              </w:tc>
            </w:tr>
            <w:tr w14:paraId="519EE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45" w:type="pct"/>
                  <w:gridSpan w:val="3"/>
                  <w:tcBorders>
                    <w:tl2br w:val="nil"/>
                    <w:tr2bl w:val="nil"/>
                  </w:tcBorders>
                  <w:noWrap w:val="0"/>
                  <w:vAlign w:val="center"/>
                </w:tcPr>
                <w:p w14:paraId="6709A2C7">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textAlignment w:val="auto"/>
                    <w:rPr>
                      <w:rFonts w:hint="default"/>
                      <w:color w:val="auto"/>
                      <w:sz w:val="21"/>
                      <w:szCs w:val="21"/>
                      <w:highlight w:val="none"/>
                      <w:u w:val="none" w:color="auto"/>
                    </w:rPr>
                  </w:pPr>
                  <w:r>
                    <w:rPr>
                      <w:rFonts w:hint="default"/>
                      <w:color w:val="auto"/>
                      <w:sz w:val="21"/>
                      <w:szCs w:val="21"/>
                      <w:highlight w:val="none"/>
                      <w:u w:val="none" w:color="auto"/>
                    </w:rPr>
                    <w:t>合计</w:t>
                  </w:r>
                </w:p>
              </w:tc>
              <w:tc>
                <w:tcPr>
                  <w:tcW w:w="553" w:type="pct"/>
                  <w:tcBorders>
                    <w:tl2br w:val="nil"/>
                    <w:tr2bl w:val="nil"/>
                  </w:tcBorders>
                  <w:noWrap w:val="0"/>
                  <w:vAlign w:val="center"/>
                </w:tcPr>
                <w:p w14:paraId="7628B909">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eastAsia="宋体"/>
                      <w:color w:val="auto"/>
                      <w:sz w:val="21"/>
                      <w:szCs w:val="21"/>
                      <w:highlight w:val="none"/>
                      <w:u w:val="none" w:color="auto"/>
                      <w:lang w:val="en-US" w:eastAsia="zh-CN"/>
                    </w:rPr>
                  </w:pPr>
                  <w:r>
                    <w:rPr>
                      <w:rFonts w:hint="eastAsia" w:eastAsia="宋体"/>
                      <w:color w:val="auto"/>
                      <w:sz w:val="21"/>
                      <w:szCs w:val="21"/>
                      <w:highlight w:val="none"/>
                      <w:u w:val="none" w:color="auto"/>
                      <w:lang w:val="en-US" w:eastAsia="zh-CN"/>
                    </w:rPr>
                    <w:t>8</w:t>
                  </w:r>
                </w:p>
              </w:tc>
              <w:tc>
                <w:tcPr>
                  <w:tcW w:w="1700" w:type="pct"/>
                  <w:tcBorders>
                    <w:tl2br w:val="nil"/>
                    <w:tr2bl w:val="nil"/>
                  </w:tcBorders>
                  <w:noWrap w:val="0"/>
                  <w:vAlign w:val="center"/>
                </w:tcPr>
                <w:p w14:paraId="402A6087">
                  <w:pPr>
                    <w:pStyle w:val="101"/>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color w:val="auto"/>
                      <w:sz w:val="21"/>
                      <w:szCs w:val="21"/>
                      <w:highlight w:val="none"/>
                      <w:u w:val="none" w:color="auto"/>
                      <w:lang w:val="en-US" w:eastAsia="zh-CN"/>
                    </w:rPr>
                  </w:pPr>
                </w:p>
              </w:tc>
            </w:tr>
          </w:tbl>
          <w:p w14:paraId="7D420C48">
            <w:pPr>
              <w:pStyle w:val="7"/>
              <w:suppressLineNumbers w:val="0"/>
              <w:bidi w:val="0"/>
              <w:spacing w:before="0" w:after="0"/>
              <w:ind w:left="0" w:right="0"/>
              <w:jc w:val="both"/>
              <w:outlineLvl w:val="9"/>
              <w:rPr>
                <w:rFonts w:hint="eastAsia" w:ascii="Times New Roman" w:hAnsi="Times New Roman" w:eastAsia="宋体" w:cs="Times New Roman"/>
                <w:color w:val="000000" w:themeColor="text1"/>
                <w:spacing w:val="0"/>
                <w:position w:val="0"/>
                <w:u w:val="none" w:color="auto"/>
                <w:vertAlign w:val="baseline"/>
                <w:lang w:val="en-US" w:eastAsia="zh-CN"/>
                <w14:textFill>
                  <w14:solidFill>
                    <w14:schemeClr w14:val="tx1"/>
                  </w14:solidFill>
                </w14:textFill>
              </w:rPr>
            </w:pPr>
          </w:p>
        </w:tc>
      </w:tr>
    </w:tbl>
    <w:p w14:paraId="0985CE62">
      <w:pPr>
        <w:pStyle w:val="7"/>
        <w:bidi w:val="0"/>
        <w:jc w:val="both"/>
        <w:outlineLvl w:val="9"/>
        <w:rPr>
          <w:rFonts w:hint="default" w:ascii="Times New Roman" w:hAnsi="Times New Roman" w:eastAsia="宋体" w:cs="Times New Roman"/>
          <w:color w:val="000000" w:themeColor="text1"/>
          <w:spacing w:val="0"/>
          <w:position w:val="0"/>
          <w:u w:val="none" w:color="auto"/>
          <w14:textFill>
            <w14:solidFill>
              <w14:schemeClr w14:val="tx1"/>
            </w14:solidFill>
          </w14:textFill>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83400D1">
      <w:pPr>
        <w:pStyle w:val="6"/>
        <w:bidi w:val="0"/>
        <w:rPr>
          <w:rFonts w:hint="default"/>
        </w:rPr>
      </w:pPr>
      <w:bookmarkStart w:id="19" w:name="_Toc15546"/>
      <w:r>
        <w:rPr>
          <w:rFonts w:hint="default"/>
        </w:rPr>
        <w:t>五、</w:t>
      </w:r>
      <w:bookmarkStart w:id="20" w:name="_Hlk54167917"/>
      <w:r>
        <w:rPr>
          <w:rFonts w:hint="default"/>
        </w:rPr>
        <w:t>环境保护措施监督检查清单</w:t>
      </w:r>
      <w:bookmarkEnd w:id="19"/>
      <w:bookmarkEnd w:id="20"/>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333"/>
        <w:gridCol w:w="1592"/>
        <w:gridCol w:w="1919"/>
        <w:gridCol w:w="2370"/>
      </w:tblGrid>
      <w:tr w14:paraId="73B3A8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tcBorders>
              <w:tl2br w:val="single" w:color="auto" w:sz="4" w:space="0"/>
            </w:tcBorders>
            <w:noWrap w:val="0"/>
            <w:vAlign w:val="top"/>
          </w:tcPr>
          <w:p w14:paraId="4BA22C8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right"/>
              <w:textAlignment w:val="auto"/>
              <w:outlineLvl w:val="9"/>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内容</w:t>
            </w:r>
          </w:p>
          <w:p w14:paraId="675F14A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outlineLvl w:val="9"/>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要素</w:t>
            </w:r>
          </w:p>
        </w:tc>
        <w:tc>
          <w:tcPr>
            <w:tcW w:w="1262" w:type="pct"/>
            <w:noWrap w:val="0"/>
            <w:vAlign w:val="center"/>
          </w:tcPr>
          <w:p w14:paraId="736225E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排放口</w:t>
            </w:r>
            <w:r>
              <w:rPr>
                <w:rFonts w:hint="default" w:ascii="Times New Roman" w:hAnsi="Times New Roman" w:eastAsia="宋体" w:cs="Times New Roman"/>
                <w:b/>
                <w:bCs/>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编号、名称</w:t>
            </w:r>
            <w:r>
              <w:rPr>
                <w:rFonts w:hint="default" w:ascii="Times New Roman" w:hAnsi="Times New Roman" w:eastAsia="宋体" w:cs="Times New Roman"/>
                <w:b/>
                <w:bCs/>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/污染源</w:t>
            </w:r>
          </w:p>
        </w:tc>
        <w:tc>
          <w:tcPr>
            <w:tcW w:w="861" w:type="pct"/>
            <w:noWrap w:val="0"/>
            <w:vAlign w:val="center"/>
          </w:tcPr>
          <w:p w14:paraId="1A332D3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污染物项目</w:t>
            </w:r>
          </w:p>
        </w:tc>
        <w:tc>
          <w:tcPr>
            <w:tcW w:w="1038" w:type="pct"/>
            <w:noWrap w:val="0"/>
            <w:vAlign w:val="center"/>
          </w:tcPr>
          <w:p w14:paraId="7758A5F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环境保护措施</w:t>
            </w:r>
          </w:p>
        </w:tc>
        <w:tc>
          <w:tcPr>
            <w:tcW w:w="1282" w:type="pct"/>
            <w:noWrap w:val="0"/>
            <w:vAlign w:val="center"/>
          </w:tcPr>
          <w:p w14:paraId="2D284D1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u w:val="none" w:color="auto"/>
                <w14:textFill>
                  <w14:solidFill>
                    <w14:schemeClr w14:val="tx1"/>
                  </w14:solidFill>
                </w14:textFill>
              </w:rPr>
              <w:t>执行标准</w:t>
            </w:r>
          </w:p>
        </w:tc>
      </w:tr>
      <w:tr w14:paraId="04D64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Merge w:val="restart"/>
            <w:noWrap w:val="0"/>
            <w:vAlign w:val="center"/>
          </w:tcPr>
          <w:p w14:paraId="16F7FF1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t>大气环境</w:t>
            </w:r>
          </w:p>
        </w:tc>
        <w:tc>
          <w:tcPr>
            <w:tcW w:w="1262" w:type="pct"/>
            <w:noWrap w:val="0"/>
            <w:vAlign w:val="center"/>
          </w:tcPr>
          <w:p w14:paraId="095363E4">
            <w:pPr>
              <w:pStyle w:val="44"/>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line="240" w:lineRule="auto"/>
              <w:ind w:left="0" w:right="0" w:firstLine="0" w:firstLineChars="0"/>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auto"/>
                <w:sz w:val="21"/>
                <w:szCs w:val="21"/>
                <w:u w:val="none" w:color="auto"/>
                <w:lang w:val="en-US" w:eastAsia="zh-CN"/>
              </w:rPr>
              <w:t>DA003</w:t>
            </w:r>
            <w:r>
              <w:rPr>
                <w:rFonts w:hint="eastAsia" w:cs="Times New Roman"/>
                <w:color w:val="auto"/>
                <w:sz w:val="21"/>
                <w:szCs w:val="21"/>
                <w:u w:val="none" w:color="auto"/>
                <w:lang w:val="en-US" w:eastAsia="zh-CN"/>
              </w:rPr>
              <w:t>（抛丸粉尘）</w:t>
            </w:r>
          </w:p>
        </w:tc>
        <w:tc>
          <w:tcPr>
            <w:tcW w:w="861" w:type="pct"/>
            <w:noWrap w:val="0"/>
            <w:vAlign w:val="center"/>
          </w:tcPr>
          <w:p w14:paraId="3AB6693A">
            <w:pPr>
              <w:pStyle w:val="44"/>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line="240" w:lineRule="auto"/>
              <w:ind w:left="0" w:right="0" w:firstLine="0" w:firstLineChars="0"/>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cs="Times New Roman"/>
                <w:color w:val="auto"/>
                <w:sz w:val="21"/>
                <w:szCs w:val="21"/>
                <w:u w:val="none" w:color="auto"/>
                <w:lang w:val="en-US" w:eastAsia="zh-CN"/>
              </w:rPr>
              <w:t>颗粒物</w:t>
            </w:r>
          </w:p>
        </w:tc>
        <w:tc>
          <w:tcPr>
            <w:tcW w:w="1038" w:type="pct"/>
            <w:noWrap w:val="0"/>
            <w:vAlign w:val="center"/>
          </w:tcPr>
          <w:p w14:paraId="767E3A6F">
            <w:pPr>
              <w:keepNext w:val="0"/>
              <w:keepLines w:val="0"/>
              <w:pageBreakBefore w:val="0"/>
              <w:suppressLineNumbers w:val="0"/>
              <w:kinsoku/>
              <w:wordWrap w:val="0"/>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strike w:val="0"/>
                <w:dstrike w:val="0"/>
                <w:color w:val="auto"/>
                <w:sz w:val="21"/>
                <w:szCs w:val="21"/>
                <w:u w:val="none" w:color="auto"/>
                <w:lang w:val="en-US" w:eastAsia="zh-CN"/>
              </w:rPr>
              <w:t>密闭收集+布袋除尘器</w:t>
            </w:r>
            <w:r>
              <w:rPr>
                <w:rFonts w:hint="eastAsia"/>
                <w:strike w:val="0"/>
                <w:dstrike w:val="0"/>
                <w:color w:val="auto"/>
                <w:sz w:val="21"/>
                <w:szCs w:val="21"/>
                <w:u w:val="none" w:color="auto"/>
              </w:rPr>
              <w:t>（</w:t>
            </w:r>
            <w:r>
              <w:rPr>
                <w:rFonts w:hint="eastAsia"/>
                <w:color w:val="auto"/>
                <w:sz w:val="21"/>
                <w:szCs w:val="21"/>
                <w:highlight w:val="none"/>
                <w:u w:val="none" w:color="auto"/>
                <w:vertAlign w:val="baseline"/>
                <w:lang w:val="en-US" w:eastAsia="zh-CN"/>
              </w:rPr>
              <w:t>（TA003）</w:t>
            </w:r>
            <w:r>
              <w:rPr>
                <w:rFonts w:hint="eastAsia"/>
                <w:strike w:val="0"/>
                <w:dstrike w:val="0"/>
                <w:color w:val="auto"/>
                <w:sz w:val="21"/>
                <w:szCs w:val="21"/>
                <w:u w:val="none" w:color="auto"/>
              </w:rPr>
              <w:t>）</w:t>
            </w:r>
            <w:r>
              <w:rPr>
                <w:rFonts w:hint="eastAsia"/>
                <w:strike w:val="0"/>
                <w:dstrike w:val="0"/>
                <w:color w:val="auto"/>
                <w:sz w:val="21"/>
                <w:szCs w:val="21"/>
                <w:u w:val="none" w:color="auto"/>
                <w:lang w:val="en-US" w:eastAsia="zh-CN"/>
              </w:rPr>
              <w:t>+15m</w:t>
            </w:r>
            <w:r>
              <w:rPr>
                <w:rFonts w:hint="eastAsia"/>
                <w:strike w:val="0"/>
                <w:dstrike w:val="0"/>
                <w:color w:val="auto"/>
                <w:sz w:val="21"/>
                <w:szCs w:val="21"/>
                <w:u w:val="none" w:color="auto"/>
                <w:lang w:eastAsia="zh-CN"/>
              </w:rPr>
              <w:t>排气筒排放</w:t>
            </w:r>
            <w:r>
              <w:rPr>
                <w:rFonts w:hint="eastAsia"/>
                <w:color w:val="auto"/>
                <w:sz w:val="21"/>
                <w:szCs w:val="21"/>
                <w:u w:val="none" w:color="auto"/>
                <w:lang w:val="en-US" w:eastAsia="zh-CN"/>
              </w:rPr>
              <w:t>（DA003）</w:t>
            </w:r>
          </w:p>
        </w:tc>
        <w:tc>
          <w:tcPr>
            <w:tcW w:w="1282" w:type="pct"/>
            <w:noWrap w:val="0"/>
            <w:vAlign w:val="center"/>
          </w:tcPr>
          <w:p w14:paraId="46C1CBA7">
            <w:pPr>
              <w:keepNext w:val="0"/>
              <w:keepLines w:val="0"/>
              <w:pageBreakBefore w:val="0"/>
              <w:suppressLineNumbers w:val="0"/>
              <w:kinsoku/>
              <w:wordWrap w:val="0"/>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auto"/>
                <w:sz w:val="21"/>
                <w:szCs w:val="21"/>
                <w:u w:val="none" w:color="auto"/>
                <w:lang w:val="en-US" w:eastAsia="zh-CN"/>
              </w:rPr>
              <w:t>《大气污染物综合排放标准》（GB16297-1996）表2中二级排放标准</w:t>
            </w:r>
          </w:p>
        </w:tc>
      </w:tr>
      <w:tr w14:paraId="3DBC8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0" w:hRule="atLeast"/>
          <w:jc w:val="center"/>
        </w:trPr>
        <w:tc>
          <w:tcPr>
            <w:tcW w:w="556" w:type="pct"/>
            <w:vMerge w:val="continue"/>
            <w:noWrap w:val="0"/>
            <w:vAlign w:val="center"/>
          </w:tcPr>
          <w:p w14:paraId="7B97559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pPr>
          </w:p>
        </w:tc>
        <w:tc>
          <w:tcPr>
            <w:tcW w:w="1262" w:type="pct"/>
            <w:noWrap w:val="0"/>
            <w:vAlign w:val="center"/>
          </w:tcPr>
          <w:p w14:paraId="67D9896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auto"/>
                <w:sz w:val="21"/>
                <w:szCs w:val="21"/>
                <w:u w:val="none" w:color="auto"/>
                <w:lang w:val="en-US" w:eastAsia="zh-CN"/>
              </w:rPr>
              <w:t>DA002</w:t>
            </w:r>
            <w:r>
              <w:rPr>
                <w:rFonts w:hint="eastAsia" w:cs="Times New Roman"/>
                <w:color w:val="auto"/>
                <w:sz w:val="21"/>
                <w:szCs w:val="21"/>
                <w:u w:val="none" w:color="auto"/>
                <w:lang w:val="en-US" w:eastAsia="zh-CN"/>
              </w:rPr>
              <w:t>（喷漆废气）</w:t>
            </w:r>
          </w:p>
        </w:tc>
        <w:tc>
          <w:tcPr>
            <w:tcW w:w="861" w:type="pct"/>
            <w:noWrap w:val="0"/>
            <w:vAlign w:val="center"/>
          </w:tcPr>
          <w:p w14:paraId="34FF9A5D">
            <w:pPr>
              <w:keepNext w:val="0"/>
              <w:keepLines w:val="0"/>
              <w:pageBreakBefore w:val="0"/>
              <w:suppressLineNumbers w:val="0"/>
              <w:kinsoku/>
              <w:wordWrap w:val="0"/>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cs="Times New Roman"/>
                <w:color w:val="auto"/>
                <w:sz w:val="21"/>
                <w:szCs w:val="21"/>
                <w:u w:val="none" w:color="auto"/>
                <w:lang w:val="en-US" w:eastAsia="zh-CN"/>
              </w:rPr>
              <w:t>颗粒物、二甲苯、</w:t>
            </w:r>
            <w:r>
              <w:rPr>
                <w:rFonts w:hint="eastAsia" w:ascii="Times New Roman" w:hAnsi="Times New Roman" w:eastAsia="宋体" w:cs="Times New Roman"/>
                <w:color w:val="auto"/>
                <w:sz w:val="21"/>
                <w:szCs w:val="21"/>
                <w:u w:val="none" w:color="auto"/>
                <w:lang w:val="en-US" w:eastAsia="zh-CN"/>
              </w:rPr>
              <w:t>VOCs</w:t>
            </w:r>
          </w:p>
        </w:tc>
        <w:tc>
          <w:tcPr>
            <w:tcW w:w="1038" w:type="pct"/>
            <w:noWrap w:val="0"/>
            <w:vAlign w:val="center"/>
          </w:tcPr>
          <w:p w14:paraId="4A69ABEA">
            <w:pPr>
              <w:keepNext w:val="0"/>
              <w:keepLines w:val="0"/>
              <w:pageBreakBefore w:val="0"/>
              <w:suppressLineNumbers w:val="0"/>
              <w:kinsoku/>
              <w:wordWrap w:val="0"/>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color w:val="auto"/>
                <w:sz w:val="21"/>
                <w:szCs w:val="21"/>
                <w:highlight w:val="none"/>
                <w:u w:val="none" w:color="auto"/>
                <w:vertAlign w:val="baseline"/>
                <w:lang w:val="en-US" w:eastAsia="zh-CN"/>
              </w:rPr>
              <w:t>密闭收集+“过滤棉+两级活性炭吸附”（TA002）+</w:t>
            </w:r>
            <w:r>
              <w:rPr>
                <w:rFonts w:hint="eastAsia"/>
                <w:strike w:val="0"/>
                <w:dstrike w:val="0"/>
                <w:color w:val="auto"/>
                <w:sz w:val="21"/>
                <w:szCs w:val="21"/>
                <w:u w:val="none" w:color="auto"/>
                <w:lang w:val="en-US" w:eastAsia="zh-CN"/>
              </w:rPr>
              <w:t>15m</w:t>
            </w:r>
            <w:r>
              <w:rPr>
                <w:rFonts w:hint="eastAsia"/>
                <w:strike w:val="0"/>
                <w:dstrike w:val="0"/>
                <w:color w:val="auto"/>
                <w:sz w:val="21"/>
                <w:szCs w:val="21"/>
                <w:u w:val="none" w:color="auto"/>
                <w:lang w:eastAsia="zh-CN"/>
              </w:rPr>
              <w:t>排气筒排放</w:t>
            </w:r>
            <w:r>
              <w:rPr>
                <w:rFonts w:hint="eastAsia"/>
                <w:color w:val="auto"/>
                <w:sz w:val="21"/>
                <w:szCs w:val="21"/>
                <w:u w:val="none" w:color="auto"/>
                <w:lang w:val="en-US" w:eastAsia="zh-CN"/>
              </w:rPr>
              <w:t>（DA002）</w:t>
            </w:r>
          </w:p>
        </w:tc>
        <w:tc>
          <w:tcPr>
            <w:tcW w:w="1282" w:type="pct"/>
            <w:noWrap w:val="0"/>
            <w:vAlign w:val="center"/>
          </w:tcPr>
          <w:p w14:paraId="25982AAD">
            <w:pPr>
              <w:keepNext w:val="0"/>
              <w:keepLines w:val="0"/>
              <w:pageBreakBefore w:val="0"/>
              <w:suppressLineNumbers w:val="0"/>
              <w:kinsoku/>
              <w:wordWrap w:val="0"/>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color w:val="auto"/>
                <w:sz w:val="21"/>
                <w:szCs w:val="21"/>
                <w:highlight w:val="none"/>
                <w:u w:val="none" w:color="auto"/>
                <w:lang w:val="en-US" w:eastAsia="zh-CN"/>
              </w:rPr>
              <w:t>颗粒物执行</w:t>
            </w:r>
            <w:r>
              <w:rPr>
                <w:rFonts w:hint="default"/>
                <w:color w:val="auto"/>
                <w:sz w:val="21"/>
                <w:szCs w:val="21"/>
                <w:u w:val="none" w:color="auto"/>
              </w:rPr>
              <w:t>《大气污染物综合排放标准》（GB16297-1996）</w:t>
            </w:r>
            <w:r>
              <w:rPr>
                <w:rFonts w:hint="eastAsia"/>
                <w:color w:val="auto"/>
                <w:sz w:val="21"/>
                <w:szCs w:val="21"/>
                <w:u w:val="none" w:color="auto"/>
                <w:lang w:eastAsia="zh-CN"/>
              </w:rPr>
              <w:t>表</w:t>
            </w:r>
            <w:r>
              <w:rPr>
                <w:rFonts w:hint="eastAsia"/>
                <w:color w:val="auto"/>
                <w:sz w:val="21"/>
                <w:szCs w:val="21"/>
                <w:u w:val="none" w:color="auto"/>
                <w:lang w:val="en-US" w:eastAsia="zh-CN"/>
              </w:rPr>
              <w:t>2二级，二甲苯、VOCs执行</w:t>
            </w:r>
            <w:r>
              <w:rPr>
                <w:rFonts w:hint="eastAsia" w:ascii="Times New Roman" w:hAnsi="Times New Roman" w:eastAsia="宋体" w:cs="Times New Roman"/>
                <w:color w:val="auto"/>
                <w:sz w:val="21"/>
                <w:szCs w:val="21"/>
                <w:highlight w:val="none"/>
                <w:u w:val="none" w:color="auto"/>
              </w:rPr>
              <w:t>《表面涂装（汽车制造及维修）挥发性有机物、镍排放标准》（DB43/1356-2017）</w:t>
            </w:r>
            <w:r>
              <w:rPr>
                <w:rFonts w:hint="eastAsia" w:cs="Times New Roman"/>
                <w:color w:val="auto"/>
                <w:sz w:val="21"/>
                <w:szCs w:val="21"/>
                <w:highlight w:val="none"/>
                <w:u w:val="none" w:color="auto"/>
                <w:lang w:val="en-US" w:eastAsia="zh-CN"/>
              </w:rPr>
              <w:t>表1标准</w:t>
            </w:r>
          </w:p>
        </w:tc>
      </w:tr>
      <w:tr w14:paraId="1C5DD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Merge w:val="continue"/>
            <w:noWrap w:val="0"/>
            <w:vAlign w:val="center"/>
          </w:tcPr>
          <w:p w14:paraId="01404D6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pPr>
          </w:p>
        </w:tc>
        <w:tc>
          <w:tcPr>
            <w:tcW w:w="1262" w:type="pct"/>
            <w:noWrap w:val="0"/>
            <w:vAlign w:val="center"/>
          </w:tcPr>
          <w:p w14:paraId="09FBF745">
            <w:pPr>
              <w:pStyle w:val="64"/>
              <w:keepNext w:val="0"/>
              <w:keepLines w:val="0"/>
              <w:pageBreakBefore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0"/>
                <w:position w:val="0"/>
                <w:sz w:val="21"/>
                <w:szCs w:val="21"/>
                <w:u w:val="none" w:color="auto"/>
                <w14:textFill>
                  <w14:solidFill>
                    <w14:schemeClr w14:val="tx1"/>
                  </w14:solidFill>
                </w14:textFill>
              </w:rPr>
              <w:t>厂界</w:t>
            </w:r>
          </w:p>
        </w:tc>
        <w:tc>
          <w:tcPr>
            <w:tcW w:w="861" w:type="pct"/>
            <w:noWrap w:val="0"/>
            <w:vAlign w:val="center"/>
          </w:tcPr>
          <w:p w14:paraId="543A37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颗粒物、非甲烷总烃</w:t>
            </w:r>
          </w:p>
        </w:tc>
        <w:tc>
          <w:tcPr>
            <w:tcW w:w="1038" w:type="pct"/>
            <w:noWrap w:val="0"/>
            <w:vAlign w:val="center"/>
          </w:tcPr>
          <w:p w14:paraId="577BC8EE">
            <w:pPr>
              <w:keepNext w:val="0"/>
              <w:keepLines w:val="0"/>
              <w:pageBreakBefore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u w:val="none" w:color="auto"/>
                <w14:textFill>
                  <w14:solidFill>
                    <w14:schemeClr w14:val="tx1"/>
                  </w14:solidFill>
                </w14:textFill>
              </w:rPr>
              <w:t>提高废气收集效率，减少无组织废气排放</w:t>
            </w:r>
            <w:r>
              <w:rPr>
                <w:rFonts w:hint="eastAsia" w:cs="Times New Roman"/>
                <w:b w:val="0"/>
                <w:bCs w:val="0"/>
                <w:color w:val="000000" w:themeColor="text1"/>
                <w:spacing w:val="0"/>
                <w:kern w:val="0"/>
                <w:position w:val="0"/>
                <w:sz w:val="21"/>
                <w:szCs w:val="21"/>
                <w:u w:val="none" w:color="auto"/>
                <w:lang w:eastAsia="zh-CN"/>
                <w14:textFill>
                  <w14:solidFill>
                    <w14:schemeClr w14:val="tx1"/>
                  </w14:solidFill>
                </w14:textFill>
              </w:rPr>
              <w:t>；</w:t>
            </w:r>
            <w:r>
              <w:rPr>
                <w:rFonts w:hint="default" w:ascii="Times New Roman" w:hAnsi="Times New Roman" w:cs="Times New Roman"/>
                <w:color w:val="auto"/>
                <w:sz w:val="21"/>
                <w:szCs w:val="21"/>
                <w:highlight w:val="none"/>
              </w:rPr>
              <w:t>保持车间通风</w:t>
            </w:r>
            <w:r>
              <w:rPr>
                <w:rFonts w:hint="eastAsia" w:ascii="Times New Roman" w:hAnsi="Times New Roman" w:cs="Times New Roman"/>
                <w:color w:val="auto"/>
                <w:sz w:val="21"/>
                <w:szCs w:val="21"/>
                <w:highlight w:val="none"/>
                <w:lang w:eastAsia="zh-CN"/>
              </w:rPr>
              <w:t>、自然沉降、移动式焊烟除尘器</w:t>
            </w:r>
          </w:p>
        </w:tc>
        <w:tc>
          <w:tcPr>
            <w:tcW w:w="1282" w:type="pct"/>
            <w:noWrap w:val="0"/>
            <w:vAlign w:val="center"/>
          </w:tcPr>
          <w:p w14:paraId="30DCC80B">
            <w:pPr>
              <w:keepNext w:val="0"/>
              <w:keepLines w:val="0"/>
              <w:pageBreakBefore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color w:val="auto"/>
                <w:sz w:val="21"/>
                <w:szCs w:val="21"/>
                <w:u w:val="none" w:color="auto"/>
              </w:rPr>
              <w:t>《大气污染物综合排放标准》（GB16297-1996）</w:t>
            </w:r>
            <w:r>
              <w:rPr>
                <w:rFonts w:hint="eastAsia"/>
                <w:color w:val="auto"/>
                <w:sz w:val="21"/>
                <w:szCs w:val="21"/>
                <w:u w:val="none" w:color="auto"/>
                <w:lang w:eastAsia="zh-CN"/>
              </w:rPr>
              <w:t>表</w:t>
            </w:r>
            <w:r>
              <w:rPr>
                <w:rFonts w:hint="eastAsia"/>
                <w:color w:val="auto"/>
                <w:sz w:val="21"/>
                <w:szCs w:val="21"/>
                <w:u w:val="none" w:color="auto"/>
                <w:lang w:val="en-US" w:eastAsia="zh-CN"/>
              </w:rPr>
              <w:t>2无组织控制要求、</w:t>
            </w:r>
            <w:r>
              <w:rPr>
                <w:rFonts w:hint="eastAsia" w:ascii="Times New Roman" w:hAnsi="Times New Roman" w:eastAsia="宋体" w:cs="Times New Roman"/>
                <w:color w:val="auto"/>
                <w:sz w:val="21"/>
                <w:szCs w:val="21"/>
                <w:highlight w:val="none"/>
                <w:u w:val="none" w:color="auto"/>
              </w:rPr>
              <w:t>《表面涂装（汽车制造及维修）挥发性有机物、镍排放标准》（DB43/1356-2017）</w:t>
            </w:r>
            <w:r>
              <w:rPr>
                <w:rFonts w:hint="eastAsia" w:cs="Times New Roman"/>
                <w:color w:val="auto"/>
                <w:sz w:val="21"/>
                <w:szCs w:val="21"/>
                <w:highlight w:val="none"/>
                <w:u w:val="none" w:color="auto"/>
                <w:lang w:val="en-US" w:eastAsia="zh-CN"/>
              </w:rPr>
              <w:t>表3</w:t>
            </w:r>
          </w:p>
        </w:tc>
      </w:tr>
      <w:tr w14:paraId="1F7B1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Merge w:val="continue"/>
            <w:noWrap w:val="0"/>
            <w:vAlign w:val="center"/>
          </w:tcPr>
          <w:p w14:paraId="7AC4296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pPr>
          </w:p>
        </w:tc>
        <w:tc>
          <w:tcPr>
            <w:tcW w:w="1262" w:type="pct"/>
            <w:noWrap w:val="0"/>
            <w:vAlign w:val="center"/>
          </w:tcPr>
          <w:p w14:paraId="755066CB">
            <w:pPr>
              <w:pStyle w:val="64"/>
              <w:keepNext w:val="0"/>
              <w:keepLines w:val="0"/>
              <w:pageBreakBefore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0"/>
                <w:position w:val="0"/>
                <w:sz w:val="21"/>
                <w:szCs w:val="21"/>
                <w:u w:val="none" w:color="auto"/>
                <w:lang w:val="en-US" w:eastAsia="zh-CN"/>
                <w14:textFill>
                  <w14:solidFill>
                    <w14:schemeClr w14:val="tx1"/>
                  </w14:solidFill>
                </w14:textFill>
              </w:rPr>
              <w:t>厂区内</w:t>
            </w:r>
          </w:p>
        </w:tc>
        <w:tc>
          <w:tcPr>
            <w:tcW w:w="861" w:type="pct"/>
            <w:noWrap w:val="0"/>
            <w:vAlign w:val="center"/>
          </w:tcPr>
          <w:p w14:paraId="402AA8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cs="Times New Roman"/>
                <w:b w:val="0"/>
                <w:bCs w:val="0"/>
                <w:color w:val="000000" w:themeColor="text1"/>
                <w:spacing w:val="0"/>
                <w:position w:val="0"/>
                <w:sz w:val="21"/>
                <w:szCs w:val="21"/>
                <w:u w:val="none" w:color="auto"/>
                <w:lang w:eastAsia="zh-CN"/>
                <w14:textFill>
                  <w14:solidFill>
                    <w14:schemeClr w14:val="tx1"/>
                  </w14:solidFill>
                </w14:textFill>
              </w:rPr>
              <w:t>非甲烷</w:t>
            </w:r>
            <w:r>
              <w:rPr>
                <w:rFonts w:hint="default" w:ascii="Times New Roman" w:hAnsi="Times New Roman" w:cs="Times New Roman"/>
                <w:b w:val="0"/>
                <w:bCs w:val="0"/>
                <w:color w:val="000000" w:themeColor="text1"/>
                <w:spacing w:val="0"/>
                <w:position w:val="0"/>
                <w:sz w:val="21"/>
                <w:szCs w:val="21"/>
                <w:u w:val="none" w:color="auto"/>
                <w:lang w:val="en-US" w:eastAsia="zh-CN"/>
                <w14:textFill>
                  <w14:solidFill>
                    <w14:schemeClr w14:val="tx1"/>
                  </w14:solidFill>
                </w14:textFill>
              </w:rPr>
              <w:t>总烃</w:t>
            </w:r>
          </w:p>
        </w:tc>
        <w:tc>
          <w:tcPr>
            <w:tcW w:w="1038" w:type="pct"/>
            <w:noWrap w:val="0"/>
            <w:vAlign w:val="center"/>
          </w:tcPr>
          <w:p w14:paraId="35457611">
            <w:pPr>
              <w:keepNext w:val="0"/>
              <w:keepLines w:val="0"/>
              <w:pageBreakBefore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000000" w:themeColor="text1"/>
                <w:spacing w:val="0"/>
                <w:kern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u w:val="none" w:color="auto"/>
                <w14:textFill>
                  <w14:solidFill>
                    <w14:schemeClr w14:val="tx1"/>
                  </w14:solidFill>
                </w14:textFill>
              </w:rPr>
              <w:t>提高废气收集效率，减少无组织废气排放</w:t>
            </w:r>
          </w:p>
        </w:tc>
        <w:tc>
          <w:tcPr>
            <w:tcW w:w="1282" w:type="pct"/>
            <w:noWrap w:val="0"/>
            <w:vAlign w:val="center"/>
          </w:tcPr>
          <w:p w14:paraId="2ABBABDD">
            <w:pPr>
              <w:keepNext w:val="0"/>
              <w:keepLines w:val="0"/>
              <w:pageBreakBefore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《挥发性有机物无组织排放控制标准》（GB37822-2019）</w:t>
            </w:r>
          </w:p>
        </w:tc>
      </w:tr>
      <w:tr w14:paraId="28121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556" w:type="pct"/>
            <w:noWrap w:val="0"/>
            <w:vAlign w:val="center"/>
          </w:tcPr>
          <w:p w14:paraId="70BB71C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t>地表水环境</w:t>
            </w:r>
          </w:p>
        </w:tc>
        <w:tc>
          <w:tcPr>
            <w:tcW w:w="1262" w:type="pct"/>
            <w:noWrap w:val="0"/>
            <w:vAlign w:val="center"/>
          </w:tcPr>
          <w:p w14:paraId="404F979E">
            <w:pPr>
              <w:pStyle w:val="44"/>
              <w:keepNext w:val="0"/>
              <w:keepLines w:val="0"/>
              <w:pageBreakBefore w:val="0"/>
              <w:widowControl w:val="0"/>
              <w:suppressLineNumbers w:val="0"/>
              <w:kinsoku/>
              <w:wordWrap w:val="0"/>
              <w:overflowPunct/>
              <w:topLinePunct w:val="0"/>
              <w:autoSpaceDE/>
              <w:autoSpaceDN/>
              <w:bidi w:val="0"/>
              <w:spacing w:before="0" w:beforeLines="0" w:beforeAutospacing="0" w:after="0" w:afterLines="0" w:afterAutospacing="0" w:line="240" w:lineRule="auto"/>
              <w:ind w:left="0" w:right="0" w:firstLine="0" w:firstLineChars="0"/>
              <w:jc w:val="center"/>
              <w:outlineLvl w:val="9"/>
              <w:rPr>
                <w:rFonts w:hint="eastAsia"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cs="Times New Roman"/>
                <w:b w:val="0"/>
                <w:bCs w:val="0"/>
                <w:color w:val="000000" w:themeColor="text1"/>
                <w:spacing w:val="0"/>
                <w:position w:val="0"/>
                <w:sz w:val="21"/>
                <w:szCs w:val="21"/>
                <w:u w:val="none" w:color="auto"/>
                <w:lang w:val="en-US" w:eastAsia="zh-CN"/>
                <w14:textFill>
                  <w14:solidFill>
                    <w14:schemeClr w14:val="tx1"/>
                  </w14:solidFill>
                </w14:textFill>
              </w:rPr>
              <w:t>废水总排口</w:t>
            </w:r>
          </w:p>
          <w:p w14:paraId="40D7FC8A">
            <w:pPr>
              <w:pStyle w:val="44"/>
              <w:keepNext w:val="0"/>
              <w:keepLines w:val="0"/>
              <w:pageBreakBefore w:val="0"/>
              <w:widowControl w:val="0"/>
              <w:suppressLineNumbers w:val="0"/>
              <w:kinsoku/>
              <w:wordWrap w:val="0"/>
              <w:overflowPunct/>
              <w:topLinePunct w:val="0"/>
              <w:autoSpaceDE/>
              <w:autoSpaceDN/>
              <w:bidi w:val="0"/>
              <w:spacing w:before="0" w:beforeLines="0" w:beforeAutospacing="0" w:after="0" w:afterLines="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t>DW001</w:t>
            </w:r>
          </w:p>
        </w:tc>
        <w:tc>
          <w:tcPr>
            <w:tcW w:w="861" w:type="pct"/>
            <w:noWrap w:val="0"/>
            <w:vAlign w:val="center"/>
          </w:tcPr>
          <w:p w14:paraId="1DB2BBC9">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CODcr、BOD</w:t>
            </w:r>
            <w:r>
              <w:rPr>
                <w:rFonts w:hint="default" w:ascii="Times New Roman" w:hAnsi="Times New Roman" w:eastAsia="宋体" w:cs="Times New Roman"/>
                <w:b w:val="0"/>
                <w:bCs w:val="0"/>
                <w:color w:val="000000" w:themeColor="text1"/>
                <w:spacing w:val="0"/>
                <w:position w:val="0"/>
                <w:sz w:val="21"/>
                <w:szCs w:val="21"/>
                <w:u w:val="none" w:color="auto"/>
                <w:vertAlign w:val="subscript"/>
                <w14:textFill>
                  <w14:solidFill>
                    <w14:schemeClr w14:val="tx1"/>
                  </w14:solidFill>
                </w14:textFill>
              </w:rPr>
              <w:t>5</w:t>
            </w: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、SS、NH</w:t>
            </w:r>
            <w:r>
              <w:rPr>
                <w:rFonts w:hint="default" w:ascii="Times New Roman" w:hAnsi="Times New Roman" w:eastAsia="宋体" w:cs="Times New Roman"/>
                <w:b w:val="0"/>
                <w:bCs w:val="0"/>
                <w:color w:val="000000" w:themeColor="text1"/>
                <w:spacing w:val="0"/>
                <w:position w:val="0"/>
                <w:sz w:val="21"/>
                <w:szCs w:val="21"/>
                <w:u w:val="none" w:color="auto"/>
                <w:vertAlign w:val="subscript"/>
                <w14:textFill>
                  <w14:solidFill>
                    <w14:schemeClr w14:val="tx1"/>
                  </w14:solidFill>
                </w14:textFill>
              </w:rPr>
              <w:t>3</w:t>
            </w: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-N</w:t>
            </w:r>
            <w:r>
              <w:rPr>
                <w:rFonts w:hint="default" w:ascii="Times New Roman" w:hAnsi="Times New Roman" w:cs="Times New Roman"/>
                <w:b w:val="0"/>
                <w:bCs w:val="0"/>
                <w:color w:val="000000" w:themeColor="text1"/>
                <w:spacing w:val="0"/>
                <w:position w:val="0"/>
                <w:sz w:val="21"/>
                <w:szCs w:val="21"/>
                <w:u w:val="none" w:color="auto"/>
                <w:lang w:eastAsia="zh-CN"/>
                <w14:textFill>
                  <w14:solidFill>
                    <w14:schemeClr w14:val="tx1"/>
                  </w14:solidFill>
                </w14:textFill>
              </w:rPr>
              <w:t>、</w:t>
            </w:r>
            <w:r>
              <w:rPr>
                <w:rFonts w:hint="eastAsia" w:cs="Times New Roman"/>
                <w:b w:val="0"/>
                <w:bCs w:val="0"/>
                <w:color w:val="000000" w:themeColor="text1"/>
                <w:spacing w:val="0"/>
                <w:position w:val="0"/>
                <w:sz w:val="21"/>
                <w:szCs w:val="21"/>
                <w:u w:val="none" w:color="auto"/>
                <w:lang w:val="en-US" w:eastAsia="zh-CN"/>
                <w14:textFill>
                  <w14:solidFill>
                    <w14:schemeClr w14:val="tx1"/>
                  </w14:solidFill>
                </w14:textFill>
              </w:rPr>
              <w:t>TP、TN、</w:t>
            </w:r>
            <w:r>
              <w:rPr>
                <w:rFonts w:hint="default" w:ascii="Times New Roman" w:hAnsi="Times New Roman" w:cs="Times New Roman"/>
                <w:b w:val="0"/>
                <w:bCs w:val="0"/>
                <w:color w:val="000000" w:themeColor="text1"/>
                <w:spacing w:val="0"/>
                <w:position w:val="0"/>
                <w:sz w:val="21"/>
                <w:szCs w:val="21"/>
                <w:u w:val="none" w:color="auto"/>
                <w:lang w:val="en-US" w:eastAsia="zh-CN"/>
                <w14:textFill>
                  <w14:solidFill>
                    <w14:schemeClr w14:val="tx1"/>
                  </w14:solidFill>
                </w14:textFill>
              </w:rPr>
              <w:t>动植物油</w:t>
            </w:r>
          </w:p>
        </w:tc>
        <w:tc>
          <w:tcPr>
            <w:tcW w:w="1038" w:type="pct"/>
            <w:noWrap w:val="0"/>
            <w:vAlign w:val="center"/>
          </w:tcPr>
          <w:p w14:paraId="3E17F39D">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cs="Times New Roman"/>
                <w:b w:val="0"/>
                <w:bCs w:val="0"/>
                <w:color w:val="000000" w:themeColor="text1"/>
                <w:spacing w:val="0"/>
                <w:position w:val="0"/>
                <w:sz w:val="21"/>
                <w:szCs w:val="21"/>
                <w:u w:val="none" w:color="auto"/>
                <w:lang w:val="en-US" w:eastAsia="zh-CN"/>
                <w14:textFill>
                  <w14:solidFill>
                    <w14:schemeClr w14:val="tx1"/>
                  </w14:solidFill>
                </w14:textFill>
              </w:rPr>
              <w:t>隔油池+化粪池</w:t>
            </w:r>
          </w:p>
        </w:tc>
        <w:tc>
          <w:tcPr>
            <w:tcW w:w="1282" w:type="pct"/>
            <w:noWrap w:val="0"/>
            <w:vAlign w:val="center"/>
          </w:tcPr>
          <w:p w14:paraId="37102E8F">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single" w:color="auto"/>
                <w14:textFill>
                  <w14:solidFill>
                    <w14:schemeClr w14:val="tx1"/>
                  </w14:solidFill>
                </w14:textFill>
              </w:rPr>
            </w:pPr>
            <w:r>
              <w:rPr>
                <w:rFonts w:hint="default" w:ascii="Times New Roman" w:hAnsi="Times New Roman" w:cs="Times New Roman"/>
                <w:color w:val="auto"/>
                <w:sz w:val="21"/>
                <w:szCs w:val="21"/>
                <w:u w:val="none" w:color="auto"/>
              </w:rPr>
              <w:t>《污水综合排放标准》（GB8978-1996）中三级标准</w:t>
            </w:r>
            <w:r>
              <w:rPr>
                <w:rFonts w:hint="eastAsia" w:cs="Times New Roman"/>
                <w:color w:val="auto"/>
                <w:sz w:val="21"/>
                <w:szCs w:val="21"/>
                <w:u w:val="none" w:color="auto"/>
                <w:lang w:eastAsia="zh-CN"/>
              </w:rPr>
              <w:t>及</w:t>
            </w:r>
            <w:r>
              <w:rPr>
                <w:rFonts w:hint="eastAsia"/>
                <w:sz w:val="21"/>
                <w:szCs w:val="21"/>
                <w:u w:val="none" w:color="auto"/>
              </w:rPr>
              <w:t>湖南城陵矶临港产业新区污水处理厂进水水质要求</w:t>
            </w:r>
          </w:p>
        </w:tc>
      </w:tr>
      <w:tr w14:paraId="3D086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3D89336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声环境</w:t>
            </w:r>
          </w:p>
        </w:tc>
        <w:tc>
          <w:tcPr>
            <w:tcW w:w="1262" w:type="pct"/>
            <w:noWrap w:val="0"/>
            <w:vAlign w:val="center"/>
          </w:tcPr>
          <w:p w14:paraId="57972A1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cs="Times New Roman"/>
                <w:b w:val="0"/>
                <w:bCs w:val="0"/>
                <w:color w:val="000000" w:themeColor="text1"/>
                <w:spacing w:val="0"/>
                <w:position w:val="0"/>
                <w:sz w:val="21"/>
                <w:szCs w:val="21"/>
                <w:u w:val="none" w:color="auto"/>
                <w:lang w:val="en-US" w:eastAsia="zh-CN"/>
                <w14:textFill>
                  <w14:solidFill>
                    <w14:schemeClr w14:val="tx1"/>
                  </w14:solidFill>
                </w14:textFill>
              </w:rPr>
              <w:t>厂界</w:t>
            </w:r>
          </w:p>
        </w:tc>
        <w:tc>
          <w:tcPr>
            <w:tcW w:w="861" w:type="pct"/>
            <w:noWrap w:val="0"/>
            <w:vAlign w:val="center"/>
          </w:tcPr>
          <w:p w14:paraId="58A72E9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t>等效连续A 声级</w:t>
            </w:r>
          </w:p>
        </w:tc>
        <w:tc>
          <w:tcPr>
            <w:tcW w:w="1038" w:type="pct"/>
            <w:noWrap w:val="0"/>
            <w:vAlign w:val="center"/>
          </w:tcPr>
          <w:p w14:paraId="7F4B573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t>选用低噪声设备，车间隔音，减震垫基础减震、绿化带、围墙隔声，加强管理和设备的保养，防止异常噪声。</w:t>
            </w:r>
          </w:p>
        </w:tc>
        <w:tc>
          <w:tcPr>
            <w:tcW w:w="1282" w:type="pct"/>
            <w:noWrap w:val="0"/>
            <w:vAlign w:val="center"/>
          </w:tcPr>
          <w:p w14:paraId="65BE797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《工业企业厂界环境噪声排放标准》</w:t>
            </w:r>
            <w:r>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GB12348-2008）中3类标准</w:t>
            </w:r>
          </w:p>
        </w:tc>
      </w:tr>
      <w:tr w14:paraId="211BC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18476B6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电磁辐射</w:t>
            </w:r>
          </w:p>
        </w:tc>
        <w:tc>
          <w:tcPr>
            <w:tcW w:w="4443" w:type="pct"/>
            <w:gridSpan w:val="4"/>
            <w:noWrap w:val="0"/>
            <w:vAlign w:val="center"/>
          </w:tcPr>
          <w:p w14:paraId="26CBA38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t>/</w:t>
            </w:r>
          </w:p>
        </w:tc>
      </w:tr>
      <w:tr w14:paraId="61C11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58E0C57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lang w:eastAsia="zh-CN"/>
                <w14:textFill>
                  <w14:solidFill>
                    <w14:schemeClr w14:val="tx1"/>
                  </w14:solidFill>
                </w14:textFill>
              </w:rPr>
              <w:t>固废</w:t>
            </w:r>
          </w:p>
        </w:tc>
        <w:tc>
          <w:tcPr>
            <w:tcW w:w="4443" w:type="pct"/>
            <w:gridSpan w:val="4"/>
            <w:noWrap w:val="0"/>
            <w:vAlign w:val="center"/>
          </w:tcPr>
          <w:p w14:paraId="4EDEA54C">
            <w:pPr>
              <w:keepNext w:val="0"/>
              <w:keepLines w:val="0"/>
              <w:pageBreakBefore w:val="0"/>
              <w:widowControl w:val="0"/>
              <w:suppressLineNumbers w:val="0"/>
              <w:kinsoku/>
              <w:overflowPunct/>
              <w:topLinePunct w:val="0"/>
              <w:autoSpaceDE/>
              <w:autoSpaceDN/>
              <w:bidi w:val="0"/>
              <w:spacing w:before="0" w:beforeAutospacing="0" w:after="0" w:afterAutospacing="0" w:line="240" w:lineRule="auto"/>
              <w:ind w:left="0" w:right="0" w:firstLine="0" w:firstLineChars="0"/>
              <w:jc w:val="left"/>
              <w:textAlignment w:val="center"/>
              <w:outlineLvl w:val="9"/>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pPr>
            <w:r>
              <w:rPr>
                <w:rFonts w:hint="eastAsia"/>
                <w:color w:val="auto"/>
                <w:sz w:val="21"/>
                <w:szCs w:val="21"/>
                <w:u w:val="none" w:color="auto"/>
              </w:rPr>
              <w:t>废包装</w:t>
            </w:r>
            <w:r>
              <w:rPr>
                <w:rFonts w:hint="eastAsia"/>
                <w:color w:val="auto"/>
                <w:sz w:val="21"/>
                <w:szCs w:val="21"/>
                <w:u w:val="none" w:color="auto"/>
                <w:lang w:eastAsia="zh-CN"/>
              </w:rPr>
              <w:t>物、</w:t>
            </w:r>
            <w:r>
              <w:rPr>
                <w:rFonts w:hint="eastAsia" w:ascii="Times New Roman" w:hAnsi="Times New Roman" w:eastAsia="宋体" w:cs="Times New Roman"/>
                <w:color w:val="auto"/>
                <w:spacing w:val="0"/>
                <w:w w:val="100"/>
                <w:kern w:val="0"/>
                <w:position w:val="0"/>
                <w:sz w:val="21"/>
                <w:szCs w:val="21"/>
                <w:u w:val="none" w:color="auto"/>
                <w:lang w:val="en-US" w:eastAsia="zh-CN"/>
              </w:rPr>
              <w:t>金属边角料、</w:t>
            </w:r>
            <w:r>
              <w:rPr>
                <w:rFonts w:hint="eastAsia"/>
                <w:color w:val="auto"/>
                <w:sz w:val="21"/>
                <w:szCs w:val="21"/>
                <w:u w:val="none" w:color="auto"/>
                <w:lang w:val="en-US" w:eastAsia="zh-CN"/>
              </w:rPr>
              <w:t>焊</w:t>
            </w:r>
            <w:r>
              <w:rPr>
                <w:rFonts w:hint="eastAsia"/>
                <w:color w:val="auto"/>
                <w:sz w:val="21"/>
                <w:szCs w:val="21"/>
                <w:u w:val="none" w:color="auto"/>
                <w:lang w:eastAsia="zh-CN"/>
              </w:rPr>
              <w:t>渣、</w:t>
            </w:r>
            <w:r>
              <w:rPr>
                <w:rFonts w:hint="eastAsia" w:ascii="Times New Roman" w:hAnsi="Times New Roman" w:eastAsia="宋体" w:cs="Times New Roman"/>
                <w:color w:val="auto"/>
                <w:spacing w:val="0"/>
                <w:w w:val="100"/>
                <w:kern w:val="0"/>
                <w:position w:val="0"/>
                <w:sz w:val="21"/>
                <w:szCs w:val="21"/>
                <w:u w:val="none" w:color="auto"/>
                <w:lang w:val="en-US" w:eastAsia="zh-CN"/>
              </w:rPr>
              <w:t>废钢丸、抛丸收集粉尘经收集暂存于一般固废暂存间后，</w:t>
            </w:r>
            <w:r>
              <w:rPr>
                <w:rFonts w:hint="eastAsia"/>
                <w:color w:val="auto"/>
                <w:sz w:val="21"/>
                <w:szCs w:val="21"/>
                <w:u w:val="none" w:color="auto"/>
                <w:lang w:eastAsia="zh-CN"/>
              </w:rPr>
              <w:t>外售综合利用；</w:t>
            </w:r>
            <w:r>
              <w:rPr>
                <w:rFonts w:hint="eastAsia"/>
                <w:color w:val="auto"/>
                <w:sz w:val="21"/>
                <w:szCs w:val="21"/>
                <w:u w:val="none" w:color="auto"/>
              </w:rPr>
              <w:t>废</w:t>
            </w:r>
            <w:r>
              <w:rPr>
                <w:rFonts w:hint="eastAsia"/>
                <w:color w:val="auto"/>
                <w:sz w:val="21"/>
                <w:szCs w:val="21"/>
                <w:u w:val="none" w:color="auto"/>
                <w:lang w:eastAsia="zh-CN"/>
              </w:rPr>
              <w:t>包装桶、</w:t>
            </w:r>
            <w:r>
              <w:rPr>
                <w:rFonts w:hint="eastAsia" w:ascii="Times New Roman" w:hAnsi="Times New Roman" w:eastAsia="宋体" w:cs="Times New Roman"/>
                <w:color w:val="auto"/>
                <w:sz w:val="21"/>
                <w:szCs w:val="21"/>
                <w:u w:val="none" w:color="auto"/>
                <w:lang w:val="en-US" w:eastAsia="zh-CN"/>
              </w:rPr>
              <w:t>废辊涂工具、废毛刷、废液压油、废冷却液、</w:t>
            </w:r>
            <w:r>
              <w:rPr>
                <w:rFonts w:hint="eastAsia"/>
                <w:color w:val="auto"/>
                <w:sz w:val="21"/>
                <w:szCs w:val="21"/>
                <w:u w:val="none" w:color="auto"/>
                <w:lang w:eastAsia="zh-CN"/>
              </w:rPr>
              <w:t>废</w:t>
            </w:r>
            <w:r>
              <w:rPr>
                <w:rFonts w:hint="eastAsia"/>
                <w:color w:val="auto"/>
                <w:sz w:val="21"/>
                <w:szCs w:val="21"/>
                <w:u w:val="none" w:color="auto"/>
                <w:lang w:val="en-US" w:eastAsia="zh-CN"/>
              </w:rPr>
              <w:t>润滑油、</w:t>
            </w:r>
            <w:r>
              <w:rPr>
                <w:rFonts w:hint="eastAsia" w:ascii="宋体" w:hAnsi="宋体" w:eastAsia="宋体" w:cs="宋体"/>
                <w:color w:val="000000"/>
                <w:kern w:val="0"/>
                <w:sz w:val="21"/>
                <w:szCs w:val="21"/>
                <w:u w:val="none" w:color="auto"/>
                <w:lang w:val="en-US" w:eastAsia="zh-CN" w:bidi="ar"/>
              </w:rPr>
              <w:t>废油抹布及手套、</w:t>
            </w:r>
            <w:r>
              <w:rPr>
                <w:rFonts w:hint="eastAsia"/>
                <w:color w:val="auto"/>
                <w:sz w:val="21"/>
                <w:szCs w:val="21"/>
                <w:u w:val="none" w:color="auto"/>
                <w:lang w:eastAsia="zh-CN"/>
              </w:rPr>
              <w:t>油类包装桶等危险废物经收集暂存于危废暂存间后，定期</w:t>
            </w:r>
            <w:r>
              <w:rPr>
                <w:rFonts w:hint="default"/>
                <w:color w:val="auto"/>
                <w:sz w:val="21"/>
                <w:szCs w:val="21"/>
                <w:u w:val="none" w:color="auto"/>
              </w:rPr>
              <w:t>委托</w:t>
            </w:r>
            <w:r>
              <w:rPr>
                <w:rFonts w:hint="eastAsia"/>
                <w:color w:val="auto"/>
                <w:sz w:val="21"/>
                <w:szCs w:val="21"/>
                <w:u w:val="none" w:color="auto"/>
              </w:rPr>
              <w:t>相关</w:t>
            </w:r>
            <w:r>
              <w:rPr>
                <w:rFonts w:hint="default"/>
                <w:color w:val="auto"/>
                <w:sz w:val="21"/>
                <w:szCs w:val="21"/>
                <w:u w:val="none" w:color="auto"/>
              </w:rPr>
              <w:t>资质单位处置</w:t>
            </w:r>
            <w:r>
              <w:rPr>
                <w:rFonts w:hint="eastAsia"/>
                <w:color w:val="auto"/>
                <w:sz w:val="21"/>
                <w:szCs w:val="21"/>
                <w:u w:val="none" w:color="auto"/>
                <w:lang w:eastAsia="zh-CN"/>
              </w:rPr>
              <w:t>；生活垃圾经收集后交由环卫部门统一清运处理</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一般固体废物执行《一般工业固体废物贮存和填埋污染控制标准》（GB18599—2020）；危险废物贮存执行《危险废物贮存污染控制标准》（GB18597-2023）</w:t>
            </w:r>
            <w:r>
              <w:rPr>
                <w:rFonts w:hint="eastAsia" w:cs="Times New Roman"/>
                <w:b w:val="0"/>
                <w:bCs w:val="0"/>
                <w:color w:val="000000" w:themeColor="text1"/>
                <w:spacing w:val="0"/>
                <w:position w:val="0"/>
                <w:sz w:val="21"/>
                <w:szCs w:val="21"/>
                <w:highlight w:val="none"/>
                <w:u w:val="none" w:color="auto"/>
                <w:lang w:val="en-US" w:eastAsia="zh-CN"/>
                <w14:textFill>
                  <w14:solidFill>
                    <w14:schemeClr w14:val="tx1"/>
                  </w14:solidFill>
                </w14:textFill>
              </w:rPr>
              <w:t>。</w:t>
            </w:r>
          </w:p>
        </w:tc>
      </w:tr>
      <w:tr w14:paraId="6AB2E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22E9C223">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pPr>
            <w:bookmarkStart w:id="21" w:name="_Toc17161"/>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土壤及地下水污染防治措施</w:t>
            </w:r>
          </w:p>
        </w:tc>
        <w:tc>
          <w:tcPr>
            <w:tcW w:w="4443" w:type="pct"/>
            <w:gridSpan w:val="4"/>
            <w:noWrap w:val="0"/>
            <w:vAlign w:val="center"/>
          </w:tcPr>
          <w:p w14:paraId="4A11DB8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cs="Times New Roman"/>
                <w:color w:val="000000" w:themeColor="text1"/>
                <w:spacing w:val="0"/>
                <w:sz w:val="21"/>
                <w:szCs w:val="21"/>
                <w:highlight w:val="none"/>
                <w:u w:val="none" w:color="auto"/>
                <w:lang w:eastAsia="zh-CN"/>
                <w14:textFill>
                  <w14:solidFill>
                    <w14:schemeClr w14:val="tx1"/>
                  </w14:solidFill>
                </w14:textFill>
              </w:rPr>
              <w:t>源头控制，</w:t>
            </w:r>
            <w:r>
              <w:rPr>
                <w:rFonts w:hint="eastAsia" w:ascii="Times New Roman" w:hAnsi="Times New Roman" w:eastAsia="宋体" w:cs="Times New Roman"/>
                <w:color w:val="000000" w:themeColor="text1"/>
                <w:spacing w:val="0"/>
                <w:sz w:val="21"/>
                <w:szCs w:val="21"/>
                <w:highlight w:val="none"/>
                <w:u w:val="none" w:color="auto"/>
                <w:lang w:eastAsia="zh-CN"/>
                <w14:textFill>
                  <w14:solidFill>
                    <w14:schemeClr w14:val="tx1"/>
                  </w14:solidFill>
                </w14:textFill>
              </w:rPr>
              <w:t>分区防渗</w:t>
            </w:r>
          </w:p>
        </w:tc>
      </w:tr>
      <w:tr w14:paraId="30594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128A863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生态保护措施</w:t>
            </w:r>
          </w:p>
        </w:tc>
        <w:tc>
          <w:tcPr>
            <w:tcW w:w="4443" w:type="pct"/>
            <w:gridSpan w:val="4"/>
            <w:noWrap w:val="0"/>
            <w:vAlign w:val="center"/>
          </w:tcPr>
          <w:p w14:paraId="34930EA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cs="Times New Roman"/>
                <w:b w:val="0"/>
                <w:bCs w:val="0"/>
                <w:color w:val="000000" w:themeColor="text1"/>
                <w:spacing w:val="0"/>
                <w:position w:val="0"/>
                <w:sz w:val="21"/>
                <w:szCs w:val="21"/>
                <w:u w:val="none" w:color="auto"/>
                <w:lang w:val="en-US" w:eastAsia="zh-CN"/>
                <w14:textFill>
                  <w14:solidFill>
                    <w14:schemeClr w14:val="tx1"/>
                  </w14:solidFill>
                </w14:textFill>
              </w:rPr>
              <w:t>加强</w:t>
            </w:r>
            <w:r>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t>绿化</w:t>
            </w:r>
          </w:p>
        </w:tc>
      </w:tr>
      <w:tr w14:paraId="06C30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4E273B0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环境风险防范措施</w:t>
            </w:r>
          </w:p>
        </w:tc>
        <w:tc>
          <w:tcPr>
            <w:tcW w:w="4443" w:type="pct"/>
            <w:gridSpan w:val="4"/>
            <w:noWrap w:val="0"/>
            <w:vAlign w:val="center"/>
          </w:tcPr>
          <w:p w14:paraId="0E1DEC47">
            <w:pPr>
              <w:keepNext w:val="0"/>
              <w:keepLines w:val="0"/>
              <w:widowControl w:val="0"/>
              <w:suppressLineNumbers w:val="0"/>
              <w:spacing w:before="0" w:beforeAutospacing="0" w:after="0" w:afterAutospacing="0" w:line="240" w:lineRule="auto"/>
              <w:ind w:left="0" w:right="0" w:firstLine="422" w:firstLineChars="200"/>
              <w:jc w:val="both"/>
              <w:outlineLvl w:val="3"/>
              <w:rPr>
                <w:rFonts w:hint="default" w:ascii="Times New Roman" w:hAnsi="Times New Roman" w:eastAsia="宋体" w:cs="Times New Roman"/>
                <w:b/>
                <w:bCs/>
                <w:color w:val="auto"/>
                <w:kern w:val="20"/>
                <w:sz w:val="21"/>
                <w:szCs w:val="21"/>
                <w:u w:val="none"/>
              </w:rPr>
            </w:pPr>
            <w:r>
              <w:rPr>
                <w:rFonts w:hint="eastAsia" w:cs="Times New Roman"/>
                <w:b/>
                <w:bCs/>
                <w:color w:val="auto"/>
                <w:kern w:val="20"/>
                <w:sz w:val="21"/>
                <w:szCs w:val="21"/>
                <w:u w:val="none"/>
                <w:lang w:val="en-US" w:eastAsia="zh-CN"/>
              </w:rPr>
              <w:t>1）</w:t>
            </w:r>
            <w:r>
              <w:rPr>
                <w:rFonts w:hint="default" w:ascii="Times New Roman" w:hAnsi="Times New Roman" w:eastAsia="宋体" w:cs="Times New Roman"/>
                <w:b/>
                <w:bCs/>
                <w:color w:val="auto"/>
                <w:kern w:val="20"/>
                <w:sz w:val="21"/>
                <w:szCs w:val="21"/>
                <w:u w:val="none"/>
              </w:rPr>
              <w:t>火灾事故风险防范措施</w:t>
            </w:r>
          </w:p>
          <w:p w14:paraId="3FAB717A">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①</w:t>
            </w:r>
            <w:r>
              <w:rPr>
                <w:rFonts w:hint="default" w:ascii="Times New Roman" w:hAnsi="Times New Roman" w:eastAsia="宋体" w:cs="Times New Roman"/>
                <w:color w:val="auto"/>
                <w:kern w:val="2"/>
                <w:sz w:val="21"/>
                <w:szCs w:val="21"/>
                <w:u w:val="none"/>
              </w:rPr>
              <w:t>消除和控制明火源：</w:t>
            </w:r>
            <w:r>
              <w:rPr>
                <w:rFonts w:hint="eastAsia" w:cs="Times New Roman"/>
                <w:color w:val="auto"/>
                <w:kern w:val="2"/>
                <w:sz w:val="21"/>
                <w:szCs w:val="21"/>
                <w:u w:val="none"/>
                <w:lang w:eastAsia="zh-CN"/>
              </w:rPr>
              <w:t>本项目使用稀释剂、油漆等原料属于易燃液体，</w:t>
            </w:r>
            <w:r>
              <w:rPr>
                <w:rFonts w:hint="default" w:ascii="Times New Roman" w:hAnsi="Times New Roman" w:eastAsia="宋体" w:cs="Times New Roman"/>
                <w:color w:val="auto"/>
                <w:kern w:val="2"/>
                <w:sz w:val="21"/>
                <w:szCs w:val="21"/>
                <w:u w:val="none"/>
              </w:rPr>
              <w:t>在</w:t>
            </w:r>
            <w:r>
              <w:rPr>
                <w:rFonts w:hint="eastAsia" w:cs="Times New Roman"/>
                <w:color w:val="auto"/>
                <w:kern w:val="2"/>
                <w:sz w:val="21"/>
                <w:szCs w:val="21"/>
                <w:u w:val="none"/>
                <w:lang w:eastAsia="zh-CN"/>
              </w:rPr>
              <w:t>原料区及成品区、危废暂存间</w:t>
            </w:r>
            <w:r>
              <w:rPr>
                <w:rFonts w:hint="eastAsia" w:eastAsia="宋体" w:cs="Times New Roman"/>
                <w:color w:val="auto"/>
                <w:kern w:val="2"/>
                <w:sz w:val="21"/>
                <w:szCs w:val="21"/>
                <w:u w:val="none"/>
                <w:lang w:eastAsia="zh-CN"/>
              </w:rPr>
              <w:t>等</w:t>
            </w:r>
            <w:r>
              <w:rPr>
                <w:rFonts w:hint="default" w:ascii="Times New Roman" w:hAnsi="Times New Roman" w:eastAsia="宋体" w:cs="Times New Roman"/>
                <w:color w:val="auto"/>
                <w:kern w:val="2"/>
                <w:sz w:val="21"/>
                <w:szCs w:val="21"/>
                <w:u w:val="none"/>
              </w:rPr>
              <w:t>设置严禁烟火标志，严禁携带火柴、打火机等；在各厂房处配灭火器、消防栓、消防沙等消防物资，以便及时扑灭初期火灾。</w:t>
            </w:r>
          </w:p>
          <w:p w14:paraId="38B33BD1">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②</w:t>
            </w:r>
            <w:r>
              <w:rPr>
                <w:rFonts w:hint="default" w:ascii="Times New Roman" w:hAnsi="Times New Roman" w:eastAsia="宋体" w:cs="Times New Roman"/>
                <w:color w:val="auto"/>
                <w:kern w:val="2"/>
                <w:sz w:val="21"/>
                <w:szCs w:val="21"/>
                <w:u w:val="none"/>
              </w:rPr>
              <w:t>防止电气火花：采取有效措施防止电气线路和电气设施在开关断开、接触不良、短路、漏电时产生火花，防止静电放电火花；采取防雷接地措施，防止雷电放电火花。</w:t>
            </w:r>
          </w:p>
          <w:p w14:paraId="7DC70DF8">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③</w:t>
            </w:r>
            <w:r>
              <w:rPr>
                <w:rFonts w:hint="default" w:ascii="Times New Roman" w:hAnsi="Times New Roman" w:eastAsia="宋体" w:cs="Times New Roman"/>
                <w:color w:val="auto"/>
                <w:kern w:val="2"/>
                <w:sz w:val="21"/>
                <w:szCs w:val="21"/>
                <w:u w:val="none"/>
              </w:rPr>
              <w:t>原料储存于阴凉、通风处。库温不超过30℃，相对湿度不超过85</w:t>
            </w:r>
            <w:r>
              <w:rPr>
                <w:rFonts w:hint="eastAsia" w:cs="Times New Roman"/>
                <w:color w:val="auto"/>
                <w:kern w:val="2"/>
                <w:sz w:val="21"/>
                <w:szCs w:val="21"/>
                <w:u w:val="none"/>
                <w:lang w:val="en-US" w:eastAsia="zh-CN"/>
              </w:rPr>
              <w:t>%</w:t>
            </w:r>
            <w:r>
              <w:rPr>
                <w:rFonts w:hint="default" w:ascii="Times New Roman" w:hAnsi="Times New Roman" w:eastAsia="宋体" w:cs="Times New Roman"/>
                <w:color w:val="auto"/>
                <w:kern w:val="2"/>
                <w:sz w:val="21"/>
                <w:szCs w:val="21"/>
                <w:u w:val="none"/>
              </w:rPr>
              <w:t>，保持干燥通风。</w:t>
            </w:r>
          </w:p>
          <w:p w14:paraId="5991DA23">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④</w:t>
            </w:r>
            <w:r>
              <w:rPr>
                <w:rFonts w:hint="default" w:ascii="Times New Roman" w:hAnsi="Times New Roman" w:eastAsia="宋体" w:cs="Times New Roman"/>
                <w:color w:val="auto"/>
                <w:kern w:val="2"/>
                <w:sz w:val="21"/>
                <w:szCs w:val="21"/>
                <w:u w:val="none"/>
              </w:rPr>
              <w:t>定期对原料使用过程中的相关人员，如联络员、仓管员、直接使用人员进行过程监查，定期对上述人员进行相关知识教育和岗位职责培训。</w:t>
            </w:r>
          </w:p>
          <w:p w14:paraId="5C9BC0F4">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⑤</w:t>
            </w:r>
            <w:r>
              <w:rPr>
                <w:rFonts w:hint="default" w:ascii="Times New Roman" w:hAnsi="Times New Roman" w:eastAsia="宋体" w:cs="Times New Roman"/>
                <w:color w:val="auto"/>
                <w:kern w:val="2"/>
                <w:sz w:val="21"/>
                <w:szCs w:val="21"/>
                <w:u w:val="none"/>
              </w:rPr>
              <w:t>严格控制原料品质，做到从源头防控风险事故。</w:t>
            </w:r>
          </w:p>
          <w:p w14:paraId="6694D1F6">
            <w:pPr>
              <w:keepNext w:val="0"/>
              <w:keepLines w:val="0"/>
              <w:widowControl w:val="0"/>
              <w:suppressLineNumbers w:val="0"/>
              <w:spacing w:before="0" w:beforeAutospacing="0" w:after="0" w:afterAutospacing="0" w:line="240" w:lineRule="auto"/>
              <w:ind w:left="0" w:right="0" w:firstLine="422" w:firstLineChars="200"/>
              <w:jc w:val="both"/>
              <w:outlineLvl w:val="3"/>
              <w:rPr>
                <w:rFonts w:hint="default" w:ascii="Times New Roman" w:hAnsi="Times New Roman" w:eastAsia="宋体" w:cs="Times New Roman"/>
                <w:b/>
                <w:bCs/>
                <w:color w:val="auto"/>
                <w:kern w:val="20"/>
                <w:sz w:val="21"/>
                <w:szCs w:val="21"/>
                <w:u w:val="none"/>
              </w:rPr>
            </w:pPr>
            <w:r>
              <w:rPr>
                <w:rFonts w:hint="eastAsia" w:cs="Times New Roman"/>
                <w:b/>
                <w:bCs/>
                <w:color w:val="auto"/>
                <w:kern w:val="20"/>
                <w:sz w:val="21"/>
                <w:szCs w:val="21"/>
                <w:u w:val="none"/>
                <w:lang w:val="en-US" w:eastAsia="zh-CN"/>
              </w:rPr>
              <w:t>2）危化品及</w:t>
            </w:r>
            <w:r>
              <w:rPr>
                <w:rFonts w:hint="default" w:ascii="Times New Roman" w:hAnsi="Times New Roman" w:eastAsia="宋体" w:cs="Times New Roman"/>
                <w:b/>
                <w:bCs/>
                <w:color w:val="auto"/>
                <w:kern w:val="20"/>
                <w:sz w:val="21"/>
                <w:szCs w:val="21"/>
                <w:u w:val="none"/>
              </w:rPr>
              <w:t>危险废物泄漏事故防范措施</w:t>
            </w:r>
          </w:p>
          <w:p w14:paraId="274B8BAD">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①</w:t>
            </w:r>
            <w:r>
              <w:rPr>
                <w:rFonts w:hint="eastAsia" w:ascii="Times New Roman" w:hAnsi="Times New Roman" w:eastAsia="宋体" w:cs="Times New Roman"/>
                <w:color w:val="auto"/>
                <w:kern w:val="2"/>
                <w:sz w:val="21"/>
                <w:szCs w:val="21"/>
                <w:u w:val="none"/>
                <w:lang w:val="en-US" w:eastAsia="zh-CN"/>
              </w:rPr>
              <w:t>厂内采取分区防渗措施，对</w:t>
            </w:r>
            <w:r>
              <w:rPr>
                <w:rFonts w:hint="eastAsia" w:eastAsia="宋体" w:cs="Times New Roman"/>
                <w:color w:val="auto"/>
                <w:kern w:val="2"/>
                <w:sz w:val="21"/>
                <w:szCs w:val="21"/>
                <w:u w:val="none"/>
                <w:lang w:val="en-US" w:eastAsia="zh-CN"/>
              </w:rPr>
              <w:t>危化库、危废暂存间</w:t>
            </w:r>
            <w:r>
              <w:rPr>
                <w:rFonts w:hint="eastAsia" w:ascii="Times New Roman" w:hAnsi="Times New Roman" w:eastAsia="宋体" w:cs="Times New Roman"/>
                <w:color w:val="auto"/>
                <w:kern w:val="2"/>
                <w:sz w:val="21"/>
                <w:szCs w:val="21"/>
                <w:u w:val="none"/>
                <w:lang w:val="en-US" w:eastAsia="zh-CN"/>
              </w:rPr>
              <w:t>等重点防渗区</w:t>
            </w:r>
            <w:r>
              <w:rPr>
                <w:rFonts w:hint="eastAsia" w:eastAsia="宋体" w:cs="Times New Roman"/>
                <w:color w:val="auto"/>
                <w:kern w:val="2"/>
                <w:sz w:val="21"/>
                <w:szCs w:val="21"/>
                <w:u w:val="none"/>
                <w:lang w:val="en-US" w:eastAsia="zh-CN"/>
              </w:rPr>
              <w:t>域，严格落实防渗要求</w:t>
            </w:r>
            <w:r>
              <w:rPr>
                <w:rFonts w:hint="eastAsia" w:ascii="Times New Roman" w:hAnsi="Times New Roman" w:eastAsia="宋体" w:cs="Times New Roman"/>
                <w:color w:val="auto"/>
                <w:kern w:val="2"/>
                <w:sz w:val="21"/>
                <w:szCs w:val="21"/>
                <w:u w:val="none"/>
                <w:lang w:val="en-US" w:eastAsia="zh-CN"/>
              </w:rPr>
              <w:t>，定期检查底部防渗层是否存在破损情况，及时发现及时处理。</w:t>
            </w:r>
          </w:p>
          <w:p w14:paraId="2CFBFB74">
            <w:pPr>
              <w:keepNext w:val="0"/>
              <w:keepLines w:val="0"/>
              <w:widowControl w:val="0"/>
              <w:suppressLineNumbers w:val="0"/>
              <w:spacing w:before="0" w:beforeAutospacing="0" w:after="0" w:afterAutospacing="0" w:line="240" w:lineRule="auto"/>
              <w:ind w:left="0" w:right="0" w:firstLine="420" w:firstLineChars="200"/>
              <w:jc w:val="both"/>
              <w:rPr>
                <w:rFonts w:hint="eastAsia" w:eastAsia="宋体" w:cs="Times New Roman"/>
                <w:color w:val="auto"/>
                <w:kern w:val="2"/>
                <w:sz w:val="21"/>
                <w:szCs w:val="21"/>
                <w:u w:val="none"/>
                <w:lang w:eastAsia="zh-CN"/>
              </w:rPr>
            </w:pPr>
            <w:r>
              <w:rPr>
                <w:rFonts w:hint="default" w:ascii="Times New Roman" w:hAnsi="Times New Roman" w:eastAsia="微软雅黑" w:cs="Times New Roman"/>
                <w:color w:val="auto"/>
                <w:kern w:val="2"/>
                <w:sz w:val="21"/>
                <w:szCs w:val="21"/>
                <w:u w:val="none"/>
                <w:lang w:eastAsia="zh-CN"/>
              </w:rPr>
              <w:t>②</w:t>
            </w:r>
            <w:r>
              <w:rPr>
                <w:rFonts w:hint="default" w:ascii="Times New Roman" w:hAnsi="Times New Roman" w:eastAsia="宋体" w:cs="Times New Roman"/>
                <w:color w:val="auto"/>
                <w:kern w:val="2"/>
                <w:sz w:val="21"/>
                <w:szCs w:val="21"/>
                <w:u w:val="none"/>
              </w:rPr>
              <w:t>危</w:t>
            </w:r>
            <w:r>
              <w:rPr>
                <w:rFonts w:hint="eastAsia" w:eastAsia="宋体" w:cs="Times New Roman"/>
                <w:color w:val="auto"/>
                <w:kern w:val="2"/>
                <w:sz w:val="21"/>
                <w:szCs w:val="21"/>
                <w:u w:val="none"/>
                <w:lang w:eastAsia="zh-CN"/>
              </w:rPr>
              <w:t>废暂存间严格按照</w:t>
            </w:r>
            <w:r>
              <w:rPr>
                <w:rFonts w:hint="default" w:ascii="Times New Roman" w:hAnsi="Times New Roman" w:eastAsia="宋体" w:cs="Times New Roman"/>
                <w:color w:val="auto"/>
                <w:kern w:val="2"/>
                <w:sz w:val="21"/>
                <w:szCs w:val="21"/>
                <w:u w:val="none"/>
              </w:rPr>
              <w:t>《危险废物贮存污染控制标准》（GB18597-20</w:t>
            </w:r>
            <w:r>
              <w:rPr>
                <w:rFonts w:hint="eastAsia" w:eastAsia="宋体" w:cs="Times New Roman"/>
                <w:color w:val="auto"/>
                <w:kern w:val="2"/>
                <w:sz w:val="21"/>
                <w:szCs w:val="21"/>
                <w:u w:val="none"/>
                <w:lang w:val="en-US" w:eastAsia="zh-CN"/>
              </w:rPr>
              <w:t>23</w:t>
            </w:r>
            <w:r>
              <w:rPr>
                <w:rFonts w:hint="default" w:ascii="Times New Roman" w:hAnsi="Times New Roman" w:eastAsia="宋体" w:cs="Times New Roman"/>
                <w:color w:val="auto"/>
                <w:kern w:val="2"/>
                <w:sz w:val="21"/>
                <w:szCs w:val="21"/>
                <w:u w:val="none"/>
              </w:rPr>
              <w:t>）及</w:t>
            </w:r>
            <w:r>
              <w:rPr>
                <w:rFonts w:hint="eastAsia" w:eastAsia="宋体" w:cs="Times New Roman"/>
                <w:color w:val="auto"/>
                <w:kern w:val="2"/>
                <w:sz w:val="21"/>
                <w:szCs w:val="21"/>
                <w:u w:val="none"/>
                <w:lang w:eastAsia="zh-CN"/>
              </w:rPr>
              <w:t>相关</w:t>
            </w:r>
            <w:r>
              <w:rPr>
                <w:rFonts w:hint="default" w:ascii="Times New Roman" w:hAnsi="Times New Roman" w:eastAsia="宋体" w:cs="Times New Roman"/>
                <w:color w:val="auto"/>
                <w:kern w:val="2"/>
                <w:sz w:val="21"/>
                <w:szCs w:val="21"/>
                <w:u w:val="none"/>
              </w:rPr>
              <w:t>要求</w:t>
            </w:r>
            <w:r>
              <w:rPr>
                <w:rFonts w:hint="eastAsia" w:eastAsia="宋体" w:cs="Times New Roman"/>
                <w:color w:val="auto"/>
                <w:kern w:val="2"/>
                <w:sz w:val="21"/>
                <w:szCs w:val="21"/>
                <w:u w:val="none"/>
                <w:lang w:eastAsia="zh-CN"/>
              </w:rPr>
              <w:t>建设，</w:t>
            </w:r>
            <w:r>
              <w:rPr>
                <w:rFonts w:hint="default" w:ascii="Times New Roman" w:hAnsi="Times New Roman" w:eastAsia="宋体" w:cs="Times New Roman"/>
                <w:color w:val="auto"/>
                <w:kern w:val="2"/>
                <w:sz w:val="21"/>
                <w:szCs w:val="21"/>
                <w:u w:val="none"/>
              </w:rPr>
              <w:t>使用醒目的标识，</w:t>
            </w:r>
            <w:r>
              <w:rPr>
                <w:rFonts w:hint="eastAsia" w:eastAsia="宋体" w:cs="Times New Roman"/>
                <w:color w:val="auto"/>
                <w:kern w:val="2"/>
                <w:sz w:val="21"/>
                <w:szCs w:val="21"/>
                <w:u w:val="none"/>
                <w:lang w:eastAsia="zh-CN"/>
              </w:rPr>
              <w:t>分区储存</w:t>
            </w:r>
            <w:r>
              <w:rPr>
                <w:rFonts w:hint="eastAsia" w:ascii="Times New Roman" w:hAnsi="Times New Roman" w:eastAsia="宋体" w:cs="Times New Roman"/>
                <w:color w:val="auto"/>
                <w:kern w:val="2"/>
                <w:sz w:val="21"/>
                <w:szCs w:val="21"/>
                <w:u w:val="none"/>
                <w:lang w:eastAsia="zh-CN"/>
              </w:rPr>
              <w:t>，</w:t>
            </w:r>
            <w:r>
              <w:rPr>
                <w:rFonts w:hint="default" w:ascii="Times New Roman" w:hAnsi="Times New Roman" w:eastAsia="宋体" w:cs="Times New Roman"/>
                <w:color w:val="auto"/>
                <w:kern w:val="2"/>
                <w:sz w:val="21"/>
                <w:szCs w:val="21"/>
                <w:u w:val="none"/>
                <w:lang w:eastAsia="zh-CN"/>
              </w:rPr>
              <w:t>液态物料</w:t>
            </w:r>
            <w:r>
              <w:rPr>
                <w:rFonts w:hint="eastAsia" w:ascii="Times New Roman" w:hAnsi="Times New Roman" w:eastAsia="宋体" w:cs="Times New Roman"/>
                <w:color w:val="auto"/>
                <w:kern w:val="2"/>
                <w:sz w:val="21"/>
                <w:szCs w:val="21"/>
                <w:u w:val="none"/>
                <w:lang w:eastAsia="zh-CN"/>
              </w:rPr>
              <w:t>使用桶暂存并</w:t>
            </w:r>
            <w:r>
              <w:rPr>
                <w:rFonts w:hint="default" w:ascii="Times New Roman" w:hAnsi="Times New Roman" w:eastAsia="宋体" w:cs="Times New Roman"/>
                <w:color w:val="auto"/>
                <w:kern w:val="2"/>
                <w:sz w:val="21"/>
                <w:szCs w:val="21"/>
                <w:u w:val="none"/>
                <w:lang w:eastAsia="zh-CN"/>
              </w:rPr>
              <w:t>设托盘防泄漏，</w:t>
            </w:r>
            <w:r>
              <w:rPr>
                <w:rFonts w:hint="eastAsia" w:ascii="Times New Roman" w:hAnsi="Times New Roman" w:eastAsia="宋体" w:cs="Times New Roman"/>
                <w:color w:val="auto"/>
                <w:kern w:val="2"/>
                <w:sz w:val="21"/>
                <w:szCs w:val="21"/>
                <w:u w:val="none"/>
                <w:lang w:eastAsia="zh-CN"/>
              </w:rPr>
              <w:t>设置液体泄漏收集设施等。</w:t>
            </w:r>
          </w:p>
          <w:p w14:paraId="110E0D41">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lang w:val="en-US" w:eastAsia="zh-CN"/>
              </w:rPr>
            </w:pPr>
            <w:r>
              <w:rPr>
                <w:rFonts w:hint="default" w:ascii="Times New Roman" w:hAnsi="Times New Roman" w:eastAsia="微软雅黑" w:cs="Times New Roman"/>
                <w:color w:val="auto"/>
                <w:kern w:val="2"/>
                <w:sz w:val="21"/>
                <w:szCs w:val="21"/>
                <w:u w:val="none"/>
                <w:lang w:eastAsia="zh-CN"/>
              </w:rPr>
              <w:t>③</w:t>
            </w:r>
            <w:r>
              <w:rPr>
                <w:rFonts w:hint="default" w:ascii="Times New Roman" w:hAnsi="Times New Roman" w:eastAsia="宋体" w:cs="Times New Roman"/>
                <w:color w:val="auto"/>
                <w:kern w:val="2"/>
                <w:sz w:val="21"/>
                <w:szCs w:val="21"/>
                <w:u w:val="none"/>
              </w:rPr>
              <w:t>危险废物的存放和转移派专门负责人进行记录登记，其中包括存放和转移的量以及日</w:t>
            </w:r>
            <w:r>
              <w:rPr>
                <w:rFonts w:hint="default" w:ascii="Times New Roman" w:hAnsi="Times New Roman" w:eastAsia="宋体" w:cs="Times New Roman"/>
                <w:color w:val="auto"/>
                <w:kern w:val="2"/>
                <w:sz w:val="21"/>
                <w:szCs w:val="21"/>
                <w:u w:val="none"/>
                <w:lang w:val="en-US" w:eastAsia="zh-CN"/>
              </w:rPr>
              <w:t>期等，及时联系有资质的单位进行处置。</w:t>
            </w:r>
          </w:p>
          <w:p w14:paraId="5A5854E8">
            <w:pPr>
              <w:keepNext w:val="0"/>
              <w:keepLines w:val="0"/>
              <w:widowControl w:val="0"/>
              <w:suppressLineNumbers w:val="0"/>
              <w:spacing w:before="0" w:beforeAutospacing="0" w:after="0" w:afterAutospacing="0" w:line="240" w:lineRule="auto"/>
              <w:ind w:left="0" w:right="0" w:firstLine="420" w:firstLineChars="200"/>
              <w:jc w:val="both"/>
              <w:rPr>
                <w:rFonts w:hint="eastAsia" w:ascii="Times New Roman" w:hAnsi="Times New Roman" w:eastAsia="宋体" w:cs="Times New Roman"/>
                <w:color w:val="auto"/>
                <w:kern w:val="2"/>
                <w:sz w:val="21"/>
                <w:szCs w:val="21"/>
                <w:u w:val="none"/>
                <w:lang w:val="en-US" w:eastAsia="zh-CN"/>
              </w:rPr>
            </w:pPr>
            <w:r>
              <w:rPr>
                <w:rFonts w:hint="default" w:ascii="Times New Roman" w:hAnsi="Times New Roman" w:eastAsia="微软雅黑" w:cs="Times New Roman"/>
                <w:color w:val="auto"/>
                <w:kern w:val="2"/>
                <w:sz w:val="21"/>
                <w:szCs w:val="21"/>
                <w:u w:val="none"/>
                <w:lang w:eastAsia="zh-CN"/>
              </w:rPr>
              <w:t>④</w:t>
            </w:r>
            <w:r>
              <w:rPr>
                <w:rFonts w:hint="eastAsia" w:ascii="Times New Roman" w:hAnsi="Times New Roman" w:eastAsia="宋体" w:cs="Times New Roman"/>
                <w:color w:val="auto"/>
                <w:kern w:val="2"/>
                <w:sz w:val="21"/>
                <w:szCs w:val="21"/>
                <w:u w:val="none"/>
                <w:lang w:val="en-US" w:eastAsia="zh-CN"/>
              </w:rPr>
              <w:t>危险化学品泄漏主要发生在运输与储存环节，对于其运输与储存风险的防范，应在运输管理、运输设备、储存设备及其维护方面加强控制，建立完善的化学品管理制度</w:t>
            </w:r>
            <w:r>
              <w:rPr>
                <w:rFonts w:hint="eastAsia" w:eastAsia="宋体" w:cs="Times New Roman"/>
                <w:color w:val="auto"/>
                <w:kern w:val="2"/>
                <w:sz w:val="21"/>
                <w:szCs w:val="21"/>
                <w:u w:val="none"/>
                <w:lang w:val="en-US" w:eastAsia="zh-CN"/>
              </w:rPr>
              <w:t>。</w:t>
            </w:r>
          </w:p>
          <w:p w14:paraId="5B980D12">
            <w:pPr>
              <w:keepNext w:val="0"/>
              <w:keepLines w:val="0"/>
              <w:widowControl w:val="0"/>
              <w:suppressLineNumbers w:val="0"/>
              <w:spacing w:before="0" w:beforeAutospacing="0" w:after="0" w:afterAutospacing="0" w:line="240" w:lineRule="auto"/>
              <w:ind w:left="0" w:right="0" w:firstLine="422" w:firstLineChars="200"/>
              <w:jc w:val="both"/>
              <w:outlineLvl w:val="3"/>
              <w:rPr>
                <w:rFonts w:hint="default" w:ascii="Times New Roman" w:hAnsi="Times New Roman" w:eastAsia="宋体" w:cs="Times New Roman"/>
                <w:b/>
                <w:bCs/>
                <w:color w:val="auto"/>
                <w:kern w:val="20"/>
                <w:sz w:val="21"/>
                <w:szCs w:val="21"/>
                <w:u w:val="none"/>
              </w:rPr>
            </w:pPr>
            <w:r>
              <w:rPr>
                <w:rFonts w:hint="eastAsia" w:cs="Times New Roman"/>
                <w:b/>
                <w:bCs/>
                <w:color w:val="auto"/>
                <w:kern w:val="20"/>
                <w:sz w:val="21"/>
                <w:szCs w:val="21"/>
                <w:u w:val="none"/>
                <w:lang w:val="en-US" w:eastAsia="zh-CN"/>
              </w:rPr>
              <w:t>3）</w:t>
            </w:r>
            <w:r>
              <w:rPr>
                <w:rFonts w:hint="default" w:ascii="Times New Roman" w:hAnsi="Times New Roman" w:eastAsia="宋体" w:cs="Times New Roman"/>
                <w:b/>
                <w:bCs/>
                <w:color w:val="auto"/>
                <w:kern w:val="20"/>
                <w:sz w:val="21"/>
                <w:szCs w:val="21"/>
                <w:u w:val="none"/>
              </w:rPr>
              <w:t>废气事故</w:t>
            </w:r>
            <w:r>
              <w:rPr>
                <w:rFonts w:hint="eastAsia" w:cs="Times New Roman"/>
                <w:b/>
                <w:bCs/>
                <w:color w:val="auto"/>
                <w:kern w:val="20"/>
                <w:sz w:val="21"/>
                <w:szCs w:val="21"/>
                <w:u w:val="none"/>
                <w:lang w:val="en-US" w:eastAsia="zh-CN"/>
              </w:rPr>
              <w:t>排放</w:t>
            </w:r>
            <w:r>
              <w:rPr>
                <w:rFonts w:hint="default" w:ascii="Times New Roman" w:hAnsi="Times New Roman" w:eastAsia="宋体" w:cs="Times New Roman"/>
                <w:b/>
                <w:bCs/>
                <w:color w:val="auto"/>
                <w:kern w:val="20"/>
                <w:sz w:val="21"/>
                <w:szCs w:val="21"/>
                <w:u w:val="none"/>
              </w:rPr>
              <w:t>防范措施</w:t>
            </w:r>
          </w:p>
          <w:p w14:paraId="3CDE55E4">
            <w:pPr>
              <w:keepNext w:val="0"/>
              <w:keepLines w:val="0"/>
              <w:widowControl/>
              <w:suppressLineNumbers w:val="0"/>
              <w:spacing w:before="0" w:beforeAutospacing="0" w:after="0" w:afterAutospacing="0" w:line="240" w:lineRule="auto"/>
              <w:ind w:left="0" w:right="0" w:firstLine="420" w:firstLineChars="200"/>
              <w:jc w:val="left"/>
              <w:rPr>
                <w:rFonts w:hint="default"/>
                <w:sz w:val="21"/>
                <w:szCs w:val="21"/>
              </w:rPr>
            </w:pPr>
            <w:r>
              <w:rPr>
                <w:rFonts w:hint="default" w:ascii="Times New Roman" w:hAnsi="Times New Roman" w:eastAsia="微软雅黑" w:cs="Times New Roman"/>
                <w:color w:val="auto"/>
                <w:kern w:val="2"/>
                <w:sz w:val="21"/>
                <w:szCs w:val="21"/>
                <w:u w:val="none"/>
                <w:lang w:eastAsia="zh-CN"/>
              </w:rPr>
              <w:t>①</w:t>
            </w:r>
            <w:r>
              <w:rPr>
                <w:rFonts w:hint="default" w:ascii="Times New Roman" w:hAnsi="Times New Roman" w:eastAsia="宋体" w:cs="Times New Roman"/>
                <w:color w:val="auto"/>
                <w:kern w:val="2"/>
                <w:sz w:val="21"/>
                <w:szCs w:val="21"/>
                <w:u w:val="none"/>
              </w:rPr>
              <w:t>废气处理设备制定严格的操作规程，严格按操作规程进行运行控制，</w:t>
            </w:r>
            <w:r>
              <w:rPr>
                <w:rFonts w:hint="eastAsia" w:ascii="Times New Roman" w:hAnsi="Times New Roman" w:eastAsia="宋体" w:cs="Times New Roman"/>
                <w:color w:val="auto"/>
                <w:kern w:val="2"/>
                <w:sz w:val="21"/>
                <w:szCs w:val="21"/>
                <w:u w:val="none"/>
                <w:lang w:val="en-US" w:eastAsia="zh-CN"/>
              </w:rPr>
              <w:t>加强对操作工人的培训，培养员工的安全和环境意识，提高操作工人的技术水平和责任感，降低操作失误而造成的事故。</w:t>
            </w:r>
          </w:p>
          <w:p w14:paraId="16A6B050">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②</w:t>
            </w:r>
            <w:r>
              <w:rPr>
                <w:rFonts w:hint="eastAsia" w:ascii="Times New Roman" w:hAnsi="Times New Roman" w:eastAsia="宋体" w:cs="Times New Roman"/>
                <w:color w:val="auto"/>
                <w:kern w:val="2"/>
                <w:sz w:val="21"/>
                <w:szCs w:val="21"/>
                <w:u w:val="none"/>
                <w:lang w:val="en-US" w:eastAsia="zh-CN"/>
              </w:rPr>
              <w:t>定期检修设备，加强日常维护保养，避免或减少故障发生，确保设备处于正常的工作状态。</w:t>
            </w:r>
          </w:p>
          <w:p w14:paraId="55EA9D80">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③</w:t>
            </w:r>
            <w:r>
              <w:rPr>
                <w:rFonts w:hint="default" w:ascii="Times New Roman" w:hAnsi="Times New Roman" w:eastAsia="宋体" w:cs="Times New Roman"/>
                <w:color w:val="auto"/>
                <w:kern w:val="2"/>
                <w:sz w:val="21"/>
                <w:szCs w:val="21"/>
                <w:u w:val="none"/>
              </w:rPr>
              <w:t>管理人员每天对各废气处理设施巡检一次，查看废气处理设施运转是否正常，运行控制是否到位，不定时对各记录表进行检查。</w:t>
            </w:r>
          </w:p>
          <w:p w14:paraId="6D7FE391">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④</w:t>
            </w:r>
            <w:r>
              <w:rPr>
                <w:rFonts w:hint="eastAsia" w:ascii="Times New Roman" w:hAnsi="Times New Roman" w:eastAsia="宋体" w:cs="Times New Roman"/>
                <w:color w:val="auto"/>
                <w:kern w:val="2"/>
                <w:sz w:val="21"/>
                <w:szCs w:val="21"/>
                <w:u w:val="none"/>
                <w:lang w:eastAsia="zh-CN"/>
              </w:rPr>
              <w:t>一旦发现废气事故排放</w:t>
            </w:r>
            <w:r>
              <w:rPr>
                <w:rFonts w:hint="eastAsia" w:eastAsia="宋体" w:cs="Times New Roman"/>
                <w:color w:val="auto"/>
                <w:kern w:val="2"/>
                <w:sz w:val="21"/>
                <w:szCs w:val="21"/>
                <w:u w:val="none"/>
                <w:lang w:eastAsia="zh-CN"/>
              </w:rPr>
              <w:t>情况</w:t>
            </w:r>
            <w:r>
              <w:rPr>
                <w:rFonts w:hint="eastAsia" w:ascii="Times New Roman" w:hAnsi="Times New Roman" w:eastAsia="宋体" w:cs="Times New Roman"/>
                <w:color w:val="auto"/>
                <w:kern w:val="2"/>
                <w:sz w:val="21"/>
                <w:szCs w:val="21"/>
                <w:u w:val="none"/>
                <w:lang w:eastAsia="zh-CN"/>
              </w:rPr>
              <w:t>，应立即停止生产，待检修恢复正常后方可正常生产</w:t>
            </w:r>
            <w:r>
              <w:rPr>
                <w:rFonts w:hint="default" w:ascii="Times New Roman" w:hAnsi="Times New Roman" w:eastAsia="宋体" w:cs="Times New Roman"/>
                <w:color w:val="auto"/>
                <w:kern w:val="2"/>
                <w:sz w:val="21"/>
                <w:szCs w:val="21"/>
                <w:u w:val="none"/>
              </w:rPr>
              <w:t>。</w:t>
            </w:r>
          </w:p>
          <w:p w14:paraId="2379122F">
            <w:pPr>
              <w:keepNext w:val="0"/>
              <w:keepLines w:val="0"/>
              <w:widowControl w:val="0"/>
              <w:suppressLineNumbers w:val="0"/>
              <w:spacing w:before="0" w:beforeAutospacing="0" w:after="0" w:afterAutospacing="0" w:line="240" w:lineRule="auto"/>
              <w:ind w:left="0" w:right="0" w:firstLine="422" w:firstLineChars="200"/>
              <w:jc w:val="both"/>
              <w:outlineLvl w:val="3"/>
              <w:rPr>
                <w:rFonts w:hint="default" w:ascii="Times New Roman" w:hAnsi="Times New Roman" w:eastAsia="宋体" w:cs="Times New Roman"/>
                <w:b/>
                <w:bCs/>
                <w:color w:val="auto"/>
                <w:kern w:val="20"/>
                <w:sz w:val="21"/>
                <w:szCs w:val="21"/>
                <w:u w:val="none"/>
              </w:rPr>
            </w:pPr>
            <w:r>
              <w:rPr>
                <w:rFonts w:hint="eastAsia" w:cs="Times New Roman"/>
                <w:b/>
                <w:bCs/>
                <w:color w:val="auto"/>
                <w:kern w:val="20"/>
                <w:sz w:val="21"/>
                <w:szCs w:val="21"/>
                <w:u w:val="none"/>
                <w:lang w:val="en-US" w:eastAsia="zh-CN"/>
              </w:rPr>
              <w:t>4）</w:t>
            </w:r>
            <w:r>
              <w:rPr>
                <w:rFonts w:hint="default" w:ascii="Times New Roman" w:hAnsi="Times New Roman" w:eastAsia="宋体" w:cs="Times New Roman"/>
                <w:b/>
                <w:bCs/>
                <w:color w:val="auto"/>
                <w:kern w:val="20"/>
                <w:sz w:val="21"/>
                <w:szCs w:val="21"/>
                <w:u w:val="none"/>
              </w:rPr>
              <w:t>建立健全的安全环境管理制度</w:t>
            </w:r>
          </w:p>
          <w:p w14:paraId="41BEC061">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①</w:t>
            </w:r>
            <w:r>
              <w:rPr>
                <w:rFonts w:hint="default" w:ascii="Times New Roman" w:hAnsi="Times New Roman" w:eastAsia="宋体" w:cs="Times New Roman"/>
                <w:color w:val="auto"/>
                <w:kern w:val="2"/>
                <w:sz w:val="21"/>
                <w:szCs w:val="21"/>
                <w:u w:val="none"/>
              </w:rPr>
              <w:t>制定和强化健康/安全/环境管理制度，并严格予以执行。</w:t>
            </w:r>
          </w:p>
          <w:p w14:paraId="69E0C470">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②</w:t>
            </w:r>
            <w:r>
              <w:rPr>
                <w:rFonts w:hint="default" w:ascii="Times New Roman" w:hAnsi="Times New Roman" w:eastAsia="宋体" w:cs="Times New Roman"/>
                <w:color w:val="auto"/>
                <w:kern w:val="2"/>
                <w:sz w:val="21"/>
                <w:szCs w:val="21"/>
                <w:u w:val="none"/>
              </w:rPr>
              <w:t>严格执行我国有关劳动安全、环保与卫生的规范和标准，在设计、施工和运行过程中必须针对可能存在的不安全、不卫生因素采取相应的安全防卫措施，消除事故隐患，一旦发生事故应采取有效措施，降低因事故引起的损失和对环境的污染。</w:t>
            </w:r>
          </w:p>
          <w:p w14:paraId="269F6F36">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③</w:t>
            </w:r>
            <w:r>
              <w:rPr>
                <w:rFonts w:hint="default" w:ascii="Times New Roman" w:hAnsi="Times New Roman" w:eastAsia="宋体" w:cs="Times New Roman"/>
                <w:color w:val="auto"/>
                <w:kern w:val="2"/>
                <w:sz w:val="21"/>
                <w:szCs w:val="21"/>
                <w:u w:val="none"/>
              </w:rPr>
              <w:t>加强原料区及成品存放区的安全环保管理，对公司职工进行安全环保的教育和培训，做到持证上岗，减少人为风险事故（如误操作）的发生。</w:t>
            </w:r>
          </w:p>
          <w:p w14:paraId="22C28B86">
            <w:pPr>
              <w:keepNext w:val="0"/>
              <w:keepLines w:val="0"/>
              <w:widowControl/>
              <w:suppressLineNumbers w:val="0"/>
              <w:spacing w:before="0" w:beforeAutospacing="0" w:after="0" w:afterAutospacing="0" w:line="240" w:lineRule="auto"/>
              <w:ind w:left="0" w:right="0" w:firstLine="420" w:firstLineChars="200"/>
              <w:jc w:val="left"/>
              <w:rPr>
                <w:rFonts w:hint="default" w:ascii="Times New Roman" w:hAnsi="Times New Roman" w:eastAsia="宋体" w:cs="Times New Roman"/>
                <w:color w:val="auto"/>
                <w:kern w:val="2"/>
                <w:sz w:val="21"/>
                <w:szCs w:val="21"/>
                <w:u w:val="none"/>
              </w:rPr>
            </w:pPr>
            <w:r>
              <w:rPr>
                <w:rFonts w:hint="default" w:ascii="Times New Roman" w:hAnsi="Times New Roman" w:eastAsia="微软雅黑" w:cs="Times New Roman"/>
                <w:color w:val="auto"/>
                <w:kern w:val="2"/>
                <w:sz w:val="21"/>
                <w:szCs w:val="21"/>
                <w:u w:val="none"/>
                <w:lang w:eastAsia="zh-CN"/>
              </w:rPr>
              <w:t>④</w:t>
            </w:r>
            <w:r>
              <w:rPr>
                <w:rFonts w:hint="default" w:ascii="Times New Roman" w:hAnsi="Times New Roman" w:eastAsia="宋体" w:cs="Times New Roman"/>
                <w:color w:val="000000"/>
                <w:kern w:val="0"/>
                <w:sz w:val="21"/>
                <w:szCs w:val="21"/>
                <w:lang w:val="en-US" w:eastAsia="zh-CN" w:bidi="ar"/>
              </w:rPr>
              <w:t>制定应急处理措施，编制事故应急预案，预防意外突发事故</w:t>
            </w:r>
            <w:r>
              <w:rPr>
                <w:rFonts w:hint="default" w:ascii="Times New Roman" w:hAnsi="Times New Roman" w:eastAsia="宋体" w:cs="Times New Roman"/>
                <w:color w:val="auto"/>
                <w:kern w:val="2"/>
                <w:sz w:val="21"/>
                <w:szCs w:val="21"/>
                <w:u w:val="none"/>
              </w:rPr>
              <w:t>。</w:t>
            </w:r>
          </w:p>
          <w:p w14:paraId="62548A6D">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default" w:ascii="Times New Roman" w:hAnsi="Times New Roman" w:eastAsia="微软雅黑" w:cs="Times New Roman"/>
                <w:color w:val="auto"/>
                <w:kern w:val="2"/>
                <w:sz w:val="21"/>
                <w:szCs w:val="21"/>
                <w:u w:val="none"/>
                <w:lang w:eastAsia="zh-CN"/>
              </w:rPr>
              <w:t>⑤</w:t>
            </w:r>
            <w:r>
              <w:rPr>
                <w:rFonts w:hint="default" w:ascii="Times New Roman" w:hAnsi="Times New Roman" w:eastAsia="宋体" w:cs="Times New Roman"/>
                <w:color w:val="auto"/>
                <w:kern w:val="2"/>
                <w:sz w:val="21"/>
                <w:szCs w:val="21"/>
                <w:u w:val="none"/>
              </w:rPr>
              <w:t>加强设备、仪表的维修、保养，定期检查各种设备，杜绝事故隐患，降低事故发生概率。定期检查和更换危险化学品的储存输送设备，杜绝由于设备劳损、折旧带来的事故隐患。</w:t>
            </w:r>
          </w:p>
        </w:tc>
      </w:tr>
      <w:tr w14:paraId="37156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74D80E4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u w:val="none" w:color="auto"/>
                <w14:textFill>
                  <w14:solidFill>
                    <w14:schemeClr w14:val="tx1"/>
                  </w14:solidFill>
                </w14:textFill>
              </w:rPr>
              <w:t>其他环境管理要求</w:t>
            </w:r>
          </w:p>
        </w:tc>
        <w:tc>
          <w:tcPr>
            <w:tcW w:w="4443" w:type="pct"/>
            <w:gridSpan w:val="4"/>
            <w:noWrap w:val="0"/>
            <w:vAlign w:val="center"/>
          </w:tcPr>
          <w:p w14:paraId="4D62951D">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eastAsia" w:ascii="Times New Roman" w:hAnsi="Times New Roman" w:eastAsia="宋体" w:cs="Times New Roman"/>
                <w:b w:val="0"/>
                <w:bCs w:val="0"/>
                <w:color w:val="000000" w:themeColor="text1"/>
                <w:spacing w:val="0"/>
                <w:kern w:val="20"/>
                <w:position w:val="0"/>
                <w:sz w:val="21"/>
                <w:szCs w:val="21"/>
                <w:u w:val="none" w:color="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t>1、</w:t>
            </w:r>
            <w:r>
              <w:rPr>
                <w:rFonts w:hint="eastAsia" w:ascii="Times New Roman" w:hAnsi="Times New Roman" w:eastAsia="宋体" w:cs="Times New Roman"/>
                <w:b w:val="0"/>
                <w:bCs w:val="0"/>
                <w:color w:val="000000" w:themeColor="text1"/>
                <w:spacing w:val="0"/>
                <w:kern w:val="20"/>
                <w:position w:val="0"/>
                <w:sz w:val="21"/>
                <w:szCs w:val="21"/>
                <w:u w:val="none" w:color="auto"/>
                <w:lang w:eastAsia="zh-CN"/>
                <w14:textFill>
                  <w14:solidFill>
                    <w14:schemeClr w14:val="tx1"/>
                  </w14:solidFill>
                </w14:textFill>
              </w:rPr>
              <w:t>本次评价提出的各项污染</w:t>
            </w:r>
            <w:r>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t>防治设施，应当</w:t>
            </w:r>
            <w:r>
              <w:rPr>
                <w:rFonts w:hint="eastAsia" w:ascii="Times New Roman" w:hAnsi="Times New Roman" w:eastAsia="宋体" w:cs="Times New Roman"/>
                <w:b w:val="0"/>
                <w:bCs w:val="0"/>
                <w:color w:val="000000" w:themeColor="text1"/>
                <w:spacing w:val="0"/>
                <w:kern w:val="20"/>
                <w:position w:val="0"/>
                <w:sz w:val="21"/>
                <w:szCs w:val="21"/>
                <w:u w:val="none" w:color="auto"/>
                <w:lang w:eastAsia="zh-CN"/>
                <w14:textFill>
                  <w14:solidFill>
                    <w14:schemeClr w14:val="tx1"/>
                  </w14:solidFill>
                </w14:textFill>
              </w:rPr>
              <w:t>落实“三同时”制度，</w:t>
            </w:r>
            <w:r>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t>与主体工程同时设计、同时施工、同时投产使用</w:t>
            </w:r>
            <w:r>
              <w:rPr>
                <w:rFonts w:hint="eastAsia" w:ascii="Times New Roman" w:hAnsi="Times New Roman" w:eastAsia="宋体" w:cs="Times New Roman"/>
                <w:b w:val="0"/>
                <w:bCs w:val="0"/>
                <w:color w:val="000000" w:themeColor="text1"/>
                <w:spacing w:val="0"/>
                <w:kern w:val="20"/>
                <w:position w:val="0"/>
                <w:sz w:val="21"/>
                <w:szCs w:val="21"/>
                <w:u w:val="none" w:color="auto"/>
                <w:lang w:eastAsia="zh-CN"/>
                <w14:textFill>
                  <w14:solidFill>
                    <w14:schemeClr w14:val="tx1"/>
                  </w14:solidFill>
                </w14:textFill>
              </w:rPr>
              <w:t>。</w:t>
            </w:r>
          </w:p>
          <w:p w14:paraId="62B1D61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pPr>
            <w:r>
              <w:rPr>
                <w:rFonts w:hint="eastAsia" w:ascii="Times New Roman" w:hAnsi="Times New Roman" w:eastAsia="宋体" w:cs="Times New Roman"/>
                <w:b w:val="0"/>
                <w:bCs w:val="0"/>
                <w:color w:val="000000" w:themeColor="text1"/>
                <w:spacing w:val="0"/>
                <w:kern w:val="20"/>
                <w:position w:val="0"/>
                <w:sz w:val="21"/>
                <w:szCs w:val="21"/>
                <w:u w:val="none" w:color="auto"/>
                <w:lang w:val="en-US" w:eastAsia="zh-CN"/>
                <w14:textFill>
                  <w14:solidFill>
                    <w14:schemeClr w14:val="tx1"/>
                  </w14:solidFill>
                </w14:textFill>
              </w:rPr>
              <w:t>2、建设项目发生实际排污行为之前，排污单位应当按照国家环境保护相关法律法规以及排污许可证申请与核发技术规范要求申请排污许可证，不得无证排污或不按证排污。</w:t>
            </w:r>
          </w:p>
          <w:p w14:paraId="3C9154D8">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pPr>
            <w:r>
              <w:rPr>
                <w:rFonts w:hint="eastAsia" w:ascii="Times New Roman" w:hAnsi="Times New Roman" w:eastAsia="宋体" w:cs="Times New Roman"/>
                <w:b w:val="0"/>
                <w:bCs w:val="0"/>
                <w:color w:val="000000" w:themeColor="text1"/>
                <w:spacing w:val="0"/>
                <w:kern w:val="20"/>
                <w:position w:val="0"/>
                <w:sz w:val="21"/>
                <w:szCs w:val="21"/>
                <w:u w:val="none" w:color="auto"/>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t>必须严格执行建设项目竣工环保验收制度，项目建成后根据《建设项目竣工环境保护验收暂行办法》经自主验收后方可投入运营。</w:t>
            </w:r>
          </w:p>
          <w:p w14:paraId="36DA98AD">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pPr>
            <w:r>
              <w:rPr>
                <w:rFonts w:hint="eastAsia" w:ascii="Times New Roman" w:hAnsi="Times New Roman" w:eastAsia="宋体" w:cs="Times New Roman"/>
                <w:b w:val="0"/>
                <w:bCs w:val="0"/>
                <w:color w:val="000000" w:themeColor="text1"/>
                <w:spacing w:val="0"/>
                <w:kern w:val="20"/>
                <w:position w:val="0"/>
                <w:sz w:val="21"/>
                <w:szCs w:val="21"/>
                <w:u w:val="none" w:color="auto"/>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t>、</w:t>
            </w:r>
            <w:r>
              <w:rPr>
                <w:rFonts w:hint="default" w:ascii="Times New Roman" w:hAnsi="Times New Roman" w:eastAsia="宋体" w:cs="Times New Roman"/>
                <w:b w:val="0"/>
                <w:bCs w:val="0"/>
                <w:color w:val="000000" w:themeColor="text1"/>
                <w:spacing w:val="0"/>
                <w:kern w:val="20"/>
                <w:position w:val="0"/>
                <w:sz w:val="21"/>
                <w:szCs w:val="21"/>
                <w:u w:val="none" w:color="auto"/>
                <w:lang w:val="en-US" w:eastAsia="zh-CN"/>
                <w14:textFill>
                  <w14:solidFill>
                    <w14:schemeClr w14:val="tx1"/>
                  </w14:solidFill>
                </w14:textFill>
              </w:rPr>
              <w:t>项目竣工后，建设单位应当按照国务院环境保护行政主管部门规定的标准和程序，编制突发环境事件应急预案，并完成备案</w:t>
            </w:r>
            <w:r>
              <w:rPr>
                <w:rFonts w:hint="eastAsia" w:ascii="Times New Roman" w:hAnsi="Times New Roman" w:eastAsia="宋体" w:cs="Times New Roman"/>
                <w:b w:val="0"/>
                <w:bCs w:val="0"/>
                <w:color w:val="000000" w:themeColor="text1"/>
                <w:spacing w:val="0"/>
                <w:kern w:val="20"/>
                <w:position w:val="0"/>
                <w:sz w:val="21"/>
                <w:szCs w:val="21"/>
                <w:u w:val="none" w:color="auto"/>
                <w:lang w:val="en-US" w:eastAsia="zh-CN"/>
                <w14:textFill>
                  <w14:solidFill>
                    <w14:schemeClr w14:val="tx1"/>
                  </w14:solidFill>
                </w14:textFill>
              </w:rPr>
              <w:t>。</w:t>
            </w:r>
          </w:p>
          <w:p w14:paraId="3A813836">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pPr>
            <w:r>
              <w:rPr>
                <w:rFonts w:hint="eastAsia" w:ascii="Times New Roman" w:hAnsi="Times New Roman" w:eastAsia="宋体" w:cs="Times New Roman"/>
                <w:b w:val="0"/>
                <w:bCs w:val="0"/>
                <w:color w:val="000000" w:themeColor="text1"/>
                <w:spacing w:val="0"/>
                <w:kern w:val="20"/>
                <w:position w:val="0"/>
                <w:sz w:val="21"/>
                <w:szCs w:val="21"/>
                <w:u w:val="none" w:color="auto"/>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t>、为了能使各项污染防治措施达到较好的实际使用效果，企业应建立健全的环境保护制度，经常性的监督管理工作。加强各种处理设施的维修、保养及管理，确保污染治理设施</w:t>
            </w:r>
            <w:r>
              <w:rPr>
                <w:rFonts w:hint="eastAsia" w:ascii="Times New Roman" w:hAnsi="Times New Roman" w:eastAsia="宋体" w:cs="Times New Roman"/>
                <w:b w:val="0"/>
                <w:bCs w:val="0"/>
                <w:color w:val="000000" w:themeColor="text1"/>
                <w:spacing w:val="0"/>
                <w:kern w:val="20"/>
                <w:position w:val="0"/>
                <w:sz w:val="21"/>
                <w:szCs w:val="21"/>
                <w:u w:val="none" w:color="auto"/>
                <w:lang w:eastAsia="zh-CN"/>
                <w14:textFill>
                  <w14:solidFill>
                    <w14:schemeClr w14:val="tx1"/>
                  </w14:solidFill>
                </w14:textFill>
              </w:rPr>
              <w:t>长期稳定运行，做到达标排放</w:t>
            </w:r>
            <w:r>
              <w:rPr>
                <w:rFonts w:hint="default" w:ascii="Times New Roman" w:hAnsi="Times New Roman" w:eastAsia="宋体" w:cs="Times New Roman"/>
                <w:b w:val="0"/>
                <w:bCs w:val="0"/>
                <w:color w:val="000000" w:themeColor="text1"/>
                <w:spacing w:val="0"/>
                <w:kern w:val="20"/>
                <w:position w:val="0"/>
                <w:sz w:val="21"/>
                <w:szCs w:val="21"/>
                <w:u w:val="none" w:color="auto"/>
                <w14:textFill>
                  <w14:solidFill>
                    <w14:schemeClr w14:val="tx1"/>
                  </w14:solidFill>
                </w14:textFill>
              </w:rPr>
              <w:t>。</w:t>
            </w:r>
          </w:p>
          <w:p w14:paraId="5C2C37C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2A9DB2C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3AE03CA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6D4B1F2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3010593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04665D3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3F12998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0EC2E90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7DE0DB8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6E65234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1450AC31">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68F793A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55AD5D4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4029723C">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4F1F5AA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06BC7B5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2D2907D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7DCCEE5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b w:val="0"/>
                <w:bCs w:val="0"/>
                <w:color w:val="000000" w:themeColor="text1"/>
                <w:spacing w:val="0"/>
                <w:kern w:val="0"/>
                <w:position w:val="0"/>
                <w:sz w:val="21"/>
                <w:szCs w:val="21"/>
                <w:u w:val="none" w:color="auto"/>
                <w14:textFill>
                  <w14:solidFill>
                    <w14:schemeClr w14:val="tx1"/>
                  </w14:solidFill>
                </w14:textFill>
              </w:rPr>
            </w:pPr>
          </w:p>
          <w:p w14:paraId="2C4C688A">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eastAsia" w:ascii="Times New Roman" w:hAnsi="Times New Roman" w:eastAsia="宋体" w:cs="Times New Roman"/>
                <w:b w:val="0"/>
                <w:bCs w:val="0"/>
                <w:color w:val="000000" w:themeColor="text1"/>
                <w:spacing w:val="0"/>
                <w:position w:val="0"/>
                <w:sz w:val="21"/>
                <w:szCs w:val="21"/>
                <w:u w:val="none" w:color="auto"/>
                <w:lang w:val="en-US" w:eastAsia="zh-CN"/>
                <w14:textFill>
                  <w14:solidFill>
                    <w14:schemeClr w14:val="tx1"/>
                  </w14:solidFill>
                </w14:textFill>
              </w:rPr>
            </w:pPr>
            <w:r>
              <w:rPr>
                <w:rFonts w:hint="eastAsia" w:cs="Times New Roman"/>
                <w:b w:val="0"/>
                <w:bCs w:val="0"/>
                <w:color w:val="000000" w:themeColor="text1"/>
                <w:spacing w:val="0"/>
                <w:kern w:val="0"/>
                <w:position w:val="0"/>
                <w:sz w:val="21"/>
                <w:szCs w:val="21"/>
                <w:u w:val="none" w:color="auto"/>
                <w:lang w:val="en-US" w:eastAsia="zh-CN"/>
                <w14:textFill>
                  <w14:solidFill>
                    <w14:schemeClr w14:val="tx1"/>
                  </w14:solidFill>
                </w14:textFill>
              </w:rPr>
              <w:t xml:space="preserve"> </w:t>
            </w:r>
          </w:p>
        </w:tc>
      </w:tr>
    </w:tbl>
    <w:p w14:paraId="41558D24">
      <w:pPr>
        <w:pStyle w:val="6"/>
        <w:bidi w:val="0"/>
        <w:rPr>
          <w:rFonts w:hint="default"/>
        </w:rPr>
      </w:pPr>
      <w:bookmarkStart w:id="22" w:name="_Toc3936"/>
      <w:bookmarkStart w:id="23" w:name="_Toc17088"/>
      <w:r>
        <w:rPr>
          <w:rFonts w:hint="default"/>
        </w:rPr>
        <w:t>六、结论</w:t>
      </w:r>
      <w:bookmarkEnd w:id="21"/>
      <w:bookmarkEnd w:id="22"/>
      <w:bookmarkEnd w:id="23"/>
    </w:p>
    <w:tbl>
      <w:tblPr>
        <w:tblStyle w:val="3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14:paraId="0A8E93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top"/>
          </w:tcPr>
          <w:p w14:paraId="1B0F78B7">
            <w:pPr>
              <w:keepNext w:val="0"/>
              <w:keepLines w:val="0"/>
              <w:suppressLineNumbers w:val="0"/>
              <w:spacing w:before="0" w:beforeAutospacing="0" w:after="0" w:afterAutospacing="0" w:line="360" w:lineRule="auto"/>
              <w:ind w:left="0" w:right="0" w:firstLine="480" w:firstLineChars="200"/>
              <w:jc w:val="both"/>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p>
          <w:p w14:paraId="46F611CB">
            <w:pPr>
              <w:keepNext w:val="0"/>
              <w:keepLines w:val="0"/>
              <w:suppressLineNumbers w:val="0"/>
              <w:spacing w:before="0" w:beforeAutospacing="0" w:after="0" w:afterAutospacing="0" w:line="360" w:lineRule="auto"/>
              <w:ind w:left="0" w:right="0" w:firstLine="480" w:firstLineChars="200"/>
              <w:jc w:val="both"/>
              <w:outlineLvl w:val="9"/>
              <w:rPr>
                <w:rFonts w:hint="default" w:ascii="Times New Roman" w:hAnsi="Times New Roman" w:eastAsia="宋体" w:cs="Times New Roman"/>
                <w:color w:val="000000" w:themeColor="text1"/>
                <w:spacing w:val="0"/>
                <w:position w:val="0"/>
                <w:sz w:val="24"/>
                <w:szCs w:val="24"/>
                <w:u w:val="none" w:color="auto"/>
                <w14:textFill>
                  <w14:solidFill>
                    <w14:schemeClr w14:val="tx1"/>
                  </w14:solidFill>
                </w14:textFill>
              </w:rPr>
            </w:pPr>
          </w:p>
          <w:p w14:paraId="26F0D80F">
            <w:pPr>
              <w:keepNext w:val="0"/>
              <w:keepLines w:val="0"/>
              <w:suppressLineNumbers w:val="0"/>
              <w:spacing w:before="0" w:beforeAutospacing="0" w:after="0" w:afterAutospacing="0" w:line="360" w:lineRule="auto"/>
              <w:ind w:left="0" w:right="0" w:firstLine="480" w:firstLineChars="200"/>
              <w:jc w:val="both"/>
              <w:outlineLvl w:val="1"/>
              <w:rPr>
                <w:rFonts w:hint="default" w:ascii="Times New Roman" w:hAnsi="Times New Roman" w:eastAsia="宋体" w:cs="Times New Roman"/>
                <w:color w:val="000000" w:themeColor="text1"/>
                <w:spacing w:val="0"/>
                <w:position w:val="0"/>
                <w:sz w:val="24"/>
                <w:szCs w:val="24"/>
                <w:u w:val="none" w:color="auto"/>
                <w:lang w:eastAsia="zh-CN"/>
                <w14:textFill>
                  <w14:solidFill>
                    <w14:schemeClr w14:val="tx1"/>
                  </w14:solidFill>
                </w14:textFill>
              </w:rPr>
            </w:pPr>
            <w:r>
              <w:rPr>
                <w:rFonts w:hint="default"/>
                <w:color w:val="auto"/>
                <w:sz w:val="24"/>
                <w:szCs w:val="24"/>
              </w:rPr>
              <w:t>综上所述，</w:t>
            </w:r>
            <w:r>
              <w:rPr>
                <w:rFonts w:hint="eastAsia"/>
                <w:color w:val="auto"/>
                <w:sz w:val="24"/>
                <w:szCs w:val="24"/>
                <w:lang w:eastAsia="zh-CN"/>
              </w:rPr>
              <w:t>本</w:t>
            </w:r>
            <w:r>
              <w:rPr>
                <w:rFonts w:hint="default"/>
                <w:color w:val="auto"/>
                <w:sz w:val="24"/>
                <w:szCs w:val="24"/>
              </w:rPr>
              <w:t>项目的建设</w:t>
            </w:r>
            <w:r>
              <w:rPr>
                <w:rFonts w:hint="default" w:ascii="Times New Roman" w:hAnsi="Times New Roman" w:eastAsia="宋体" w:cs="Times New Roman"/>
                <w:color w:val="auto"/>
                <w:sz w:val="24"/>
              </w:rPr>
              <w:t>符合国家和地方产业政策，选址合理，没有明显的环境制约因素。</w:t>
            </w:r>
            <w:r>
              <w:rPr>
                <w:rFonts w:hint="default"/>
                <w:color w:val="auto"/>
                <w:sz w:val="24"/>
                <w:szCs w:val="24"/>
              </w:rPr>
              <w:t>所在区域环境质量</w:t>
            </w:r>
            <w:r>
              <w:rPr>
                <w:rFonts w:hint="eastAsia"/>
                <w:color w:val="auto"/>
                <w:sz w:val="24"/>
                <w:szCs w:val="24"/>
              </w:rPr>
              <w:t>较</w:t>
            </w:r>
            <w:r>
              <w:rPr>
                <w:rFonts w:hint="default"/>
                <w:color w:val="auto"/>
                <w:sz w:val="24"/>
                <w:szCs w:val="24"/>
              </w:rPr>
              <w:t>好，有一定的环境容量</w:t>
            </w:r>
            <w:r>
              <w:rPr>
                <w:rFonts w:hint="eastAsia"/>
                <w:color w:val="auto"/>
                <w:sz w:val="24"/>
                <w:szCs w:val="24"/>
              </w:rPr>
              <w:t>。</w:t>
            </w:r>
            <w:r>
              <w:rPr>
                <w:rFonts w:hint="default" w:ascii="Times New Roman" w:hAnsi="Times New Roman" w:eastAsia="宋体" w:cs="Times New Roman"/>
                <w:color w:val="auto"/>
                <w:sz w:val="24"/>
              </w:rPr>
              <w:t>项目在营运过程中只要充分落实完善好本评价提出的各项环保措施，有效地防治废气、噪声及固体废物带来的污染和危害，确保各项污染物达到国家规定的排放标准，污染物对环境保护目标及周围环境影响较小，项目营运对周边环境的影响可以满足环境功能规划的要求。</w:t>
            </w:r>
            <w:r>
              <w:rPr>
                <w:rFonts w:hint="eastAsia"/>
                <w:color w:val="auto"/>
                <w:sz w:val="24"/>
                <w:szCs w:val="24"/>
              </w:rPr>
              <w:t>从环保的角度来说，项目建设是可行的</w:t>
            </w:r>
            <w:r>
              <w:rPr>
                <w:rFonts w:hint="eastAsia"/>
                <w:color w:val="auto"/>
                <w:sz w:val="24"/>
                <w:szCs w:val="24"/>
                <w:lang w:eastAsia="zh-CN"/>
              </w:rPr>
              <w:t>。</w:t>
            </w:r>
          </w:p>
        </w:tc>
      </w:tr>
    </w:tbl>
    <w:p w14:paraId="14A7CE66">
      <w:pPr>
        <w:pStyle w:val="12"/>
        <w:ind w:left="0" w:leftChars="0" w:firstLine="0" w:firstLineChars="0"/>
        <w:rPr>
          <w:rFonts w:hint="default" w:ascii="Times New Roman" w:hAnsi="Times New Roman" w:eastAsia="宋体" w:cs="Times New Roman"/>
          <w:color w:val="000000" w:themeColor="text1"/>
          <w:spacing w:val="0"/>
          <w:position w:val="0"/>
          <w:u w:val="none" w:color="auto"/>
          <w:lang w:eastAsia="zh-CN"/>
          <w14:textFill>
            <w14:solidFill>
              <w14:schemeClr w14:val="tx1"/>
            </w14:solidFill>
          </w14:textFill>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E2D9D16">
      <w:pPr>
        <w:bidi w:val="0"/>
        <w:rPr>
          <w:rFonts w:hint="default"/>
          <w:sz w:val="24"/>
          <w:szCs w:val="24"/>
        </w:rPr>
      </w:pPr>
      <w:bookmarkStart w:id="24" w:name="_Toc2034"/>
      <w:bookmarkStart w:id="25" w:name="_Toc15972"/>
      <w:r>
        <w:rPr>
          <w:rFonts w:hint="default"/>
          <w:sz w:val="24"/>
          <w:szCs w:val="24"/>
        </w:rPr>
        <w:t>附表</w:t>
      </w:r>
      <w:bookmarkEnd w:id="24"/>
      <w:bookmarkEnd w:id="25"/>
    </w:p>
    <w:p w14:paraId="1CB1DFA0">
      <w:pPr>
        <w:bidi w:val="0"/>
        <w:jc w:val="center"/>
        <w:rPr>
          <w:rFonts w:hint="default"/>
          <w:b/>
          <w:bCs/>
          <w:sz w:val="28"/>
          <w:szCs w:val="28"/>
        </w:rPr>
      </w:pPr>
      <w:bookmarkStart w:id="26" w:name="_Toc742"/>
      <w:r>
        <w:rPr>
          <w:rFonts w:hint="default"/>
          <w:b/>
          <w:bCs/>
          <w:sz w:val="28"/>
          <w:szCs w:val="28"/>
        </w:rPr>
        <w:t>建设项目污染物排放量汇总表</w:t>
      </w:r>
      <w:bookmarkEnd w:id="26"/>
    </w:p>
    <w:tbl>
      <w:tblPr>
        <w:tblStyle w:val="37"/>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2215"/>
        <w:gridCol w:w="1433"/>
        <w:gridCol w:w="1256"/>
        <w:gridCol w:w="1688"/>
        <w:gridCol w:w="1542"/>
        <w:gridCol w:w="1753"/>
        <w:gridCol w:w="1954"/>
        <w:gridCol w:w="1147"/>
      </w:tblGrid>
      <w:tr w14:paraId="16344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tcBorders>
              <w:tl2br w:val="single" w:color="auto" w:sz="4" w:space="0"/>
            </w:tcBorders>
            <w:noWrap w:val="0"/>
            <w:tcMar>
              <w:left w:w="28" w:type="dxa"/>
              <w:right w:w="28" w:type="dxa"/>
            </w:tcMar>
            <w:vAlign w:val="center"/>
          </w:tcPr>
          <w:p w14:paraId="1E644AFB">
            <w:pPr>
              <w:keepNext w:val="0"/>
              <w:keepLines w:val="0"/>
              <w:widowControl w:val="0"/>
              <w:suppressLineNumbers w:val="0"/>
              <w:adjustRightInd w:val="0"/>
              <w:snapToGrid w:val="0"/>
              <w:spacing w:before="0" w:beforeLines="0" w:beforeAutospacing="0" w:after="0" w:afterLines="0" w:afterAutospacing="0" w:line="240" w:lineRule="auto"/>
              <w:ind w:left="0" w:right="0"/>
              <w:jc w:val="right"/>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项目</w:t>
            </w:r>
          </w:p>
          <w:p w14:paraId="455691BB">
            <w:pPr>
              <w:keepNext w:val="0"/>
              <w:keepLines w:val="0"/>
              <w:widowControl w:val="0"/>
              <w:suppressLineNumbers w:val="0"/>
              <w:adjustRightInd w:val="0"/>
              <w:snapToGrid w:val="0"/>
              <w:spacing w:before="0" w:beforeLines="0" w:beforeAutospacing="0" w:after="0" w:afterLines="0" w:afterAutospacing="0" w:line="240" w:lineRule="auto"/>
              <w:ind w:left="0" w:right="0"/>
              <w:jc w:val="left"/>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分类</w:t>
            </w:r>
          </w:p>
        </w:tc>
        <w:tc>
          <w:tcPr>
            <w:tcW w:w="790" w:type="pct"/>
            <w:noWrap w:val="0"/>
            <w:tcMar>
              <w:left w:w="28" w:type="dxa"/>
              <w:right w:w="28" w:type="dxa"/>
            </w:tcMar>
            <w:vAlign w:val="center"/>
          </w:tcPr>
          <w:p w14:paraId="62382765">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污染物名称</w:t>
            </w:r>
          </w:p>
        </w:tc>
        <w:tc>
          <w:tcPr>
            <w:tcW w:w="511" w:type="pct"/>
            <w:noWrap w:val="0"/>
            <w:tcMar>
              <w:left w:w="28" w:type="dxa"/>
              <w:right w:w="28" w:type="dxa"/>
            </w:tcMar>
            <w:vAlign w:val="center"/>
          </w:tcPr>
          <w:p w14:paraId="4DF6A325">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现有工程</w:t>
            </w:r>
          </w:p>
          <w:p w14:paraId="17BAAFBB">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排放量（固体废物产生量）</w: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begin"/>
            </w:r>
            <w:r>
              <w:rPr>
                <w:rFonts w:hint="default" w:ascii="Times New Roman" w:hAnsi="Times New Roman" w:eastAsia="宋体" w:cs="Times New Roman"/>
                <w:b/>
                <w:bCs/>
                <w:snapToGrid w:val="0"/>
                <w:color w:val="auto"/>
                <w:spacing w:val="-6"/>
                <w:kern w:val="21"/>
                <w:sz w:val="21"/>
                <w:szCs w:val="21"/>
                <w:u w:val="none" w:color="auto"/>
                <w:lang w:val="en-US" w:eastAsia="zh-CN" w:bidi="ar-SA"/>
              </w:rPr>
              <w:instrText xml:space="preserve"> = 1 \* GB3 \* MERGEFORMAT </w:instrTex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separate"/>
            </w:r>
            <w:r>
              <w:rPr>
                <w:rFonts w:hint="default" w:ascii="Times New Roman" w:hAnsi="Times New Roman" w:eastAsia="宋体" w:cs="Times New Roman"/>
                <w:b/>
                <w:bCs/>
                <w:color w:val="auto"/>
                <w:kern w:val="2"/>
                <w:sz w:val="21"/>
                <w:szCs w:val="21"/>
                <w:u w:val="none" w:color="auto"/>
                <w:lang w:val="en-US" w:eastAsia="zh-CN" w:bidi="ar-SA"/>
              </w:rPr>
              <w:t>①</w: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end"/>
            </w:r>
          </w:p>
        </w:tc>
        <w:tc>
          <w:tcPr>
            <w:tcW w:w="448" w:type="pct"/>
            <w:noWrap w:val="0"/>
            <w:tcMar>
              <w:left w:w="28" w:type="dxa"/>
              <w:right w:w="28" w:type="dxa"/>
            </w:tcMar>
            <w:vAlign w:val="center"/>
          </w:tcPr>
          <w:p w14:paraId="6CF51353">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现有工程</w:t>
            </w:r>
          </w:p>
          <w:p w14:paraId="174CE6A8">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许可排放量</w:t>
            </w:r>
          </w:p>
          <w:p w14:paraId="4E053EC7">
            <w:pPr>
              <w:keepNext w:val="0"/>
              <w:keepLines w:val="0"/>
              <w:widowControl w:val="0"/>
              <w:suppressLineNumbers w:val="0"/>
              <w:adjustRightInd w:val="0"/>
              <w:snapToGrid w:val="0"/>
              <w:spacing w:before="0" w:beforeLines="0" w:beforeAutospacing="0" w:after="0" w:afterLines="0" w:afterAutospacing="0" w:line="259"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begin"/>
            </w:r>
            <w:r>
              <w:rPr>
                <w:rFonts w:hint="default" w:ascii="Times New Roman" w:hAnsi="Times New Roman" w:eastAsia="宋体" w:cs="Times New Roman"/>
                <w:b/>
                <w:bCs/>
                <w:snapToGrid w:val="0"/>
                <w:color w:val="auto"/>
                <w:spacing w:val="-6"/>
                <w:kern w:val="21"/>
                <w:sz w:val="21"/>
                <w:szCs w:val="21"/>
                <w:u w:val="none" w:color="auto"/>
                <w:lang w:val="en-US" w:eastAsia="zh-CN" w:bidi="ar-SA"/>
              </w:rPr>
              <w:instrText xml:space="preserve"> = 2 \* GB3 \* MERGEFORMAT </w:instrTex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separate"/>
            </w:r>
            <w:r>
              <w:rPr>
                <w:rFonts w:hint="default" w:ascii="Times New Roman" w:hAnsi="Times New Roman" w:eastAsia="宋体" w:cs="Times New Roman"/>
                <w:b/>
                <w:bCs/>
                <w:snapToGrid w:val="0"/>
                <w:color w:val="auto"/>
                <w:spacing w:val="-6"/>
                <w:kern w:val="21"/>
                <w:sz w:val="21"/>
                <w:szCs w:val="21"/>
                <w:u w:val="none" w:color="auto"/>
                <w:lang w:val="en-US" w:eastAsia="zh-CN" w:bidi="ar-SA"/>
              </w:rPr>
              <w:t>②</w: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end"/>
            </w:r>
          </w:p>
        </w:tc>
        <w:tc>
          <w:tcPr>
            <w:tcW w:w="602" w:type="pct"/>
            <w:noWrap w:val="0"/>
            <w:tcMar>
              <w:left w:w="28" w:type="dxa"/>
              <w:right w:w="28" w:type="dxa"/>
            </w:tcMar>
            <w:vAlign w:val="center"/>
          </w:tcPr>
          <w:p w14:paraId="14A6FF90">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在建工程</w:t>
            </w:r>
          </w:p>
          <w:p w14:paraId="5CB1B223">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排放量（固体废物产生量）</w: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begin"/>
            </w:r>
            <w:r>
              <w:rPr>
                <w:rFonts w:hint="default" w:ascii="Times New Roman" w:hAnsi="Times New Roman" w:eastAsia="宋体" w:cs="Times New Roman"/>
                <w:b/>
                <w:bCs/>
                <w:snapToGrid w:val="0"/>
                <w:color w:val="auto"/>
                <w:spacing w:val="-6"/>
                <w:kern w:val="21"/>
                <w:sz w:val="21"/>
                <w:szCs w:val="21"/>
                <w:u w:val="none" w:color="auto"/>
                <w:lang w:val="en-US" w:eastAsia="zh-CN" w:bidi="ar-SA"/>
              </w:rPr>
              <w:instrText xml:space="preserve"> = 3 \* GB3 \* MERGEFORMAT </w:instrTex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separate"/>
            </w:r>
            <w:r>
              <w:rPr>
                <w:rFonts w:hint="default" w:ascii="Times New Roman" w:hAnsi="Times New Roman" w:eastAsia="宋体" w:cs="Times New Roman"/>
                <w:b/>
                <w:bCs/>
                <w:color w:val="auto"/>
                <w:kern w:val="2"/>
                <w:sz w:val="21"/>
                <w:szCs w:val="21"/>
                <w:u w:val="none" w:color="auto"/>
                <w:lang w:val="en-US" w:eastAsia="zh-CN" w:bidi="ar-SA"/>
              </w:rPr>
              <w:t>③</w: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end"/>
            </w:r>
          </w:p>
        </w:tc>
        <w:tc>
          <w:tcPr>
            <w:tcW w:w="550" w:type="pct"/>
            <w:noWrap w:val="0"/>
            <w:tcMar>
              <w:left w:w="28" w:type="dxa"/>
              <w:right w:w="28" w:type="dxa"/>
            </w:tcMar>
            <w:vAlign w:val="center"/>
          </w:tcPr>
          <w:p w14:paraId="3380EBD5">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本项目</w:t>
            </w:r>
          </w:p>
          <w:p w14:paraId="7159FD47">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排放量（固体废物产生量）</w: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begin"/>
            </w:r>
            <w:r>
              <w:rPr>
                <w:rFonts w:hint="default" w:ascii="Times New Roman" w:hAnsi="Times New Roman" w:eastAsia="宋体" w:cs="Times New Roman"/>
                <w:b/>
                <w:bCs/>
                <w:snapToGrid w:val="0"/>
                <w:color w:val="auto"/>
                <w:spacing w:val="-6"/>
                <w:kern w:val="21"/>
                <w:sz w:val="21"/>
                <w:szCs w:val="21"/>
                <w:u w:val="none" w:color="auto"/>
                <w:lang w:val="en-US" w:eastAsia="zh-CN" w:bidi="ar-SA"/>
              </w:rPr>
              <w:instrText xml:space="preserve"> = 4 \* GB3 \* MERGEFORMAT </w:instrTex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separate"/>
            </w:r>
            <w:r>
              <w:rPr>
                <w:rFonts w:hint="default" w:ascii="Times New Roman" w:hAnsi="Times New Roman" w:eastAsia="宋体" w:cs="Times New Roman"/>
                <w:b/>
                <w:bCs/>
                <w:color w:val="auto"/>
                <w:kern w:val="2"/>
                <w:sz w:val="21"/>
                <w:szCs w:val="21"/>
                <w:u w:val="none" w:color="auto"/>
                <w:lang w:val="en-US" w:eastAsia="zh-CN" w:bidi="ar-SA"/>
              </w:rPr>
              <w:t>④</w: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end"/>
            </w:r>
          </w:p>
        </w:tc>
        <w:tc>
          <w:tcPr>
            <w:tcW w:w="625" w:type="pct"/>
            <w:noWrap w:val="0"/>
            <w:tcMar>
              <w:left w:w="28" w:type="dxa"/>
              <w:right w:w="28" w:type="dxa"/>
            </w:tcMar>
            <w:vAlign w:val="center"/>
          </w:tcPr>
          <w:p w14:paraId="04766343">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16"/>
                <w:kern w:val="21"/>
                <w:sz w:val="21"/>
                <w:szCs w:val="21"/>
                <w:u w:val="none" w:color="auto"/>
                <w:lang w:val="en-US" w:eastAsia="zh-CN" w:bidi="ar-SA"/>
              </w:rPr>
            </w:pPr>
            <w:r>
              <w:rPr>
                <w:rFonts w:hint="default" w:ascii="Times New Roman" w:hAnsi="Times New Roman" w:eastAsia="宋体" w:cs="Times New Roman"/>
                <w:b/>
                <w:bCs/>
                <w:snapToGrid w:val="0"/>
                <w:color w:val="auto"/>
                <w:spacing w:val="-16"/>
                <w:kern w:val="21"/>
                <w:sz w:val="21"/>
                <w:szCs w:val="21"/>
                <w:u w:val="none" w:color="auto"/>
                <w:lang w:val="en-US" w:eastAsia="zh-CN" w:bidi="ar-SA"/>
              </w:rPr>
              <w:t>以新带老削减量</w:t>
            </w:r>
          </w:p>
          <w:p w14:paraId="24B2AE5C">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16"/>
                <w:kern w:val="21"/>
                <w:sz w:val="21"/>
                <w:szCs w:val="21"/>
                <w:u w:val="none" w:color="auto"/>
                <w:lang w:val="en-US" w:eastAsia="zh-CN" w:bidi="ar-SA"/>
              </w:rPr>
            </w:pPr>
            <w:r>
              <w:rPr>
                <w:rFonts w:hint="default" w:ascii="Times New Roman" w:hAnsi="Times New Roman" w:eastAsia="宋体" w:cs="Times New Roman"/>
                <w:b/>
                <w:bCs/>
                <w:snapToGrid w:val="0"/>
                <w:color w:val="auto"/>
                <w:spacing w:val="-16"/>
                <w:kern w:val="21"/>
                <w:sz w:val="21"/>
                <w:szCs w:val="21"/>
                <w:u w:val="none" w:color="auto"/>
                <w:lang w:val="en-US" w:eastAsia="zh-CN" w:bidi="ar-SA"/>
              </w:rPr>
              <w:t>（新建项目不填）</w:t>
            </w:r>
            <w:r>
              <w:rPr>
                <w:rFonts w:hint="default" w:ascii="Times New Roman" w:hAnsi="Times New Roman" w:eastAsia="宋体" w:cs="Times New Roman"/>
                <w:b/>
                <w:bCs/>
                <w:snapToGrid w:val="0"/>
                <w:color w:val="auto"/>
                <w:spacing w:val="-16"/>
                <w:kern w:val="21"/>
                <w:sz w:val="21"/>
                <w:szCs w:val="21"/>
                <w:u w:val="none" w:color="auto"/>
                <w:lang w:val="en-US" w:eastAsia="zh-CN" w:bidi="ar-SA"/>
              </w:rPr>
              <w:fldChar w:fldCharType="begin"/>
            </w:r>
            <w:r>
              <w:rPr>
                <w:rFonts w:hint="default" w:ascii="Times New Roman" w:hAnsi="Times New Roman" w:eastAsia="宋体" w:cs="Times New Roman"/>
                <w:b/>
                <w:bCs/>
                <w:snapToGrid w:val="0"/>
                <w:color w:val="auto"/>
                <w:spacing w:val="-16"/>
                <w:kern w:val="21"/>
                <w:sz w:val="21"/>
                <w:szCs w:val="21"/>
                <w:u w:val="none" w:color="auto"/>
                <w:lang w:val="en-US" w:eastAsia="zh-CN" w:bidi="ar-SA"/>
              </w:rPr>
              <w:instrText xml:space="preserve"> = 5 \* GB3 \* MERGEFORMAT </w:instrText>
            </w:r>
            <w:r>
              <w:rPr>
                <w:rFonts w:hint="default" w:ascii="Times New Roman" w:hAnsi="Times New Roman" w:eastAsia="宋体" w:cs="Times New Roman"/>
                <w:b/>
                <w:bCs/>
                <w:snapToGrid w:val="0"/>
                <w:color w:val="auto"/>
                <w:spacing w:val="-16"/>
                <w:kern w:val="21"/>
                <w:sz w:val="21"/>
                <w:szCs w:val="21"/>
                <w:u w:val="none" w:color="auto"/>
                <w:lang w:val="en-US" w:eastAsia="zh-CN" w:bidi="ar-SA"/>
              </w:rPr>
              <w:fldChar w:fldCharType="separate"/>
            </w:r>
            <w:r>
              <w:rPr>
                <w:rFonts w:hint="default" w:ascii="Times New Roman" w:hAnsi="Times New Roman" w:eastAsia="宋体" w:cs="Times New Roman"/>
                <w:b/>
                <w:bCs/>
                <w:color w:val="auto"/>
                <w:kern w:val="2"/>
                <w:sz w:val="21"/>
                <w:szCs w:val="21"/>
                <w:u w:val="none" w:color="auto"/>
                <w:lang w:val="en-US" w:eastAsia="zh-CN" w:bidi="ar-SA"/>
              </w:rPr>
              <w:t>⑤</w:t>
            </w:r>
            <w:r>
              <w:rPr>
                <w:rFonts w:hint="default" w:ascii="Times New Roman" w:hAnsi="Times New Roman" w:eastAsia="宋体" w:cs="Times New Roman"/>
                <w:b/>
                <w:bCs/>
                <w:snapToGrid w:val="0"/>
                <w:color w:val="auto"/>
                <w:spacing w:val="-16"/>
                <w:kern w:val="21"/>
                <w:sz w:val="21"/>
                <w:szCs w:val="21"/>
                <w:u w:val="none" w:color="auto"/>
                <w:lang w:val="en-US" w:eastAsia="zh-CN" w:bidi="ar-SA"/>
              </w:rPr>
              <w:fldChar w:fldCharType="end"/>
            </w:r>
          </w:p>
        </w:tc>
        <w:tc>
          <w:tcPr>
            <w:tcW w:w="697" w:type="pct"/>
            <w:noWrap w:val="0"/>
            <w:tcMar>
              <w:left w:w="28" w:type="dxa"/>
              <w:right w:w="28" w:type="dxa"/>
            </w:tcMar>
            <w:vAlign w:val="center"/>
          </w:tcPr>
          <w:p w14:paraId="7DDA1713">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16"/>
                <w:kern w:val="21"/>
                <w:sz w:val="21"/>
                <w:szCs w:val="21"/>
                <w:u w:val="none" w:color="auto"/>
                <w:lang w:val="en-US" w:eastAsia="zh-CN" w:bidi="ar-SA"/>
              </w:rPr>
            </w:pPr>
            <w:r>
              <w:rPr>
                <w:rFonts w:hint="default" w:ascii="Times New Roman" w:hAnsi="Times New Roman" w:eastAsia="宋体" w:cs="Times New Roman"/>
                <w:b/>
                <w:bCs/>
                <w:snapToGrid w:val="0"/>
                <w:color w:val="auto"/>
                <w:spacing w:val="-16"/>
                <w:kern w:val="21"/>
                <w:sz w:val="21"/>
                <w:szCs w:val="21"/>
                <w:u w:val="none" w:color="auto"/>
                <w:lang w:val="en-US" w:eastAsia="zh-CN" w:bidi="ar-SA"/>
              </w:rPr>
              <w:t>本项目建成后</w:t>
            </w:r>
          </w:p>
          <w:p w14:paraId="5A370B3A">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16"/>
                <w:kern w:val="21"/>
                <w:sz w:val="21"/>
                <w:szCs w:val="21"/>
                <w:u w:val="none" w:color="auto"/>
                <w:lang w:val="en-US" w:eastAsia="zh-CN" w:bidi="ar-SA"/>
              </w:rPr>
            </w:pPr>
            <w:r>
              <w:rPr>
                <w:rFonts w:hint="default" w:ascii="Times New Roman" w:hAnsi="Times New Roman" w:eastAsia="宋体" w:cs="Times New Roman"/>
                <w:b/>
                <w:bCs/>
                <w:snapToGrid w:val="0"/>
                <w:color w:val="auto"/>
                <w:spacing w:val="-16"/>
                <w:kern w:val="21"/>
                <w:sz w:val="21"/>
                <w:szCs w:val="21"/>
                <w:u w:val="none" w:color="auto"/>
                <w:lang w:val="en-US" w:eastAsia="zh-CN" w:bidi="ar-SA"/>
              </w:rPr>
              <w:t>全厂排放量（固体废物产生量）</w:t>
            </w:r>
            <w:r>
              <w:rPr>
                <w:rFonts w:hint="default" w:ascii="Times New Roman" w:hAnsi="Times New Roman" w:eastAsia="宋体" w:cs="Times New Roman"/>
                <w:b/>
                <w:bCs/>
                <w:snapToGrid w:val="0"/>
                <w:color w:val="auto"/>
                <w:spacing w:val="-16"/>
                <w:kern w:val="21"/>
                <w:sz w:val="21"/>
                <w:szCs w:val="21"/>
                <w:u w:val="none" w:color="auto"/>
                <w:lang w:val="en-US" w:eastAsia="zh-CN" w:bidi="ar-SA"/>
              </w:rPr>
              <w:fldChar w:fldCharType="begin"/>
            </w:r>
            <w:r>
              <w:rPr>
                <w:rFonts w:hint="default" w:ascii="Times New Roman" w:hAnsi="Times New Roman" w:eastAsia="宋体" w:cs="Times New Roman"/>
                <w:b/>
                <w:bCs/>
                <w:snapToGrid w:val="0"/>
                <w:color w:val="auto"/>
                <w:spacing w:val="-16"/>
                <w:kern w:val="21"/>
                <w:sz w:val="21"/>
                <w:szCs w:val="21"/>
                <w:u w:val="none" w:color="auto"/>
                <w:lang w:val="en-US" w:eastAsia="zh-CN" w:bidi="ar-SA"/>
              </w:rPr>
              <w:instrText xml:space="preserve"> = 6 \* GB3 \* MERGEFORMAT </w:instrText>
            </w:r>
            <w:r>
              <w:rPr>
                <w:rFonts w:hint="default" w:ascii="Times New Roman" w:hAnsi="Times New Roman" w:eastAsia="宋体" w:cs="Times New Roman"/>
                <w:b/>
                <w:bCs/>
                <w:snapToGrid w:val="0"/>
                <w:color w:val="auto"/>
                <w:spacing w:val="-16"/>
                <w:kern w:val="21"/>
                <w:sz w:val="21"/>
                <w:szCs w:val="21"/>
                <w:u w:val="none" w:color="auto"/>
                <w:lang w:val="en-US" w:eastAsia="zh-CN" w:bidi="ar-SA"/>
              </w:rPr>
              <w:fldChar w:fldCharType="separate"/>
            </w:r>
            <w:r>
              <w:rPr>
                <w:rFonts w:hint="default" w:ascii="Times New Roman" w:hAnsi="Times New Roman" w:eastAsia="宋体" w:cs="Times New Roman"/>
                <w:b/>
                <w:bCs/>
                <w:color w:val="auto"/>
                <w:kern w:val="2"/>
                <w:sz w:val="21"/>
                <w:szCs w:val="21"/>
                <w:u w:val="none" w:color="auto"/>
                <w:lang w:val="en-US" w:eastAsia="zh-CN" w:bidi="ar-SA"/>
              </w:rPr>
              <w:t>⑥</w:t>
            </w:r>
            <w:r>
              <w:rPr>
                <w:rFonts w:hint="default" w:ascii="Times New Roman" w:hAnsi="Times New Roman" w:eastAsia="宋体" w:cs="Times New Roman"/>
                <w:b/>
                <w:bCs/>
                <w:snapToGrid w:val="0"/>
                <w:color w:val="auto"/>
                <w:spacing w:val="-16"/>
                <w:kern w:val="21"/>
                <w:sz w:val="21"/>
                <w:szCs w:val="21"/>
                <w:u w:val="none" w:color="auto"/>
                <w:lang w:val="en-US" w:eastAsia="zh-CN" w:bidi="ar-SA"/>
              </w:rPr>
              <w:fldChar w:fldCharType="end"/>
            </w:r>
          </w:p>
        </w:tc>
        <w:tc>
          <w:tcPr>
            <w:tcW w:w="409" w:type="pct"/>
            <w:noWrap w:val="0"/>
            <w:tcMar>
              <w:left w:w="28" w:type="dxa"/>
              <w:right w:w="28" w:type="dxa"/>
            </w:tcMar>
            <w:vAlign w:val="center"/>
          </w:tcPr>
          <w:p w14:paraId="070DC6E9">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t>变化量</w:t>
            </w:r>
          </w:p>
          <w:p w14:paraId="7A685B37">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b/>
                <w:bCs/>
                <w:snapToGrid w:val="0"/>
                <w:color w:val="auto"/>
                <w:spacing w:val="-6"/>
                <w:kern w:val="21"/>
                <w:sz w:val="21"/>
                <w:szCs w:val="21"/>
                <w:u w:val="none" w:color="auto"/>
                <w:lang w:val="en-US" w:eastAsia="zh-CN" w:bidi="ar-SA"/>
              </w:rPr>
            </w:pP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begin"/>
            </w:r>
            <w:r>
              <w:rPr>
                <w:rFonts w:hint="default" w:ascii="Times New Roman" w:hAnsi="Times New Roman" w:eastAsia="宋体" w:cs="Times New Roman"/>
                <w:b/>
                <w:bCs/>
                <w:snapToGrid w:val="0"/>
                <w:color w:val="auto"/>
                <w:spacing w:val="-6"/>
                <w:kern w:val="21"/>
                <w:sz w:val="21"/>
                <w:szCs w:val="21"/>
                <w:u w:val="none" w:color="auto"/>
                <w:lang w:val="en-US" w:eastAsia="zh-CN" w:bidi="ar-SA"/>
              </w:rPr>
              <w:instrText xml:space="preserve"> = 7 \* GB3 \* MERGEFORMAT </w:instrTex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separate"/>
            </w:r>
            <w:r>
              <w:rPr>
                <w:rFonts w:hint="default" w:ascii="Times New Roman" w:hAnsi="Times New Roman" w:eastAsia="宋体" w:cs="Times New Roman"/>
                <w:b/>
                <w:bCs/>
                <w:color w:val="auto"/>
                <w:kern w:val="2"/>
                <w:sz w:val="21"/>
                <w:szCs w:val="21"/>
                <w:u w:val="none" w:color="auto"/>
                <w:lang w:val="en-US" w:eastAsia="zh-CN" w:bidi="ar-SA"/>
              </w:rPr>
              <w:t>⑦</w:t>
            </w:r>
            <w:r>
              <w:rPr>
                <w:rFonts w:hint="default" w:ascii="Times New Roman" w:hAnsi="Times New Roman" w:eastAsia="宋体" w:cs="Times New Roman"/>
                <w:b/>
                <w:bCs/>
                <w:snapToGrid w:val="0"/>
                <w:color w:val="auto"/>
                <w:spacing w:val="-6"/>
                <w:kern w:val="21"/>
                <w:sz w:val="21"/>
                <w:szCs w:val="21"/>
                <w:u w:val="none" w:color="auto"/>
                <w:lang w:val="en-US" w:eastAsia="zh-CN" w:bidi="ar-SA"/>
              </w:rPr>
              <w:fldChar w:fldCharType="end"/>
            </w:r>
          </w:p>
        </w:tc>
      </w:tr>
      <w:tr w14:paraId="18D3B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restart"/>
            <w:noWrap w:val="0"/>
            <w:vAlign w:val="center"/>
          </w:tcPr>
          <w:p w14:paraId="776B1C32">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 w:val="21"/>
                <w:szCs w:val="21"/>
                <w:u w:val="none" w:color="auto"/>
                <w:lang w:val="en-US" w:eastAsia="zh-CN" w:bidi="ar-SA"/>
              </w:rPr>
              <w:t>废气</w:t>
            </w:r>
          </w:p>
        </w:tc>
        <w:tc>
          <w:tcPr>
            <w:tcW w:w="790" w:type="pct"/>
            <w:noWrap w:val="0"/>
            <w:vAlign w:val="center"/>
          </w:tcPr>
          <w:p w14:paraId="13CC4420">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napToGrid w:val="0"/>
                <w:color w:val="auto"/>
                <w:kern w:val="21"/>
                <w:sz w:val="21"/>
                <w:szCs w:val="21"/>
                <w:u w:val="none" w:color="auto"/>
              </w:rPr>
            </w:pPr>
            <w:r>
              <w:rPr>
                <w:rFonts w:hint="eastAsia" w:eastAsia="宋体"/>
                <w:color w:val="auto"/>
                <w:highlight w:val="none"/>
                <w:u w:val="none" w:color="auto"/>
                <w:lang w:val="en-US" w:eastAsia="zh-CN"/>
              </w:rPr>
              <w:t>颗粒物</w:t>
            </w:r>
          </w:p>
        </w:tc>
        <w:tc>
          <w:tcPr>
            <w:tcW w:w="511" w:type="pct"/>
            <w:noWrap w:val="0"/>
            <w:vAlign w:val="center"/>
          </w:tcPr>
          <w:p w14:paraId="1C92D6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1.031</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0D88B9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41ADA5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0.684</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71546D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lang w:val="en-US"/>
              </w:rPr>
            </w:pPr>
            <w:r>
              <w:rPr>
                <w:rFonts w:hint="default" w:ascii="Times New Roman" w:hAnsi="Times New Roman" w:eastAsia="宋体" w:cs="Times New Roman"/>
                <w:i w:val="0"/>
                <w:iCs w:val="0"/>
                <w:color w:val="000000"/>
                <w:kern w:val="0"/>
                <w:sz w:val="21"/>
                <w:szCs w:val="21"/>
                <w:u w:val="none"/>
                <w:lang w:val="en-US" w:eastAsia="zh-CN" w:bidi="ar"/>
              </w:rPr>
              <w:t>1.045</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2E4FD2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516303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2.76</w:t>
            </w:r>
            <w:r>
              <w:rPr>
                <w:rFonts w:hint="eastAsia" w:eastAsia="宋体" w:cs="Times New Roman"/>
                <w:color w:val="auto"/>
                <w:sz w:val="21"/>
                <w:szCs w:val="21"/>
                <w:highlight w:val="none"/>
                <w:u w:val="none" w:color="auto"/>
                <w:lang w:val="en-US" w:eastAsia="zh-CN"/>
              </w:rPr>
              <w:t>t/a</w:t>
            </w:r>
          </w:p>
        </w:tc>
        <w:tc>
          <w:tcPr>
            <w:tcW w:w="409" w:type="pct"/>
            <w:shd w:val="clear" w:color="auto" w:fill="auto"/>
            <w:noWrap w:val="0"/>
            <w:vAlign w:val="center"/>
          </w:tcPr>
          <w:p w14:paraId="27959B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1.729</w:t>
            </w:r>
            <w:r>
              <w:rPr>
                <w:rFonts w:hint="eastAsia" w:eastAsia="宋体" w:cs="Times New Roman"/>
                <w:color w:val="auto"/>
                <w:sz w:val="21"/>
                <w:szCs w:val="21"/>
                <w:highlight w:val="none"/>
                <w:u w:val="none" w:color="auto"/>
                <w:lang w:val="en-US" w:eastAsia="zh-CN"/>
              </w:rPr>
              <w:t>t/a</w:t>
            </w:r>
          </w:p>
        </w:tc>
      </w:tr>
      <w:tr w14:paraId="2DF9A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1641DA6F">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538A768E">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 w:val="21"/>
                <w:szCs w:val="21"/>
                <w:u w:val="none" w:color="auto"/>
                <w:lang w:eastAsia="zh-CN"/>
              </w:rPr>
            </w:pPr>
            <w:r>
              <w:rPr>
                <w:rFonts w:hint="eastAsia" w:eastAsia="宋体"/>
                <w:strike w:val="0"/>
                <w:dstrike w:val="0"/>
                <w:color w:val="auto"/>
                <w:sz w:val="21"/>
                <w:szCs w:val="21"/>
                <w:u w:val="none" w:color="auto"/>
                <w:lang w:val="en-US" w:eastAsia="zh-CN"/>
              </w:rPr>
              <w:t>甲苯</w:t>
            </w:r>
          </w:p>
        </w:tc>
        <w:tc>
          <w:tcPr>
            <w:tcW w:w="511" w:type="pct"/>
            <w:noWrap w:val="0"/>
            <w:vAlign w:val="center"/>
          </w:tcPr>
          <w:p w14:paraId="3ECED4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48" w:type="pct"/>
            <w:noWrap w:val="0"/>
            <w:vAlign w:val="center"/>
          </w:tcPr>
          <w:p w14:paraId="7BC435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0E1C58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0.017</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001CB5EE">
            <w:pPr>
              <w:keepNext w:val="0"/>
              <w:keepLines w:val="0"/>
              <w:widowControl/>
              <w:suppressLineNumbers w:val="0"/>
              <w:spacing w:before="0" w:beforeAutospacing="0" w:after="0" w:afterAutospacing="0"/>
              <w:ind w:left="0" w:right="0"/>
              <w:jc w:val="center"/>
              <w:textAlignment w:val="center"/>
              <w:rPr>
                <w:rFonts w:hint="default" w:eastAsia="宋体" w:cs="Times New Roman"/>
                <w:snapToGrid w:val="0"/>
                <w:color w:val="auto"/>
                <w:kern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5" w:type="pct"/>
            <w:noWrap w:val="0"/>
            <w:vAlign w:val="center"/>
          </w:tcPr>
          <w:p w14:paraId="5EDF45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50707AD8">
            <w:pPr>
              <w:keepNext w:val="0"/>
              <w:keepLines w:val="0"/>
              <w:widowControl/>
              <w:suppressLineNumbers w:val="0"/>
              <w:spacing w:before="0" w:beforeAutospacing="0" w:after="0" w:afterAutospacing="0"/>
              <w:ind w:left="0" w:right="0"/>
              <w:jc w:val="center"/>
              <w:textAlignment w:val="center"/>
              <w:rPr>
                <w:rFonts w:hint="default" w:eastAsia="宋体" w:cs="Times New Roman"/>
                <w:snapToGrid w:val="0"/>
                <w:color w:val="auto"/>
                <w:kern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0.017</w:t>
            </w:r>
            <w:r>
              <w:rPr>
                <w:rFonts w:hint="eastAsia" w:eastAsia="宋体" w:cs="Times New Roman"/>
                <w:color w:val="auto"/>
                <w:sz w:val="21"/>
                <w:szCs w:val="21"/>
                <w:highlight w:val="none"/>
                <w:u w:val="none" w:color="auto"/>
                <w:lang w:val="en-US" w:eastAsia="zh-CN"/>
              </w:rPr>
              <w:t>t/a</w:t>
            </w:r>
          </w:p>
        </w:tc>
        <w:tc>
          <w:tcPr>
            <w:tcW w:w="409" w:type="pct"/>
            <w:shd w:val="clear" w:color="auto" w:fill="auto"/>
            <w:noWrap w:val="0"/>
            <w:vAlign w:val="center"/>
          </w:tcPr>
          <w:p w14:paraId="34A9DA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0.017</w:t>
            </w:r>
            <w:r>
              <w:rPr>
                <w:rFonts w:hint="eastAsia" w:eastAsia="宋体" w:cs="Times New Roman"/>
                <w:color w:val="auto"/>
                <w:sz w:val="21"/>
                <w:szCs w:val="21"/>
                <w:highlight w:val="none"/>
                <w:u w:val="none" w:color="auto"/>
                <w:lang w:val="en-US" w:eastAsia="zh-CN"/>
              </w:rPr>
              <w:t>t/a</w:t>
            </w:r>
          </w:p>
        </w:tc>
      </w:tr>
      <w:tr w14:paraId="25F53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193735A0">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46BFC42C">
            <w:pPr>
              <w:keepNext w:val="0"/>
              <w:keepLines w:val="0"/>
              <w:suppressLineNumbers w:val="0"/>
              <w:spacing w:before="0" w:beforeAutospacing="0" w:after="0" w:afterAutospacing="0"/>
              <w:ind w:left="-105" w:leftChars="-50" w:right="-105" w:rightChars="-50"/>
              <w:jc w:val="center"/>
              <w:rPr>
                <w:rFonts w:hint="eastAsia" w:eastAsia="宋体" w:cs="Times New Roman"/>
                <w:color w:val="auto"/>
                <w:sz w:val="21"/>
                <w:szCs w:val="21"/>
                <w:u w:val="none" w:color="auto"/>
                <w:lang w:eastAsia="zh-CN"/>
              </w:rPr>
            </w:pPr>
            <w:r>
              <w:rPr>
                <w:rFonts w:hint="eastAsia" w:eastAsia="宋体"/>
                <w:strike w:val="0"/>
                <w:dstrike w:val="0"/>
                <w:color w:val="auto"/>
                <w:sz w:val="21"/>
                <w:szCs w:val="21"/>
                <w:u w:val="none" w:color="auto"/>
                <w:lang w:val="en-US" w:eastAsia="zh-CN"/>
              </w:rPr>
              <w:t>二甲苯</w:t>
            </w:r>
          </w:p>
        </w:tc>
        <w:tc>
          <w:tcPr>
            <w:tcW w:w="511" w:type="pct"/>
            <w:noWrap w:val="0"/>
            <w:vAlign w:val="center"/>
          </w:tcPr>
          <w:p w14:paraId="4898BB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48" w:type="pct"/>
            <w:noWrap w:val="0"/>
            <w:vAlign w:val="center"/>
          </w:tcPr>
          <w:p w14:paraId="4EBEDB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73BF33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0.179</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09318B71">
            <w:pPr>
              <w:keepNext w:val="0"/>
              <w:keepLines w:val="0"/>
              <w:widowControl/>
              <w:suppressLineNumbers w:val="0"/>
              <w:spacing w:before="0" w:beforeAutospacing="0" w:after="0" w:afterAutospacing="0"/>
              <w:ind w:left="0" w:right="0"/>
              <w:jc w:val="center"/>
              <w:textAlignment w:val="center"/>
              <w:rPr>
                <w:rFonts w:hint="default" w:eastAsia="宋体"/>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0.212</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55F670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5458E762">
            <w:pPr>
              <w:keepNext w:val="0"/>
              <w:keepLines w:val="0"/>
              <w:widowControl/>
              <w:suppressLineNumbers w:val="0"/>
              <w:spacing w:before="0" w:beforeAutospacing="0" w:after="0" w:afterAutospacing="0"/>
              <w:ind w:left="0" w:right="0"/>
              <w:jc w:val="center"/>
              <w:textAlignment w:val="center"/>
              <w:rPr>
                <w:rFonts w:hint="eastAsia" w:eastAsia="宋体"/>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0.391</w:t>
            </w:r>
            <w:r>
              <w:rPr>
                <w:rFonts w:hint="eastAsia" w:eastAsia="宋体" w:cs="Times New Roman"/>
                <w:color w:val="auto"/>
                <w:sz w:val="21"/>
                <w:szCs w:val="21"/>
                <w:highlight w:val="none"/>
                <w:u w:val="none" w:color="auto"/>
                <w:lang w:val="en-US" w:eastAsia="zh-CN"/>
              </w:rPr>
              <w:t>t/a</w:t>
            </w:r>
          </w:p>
        </w:tc>
        <w:tc>
          <w:tcPr>
            <w:tcW w:w="409" w:type="pct"/>
            <w:shd w:val="clear" w:color="auto" w:fill="auto"/>
            <w:noWrap w:val="0"/>
            <w:vAlign w:val="center"/>
          </w:tcPr>
          <w:p w14:paraId="2EA297C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0.391</w:t>
            </w:r>
            <w:r>
              <w:rPr>
                <w:rFonts w:hint="eastAsia" w:eastAsia="宋体" w:cs="Times New Roman"/>
                <w:color w:val="auto"/>
                <w:sz w:val="21"/>
                <w:szCs w:val="21"/>
                <w:highlight w:val="none"/>
                <w:u w:val="none" w:color="auto"/>
                <w:lang w:val="en-US" w:eastAsia="zh-CN"/>
              </w:rPr>
              <w:t>t/a</w:t>
            </w:r>
          </w:p>
        </w:tc>
      </w:tr>
      <w:tr w14:paraId="12A7A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7426B2D6">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17B09508">
            <w:pPr>
              <w:keepNext w:val="0"/>
              <w:keepLines w:val="0"/>
              <w:suppressLineNumbers w:val="0"/>
              <w:spacing w:before="0" w:beforeAutospacing="0" w:after="0" w:afterAutospacing="0"/>
              <w:ind w:left="-105" w:leftChars="-50" w:right="-105" w:rightChars="-50"/>
              <w:jc w:val="center"/>
              <w:rPr>
                <w:rFonts w:hint="eastAsia" w:eastAsia="宋体" w:cs="Times New Roman"/>
                <w:color w:val="auto"/>
                <w:sz w:val="21"/>
                <w:szCs w:val="21"/>
                <w:u w:val="none" w:color="auto"/>
                <w:lang w:eastAsia="zh-CN"/>
              </w:rPr>
            </w:pPr>
            <w:r>
              <w:rPr>
                <w:rFonts w:hint="eastAsia" w:eastAsia="宋体"/>
                <w:strike w:val="0"/>
                <w:dstrike w:val="0"/>
                <w:color w:val="auto"/>
                <w:sz w:val="21"/>
                <w:szCs w:val="21"/>
                <w:u w:val="none" w:color="auto"/>
                <w:lang w:eastAsia="zh-CN"/>
              </w:rPr>
              <w:t>VOCs</w:t>
            </w:r>
          </w:p>
        </w:tc>
        <w:tc>
          <w:tcPr>
            <w:tcW w:w="511" w:type="pct"/>
            <w:noWrap w:val="0"/>
            <w:vAlign w:val="center"/>
          </w:tcPr>
          <w:p w14:paraId="5A6A22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48" w:type="pct"/>
            <w:noWrap w:val="0"/>
            <w:vAlign w:val="center"/>
          </w:tcPr>
          <w:p w14:paraId="55B71C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69AB8D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0.342</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0D7118BC">
            <w:pPr>
              <w:keepNext w:val="0"/>
              <w:keepLines w:val="0"/>
              <w:widowControl/>
              <w:suppressLineNumbers w:val="0"/>
              <w:spacing w:before="0" w:beforeAutospacing="0" w:after="0" w:afterAutospacing="0"/>
              <w:ind w:left="0" w:right="0"/>
              <w:jc w:val="center"/>
              <w:textAlignment w:val="center"/>
              <w:rPr>
                <w:rFonts w:hint="eastAsia" w:eastAsia="宋体"/>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0.336</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499AC6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55C7974B">
            <w:pPr>
              <w:keepNext w:val="0"/>
              <w:keepLines w:val="0"/>
              <w:widowControl/>
              <w:suppressLineNumbers w:val="0"/>
              <w:spacing w:before="0" w:beforeAutospacing="0" w:after="0" w:afterAutospacing="0"/>
              <w:ind w:left="0" w:right="0"/>
              <w:jc w:val="center"/>
              <w:textAlignment w:val="center"/>
              <w:rPr>
                <w:rFonts w:hint="eastAsia" w:eastAsia="宋体"/>
                <w:color w:val="auto"/>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0.678</w:t>
            </w:r>
            <w:r>
              <w:rPr>
                <w:rFonts w:hint="eastAsia" w:eastAsia="宋体" w:cs="Times New Roman"/>
                <w:color w:val="auto"/>
                <w:sz w:val="21"/>
                <w:szCs w:val="21"/>
                <w:highlight w:val="none"/>
                <w:u w:val="none" w:color="auto"/>
                <w:lang w:val="en-US" w:eastAsia="zh-CN"/>
              </w:rPr>
              <w:t>t/a</w:t>
            </w:r>
          </w:p>
        </w:tc>
        <w:tc>
          <w:tcPr>
            <w:tcW w:w="409" w:type="pct"/>
            <w:shd w:val="clear" w:color="auto" w:fill="auto"/>
            <w:noWrap w:val="0"/>
            <w:vAlign w:val="center"/>
          </w:tcPr>
          <w:p w14:paraId="2C1EDD2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0.678</w:t>
            </w:r>
            <w:r>
              <w:rPr>
                <w:rFonts w:hint="eastAsia" w:eastAsia="宋体" w:cs="Times New Roman"/>
                <w:color w:val="auto"/>
                <w:sz w:val="21"/>
                <w:szCs w:val="21"/>
                <w:highlight w:val="none"/>
                <w:u w:val="none" w:color="auto"/>
                <w:lang w:val="en-US" w:eastAsia="zh-CN"/>
              </w:rPr>
              <w:t>t/a</w:t>
            </w:r>
          </w:p>
        </w:tc>
      </w:tr>
      <w:tr w14:paraId="605B3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restart"/>
            <w:noWrap w:val="0"/>
            <w:vAlign w:val="center"/>
          </w:tcPr>
          <w:p w14:paraId="5D8EA300">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snapToGrid w:val="0"/>
                <w:color w:val="auto"/>
                <w:kern w:val="21"/>
                <w:sz w:val="21"/>
                <w:szCs w:val="21"/>
                <w:u w:val="none" w:color="auto"/>
                <w:lang w:val="en-US" w:eastAsia="zh-CN" w:bidi="ar-SA"/>
              </w:rPr>
              <w:t>废水</w:t>
            </w:r>
          </w:p>
        </w:tc>
        <w:tc>
          <w:tcPr>
            <w:tcW w:w="790" w:type="pct"/>
            <w:noWrap w:val="0"/>
            <w:vAlign w:val="center"/>
          </w:tcPr>
          <w:p w14:paraId="303AC0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CODcr</w:t>
            </w:r>
          </w:p>
        </w:tc>
        <w:tc>
          <w:tcPr>
            <w:tcW w:w="511" w:type="pct"/>
            <w:shd w:val="clear" w:color="auto" w:fill="auto"/>
            <w:noWrap w:val="0"/>
            <w:vAlign w:val="center"/>
          </w:tcPr>
          <w:p w14:paraId="054288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0.024</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35065C6E">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7139F7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0.036</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1402EC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0.039</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4EFFE0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3DD6D0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0.099</w:t>
            </w:r>
            <w:r>
              <w:rPr>
                <w:rFonts w:hint="eastAsia" w:eastAsia="宋体" w:cs="Times New Roman"/>
                <w:color w:val="auto"/>
                <w:sz w:val="21"/>
                <w:szCs w:val="21"/>
                <w:highlight w:val="none"/>
                <w:u w:val="none" w:color="auto"/>
                <w:lang w:val="en-US" w:eastAsia="zh-CN"/>
              </w:rPr>
              <w:t>t/a</w:t>
            </w:r>
          </w:p>
        </w:tc>
        <w:tc>
          <w:tcPr>
            <w:tcW w:w="409" w:type="pct"/>
            <w:noWrap w:val="0"/>
            <w:vAlign w:val="center"/>
          </w:tcPr>
          <w:p w14:paraId="112066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0.075</w:t>
            </w:r>
            <w:r>
              <w:rPr>
                <w:rFonts w:hint="eastAsia" w:eastAsia="宋体" w:cs="Times New Roman"/>
                <w:color w:val="auto"/>
                <w:sz w:val="21"/>
                <w:szCs w:val="21"/>
                <w:highlight w:val="none"/>
                <w:u w:val="none" w:color="auto"/>
                <w:lang w:val="en-US" w:eastAsia="zh-CN"/>
              </w:rPr>
              <w:t>t/a</w:t>
            </w:r>
          </w:p>
        </w:tc>
      </w:tr>
      <w:tr w14:paraId="3CE0C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2C19BFE5">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11C9AC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NH</w:t>
            </w:r>
            <w:r>
              <w:rPr>
                <w:rStyle w:val="99"/>
                <w:rFonts w:hint="default" w:ascii="Times New Roman" w:hAnsi="Times New Roman" w:eastAsia="宋体" w:cs="Times New Roman"/>
                <w:sz w:val="21"/>
                <w:szCs w:val="21"/>
                <w:lang w:val="en-US" w:eastAsia="zh-CN" w:bidi="ar"/>
              </w:rPr>
              <w:t>3</w:t>
            </w:r>
            <w:r>
              <w:rPr>
                <w:rStyle w:val="100"/>
                <w:rFonts w:hint="default" w:ascii="Times New Roman" w:hAnsi="Times New Roman" w:eastAsia="宋体" w:cs="Times New Roman"/>
                <w:sz w:val="21"/>
                <w:szCs w:val="21"/>
                <w:lang w:val="en-US" w:eastAsia="zh-CN" w:bidi="ar"/>
              </w:rPr>
              <w:t>-N</w:t>
            </w:r>
          </w:p>
        </w:tc>
        <w:tc>
          <w:tcPr>
            <w:tcW w:w="511" w:type="pct"/>
            <w:shd w:val="clear" w:color="auto" w:fill="auto"/>
            <w:noWrap w:val="0"/>
            <w:vAlign w:val="center"/>
          </w:tcPr>
          <w:p w14:paraId="0947C8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116AD402">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33B7FE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0.0015</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491AFB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0.004</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143063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7472F8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0.0065</w:t>
            </w:r>
            <w:r>
              <w:rPr>
                <w:rFonts w:hint="eastAsia" w:eastAsia="宋体" w:cs="Times New Roman"/>
                <w:color w:val="auto"/>
                <w:sz w:val="21"/>
                <w:szCs w:val="21"/>
                <w:highlight w:val="none"/>
                <w:u w:val="none" w:color="auto"/>
                <w:lang w:val="en-US" w:eastAsia="zh-CN"/>
              </w:rPr>
              <w:t>t/a</w:t>
            </w:r>
          </w:p>
        </w:tc>
        <w:tc>
          <w:tcPr>
            <w:tcW w:w="409" w:type="pct"/>
            <w:noWrap w:val="0"/>
            <w:vAlign w:val="center"/>
          </w:tcPr>
          <w:p w14:paraId="0C4565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0.0055</w:t>
            </w:r>
            <w:r>
              <w:rPr>
                <w:rFonts w:hint="eastAsia" w:eastAsia="宋体" w:cs="Times New Roman"/>
                <w:color w:val="auto"/>
                <w:sz w:val="21"/>
                <w:szCs w:val="21"/>
                <w:highlight w:val="none"/>
                <w:u w:val="none" w:color="auto"/>
                <w:lang w:val="en-US" w:eastAsia="zh-CN"/>
              </w:rPr>
              <w:t>t/a</w:t>
            </w:r>
          </w:p>
        </w:tc>
      </w:tr>
      <w:tr w14:paraId="37AFE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03D63D4E">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5306CC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511" w:type="pct"/>
            <w:shd w:val="clear" w:color="auto" w:fill="auto"/>
            <w:noWrap w:val="0"/>
            <w:vAlign w:val="center"/>
          </w:tcPr>
          <w:p w14:paraId="52B1DC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0.0002</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08F83032">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7E473F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0.0003</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1BF196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0.0004</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7B84D5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1DB4A4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0.0009</w:t>
            </w:r>
            <w:r>
              <w:rPr>
                <w:rFonts w:hint="eastAsia" w:eastAsia="宋体" w:cs="Times New Roman"/>
                <w:color w:val="auto"/>
                <w:sz w:val="21"/>
                <w:szCs w:val="21"/>
                <w:highlight w:val="none"/>
                <w:u w:val="none" w:color="auto"/>
                <w:lang w:val="en-US" w:eastAsia="zh-CN"/>
              </w:rPr>
              <w:t>t/a</w:t>
            </w:r>
          </w:p>
        </w:tc>
        <w:tc>
          <w:tcPr>
            <w:tcW w:w="409" w:type="pct"/>
            <w:noWrap w:val="0"/>
            <w:vAlign w:val="center"/>
          </w:tcPr>
          <w:p w14:paraId="139DFA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lang w:val="en-US"/>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0.0007</w:t>
            </w:r>
            <w:r>
              <w:rPr>
                <w:rFonts w:hint="eastAsia" w:eastAsia="宋体" w:cs="Times New Roman"/>
                <w:color w:val="auto"/>
                <w:sz w:val="21"/>
                <w:szCs w:val="21"/>
                <w:highlight w:val="none"/>
                <w:u w:val="none" w:color="auto"/>
                <w:lang w:val="en-US" w:eastAsia="zh-CN"/>
              </w:rPr>
              <w:t>t/a</w:t>
            </w:r>
          </w:p>
        </w:tc>
      </w:tr>
      <w:tr w14:paraId="44DDD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1C1F147D">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32B2A1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TN</w:t>
            </w:r>
          </w:p>
        </w:tc>
        <w:tc>
          <w:tcPr>
            <w:tcW w:w="511" w:type="pct"/>
            <w:shd w:val="clear" w:color="auto" w:fill="auto"/>
            <w:noWrap w:val="0"/>
            <w:vAlign w:val="center"/>
          </w:tcPr>
          <w:p w14:paraId="3ACE87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0.0022</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4E17B587">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49547C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0.0033</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60D4A6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0.005</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33E676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01B0CC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0.0105</w:t>
            </w:r>
            <w:r>
              <w:rPr>
                <w:rFonts w:hint="eastAsia" w:eastAsia="宋体" w:cs="Times New Roman"/>
                <w:color w:val="auto"/>
                <w:sz w:val="21"/>
                <w:szCs w:val="21"/>
                <w:highlight w:val="none"/>
                <w:u w:val="none" w:color="auto"/>
                <w:lang w:val="en-US" w:eastAsia="zh-CN"/>
              </w:rPr>
              <w:t>t/a</w:t>
            </w:r>
          </w:p>
        </w:tc>
        <w:tc>
          <w:tcPr>
            <w:tcW w:w="409" w:type="pct"/>
            <w:noWrap w:val="0"/>
            <w:vAlign w:val="center"/>
          </w:tcPr>
          <w:p w14:paraId="2F96F66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auto"/>
                <w:kern w:val="21"/>
                <w:szCs w:val="21"/>
                <w:u w:val="none" w:color="auto"/>
                <w:lang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0.0083</w:t>
            </w:r>
            <w:r>
              <w:rPr>
                <w:rFonts w:hint="eastAsia" w:eastAsia="宋体" w:cs="Times New Roman"/>
                <w:color w:val="auto"/>
                <w:sz w:val="21"/>
                <w:szCs w:val="21"/>
                <w:highlight w:val="none"/>
                <w:u w:val="none" w:color="auto"/>
                <w:lang w:val="en-US" w:eastAsia="zh-CN"/>
              </w:rPr>
              <w:t>t/a</w:t>
            </w:r>
          </w:p>
        </w:tc>
      </w:tr>
      <w:tr w14:paraId="61AD4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6A56E3D3">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6CC66D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511" w:type="pct"/>
            <w:shd w:val="clear" w:color="auto" w:fill="auto"/>
            <w:noWrap w:val="0"/>
            <w:vAlign w:val="center"/>
          </w:tcPr>
          <w:p w14:paraId="696868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0.0225</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3C13F796">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6946FC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0.0338</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07C988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0.015</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2EDBEA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0F99D7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i w:val="0"/>
                <w:iCs w:val="0"/>
                <w:color w:val="000000"/>
                <w:kern w:val="0"/>
                <w:sz w:val="21"/>
                <w:szCs w:val="21"/>
                <w:u w:val="none"/>
                <w:lang w:val="en-US" w:eastAsia="zh-CN" w:bidi="ar"/>
              </w:rPr>
              <w:t>0.0713</w:t>
            </w:r>
            <w:r>
              <w:rPr>
                <w:rFonts w:hint="eastAsia" w:eastAsia="宋体" w:cs="Times New Roman"/>
                <w:color w:val="auto"/>
                <w:sz w:val="21"/>
                <w:szCs w:val="21"/>
                <w:highlight w:val="none"/>
                <w:u w:val="none" w:color="auto"/>
                <w:lang w:val="en-US" w:eastAsia="zh-CN"/>
              </w:rPr>
              <w:t>t/a</w:t>
            </w:r>
          </w:p>
        </w:tc>
        <w:tc>
          <w:tcPr>
            <w:tcW w:w="409" w:type="pct"/>
            <w:noWrap w:val="0"/>
            <w:vAlign w:val="center"/>
          </w:tcPr>
          <w:p w14:paraId="5530CAF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u w:val="none" w:color="auto"/>
                <w:lang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0.0488</w:t>
            </w:r>
            <w:r>
              <w:rPr>
                <w:rFonts w:hint="eastAsia" w:eastAsia="宋体" w:cs="Times New Roman"/>
                <w:color w:val="auto"/>
                <w:sz w:val="21"/>
                <w:szCs w:val="21"/>
                <w:highlight w:val="none"/>
                <w:u w:val="none" w:color="auto"/>
                <w:lang w:val="en-US" w:eastAsia="zh-CN"/>
              </w:rPr>
              <w:t>t/a</w:t>
            </w:r>
          </w:p>
        </w:tc>
      </w:tr>
      <w:tr w14:paraId="01DB9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restart"/>
            <w:noWrap w:val="0"/>
            <w:vAlign w:val="center"/>
          </w:tcPr>
          <w:p w14:paraId="7E06EE3F">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auto"/>
                <w:kern w:val="21"/>
                <w:szCs w:val="21"/>
                <w:u w:val="none" w:color="auto"/>
              </w:rPr>
            </w:pPr>
            <w:r>
              <w:rPr>
                <w:rFonts w:hint="eastAsia" w:eastAsia="宋体"/>
                <w:color w:val="auto"/>
                <w:sz w:val="21"/>
                <w:szCs w:val="21"/>
                <w:u w:val="none" w:color="auto"/>
                <w:lang w:val="en-US" w:eastAsia="zh-CN"/>
              </w:rPr>
              <w:t>一般工业固体废物</w:t>
            </w:r>
          </w:p>
        </w:tc>
        <w:tc>
          <w:tcPr>
            <w:tcW w:w="790" w:type="pct"/>
            <w:noWrap w:val="0"/>
            <w:vAlign w:val="center"/>
          </w:tcPr>
          <w:p w14:paraId="7ED272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废包装物</w:t>
            </w:r>
          </w:p>
        </w:tc>
        <w:tc>
          <w:tcPr>
            <w:tcW w:w="511" w:type="pct"/>
            <w:noWrap w:val="0"/>
            <w:vAlign w:val="center"/>
          </w:tcPr>
          <w:p w14:paraId="50BD24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6C0FC9D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72C276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5019B2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661673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20B2ED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0.04</w:t>
            </w:r>
            <w:r>
              <w:rPr>
                <w:rFonts w:hint="eastAsia" w:eastAsia="宋体" w:cs="Times New Roman"/>
                <w:color w:val="auto"/>
                <w:sz w:val="21"/>
                <w:szCs w:val="21"/>
                <w:highlight w:val="none"/>
                <w:u w:val="none" w:color="auto"/>
                <w:lang w:val="en-US" w:eastAsia="zh-CN"/>
              </w:rPr>
              <w:t>t/a</w:t>
            </w:r>
          </w:p>
        </w:tc>
        <w:tc>
          <w:tcPr>
            <w:tcW w:w="409" w:type="pct"/>
            <w:noWrap w:val="0"/>
            <w:vAlign w:val="center"/>
          </w:tcPr>
          <w:p w14:paraId="638412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0.03</w:t>
            </w:r>
            <w:r>
              <w:rPr>
                <w:rFonts w:hint="eastAsia" w:eastAsia="宋体" w:cs="Times New Roman"/>
                <w:color w:val="auto"/>
                <w:sz w:val="21"/>
                <w:szCs w:val="21"/>
                <w:highlight w:val="none"/>
                <w:u w:val="none" w:color="auto"/>
                <w:lang w:val="en-US" w:eastAsia="zh-CN"/>
              </w:rPr>
              <w:t>t/a</w:t>
            </w:r>
          </w:p>
        </w:tc>
      </w:tr>
      <w:tr w14:paraId="27A7B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3E5B8F28">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61BD7A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金属边角料</w:t>
            </w:r>
          </w:p>
        </w:tc>
        <w:tc>
          <w:tcPr>
            <w:tcW w:w="511" w:type="pct"/>
            <w:noWrap w:val="0"/>
            <w:vAlign w:val="center"/>
          </w:tcPr>
          <w:p w14:paraId="1F185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0.87</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7015FA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78F306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1.73</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0FCAFE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2.1</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4DC222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592E82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4.7</w:t>
            </w:r>
            <w:r>
              <w:rPr>
                <w:rFonts w:hint="eastAsia" w:eastAsia="宋体" w:cs="Times New Roman"/>
                <w:color w:val="auto"/>
                <w:sz w:val="21"/>
                <w:szCs w:val="21"/>
                <w:highlight w:val="none"/>
                <w:u w:val="none" w:color="auto"/>
                <w:lang w:val="en-US" w:eastAsia="zh-CN"/>
              </w:rPr>
              <w:t>t/a</w:t>
            </w:r>
          </w:p>
        </w:tc>
        <w:tc>
          <w:tcPr>
            <w:tcW w:w="409" w:type="pct"/>
            <w:noWrap w:val="0"/>
            <w:vAlign w:val="center"/>
          </w:tcPr>
          <w:p w14:paraId="57041F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3.83</w:t>
            </w:r>
            <w:r>
              <w:rPr>
                <w:rFonts w:hint="eastAsia" w:eastAsia="宋体" w:cs="Times New Roman"/>
                <w:color w:val="auto"/>
                <w:sz w:val="21"/>
                <w:szCs w:val="21"/>
                <w:highlight w:val="none"/>
                <w:u w:val="none" w:color="auto"/>
                <w:lang w:val="en-US" w:eastAsia="zh-CN"/>
              </w:rPr>
              <w:t>t/a</w:t>
            </w:r>
          </w:p>
        </w:tc>
      </w:tr>
      <w:tr w14:paraId="1C680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0A701EBF">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41C447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焊渣</w:t>
            </w:r>
          </w:p>
        </w:tc>
        <w:tc>
          <w:tcPr>
            <w:tcW w:w="511" w:type="pct"/>
            <w:noWrap w:val="0"/>
            <w:vAlign w:val="center"/>
          </w:tcPr>
          <w:p w14:paraId="68D360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14446E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3ACB9F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67AF49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0.075</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3AAAD8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146A3C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0.355</w:t>
            </w:r>
            <w:r>
              <w:rPr>
                <w:rFonts w:hint="eastAsia" w:eastAsia="宋体" w:cs="Times New Roman"/>
                <w:color w:val="auto"/>
                <w:sz w:val="21"/>
                <w:szCs w:val="21"/>
                <w:highlight w:val="none"/>
                <w:u w:val="none" w:color="auto"/>
                <w:lang w:val="en-US" w:eastAsia="zh-CN"/>
              </w:rPr>
              <w:t>t/a</w:t>
            </w:r>
          </w:p>
        </w:tc>
        <w:tc>
          <w:tcPr>
            <w:tcW w:w="409" w:type="pct"/>
            <w:noWrap w:val="0"/>
            <w:vAlign w:val="center"/>
          </w:tcPr>
          <w:p w14:paraId="31E461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0.265</w:t>
            </w:r>
            <w:r>
              <w:rPr>
                <w:rFonts w:hint="eastAsia" w:eastAsia="宋体" w:cs="Times New Roman"/>
                <w:color w:val="auto"/>
                <w:sz w:val="21"/>
                <w:szCs w:val="21"/>
                <w:highlight w:val="none"/>
                <w:u w:val="none" w:color="auto"/>
                <w:lang w:val="en-US" w:eastAsia="zh-CN"/>
              </w:rPr>
              <w:t>t/a</w:t>
            </w:r>
          </w:p>
        </w:tc>
      </w:tr>
      <w:tr w14:paraId="1B3CF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2B6A00A7">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604173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废钢丸</w:t>
            </w:r>
          </w:p>
        </w:tc>
        <w:tc>
          <w:tcPr>
            <w:tcW w:w="511" w:type="pct"/>
            <w:noWrap w:val="0"/>
            <w:vAlign w:val="center"/>
          </w:tcPr>
          <w:p w14:paraId="4DB39E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448" w:type="pct"/>
            <w:noWrap w:val="0"/>
            <w:vAlign w:val="center"/>
          </w:tcPr>
          <w:p w14:paraId="504921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340538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772D62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0AE47B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77BDB9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eastAsia="宋体" w:cs="Times New Roman"/>
                <w:color w:val="auto"/>
                <w:sz w:val="21"/>
                <w:szCs w:val="21"/>
                <w:highlight w:val="none"/>
                <w:u w:val="none" w:color="auto"/>
                <w:lang w:val="en-US" w:eastAsia="zh-CN"/>
              </w:rPr>
              <w:t>t/a</w:t>
            </w:r>
          </w:p>
        </w:tc>
        <w:tc>
          <w:tcPr>
            <w:tcW w:w="409" w:type="pct"/>
            <w:noWrap w:val="0"/>
            <w:vAlign w:val="center"/>
          </w:tcPr>
          <w:p w14:paraId="50A915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w:t>
            </w:r>
            <w:r>
              <w:rPr>
                <w:rFonts w:hint="eastAsia" w:eastAsia="宋体" w:cs="Times New Roman"/>
                <w:color w:val="auto"/>
                <w:sz w:val="21"/>
                <w:szCs w:val="21"/>
                <w:highlight w:val="none"/>
                <w:u w:val="none" w:color="auto"/>
                <w:lang w:val="en-US" w:eastAsia="zh-CN"/>
              </w:rPr>
              <w:t>t/a</w:t>
            </w:r>
          </w:p>
        </w:tc>
      </w:tr>
      <w:tr w14:paraId="2B460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61D8A562">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eastAsia"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0F2608C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pacing w:val="0"/>
                <w:w w:val="100"/>
                <w:kern w:val="0"/>
                <w:position w:val="0"/>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抛丸收集粉尘</w:t>
            </w:r>
          </w:p>
        </w:tc>
        <w:tc>
          <w:tcPr>
            <w:tcW w:w="511" w:type="pct"/>
            <w:noWrap w:val="0"/>
            <w:vAlign w:val="center"/>
          </w:tcPr>
          <w:p w14:paraId="405C89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c>
          <w:tcPr>
            <w:tcW w:w="448" w:type="pct"/>
            <w:noWrap w:val="0"/>
            <w:vAlign w:val="center"/>
          </w:tcPr>
          <w:p w14:paraId="6769EA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602" w:type="pct"/>
            <w:noWrap w:val="0"/>
            <w:vAlign w:val="center"/>
          </w:tcPr>
          <w:p w14:paraId="3B66F8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5.301</w:t>
            </w:r>
            <w:r>
              <w:rPr>
                <w:rFonts w:hint="eastAsia" w:eastAsia="宋体" w:cs="Times New Roman"/>
                <w:color w:val="auto"/>
                <w:sz w:val="21"/>
                <w:szCs w:val="21"/>
                <w:highlight w:val="none"/>
                <w:u w:val="none" w:color="auto"/>
                <w:lang w:val="en-US" w:eastAsia="zh-CN"/>
              </w:rPr>
              <w:t>t/a</w:t>
            </w:r>
          </w:p>
        </w:tc>
        <w:tc>
          <w:tcPr>
            <w:tcW w:w="550" w:type="pct"/>
            <w:noWrap w:val="0"/>
            <w:vAlign w:val="center"/>
          </w:tcPr>
          <w:p w14:paraId="3728588F">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9.58</w:t>
            </w:r>
            <w:r>
              <w:rPr>
                <w:rFonts w:hint="eastAsia" w:eastAsia="宋体" w:cs="Times New Roman"/>
                <w:color w:val="auto"/>
                <w:sz w:val="21"/>
                <w:szCs w:val="21"/>
                <w:highlight w:val="none"/>
                <w:u w:val="none" w:color="auto"/>
                <w:lang w:val="en-US" w:eastAsia="zh-CN"/>
              </w:rPr>
              <w:t>t/a</w:t>
            </w:r>
          </w:p>
        </w:tc>
        <w:tc>
          <w:tcPr>
            <w:tcW w:w="625" w:type="pct"/>
            <w:noWrap w:val="0"/>
            <w:vAlign w:val="center"/>
          </w:tcPr>
          <w:p w14:paraId="2FADED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97" w:type="pct"/>
            <w:noWrap w:val="0"/>
            <w:vAlign w:val="center"/>
          </w:tcPr>
          <w:p w14:paraId="3AF31A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14.881</w:t>
            </w:r>
            <w:r>
              <w:rPr>
                <w:rFonts w:hint="eastAsia" w:eastAsia="宋体" w:cs="Times New Roman"/>
                <w:color w:val="auto"/>
                <w:sz w:val="21"/>
                <w:szCs w:val="21"/>
                <w:highlight w:val="none"/>
                <w:u w:val="none" w:color="auto"/>
                <w:lang w:val="en-US" w:eastAsia="zh-CN"/>
              </w:rPr>
              <w:t>t/a</w:t>
            </w:r>
          </w:p>
        </w:tc>
        <w:tc>
          <w:tcPr>
            <w:tcW w:w="409" w:type="pct"/>
            <w:noWrap w:val="0"/>
            <w:vAlign w:val="center"/>
          </w:tcPr>
          <w:p w14:paraId="0EE7AF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14.881</w:t>
            </w:r>
            <w:r>
              <w:rPr>
                <w:rFonts w:hint="eastAsia" w:eastAsia="宋体" w:cs="Times New Roman"/>
                <w:color w:val="auto"/>
                <w:sz w:val="21"/>
                <w:szCs w:val="21"/>
                <w:highlight w:val="none"/>
                <w:u w:val="none" w:color="auto"/>
                <w:lang w:val="en-US" w:eastAsia="zh-CN"/>
              </w:rPr>
              <w:t>t/a</w:t>
            </w:r>
          </w:p>
        </w:tc>
      </w:tr>
      <w:tr w14:paraId="3706F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restart"/>
            <w:noWrap w:val="0"/>
            <w:vAlign w:val="center"/>
          </w:tcPr>
          <w:p w14:paraId="6BB94CAB">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eastAsia" w:eastAsia="宋体"/>
                <w:color w:val="auto"/>
                <w:sz w:val="21"/>
                <w:szCs w:val="21"/>
                <w:u w:val="none" w:color="auto"/>
                <w:lang w:eastAsia="zh-CN"/>
              </w:rPr>
              <w:t>危险废物</w:t>
            </w:r>
          </w:p>
        </w:tc>
        <w:tc>
          <w:tcPr>
            <w:tcW w:w="790" w:type="pct"/>
            <w:noWrap w:val="0"/>
            <w:vAlign w:val="center"/>
          </w:tcPr>
          <w:p w14:paraId="0D27C7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废包装桶</w:t>
            </w:r>
          </w:p>
        </w:tc>
        <w:tc>
          <w:tcPr>
            <w:tcW w:w="511" w:type="pct"/>
            <w:noWrap w:val="0"/>
            <w:vAlign w:val="center"/>
          </w:tcPr>
          <w:p w14:paraId="4412C8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kern w:val="2"/>
                <w:sz w:val="21"/>
                <w:szCs w:val="21"/>
                <w:u w:val="none" w:color="auto"/>
                <w:lang w:val="en-US" w:eastAsia="zh-CN" w:bidi="ar-SA"/>
              </w:rPr>
              <w:t>0</w:t>
            </w:r>
          </w:p>
        </w:tc>
        <w:tc>
          <w:tcPr>
            <w:tcW w:w="448" w:type="pct"/>
            <w:noWrap w:val="0"/>
            <w:vAlign w:val="center"/>
          </w:tcPr>
          <w:p w14:paraId="6F0C89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4C5317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w:t>
            </w:r>
            <w:r>
              <w:rPr>
                <w:rFonts w:hint="eastAsia" w:eastAsia="宋体" w:cs="Times New Roman"/>
                <w:color w:val="auto"/>
                <w:sz w:val="21"/>
                <w:szCs w:val="21"/>
                <w:highlight w:val="none"/>
                <w:u w:val="none" w:color="auto"/>
                <w:lang w:val="en-US" w:eastAsia="zh-CN"/>
              </w:rPr>
              <w:t>t/a</w:t>
            </w:r>
          </w:p>
        </w:tc>
        <w:tc>
          <w:tcPr>
            <w:tcW w:w="1542" w:type="dxa"/>
            <w:noWrap w:val="0"/>
            <w:vAlign w:val="center"/>
          </w:tcPr>
          <w:p w14:paraId="7A0402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w:t>
            </w:r>
            <w:r>
              <w:rPr>
                <w:rFonts w:hint="eastAsia" w:eastAsia="宋体" w:cs="Times New Roman"/>
                <w:color w:val="auto"/>
                <w:sz w:val="21"/>
                <w:szCs w:val="21"/>
                <w:highlight w:val="none"/>
                <w:u w:val="none" w:color="auto"/>
                <w:lang w:val="en-US" w:eastAsia="zh-CN"/>
              </w:rPr>
              <w:t>t/a</w:t>
            </w:r>
          </w:p>
        </w:tc>
        <w:tc>
          <w:tcPr>
            <w:tcW w:w="1753" w:type="dxa"/>
            <w:noWrap w:val="0"/>
            <w:vAlign w:val="center"/>
          </w:tcPr>
          <w:p w14:paraId="0967AC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2F6C52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0.38</w:t>
            </w:r>
            <w:r>
              <w:rPr>
                <w:rFonts w:hint="eastAsia" w:eastAsia="宋体" w:cs="Times New Roman"/>
                <w:color w:val="auto"/>
                <w:sz w:val="21"/>
                <w:szCs w:val="21"/>
                <w:highlight w:val="none"/>
                <w:u w:val="none" w:color="auto"/>
                <w:lang w:val="en-US" w:eastAsia="zh-CN"/>
              </w:rPr>
              <w:t>t/a</w:t>
            </w:r>
          </w:p>
        </w:tc>
        <w:tc>
          <w:tcPr>
            <w:tcW w:w="1147" w:type="dxa"/>
            <w:noWrap w:val="0"/>
            <w:vAlign w:val="center"/>
          </w:tcPr>
          <w:p w14:paraId="110C79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0.38</w:t>
            </w:r>
            <w:r>
              <w:rPr>
                <w:rFonts w:hint="eastAsia" w:eastAsia="宋体" w:cs="Times New Roman"/>
                <w:color w:val="auto"/>
                <w:sz w:val="21"/>
                <w:szCs w:val="21"/>
                <w:highlight w:val="none"/>
                <w:u w:val="none" w:color="auto"/>
                <w:lang w:val="en-US" w:eastAsia="zh-CN"/>
              </w:rPr>
              <w:t>t/a</w:t>
            </w:r>
          </w:p>
        </w:tc>
      </w:tr>
      <w:tr w14:paraId="76830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435CF9DE">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6B4BD8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废过滤棉</w:t>
            </w:r>
          </w:p>
        </w:tc>
        <w:tc>
          <w:tcPr>
            <w:tcW w:w="511" w:type="pct"/>
            <w:shd w:val="clear" w:color="auto" w:fill="auto"/>
            <w:noWrap w:val="0"/>
            <w:vAlign w:val="center"/>
          </w:tcPr>
          <w:p w14:paraId="743330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48" w:type="pct"/>
            <w:noWrap w:val="0"/>
            <w:vAlign w:val="center"/>
          </w:tcPr>
          <w:p w14:paraId="757F34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60E198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eastAsia="宋体" w:cs="Times New Roman"/>
                <w:color w:val="auto"/>
                <w:sz w:val="21"/>
                <w:szCs w:val="21"/>
                <w:highlight w:val="none"/>
                <w:u w:val="none" w:color="auto"/>
                <w:lang w:val="en-US" w:eastAsia="zh-CN"/>
              </w:rPr>
              <w:t>t/a</w:t>
            </w:r>
          </w:p>
        </w:tc>
        <w:tc>
          <w:tcPr>
            <w:tcW w:w="1542" w:type="dxa"/>
            <w:noWrap w:val="0"/>
            <w:vAlign w:val="center"/>
          </w:tcPr>
          <w:p w14:paraId="186644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3" w:type="dxa"/>
            <w:noWrap w:val="0"/>
            <w:vAlign w:val="center"/>
          </w:tcPr>
          <w:p w14:paraId="1EC310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6F7B54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47" w:type="dxa"/>
            <w:noWrap w:val="0"/>
            <w:vAlign w:val="center"/>
          </w:tcPr>
          <w:p w14:paraId="0B39E9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u w:val="none" w:color="auto"/>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w:t>
            </w:r>
            <w:r>
              <w:rPr>
                <w:rFonts w:hint="eastAsia" w:eastAsia="宋体" w:cs="Times New Roman"/>
                <w:color w:val="auto"/>
                <w:sz w:val="21"/>
                <w:szCs w:val="21"/>
                <w:highlight w:val="none"/>
                <w:u w:val="none" w:color="auto"/>
                <w:lang w:val="en-US" w:eastAsia="zh-CN"/>
              </w:rPr>
              <w:t>t/a</w:t>
            </w:r>
          </w:p>
        </w:tc>
      </w:tr>
      <w:tr w14:paraId="21237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290F014E">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773845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废活性炭</w:t>
            </w:r>
          </w:p>
        </w:tc>
        <w:tc>
          <w:tcPr>
            <w:tcW w:w="511" w:type="pct"/>
            <w:shd w:val="clear" w:color="auto" w:fill="auto"/>
            <w:noWrap w:val="0"/>
            <w:vAlign w:val="center"/>
          </w:tcPr>
          <w:p w14:paraId="0792B2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48" w:type="pct"/>
            <w:noWrap w:val="0"/>
            <w:vAlign w:val="center"/>
          </w:tcPr>
          <w:p w14:paraId="50A8CA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42DA5D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w:t>
            </w:r>
            <w:r>
              <w:rPr>
                <w:rFonts w:hint="eastAsia" w:eastAsia="宋体" w:cs="Times New Roman"/>
                <w:color w:val="auto"/>
                <w:sz w:val="21"/>
                <w:szCs w:val="21"/>
                <w:highlight w:val="none"/>
                <w:u w:val="none" w:color="auto"/>
                <w:lang w:val="en-US" w:eastAsia="zh-CN"/>
              </w:rPr>
              <w:t>t/a</w:t>
            </w:r>
          </w:p>
        </w:tc>
        <w:tc>
          <w:tcPr>
            <w:tcW w:w="1542" w:type="dxa"/>
            <w:noWrap w:val="0"/>
            <w:vAlign w:val="center"/>
          </w:tcPr>
          <w:p w14:paraId="4150A3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3" w:type="dxa"/>
            <w:noWrap w:val="0"/>
            <w:vAlign w:val="center"/>
          </w:tcPr>
          <w:p w14:paraId="2948C4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3BE405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rPr>
            </w:pPr>
            <w:r>
              <w:rPr>
                <w:rFonts w:hint="default" w:ascii="Times New Roman" w:hAnsi="Times New Roman" w:eastAsia="宋体" w:cs="Times New Roman"/>
                <w:i w:val="0"/>
                <w:iCs w:val="0"/>
                <w:color w:val="000000"/>
                <w:kern w:val="0"/>
                <w:sz w:val="21"/>
                <w:szCs w:val="21"/>
                <w:u w:val="none"/>
                <w:lang w:val="en-US" w:eastAsia="zh-CN" w:bidi="ar"/>
              </w:rPr>
              <w:t>6.6</w:t>
            </w:r>
            <w:r>
              <w:rPr>
                <w:rFonts w:hint="eastAsia" w:eastAsia="宋体" w:cs="Times New Roman"/>
                <w:color w:val="auto"/>
                <w:sz w:val="21"/>
                <w:szCs w:val="21"/>
                <w:highlight w:val="none"/>
                <w:u w:val="none" w:color="auto"/>
                <w:lang w:val="en-US" w:eastAsia="zh-CN"/>
              </w:rPr>
              <w:t>t/a</w:t>
            </w:r>
          </w:p>
        </w:tc>
        <w:tc>
          <w:tcPr>
            <w:tcW w:w="1147" w:type="dxa"/>
            <w:noWrap w:val="0"/>
            <w:vAlign w:val="center"/>
          </w:tcPr>
          <w:p w14:paraId="1E0DA1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u w:val="none" w:color="auto"/>
                <w:lang w:val="en-US"/>
              </w:rPr>
            </w:pPr>
            <w:r>
              <w:rPr>
                <w:rFonts w:hint="default" w:ascii="Times New Roman" w:hAnsi="Times New Roman" w:eastAsia="宋体" w:cs="Times New Roman"/>
                <w:i w:val="0"/>
                <w:iCs w:val="0"/>
                <w:color w:val="000000"/>
                <w:kern w:val="0"/>
                <w:sz w:val="21"/>
                <w:szCs w:val="21"/>
                <w:u w:val="none"/>
                <w:lang w:val="en-US" w:eastAsia="zh-CN" w:bidi="ar"/>
              </w:rPr>
              <w:t>6.6</w:t>
            </w:r>
            <w:r>
              <w:rPr>
                <w:rFonts w:hint="eastAsia" w:eastAsia="宋体" w:cs="Times New Roman"/>
                <w:color w:val="auto"/>
                <w:sz w:val="21"/>
                <w:szCs w:val="21"/>
                <w:highlight w:val="none"/>
                <w:u w:val="none" w:color="auto"/>
                <w:lang w:val="en-US" w:eastAsia="zh-CN"/>
              </w:rPr>
              <w:t>t/a</w:t>
            </w:r>
          </w:p>
        </w:tc>
      </w:tr>
      <w:tr w14:paraId="022BAB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0975EEF5">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7C774FE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钝化毛刷、抹布</w:t>
            </w:r>
          </w:p>
        </w:tc>
        <w:tc>
          <w:tcPr>
            <w:tcW w:w="511" w:type="pct"/>
            <w:shd w:val="clear" w:color="auto" w:fill="auto"/>
            <w:noWrap w:val="0"/>
            <w:vAlign w:val="center"/>
          </w:tcPr>
          <w:p w14:paraId="74ED09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1A409D2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550AD4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r>
              <w:rPr>
                <w:rFonts w:hint="eastAsia" w:eastAsia="宋体" w:cs="Times New Roman"/>
                <w:color w:val="auto"/>
                <w:sz w:val="21"/>
                <w:szCs w:val="21"/>
                <w:highlight w:val="none"/>
                <w:u w:val="none" w:color="auto"/>
                <w:lang w:val="en-US" w:eastAsia="zh-CN"/>
              </w:rPr>
              <w:t>t/a</w:t>
            </w:r>
          </w:p>
        </w:tc>
        <w:tc>
          <w:tcPr>
            <w:tcW w:w="1542" w:type="dxa"/>
            <w:noWrap w:val="0"/>
            <w:vAlign w:val="center"/>
          </w:tcPr>
          <w:p w14:paraId="030B20D0">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53" w:type="dxa"/>
            <w:noWrap w:val="0"/>
            <w:vAlign w:val="center"/>
          </w:tcPr>
          <w:p w14:paraId="4005D2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34F4CBBB">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w:t>
            </w:r>
            <w:r>
              <w:rPr>
                <w:rFonts w:hint="eastAsia" w:eastAsia="宋体" w:cs="Times New Roman"/>
                <w:color w:val="auto"/>
                <w:sz w:val="21"/>
                <w:szCs w:val="21"/>
                <w:highlight w:val="none"/>
                <w:u w:val="none" w:color="auto"/>
                <w:lang w:val="en-US" w:eastAsia="zh-CN"/>
              </w:rPr>
              <w:t>t/a</w:t>
            </w:r>
          </w:p>
        </w:tc>
        <w:tc>
          <w:tcPr>
            <w:tcW w:w="1147" w:type="dxa"/>
            <w:noWrap w:val="0"/>
            <w:vAlign w:val="center"/>
          </w:tcPr>
          <w:p w14:paraId="45B4C37B">
            <w:pPr>
              <w:keepNext w:val="0"/>
              <w:keepLines w:val="0"/>
              <w:widowControl/>
              <w:suppressLineNumbers w:val="0"/>
              <w:spacing w:before="0" w:beforeAutospacing="0" w:after="0" w:afterAutospacing="0"/>
              <w:ind w:left="0" w:right="0"/>
              <w:jc w:val="center"/>
              <w:textAlignment w:val="center"/>
              <w:rPr>
                <w:rFonts w:hint="eastAsia" w:eastAsia="宋体" w:cs="Times New Roman"/>
                <w:color w:val="auto"/>
                <w:sz w:val="21"/>
                <w:szCs w:val="21"/>
                <w:highlight w:val="none"/>
                <w:u w:val="none" w:color="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0.07</w:t>
            </w:r>
            <w:r>
              <w:rPr>
                <w:rFonts w:hint="eastAsia" w:eastAsia="宋体" w:cs="Times New Roman"/>
                <w:color w:val="auto"/>
                <w:sz w:val="21"/>
                <w:szCs w:val="21"/>
                <w:highlight w:val="none"/>
                <w:u w:val="none" w:color="auto"/>
                <w:lang w:val="en-US" w:eastAsia="zh-CN"/>
              </w:rPr>
              <w:t>t/a</w:t>
            </w:r>
          </w:p>
        </w:tc>
      </w:tr>
      <w:tr w14:paraId="4F03A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02317CE2">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61FE8E8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pacing w:val="0"/>
                <w:w w:val="100"/>
                <w:kern w:val="0"/>
                <w:position w:val="0"/>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废辊涂工具、废毛刷</w:t>
            </w:r>
          </w:p>
        </w:tc>
        <w:tc>
          <w:tcPr>
            <w:tcW w:w="511" w:type="pct"/>
            <w:shd w:val="clear" w:color="auto" w:fill="auto"/>
            <w:noWrap w:val="0"/>
            <w:vAlign w:val="center"/>
          </w:tcPr>
          <w:p w14:paraId="46A794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48" w:type="pct"/>
            <w:noWrap w:val="0"/>
            <w:vAlign w:val="center"/>
          </w:tcPr>
          <w:p w14:paraId="382E7A6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0E6B1A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542" w:type="dxa"/>
            <w:noWrap w:val="0"/>
            <w:vAlign w:val="center"/>
          </w:tcPr>
          <w:p w14:paraId="31EDCD0D">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r>
              <w:rPr>
                <w:rFonts w:hint="eastAsia" w:eastAsia="宋体" w:cs="Times New Roman"/>
                <w:color w:val="auto"/>
                <w:sz w:val="21"/>
                <w:szCs w:val="21"/>
                <w:highlight w:val="none"/>
                <w:u w:val="none" w:color="auto"/>
                <w:lang w:val="en-US" w:eastAsia="zh-CN"/>
              </w:rPr>
              <w:t>t/a</w:t>
            </w:r>
          </w:p>
        </w:tc>
        <w:tc>
          <w:tcPr>
            <w:tcW w:w="1753" w:type="dxa"/>
            <w:noWrap w:val="0"/>
            <w:vAlign w:val="center"/>
          </w:tcPr>
          <w:p w14:paraId="3B2D69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352F5ECE">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r>
              <w:rPr>
                <w:rFonts w:hint="eastAsia" w:eastAsia="宋体" w:cs="Times New Roman"/>
                <w:color w:val="auto"/>
                <w:sz w:val="21"/>
                <w:szCs w:val="21"/>
                <w:highlight w:val="none"/>
                <w:u w:val="none" w:color="auto"/>
                <w:lang w:val="en-US" w:eastAsia="zh-CN"/>
              </w:rPr>
              <w:t>t/a</w:t>
            </w:r>
          </w:p>
        </w:tc>
        <w:tc>
          <w:tcPr>
            <w:tcW w:w="1147" w:type="dxa"/>
            <w:noWrap w:val="0"/>
            <w:vAlign w:val="center"/>
          </w:tcPr>
          <w:p w14:paraId="0B3ED8E5">
            <w:pPr>
              <w:keepNext w:val="0"/>
              <w:keepLines w:val="0"/>
              <w:widowControl/>
              <w:suppressLineNumbers w:val="0"/>
              <w:spacing w:before="0" w:beforeAutospacing="0" w:after="0" w:afterAutospacing="0"/>
              <w:ind w:left="0" w:right="0"/>
              <w:jc w:val="center"/>
              <w:textAlignment w:val="center"/>
              <w:rPr>
                <w:rFonts w:hint="eastAsia" w:eastAsia="宋体" w:cs="Times New Roman"/>
                <w:color w:val="auto"/>
                <w:sz w:val="21"/>
                <w:szCs w:val="21"/>
                <w:highlight w:val="none"/>
                <w:u w:val="none" w:color="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0.05</w:t>
            </w:r>
            <w:r>
              <w:rPr>
                <w:rFonts w:hint="eastAsia" w:eastAsia="宋体" w:cs="Times New Roman"/>
                <w:color w:val="auto"/>
                <w:sz w:val="21"/>
                <w:szCs w:val="21"/>
                <w:highlight w:val="none"/>
                <w:u w:val="none" w:color="auto"/>
                <w:lang w:val="en-US" w:eastAsia="zh-CN"/>
              </w:rPr>
              <w:t>t/a</w:t>
            </w:r>
          </w:p>
        </w:tc>
      </w:tr>
      <w:tr w14:paraId="28DF8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4BCFE10D">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01D533F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废液压油</w:t>
            </w:r>
          </w:p>
        </w:tc>
        <w:tc>
          <w:tcPr>
            <w:tcW w:w="511" w:type="pct"/>
            <w:shd w:val="clear" w:color="auto" w:fill="auto"/>
            <w:noWrap w:val="0"/>
            <w:vAlign w:val="center"/>
          </w:tcPr>
          <w:p w14:paraId="0E7E3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6C701F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39C5C0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w:t>
            </w:r>
            <w:r>
              <w:rPr>
                <w:rFonts w:hint="eastAsia" w:eastAsia="宋体" w:cs="Times New Roman"/>
                <w:color w:val="auto"/>
                <w:sz w:val="21"/>
                <w:szCs w:val="21"/>
                <w:highlight w:val="none"/>
                <w:u w:val="none" w:color="auto"/>
                <w:lang w:val="en-US" w:eastAsia="zh-CN"/>
              </w:rPr>
              <w:t>t/a</w:t>
            </w:r>
          </w:p>
        </w:tc>
        <w:tc>
          <w:tcPr>
            <w:tcW w:w="1542" w:type="dxa"/>
            <w:noWrap w:val="0"/>
            <w:vAlign w:val="center"/>
          </w:tcPr>
          <w:p w14:paraId="7593B3FB">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w:t>
            </w:r>
            <w:r>
              <w:rPr>
                <w:rFonts w:hint="eastAsia" w:eastAsia="宋体" w:cs="Times New Roman"/>
                <w:color w:val="auto"/>
                <w:sz w:val="21"/>
                <w:szCs w:val="21"/>
                <w:highlight w:val="none"/>
                <w:u w:val="none" w:color="auto"/>
                <w:lang w:val="en-US" w:eastAsia="zh-CN"/>
              </w:rPr>
              <w:t>t/a</w:t>
            </w:r>
          </w:p>
        </w:tc>
        <w:tc>
          <w:tcPr>
            <w:tcW w:w="1753" w:type="dxa"/>
            <w:noWrap w:val="0"/>
            <w:vAlign w:val="center"/>
          </w:tcPr>
          <w:p w14:paraId="1E8591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063A6932">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w:t>
            </w:r>
            <w:r>
              <w:rPr>
                <w:rFonts w:hint="eastAsia" w:eastAsia="宋体" w:cs="Times New Roman"/>
                <w:color w:val="auto"/>
                <w:sz w:val="21"/>
                <w:szCs w:val="21"/>
                <w:highlight w:val="none"/>
                <w:u w:val="none" w:color="auto"/>
                <w:lang w:val="en-US" w:eastAsia="zh-CN"/>
              </w:rPr>
              <w:t>t/a</w:t>
            </w:r>
          </w:p>
        </w:tc>
        <w:tc>
          <w:tcPr>
            <w:tcW w:w="1147" w:type="dxa"/>
            <w:noWrap w:val="0"/>
            <w:vAlign w:val="center"/>
          </w:tcPr>
          <w:p w14:paraId="04905AAF">
            <w:pPr>
              <w:keepNext w:val="0"/>
              <w:keepLines w:val="0"/>
              <w:widowControl/>
              <w:suppressLineNumbers w:val="0"/>
              <w:spacing w:before="0" w:beforeAutospacing="0" w:after="0" w:afterAutospacing="0"/>
              <w:ind w:left="0" w:right="0"/>
              <w:jc w:val="center"/>
              <w:textAlignment w:val="center"/>
              <w:rPr>
                <w:rFonts w:hint="eastAsia" w:eastAsia="宋体" w:cs="Times New Roman"/>
                <w:color w:val="auto"/>
                <w:sz w:val="21"/>
                <w:szCs w:val="21"/>
                <w:highlight w:val="none"/>
                <w:u w:val="none" w:color="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0.43</w:t>
            </w:r>
            <w:r>
              <w:rPr>
                <w:rFonts w:hint="eastAsia" w:eastAsia="宋体" w:cs="Times New Roman"/>
                <w:color w:val="auto"/>
                <w:sz w:val="21"/>
                <w:szCs w:val="21"/>
                <w:highlight w:val="none"/>
                <w:u w:val="none" w:color="auto"/>
                <w:lang w:val="en-US" w:eastAsia="zh-CN"/>
              </w:rPr>
              <w:t>t/a</w:t>
            </w:r>
          </w:p>
        </w:tc>
      </w:tr>
      <w:tr w14:paraId="5C2FC9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441B609B">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1EB16A8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废冷却液</w:t>
            </w:r>
          </w:p>
        </w:tc>
        <w:tc>
          <w:tcPr>
            <w:tcW w:w="511" w:type="pct"/>
            <w:shd w:val="clear" w:color="auto" w:fill="auto"/>
            <w:noWrap w:val="0"/>
            <w:vAlign w:val="center"/>
          </w:tcPr>
          <w:p w14:paraId="23CA3F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76E77397">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54302E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r>
              <w:rPr>
                <w:rFonts w:hint="eastAsia" w:eastAsia="宋体" w:cs="Times New Roman"/>
                <w:color w:val="auto"/>
                <w:sz w:val="21"/>
                <w:szCs w:val="21"/>
                <w:highlight w:val="none"/>
                <w:u w:val="none" w:color="auto"/>
                <w:lang w:val="en-US" w:eastAsia="zh-CN"/>
              </w:rPr>
              <w:t>t/a</w:t>
            </w:r>
          </w:p>
        </w:tc>
        <w:tc>
          <w:tcPr>
            <w:tcW w:w="1542" w:type="dxa"/>
            <w:noWrap w:val="0"/>
            <w:vAlign w:val="center"/>
          </w:tcPr>
          <w:p w14:paraId="5E543C9B">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w:t>
            </w:r>
            <w:r>
              <w:rPr>
                <w:rFonts w:hint="eastAsia" w:eastAsia="宋体" w:cs="Times New Roman"/>
                <w:color w:val="auto"/>
                <w:sz w:val="21"/>
                <w:szCs w:val="21"/>
                <w:highlight w:val="none"/>
                <w:u w:val="none" w:color="auto"/>
                <w:lang w:val="en-US" w:eastAsia="zh-CN"/>
              </w:rPr>
              <w:t>t/a</w:t>
            </w:r>
          </w:p>
        </w:tc>
        <w:tc>
          <w:tcPr>
            <w:tcW w:w="1753" w:type="dxa"/>
            <w:noWrap w:val="0"/>
            <w:vAlign w:val="center"/>
          </w:tcPr>
          <w:p w14:paraId="1CFC2F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3AD6A778">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w:t>
            </w:r>
            <w:r>
              <w:rPr>
                <w:rFonts w:hint="eastAsia" w:eastAsia="宋体" w:cs="Times New Roman"/>
                <w:color w:val="auto"/>
                <w:sz w:val="21"/>
                <w:szCs w:val="21"/>
                <w:highlight w:val="none"/>
                <w:u w:val="none" w:color="auto"/>
                <w:lang w:val="en-US" w:eastAsia="zh-CN"/>
              </w:rPr>
              <w:t>t/a</w:t>
            </w:r>
          </w:p>
        </w:tc>
        <w:tc>
          <w:tcPr>
            <w:tcW w:w="1147" w:type="dxa"/>
            <w:noWrap w:val="0"/>
            <w:vAlign w:val="center"/>
          </w:tcPr>
          <w:p w14:paraId="459BE35C">
            <w:pPr>
              <w:keepNext w:val="0"/>
              <w:keepLines w:val="0"/>
              <w:widowControl/>
              <w:suppressLineNumbers w:val="0"/>
              <w:spacing w:before="0" w:beforeAutospacing="0" w:after="0" w:afterAutospacing="0"/>
              <w:ind w:left="0" w:right="0"/>
              <w:jc w:val="center"/>
              <w:textAlignment w:val="center"/>
              <w:rPr>
                <w:rFonts w:hint="eastAsia" w:eastAsia="宋体" w:cs="Times New Roman"/>
                <w:color w:val="auto"/>
                <w:sz w:val="21"/>
                <w:szCs w:val="21"/>
                <w:highlight w:val="none"/>
                <w:u w:val="none" w:color="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0.23</w:t>
            </w:r>
            <w:r>
              <w:rPr>
                <w:rFonts w:hint="eastAsia" w:eastAsia="宋体" w:cs="Times New Roman"/>
                <w:color w:val="auto"/>
                <w:sz w:val="21"/>
                <w:szCs w:val="21"/>
                <w:highlight w:val="none"/>
                <w:u w:val="none" w:color="auto"/>
                <w:lang w:val="en-US" w:eastAsia="zh-CN"/>
              </w:rPr>
              <w:t>t/a</w:t>
            </w:r>
          </w:p>
        </w:tc>
      </w:tr>
      <w:tr w14:paraId="6ED002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2B2EC478">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p>
        </w:tc>
        <w:tc>
          <w:tcPr>
            <w:tcW w:w="790" w:type="pct"/>
            <w:noWrap w:val="0"/>
            <w:vAlign w:val="center"/>
          </w:tcPr>
          <w:p w14:paraId="2FD6C53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废润滑油</w:t>
            </w:r>
          </w:p>
        </w:tc>
        <w:tc>
          <w:tcPr>
            <w:tcW w:w="511" w:type="pct"/>
            <w:shd w:val="clear" w:color="auto" w:fill="auto"/>
            <w:noWrap w:val="0"/>
            <w:vAlign w:val="center"/>
          </w:tcPr>
          <w:p w14:paraId="65A0AE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2F13DDC2">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200FCF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r>
              <w:rPr>
                <w:rFonts w:hint="eastAsia" w:eastAsia="宋体" w:cs="Times New Roman"/>
                <w:color w:val="auto"/>
                <w:sz w:val="21"/>
                <w:szCs w:val="21"/>
                <w:highlight w:val="none"/>
                <w:u w:val="none" w:color="auto"/>
                <w:lang w:val="en-US" w:eastAsia="zh-CN"/>
              </w:rPr>
              <w:t>t/a</w:t>
            </w:r>
          </w:p>
        </w:tc>
        <w:tc>
          <w:tcPr>
            <w:tcW w:w="1542" w:type="dxa"/>
            <w:noWrap w:val="0"/>
            <w:vAlign w:val="center"/>
          </w:tcPr>
          <w:p w14:paraId="67ED0044">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r>
              <w:rPr>
                <w:rFonts w:hint="eastAsia" w:eastAsia="宋体" w:cs="Times New Roman"/>
                <w:color w:val="auto"/>
                <w:sz w:val="21"/>
                <w:szCs w:val="21"/>
                <w:highlight w:val="none"/>
                <w:u w:val="none" w:color="auto"/>
                <w:lang w:val="en-US" w:eastAsia="zh-CN"/>
              </w:rPr>
              <w:t>t/a</w:t>
            </w:r>
          </w:p>
        </w:tc>
        <w:tc>
          <w:tcPr>
            <w:tcW w:w="1753" w:type="dxa"/>
            <w:noWrap w:val="0"/>
            <w:vAlign w:val="center"/>
          </w:tcPr>
          <w:p w14:paraId="0AB515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5FDD19B2">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w:t>
            </w:r>
            <w:r>
              <w:rPr>
                <w:rFonts w:hint="eastAsia" w:eastAsia="宋体" w:cs="Times New Roman"/>
                <w:color w:val="auto"/>
                <w:sz w:val="21"/>
                <w:szCs w:val="21"/>
                <w:highlight w:val="none"/>
                <w:u w:val="none" w:color="auto"/>
                <w:lang w:val="en-US" w:eastAsia="zh-CN"/>
              </w:rPr>
              <w:t>t/a</w:t>
            </w:r>
          </w:p>
        </w:tc>
        <w:tc>
          <w:tcPr>
            <w:tcW w:w="1147" w:type="dxa"/>
            <w:noWrap w:val="0"/>
            <w:vAlign w:val="center"/>
          </w:tcPr>
          <w:p w14:paraId="76D270A1">
            <w:pPr>
              <w:keepNext w:val="0"/>
              <w:keepLines w:val="0"/>
              <w:widowControl/>
              <w:suppressLineNumbers w:val="0"/>
              <w:spacing w:before="0" w:beforeAutospacing="0" w:after="0" w:afterAutospacing="0"/>
              <w:ind w:left="0" w:right="0"/>
              <w:jc w:val="center"/>
              <w:textAlignment w:val="center"/>
              <w:rPr>
                <w:rFonts w:hint="eastAsia" w:eastAsia="宋体" w:cs="Times New Roman"/>
                <w:color w:val="auto"/>
                <w:sz w:val="21"/>
                <w:szCs w:val="21"/>
                <w:highlight w:val="none"/>
                <w:u w:val="none" w:color="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0.08</w:t>
            </w:r>
            <w:r>
              <w:rPr>
                <w:rFonts w:hint="eastAsia" w:eastAsia="宋体" w:cs="Times New Roman"/>
                <w:color w:val="auto"/>
                <w:sz w:val="21"/>
                <w:szCs w:val="21"/>
                <w:highlight w:val="none"/>
                <w:u w:val="none" w:color="auto"/>
                <w:lang w:val="en-US" w:eastAsia="zh-CN"/>
              </w:rPr>
              <w:t>t/a</w:t>
            </w:r>
          </w:p>
        </w:tc>
      </w:tr>
      <w:tr w14:paraId="29FE5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33243741">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p>
        </w:tc>
        <w:tc>
          <w:tcPr>
            <w:tcW w:w="790" w:type="pct"/>
            <w:noWrap w:val="0"/>
            <w:vAlign w:val="center"/>
          </w:tcPr>
          <w:p w14:paraId="1B5AE24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废油抹布及手套</w:t>
            </w:r>
          </w:p>
        </w:tc>
        <w:tc>
          <w:tcPr>
            <w:tcW w:w="511" w:type="pct"/>
            <w:shd w:val="clear" w:color="auto" w:fill="auto"/>
            <w:noWrap w:val="0"/>
            <w:vAlign w:val="center"/>
          </w:tcPr>
          <w:p w14:paraId="189E15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09E7F19B">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25B6BD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r>
              <w:rPr>
                <w:rFonts w:hint="eastAsia" w:eastAsia="宋体" w:cs="Times New Roman"/>
                <w:color w:val="auto"/>
                <w:sz w:val="21"/>
                <w:szCs w:val="21"/>
                <w:highlight w:val="none"/>
                <w:u w:val="none" w:color="auto"/>
                <w:lang w:val="en-US" w:eastAsia="zh-CN"/>
              </w:rPr>
              <w:t>t/a</w:t>
            </w:r>
          </w:p>
        </w:tc>
        <w:tc>
          <w:tcPr>
            <w:tcW w:w="1542" w:type="dxa"/>
            <w:noWrap w:val="0"/>
            <w:vAlign w:val="center"/>
          </w:tcPr>
          <w:p w14:paraId="48EBEAFB">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r>
              <w:rPr>
                <w:rFonts w:hint="eastAsia" w:eastAsia="宋体" w:cs="Times New Roman"/>
                <w:color w:val="auto"/>
                <w:sz w:val="21"/>
                <w:szCs w:val="21"/>
                <w:highlight w:val="none"/>
                <w:u w:val="none" w:color="auto"/>
                <w:lang w:val="en-US" w:eastAsia="zh-CN"/>
              </w:rPr>
              <w:t>t/a</w:t>
            </w:r>
          </w:p>
        </w:tc>
        <w:tc>
          <w:tcPr>
            <w:tcW w:w="1753" w:type="dxa"/>
            <w:noWrap w:val="0"/>
            <w:vAlign w:val="center"/>
          </w:tcPr>
          <w:p w14:paraId="062805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0EE758DA">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eastAsia="宋体" w:cs="Times New Roman"/>
                <w:color w:val="auto"/>
                <w:sz w:val="21"/>
                <w:szCs w:val="21"/>
                <w:highlight w:val="none"/>
                <w:u w:val="none" w:color="auto"/>
                <w:lang w:val="en-US" w:eastAsia="zh-CN"/>
              </w:rPr>
              <w:t>t/a</w:t>
            </w:r>
          </w:p>
        </w:tc>
        <w:tc>
          <w:tcPr>
            <w:tcW w:w="1147" w:type="dxa"/>
            <w:noWrap w:val="0"/>
            <w:vAlign w:val="center"/>
          </w:tcPr>
          <w:p w14:paraId="1DF0DDB8">
            <w:pPr>
              <w:keepNext w:val="0"/>
              <w:keepLines w:val="0"/>
              <w:widowControl/>
              <w:suppressLineNumbers w:val="0"/>
              <w:spacing w:before="0" w:beforeAutospacing="0" w:after="0" w:afterAutospacing="0"/>
              <w:ind w:left="0" w:right="0"/>
              <w:jc w:val="center"/>
              <w:textAlignment w:val="center"/>
              <w:rPr>
                <w:rFonts w:hint="eastAsia" w:eastAsia="宋体" w:cs="Times New Roman"/>
                <w:color w:val="auto"/>
                <w:sz w:val="21"/>
                <w:szCs w:val="21"/>
                <w:highlight w:val="none"/>
                <w:u w:val="none" w:color="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0.017</w:t>
            </w:r>
            <w:r>
              <w:rPr>
                <w:rFonts w:hint="eastAsia" w:eastAsia="宋体" w:cs="Times New Roman"/>
                <w:color w:val="auto"/>
                <w:sz w:val="21"/>
                <w:szCs w:val="21"/>
                <w:highlight w:val="none"/>
                <w:u w:val="none" w:color="auto"/>
                <w:lang w:val="en-US" w:eastAsia="zh-CN"/>
              </w:rPr>
              <w:t>t/a</w:t>
            </w:r>
          </w:p>
        </w:tc>
      </w:tr>
      <w:tr w14:paraId="233B9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vMerge w:val="continue"/>
            <w:noWrap w:val="0"/>
            <w:vAlign w:val="center"/>
          </w:tcPr>
          <w:p w14:paraId="3DDD871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p>
        </w:tc>
        <w:tc>
          <w:tcPr>
            <w:tcW w:w="790" w:type="pct"/>
            <w:noWrap w:val="0"/>
            <w:vAlign w:val="center"/>
          </w:tcPr>
          <w:p w14:paraId="7751847D">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eastAsia="zh-CN"/>
              </w:rPr>
            </w:pPr>
            <w:r>
              <w:rPr>
                <w:rFonts w:hint="default" w:ascii="Times New Roman" w:hAnsi="Times New Roman" w:eastAsia="宋体" w:cs="Times New Roman"/>
                <w:i w:val="0"/>
                <w:iCs w:val="0"/>
                <w:color w:val="000000"/>
                <w:kern w:val="0"/>
                <w:sz w:val="21"/>
                <w:szCs w:val="21"/>
                <w:u w:val="none"/>
                <w:lang w:val="en-US" w:eastAsia="zh-CN" w:bidi="ar"/>
              </w:rPr>
              <w:t>油类包装桶</w:t>
            </w:r>
          </w:p>
        </w:tc>
        <w:tc>
          <w:tcPr>
            <w:tcW w:w="511" w:type="pct"/>
            <w:shd w:val="clear" w:color="auto" w:fill="auto"/>
            <w:noWrap w:val="0"/>
            <w:vAlign w:val="center"/>
          </w:tcPr>
          <w:p w14:paraId="204155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62C28689">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169CA3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r>
              <w:rPr>
                <w:rFonts w:hint="eastAsia" w:eastAsia="宋体" w:cs="Times New Roman"/>
                <w:color w:val="auto"/>
                <w:sz w:val="21"/>
                <w:szCs w:val="21"/>
                <w:highlight w:val="none"/>
                <w:u w:val="none" w:color="auto"/>
                <w:lang w:val="en-US" w:eastAsia="zh-CN"/>
              </w:rPr>
              <w:t>t/a</w:t>
            </w:r>
          </w:p>
        </w:tc>
        <w:tc>
          <w:tcPr>
            <w:tcW w:w="1542" w:type="dxa"/>
            <w:noWrap w:val="0"/>
            <w:vAlign w:val="center"/>
          </w:tcPr>
          <w:p w14:paraId="33121C86">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r>
              <w:rPr>
                <w:rFonts w:hint="eastAsia" w:eastAsia="宋体" w:cs="Times New Roman"/>
                <w:color w:val="auto"/>
                <w:sz w:val="21"/>
                <w:szCs w:val="21"/>
                <w:highlight w:val="none"/>
                <w:u w:val="none" w:color="auto"/>
                <w:lang w:val="en-US" w:eastAsia="zh-CN"/>
              </w:rPr>
              <w:t>t/a</w:t>
            </w:r>
          </w:p>
        </w:tc>
        <w:tc>
          <w:tcPr>
            <w:tcW w:w="1753" w:type="dxa"/>
            <w:noWrap w:val="0"/>
            <w:vAlign w:val="center"/>
          </w:tcPr>
          <w:p w14:paraId="152759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25D4F2C6">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u w:val="none" w:color="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w:t>
            </w:r>
            <w:r>
              <w:rPr>
                <w:rFonts w:hint="eastAsia" w:eastAsia="宋体" w:cs="Times New Roman"/>
                <w:color w:val="auto"/>
                <w:sz w:val="21"/>
                <w:szCs w:val="21"/>
                <w:highlight w:val="none"/>
                <w:u w:val="none" w:color="auto"/>
                <w:lang w:val="en-US" w:eastAsia="zh-CN"/>
              </w:rPr>
              <w:t>t/a</w:t>
            </w:r>
          </w:p>
        </w:tc>
        <w:tc>
          <w:tcPr>
            <w:tcW w:w="1147" w:type="dxa"/>
            <w:noWrap w:val="0"/>
            <w:vAlign w:val="center"/>
          </w:tcPr>
          <w:p w14:paraId="22F66DC8">
            <w:pPr>
              <w:keepNext w:val="0"/>
              <w:keepLines w:val="0"/>
              <w:widowControl/>
              <w:suppressLineNumbers w:val="0"/>
              <w:spacing w:before="0" w:beforeAutospacing="0" w:after="0" w:afterAutospacing="0"/>
              <w:ind w:left="0" w:right="0"/>
              <w:jc w:val="center"/>
              <w:textAlignment w:val="center"/>
              <w:rPr>
                <w:rFonts w:hint="eastAsia" w:eastAsia="宋体" w:cs="Times New Roman"/>
                <w:color w:val="auto"/>
                <w:sz w:val="21"/>
                <w:szCs w:val="21"/>
                <w:highlight w:val="none"/>
                <w:u w:val="none" w:color="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0.008</w:t>
            </w:r>
            <w:r>
              <w:rPr>
                <w:rFonts w:hint="eastAsia" w:eastAsia="宋体" w:cs="Times New Roman"/>
                <w:color w:val="auto"/>
                <w:sz w:val="21"/>
                <w:szCs w:val="21"/>
                <w:highlight w:val="none"/>
                <w:u w:val="none" w:color="auto"/>
                <w:lang w:val="en-US" w:eastAsia="zh-CN"/>
              </w:rPr>
              <w:t>t/a</w:t>
            </w:r>
          </w:p>
        </w:tc>
      </w:tr>
      <w:tr w14:paraId="4AD72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3" w:type="pct"/>
            <w:noWrap w:val="0"/>
            <w:vAlign w:val="center"/>
          </w:tcPr>
          <w:p w14:paraId="343A705D">
            <w:pPr>
              <w:keepNext w:val="0"/>
              <w:keepLines w:val="0"/>
              <w:suppressLineNumbers w:val="0"/>
              <w:spacing w:before="0" w:beforeAutospacing="0" w:after="0" w:afterAutospacing="0"/>
              <w:ind w:left="0" w:right="0"/>
              <w:jc w:val="center"/>
              <w:textAlignment w:val="center"/>
              <w:rPr>
                <w:rFonts w:hint="default" w:eastAsia="宋体"/>
                <w:color w:val="auto"/>
                <w:sz w:val="21"/>
                <w:szCs w:val="21"/>
                <w:u w:val="none" w:color="auto"/>
              </w:rPr>
            </w:pPr>
            <w:r>
              <w:rPr>
                <w:rFonts w:hint="default" w:eastAsia="宋体"/>
                <w:color w:val="auto"/>
                <w:sz w:val="21"/>
                <w:szCs w:val="21"/>
                <w:u w:val="none" w:color="auto"/>
              </w:rPr>
              <w:t>生活</w:t>
            </w:r>
          </w:p>
          <w:p w14:paraId="70B6E4B5">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eastAsia="宋体"/>
                <w:color w:val="auto"/>
                <w:sz w:val="21"/>
                <w:szCs w:val="21"/>
                <w:u w:val="none" w:color="auto"/>
              </w:rPr>
              <w:t>垃圾</w:t>
            </w:r>
          </w:p>
        </w:tc>
        <w:tc>
          <w:tcPr>
            <w:tcW w:w="790" w:type="pct"/>
            <w:noWrap w:val="0"/>
            <w:vAlign w:val="center"/>
          </w:tcPr>
          <w:p w14:paraId="21C7B81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生活垃圾</w:t>
            </w:r>
          </w:p>
        </w:tc>
        <w:tc>
          <w:tcPr>
            <w:tcW w:w="511" w:type="pct"/>
            <w:shd w:val="clear" w:color="auto" w:fill="auto"/>
            <w:noWrap w:val="0"/>
            <w:vAlign w:val="center"/>
          </w:tcPr>
          <w:p w14:paraId="21A031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w:t>
            </w:r>
            <w:r>
              <w:rPr>
                <w:rFonts w:hint="eastAsia" w:eastAsia="宋体" w:cs="Times New Roman"/>
                <w:color w:val="auto"/>
                <w:sz w:val="21"/>
                <w:szCs w:val="21"/>
                <w:highlight w:val="none"/>
                <w:u w:val="none" w:color="auto"/>
                <w:lang w:val="en-US" w:eastAsia="zh-CN"/>
              </w:rPr>
              <w:t>t/a</w:t>
            </w:r>
          </w:p>
        </w:tc>
        <w:tc>
          <w:tcPr>
            <w:tcW w:w="448" w:type="pct"/>
            <w:noWrap w:val="0"/>
            <w:vAlign w:val="center"/>
          </w:tcPr>
          <w:p w14:paraId="74B89737">
            <w:pPr>
              <w:keepNext w:val="0"/>
              <w:keepLines w:val="0"/>
              <w:widowControl w:val="0"/>
              <w:suppressLineNumbers w:val="0"/>
              <w:adjustRightInd w:val="0"/>
              <w:snapToGrid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eastAsia" w:eastAsia="宋体" w:cs="Times New Roman"/>
                <w:i w:val="0"/>
                <w:iCs w:val="0"/>
                <w:color w:val="000000"/>
                <w:kern w:val="0"/>
                <w:sz w:val="21"/>
                <w:szCs w:val="21"/>
                <w:u w:val="none"/>
                <w:lang w:val="en-US" w:eastAsia="zh-CN" w:bidi="ar"/>
              </w:rPr>
              <w:t>/</w:t>
            </w:r>
          </w:p>
        </w:tc>
        <w:tc>
          <w:tcPr>
            <w:tcW w:w="1688" w:type="dxa"/>
            <w:noWrap w:val="0"/>
            <w:vAlign w:val="center"/>
          </w:tcPr>
          <w:p w14:paraId="2D7441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r>
              <w:rPr>
                <w:rFonts w:hint="eastAsia" w:eastAsia="宋体" w:cs="Times New Roman"/>
                <w:color w:val="auto"/>
                <w:sz w:val="21"/>
                <w:szCs w:val="21"/>
                <w:highlight w:val="none"/>
                <w:u w:val="none" w:color="auto"/>
                <w:lang w:val="en-US" w:eastAsia="zh-CN"/>
              </w:rPr>
              <w:t>t/a</w:t>
            </w:r>
          </w:p>
        </w:tc>
        <w:tc>
          <w:tcPr>
            <w:tcW w:w="1542" w:type="dxa"/>
            <w:noWrap w:val="0"/>
            <w:vAlign w:val="center"/>
          </w:tcPr>
          <w:p w14:paraId="0F78E54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r>
              <w:rPr>
                <w:rFonts w:hint="eastAsia" w:eastAsia="宋体" w:cs="Times New Roman"/>
                <w:color w:val="auto"/>
                <w:sz w:val="21"/>
                <w:szCs w:val="21"/>
                <w:highlight w:val="none"/>
                <w:u w:val="none" w:color="auto"/>
                <w:lang w:val="en-US" w:eastAsia="zh-CN"/>
              </w:rPr>
              <w:t>t/a</w:t>
            </w:r>
          </w:p>
        </w:tc>
        <w:tc>
          <w:tcPr>
            <w:tcW w:w="1753" w:type="dxa"/>
            <w:noWrap w:val="0"/>
            <w:vAlign w:val="center"/>
          </w:tcPr>
          <w:p w14:paraId="59C216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954" w:type="dxa"/>
            <w:noWrap w:val="0"/>
            <w:vAlign w:val="center"/>
          </w:tcPr>
          <w:p w14:paraId="6114126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7.05</w:t>
            </w:r>
            <w:r>
              <w:rPr>
                <w:rFonts w:hint="eastAsia" w:eastAsia="宋体" w:cs="Times New Roman"/>
                <w:color w:val="auto"/>
                <w:sz w:val="21"/>
                <w:szCs w:val="21"/>
                <w:highlight w:val="none"/>
                <w:u w:val="none" w:color="auto"/>
                <w:lang w:val="en-US" w:eastAsia="zh-CN"/>
              </w:rPr>
              <w:t>t/a</w:t>
            </w:r>
          </w:p>
        </w:tc>
        <w:tc>
          <w:tcPr>
            <w:tcW w:w="1147" w:type="dxa"/>
            <w:noWrap w:val="0"/>
            <w:vAlign w:val="center"/>
          </w:tcPr>
          <w:p w14:paraId="0E5C364E">
            <w:pPr>
              <w:keepNext w:val="0"/>
              <w:keepLines w:val="0"/>
              <w:widowControl/>
              <w:suppressLineNumbers w:val="0"/>
              <w:spacing w:before="0" w:beforeAutospacing="0" w:after="0" w:afterAutospacing="0"/>
              <w:ind w:left="0" w:right="0"/>
              <w:jc w:val="center"/>
              <w:textAlignment w:val="center"/>
              <w:rPr>
                <w:rFonts w:hint="eastAsia" w:eastAsia="宋体" w:cs="Times New Roman"/>
                <w:color w:val="auto"/>
                <w:sz w:val="21"/>
                <w:szCs w:val="21"/>
                <w:highlight w:val="none"/>
                <w:u w:val="none" w:color="auto"/>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5.15</w:t>
            </w:r>
            <w:r>
              <w:rPr>
                <w:rFonts w:hint="eastAsia" w:eastAsia="宋体" w:cs="Times New Roman"/>
                <w:color w:val="auto"/>
                <w:sz w:val="21"/>
                <w:szCs w:val="21"/>
                <w:highlight w:val="none"/>
                <w:u w:val="none" w:color="auto"/>
                <w:lang w:val="en-US" w:eastAsia="zh-CN"/>
              </w:rPr>
              <w:t>t/a</w:t>
            </w:r>
          </w:p>
        </w:tc>
      </w:tr>
    </w:tbl>
    <w:p w14:paraId="5F2B3A90">
      <w:pPr>
        <w:pStyle w:val="43"/>
        <w:rPr>
          <w:rFonts w:hint="default"/>
          <w:b/>
          <w:bCs/>
          <w:sz w:val="28"/>
          <w:szCs w:val="28"/>
        </w:rPr>
      </w:pP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27305</wp:posOffset>
                </wp:positionH>
                <wp:positionV relativeFrom="paragraph">
                  <wp:posOffset>43180</wp:posOffset>
                </wp:positionV>
                <wp:extent cx="2705100" cy="266700"/>
                <wp:effectExtent l="0" t="0" r="0" b="0"/>
                <wp:wrapNone/>
                <wp:docPr id="35" name="文本框 35"/>
                <wp:cNvGraphicFramePr/>
                <a:graphic xmlns:a="http://schemas.openxmlformats.org/drawingml/2006/main">
                  <a:graphicData uri="http://schemas.microsoft.com/office/word/2010/wordprocessingShape">
                    <wps:wsp>
                      <wps:cNvSpPr txBox="1"/>
                      <wps:spPr>
                        <a:xfrm>
                          <a:off x="1078865" y="6820535"/>
                          <a:ext cx="2705100" cy="266700"/>
                        </a:xfrm>
                        <a:prstGeom prst="rect">
                          <a:avLst/>
                        </a:prstGeom>
                        <a:noFill/>
                        <a:ln w="6350">
                          <a:noFill/>
                        </a:ln>
                        <a:effectLst/>
                      </wps:spPr>
                      <wps:txbx>
                        <w:txbxContent>
                          <w:p w14:paraId="22F2CB5D">
                            <w:pPr>
                              <w:bidi w:val="0"/>
                              <w:rPr>
                                <w:rFonts w:hint="default" w:ascii="Times New Roman" w:hAnsi="Times New Roman" w:cs="Times New Roman"/>
                              </w:rPr>
                            </w:pPr>
                            <w:r>
                              <w:rPr>
                                <w:rFonts w:hint="default" w:ascii="Times New Roman" w:hAnsi="Times New Roman" w:cs="Times New Roman"/>
                              </w:rPr>
                              <w:t>注：</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3 \* GB3 \* MERGEFORMAT </w:instrText>
                            </w:r>
                            <w:r>
                              <w:rPr>
                                <w:rFonts w:hint="default" w:ascii="Times New Roman" w:hAnsi="Times New Roman" w:cs="Times New Roman"/>
                              </w:rPr>
                              <w:fldChar w:fldCharType="separate"/>
                            </w:r>
                            <w:r>
                              <w:rPr>
                                <w:rFonts w:hint="default" w:ascii="Times New Roman" w:hAnsi="Times New Roman" w:cs="Times New Roman"/>
                              </w:rPr>
                              <w:t>③</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4 \* GB3 \* MERGEFORMAT </w:instrText>
                            </w:r>
                            <w:r>
                              <w:rPr>
                                <w:rFonts w:hint="default" w:ascii="Times New Roman" w:hAnsi="Times New Roman" w:cs="Times New Roman"/>
                              </w:rPr>
                              <w:fldChar w:fldCharType="separate"/>
                            </w:r>
                            <w:r>
                              <w:rPr>
                                <w:rFonts w:hint="default" w:ascii="Times New Roman" w:hAnsi="Times New Roman" w:cs="Times New Roman"/>
                              </w:rPr>
                              <w:t>④</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5 \* GB3 \* MERGEFORMAT </w:instrText>
                            </w:r>
                            <w:r>
                              <w:rPr>
                                <w:rFonts w:hint="default" w:ascii="Times New Roman" w:hAnsi="Times New Roman" w:cs="Times New Roman"/>
                              </w:rPr>
                              <w:fldChar w:fldCharType="separate"/>
                            </w:r>
                            <w:r>
                              <w:rPr>
                                <w:rFonts w:hint="default" w:ascii="Times New Roman" w:hAnsi="Times New Roman" w:cs="Times New Roman"/>
                              </w:rPr>
                              <w:t>⑤</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7 \* GB3 \* MERGEFORMAT </w:instrText>
                            </w:r>
                            <w:r>
                              <w:rPr>
                                <w:rFonts w:hint="default" w:ascii="Times New Roman" w:hAnsi="Times New Roman" w:cs="Times New Roman"/>
                              </w:rPr>
                              <w:fldChar w:fldCharType="separate"/>
                            </w:r>
                            <w:r>
                              <w:rPr>
                                <w:rFonts w:hint="default" w:ascii="Times New Roman" w:hAnsi="Times New Roman" w:cs="Times New Roman"/>
                              </w:rPr>
                              <w:t>⑦</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p>
                          <w:p w14:paraId="33AB926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3.4pt;height:21pt;width:213pt;z-index:251666432;mso-width-relative:page;mso-height-relative:page;" filled="f" stroked="f" coordsize="21600,21600" o:gfxdata="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oXUuJ1gAAAAYBAAAPAAAAAAAA&#10;AAEAIAAAACIAAABkcnMvZG93bnJldi54bWxQSwECFAAUAAAACACHTuJAVoDvCU0CAACCBAAADgAA&#10;AAAAAAABACAAAAAlAQAAZHJzL2Uyb0RvYy54bWxQSwUGAAAAAAYABgBZAQAA5AUAAAAA&#10;">
                <v:fill on="f" focussize="0,0"/>
                <v:stroke on="f" weight="0.5pt"/>
                <v:imagedata o:title=""/>
                <o:lock v:ext="edit" aspectratio="f"/>
                <v:textbox>
                  <w:txbxContent>
                    <w:p w14:paraId="22F2CB5D">
                      <w:pPr>
                        <w:bidi w:val="0"/>
                        <w:rPr>
                          <w:rFonts w:hint="default" w:ascii="Times New Roman" w:hAnsi="Times New Roman" w:cs="Times New Roman"/>
                        </w:rPr>
                      </w:pPr>
                      <w:r>
                        <w:rPr>
                          <w:rFonts w:hint="default" w:ascii="Times New Roman" w:hAnsi="Times New Roman" w:cs="Times New Roman"/>
                        </w:rPr>
                        <w:t>注：</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3 \* GB3 \* MERGEFORMAT </w:instrText>
                      </w:r>
                      <w:r>
                        <w:rPr>
                          <w:rFonts w:hint="default" w:ascii="Times New Roman" w:hAnsi="Times New Roman" w:cs="Times New Roman"/>
                        </w:rPr>
                        <w:fldChar w:fldCharType="separate"/>
                      </w:r>
                      <w:r>
                        <w:rPr>
                          <w:rFonts w:hint="default" w:ascii="Times New Roman" w:hAnsi="Times New Roman" w:cs="Times New Roman"/>
                        </w:rPr>
                        <w:t>③</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4 \* GB3 \* MERGEFORMAT </w:instrText>
                      </w:r>
                      <w:r>
                        <w:rPr>
                          <w:rFonts w:hint="default" w:ascii="Times New Roman" w:hAnsi="Times New Roman" w:cs="Times New Roman"/>
                        </w:rPr>
                        <w:fldChar w:fldCharType="separate"/>
                      </w:r>
                      <w:r>
                        <w:rPr>
                          <w:rFonts w:hint="default" w:ascii="Times New Roman" w:hAnsi="Times New Roman" w:cs="Times New Roman"/>
                        </w:rPr>
                        <w:t>④</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5 \* GB3 \* MERGEFORMAT </w:instrText>
                      </w:r>
                      <w:r>
                        <w:rPr>
                          <w:rFonts w:hint="default" w:ascii="Times New Roman" w:hAnsi="Times New Roman" w:cs="Times New Roman"/>
                        </w:rPr>
                        <w:fldChar w:fldCharType="separate"/>
                      </w:r>
                      <w:r>
                        <w:rPr>
                          <w:rFonts w:hint="default" w:ascii="Times New Roman" w:hAnsi="Times New Roman" w:cs="Times New Roman"/>
                        </w:rPr>
                        <w:t>⑤</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7 \* GB3 \* MERGEFORMAT </w:instrText>
                      </w:r>
                      <w:r>
                        <w:rPr>
                          <w:rFonts w:hint="default" w:ascii="Times New Roman" w:hAnsi="Times New Roman" w:cs="Times New Roman"/>
                        </w:rPr>
                        <w:fldChar w:fldCharType="separate"/>
                      </w:r>
                      <w:r>
                        <w:rPr>
                          <w:rFonts w:hint="default" w:ascii="Times New Roman" w:hAnsi="Times New Roman" w:cs="Times New Roman"/>
                        </w:rPr>
                        <w:t>⑦</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p>
                    <w:p w14:paraId="33AB926A"/>
                  </w:txbxContent>
                </v:textbox>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1033780</wp:posOffset>
                </wp:positionH>
                <wp:positionV relativeFrom="paragraph">
                  <wp:posOffset>4168775</wp:posOffset>
                </wp:positionV>
                <wp:extent cx="2705100" cy="266700"/>
                <wp:effectExtent l="0" t="0" r="0" b="0"/>
                <wp:wrapNone/>
                <wp:docPr id="13" name="文本框 13"/>
                <wp:cNvGraphicFramePr/>
                <a:graphic xmlns:a="http://schemas.openxmlformats.org/drawingml/2006/main">
                  <a:graphicData uri="http://schemas.microsoft.com/office/word/2010/wordprocessingShape">
                    <wps:wsp>
                      <wps:cNvSpPr txBox="1"/>
                      <wps:spPr>
                        <a:xfrm>
                          <a:off x="1078865" y="6820535"/>
                          <a:ext cx="2705100" cy="266700"/>
                        </a:xfrm>
                        <a:prstGeom prst="rect">
                          <a:avLst/>
                        </a:prstGeom>
                        <a:noFill/>
                        <a:ln w="6350">
                          <a:noFill/>
                        </a:ln>
                        <a:effectLst/>
                      </wps:spPr>
                      <wps:txbx>
                        <w:txbxContent>
                          <w:p w14:paraId="05C6EDFA">
                            <w:pPr>
                              <w:bidi w:val="0"/>
                              <w:rPr>
                                <w:rFonts w:hint="default" w:ascii="Times New Roman" w:hAnsi="Times New Roman" w:cs="Times New Roman"/>
                              </w:rPr>
                            </w:pPr>
                            <w:r>
                              <w:rPr>
                                <w:rFonts w:hint="default" w:ascii="Times New Roman" w:hAnsi="Times New Roman" w:cs="Times New Roman"/>
                              </w:rPr>
                              <w:t>注：</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3 \* GB3 \* MERGEFORMAT </w:instrText>
                            </w:r>
                            <w:r>
                              <w:rPr>
                                <w:rFonts w:hint="default" w:ascii="Times New Roman" w:hAnsi="Times New Roman" w:cs="Times New Roman"/>
                              </w:rPr>
                              <w:fldChar w:fldCharType="separate"/>
                            </w:r>
                            <w:r>
                              <w:rPr>
                                <w:rFonts w:hint="default" w:ascii="Times New Roman" w:hAnsi="Times New Roman" w:cs="Times New Roman"/>
                              </w:rPr>
                              <w:t>③</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4 \* GB3 \* MERGEFORMAT </w:instrText>
                            </w:r>
                            <w:r>
                              <w:rPr>
                                <w:rFonts w:hint="default" w:ascii="Times New Roman" w:hAnsi="Times New Roman" w:cs="Times New Roman"/>
                              </w:rPr>
                              <w:fldChar w:fldCharType="separate"/>
                            </w:r>
                            <w:r>
                              <w:rPr>
                                <w:rFonts w:hint="default" w:ascii="Times New Roman" w:hAnsi="Times New Roman" w:cs="Times New Roman"/>
                              </w:rPr>
                              <w:t>④</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5 \* GB3 \* MERGEFORMAT </w:instrText>
                            </w:r>
                            <w:r>
                              <w:rPr>
                                <w:rFonts w:hint="default" w:ascii="Times New Roman" w:hAnsi="Times New Roman" w:cs="Times New Roman"/>
                              </w:rPr>
                              <w:fldChar w:fldCharType="separate"/>
                            </w:r>
                            <w:r>
                              <w:rPr>
                                <w:rFonts w:hint="default" w:ascii="Times New Roman" w:hAnsi="Times New Roman" w:cs="Times New Roman"/>
                              </w:rPr>
                              <w:t>⑤</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7 \* GB3 \* MERGEFORMAT </w:instrText>
                            </w:r>
                            <w:r>
                              <w:rPr>
                                <w:rFonts w:hint="default" w:ascii="Times New Roman" w:hAnsi="Times New Roman" w:cs="Times New Roman"/>
                              </w:rPr>
                              <w:fldChar w:fldCharType="separate"/>
                            </w:r>
                            <w:r>
                              <w:rPr>
                                <w:rFonts w:hint="default" w:ascii="Times New Roman" w:hAnsi="Times New Roman" w:cs="Times New Roman"/>
                              </w:rPr>
                              <w:t>⑦</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p>
                          <w:p w14:paraId="79D2A74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4pt;margin-top:328.25pt;height:21pt;width:213pt;z-index:251665408;mso-width-relative:page;mso-height-relative:page;" filled="f" stroked="f" coordsize="21600,21600" o:gfxdata="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wfFe9oAAAALAQAADwAA&#10;AAAAAAABACAAAAAiAAAAZHJzL2Rvd25yZXYueG1sUEsBAhQAFAAAAAgAh07iQPoYJUtNAgAAggQA&#10;AA4AAAAAAAAAAQAgAAAAKQEAAGRycy9lMm9Eb2MueG1sUEsFBgAAAAAGAAYAWQEAAOgFAAAAAA==&#10;">
                <v:fill on="f" focussize="0,0"/>
                <v:stroke on="f" weight="0.5pt"/>
                <v:imagedata o:title=""/>
                <o:lock v:ext="edit" aspectratio="f"/>
                <v:textbox>
                  <w:txbxContent>
                    <w:p w14:paraId="05C6EDFA">
                      <w:pPr>
                        <w:bidi w:val="0"/>
                        <w:rPr>
                          <w:rFonts w:hint="default" w:ascii="Times New Roman" w:hAnsi="Times New Roman" w:cs="Times New Roman"/>
                        </w:rPr>
                      </w:pPr>
                      <w:r>
                        <w:rPr>
                          <w:rFonts w:hint="default" w:ascii="Times New Roman" w:hAnsi="Times New Roman" w:cs="Times New Roman"/>
                        </w:rPr>
                        <w:t>注：</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3 \* GB3 \* MERGEFORMAT </w:instrText>
                      </w:r>
                      <w:r>
                        <w:rPr>
                          <w:rFonts w:hint="default" w:ascii="Times New Roman" w:hAnsi="Times New Roman" w:cs="Times New Roman"/>
                        </w:rPr>
                        <w:fldChar w:fldCharType="separate"/>
                      </w:r>
                      <w:r>
                        <w:rPr>
                          <w:rFonts w:hint="default" w:ascii="Times New Roman" w:hAnsi="Times New Roman" w:cs="Times New Roman"/>
                        </w:rPr>
                        <w:t>③</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4 \* GB3 \* MERGEFORMAT </w:instrText>
                      </w:r>
                      <w:r>
                        <w:rPr>
                          <w:rFonts w:hint="default" w:ascii="Times New Roman" w:hAnsi="Times New Roman" w:cs="Times New Roman"/>
                        </w:rPr>
                        <w:fldChar w:fldCharType="separate"/>
                      </w:r>
                      <w:r>
                        <w:rPr>
                          <w:rFonts w:hint="default" w:ascii="Times New Roman" w:hAnsi="Times New Roman" w:cs="Times New Roman"/>
                        </w:rPr>
                        <w:t>④</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5 \* GB3 \* MERGEFORMAT </w:instrText>
                      </w:r>
                      <w:r>
                        <w:rPr>
                          <w:rFonts w:hint="default" w:ascii="Times New Roman" w:hAnsi="Times New Roman" w:cs="Times New Roman"/>
                        </w:rPr>
                        <w:fldChar w:fldCharType="separate"/>
                      </w:r>
                      <w:r>
                        <w:rPr>
                          <w:rFonts w:hint="default" w:ascii="Times New Roman" w:hAnsi="Times New Roman" w:cs="Times New Roman"/>
                        </w:rPr>
                        <w:t>⑤</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7 \* GB3 \* MERGEFORMAT </w:instrText>
                      </w:r>
                      <w:r>
                        <w:rPr>
                          <w:rFonts w:hint="default" w:ascii="Times New Roman" w:hAnsi="Times New Roman" w:cs="Times New Roman"/>
                        </w:rPr>
                        <w:fldChar w:fldCharType="separate"/>
                      </w:r>
                      <w:r>
                        <w:rPr>
                          <w:rFonts w:hint="default" w:ascii="Times New Roman" w:hAnsi="Times New Roman" w:cs="Times New Roman"/>
                        </w:rPr>
                        <w:t>⑦</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p>
                    <w:p w14:paraId="79D2A747"/>
                  </w:txbxContent>
                </v:textbox>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881380</wp:posOffset>
                </wp:positionH>
                <wp:positionV relativeFrom="paragraph">
                  <wp:posOffset>4016375</wp:posOffset>
                </wp:positionV>
                <wp:extent cx="2705100" cy="266700"/>
                <wp:effectExtent l="0" t="0" r="0" b="0"/>
                <wp:wrapNone/>
                <wp:docPr id="10" name="文本框 10"/>
                <wp:cNvGraphicFramePr/>
                <a:graphic xmlns:a="http://schemas.openxmlformats.org/drawingml/2006/main">
                  <a:graphicData uri="http://schemas.microsoft.com/office/word/2010/wordprocessingShape">
                    <wps:wsp>
                      <wps:cNvSpPr txBox="1"/>
                      <wps:spPr>
                        <a:xfrm>
                          <a:off x="1078865" y="6820535"/>
                          <a:ext cx="2705100" cy="266700"/>
                        </a:xfrm>
                        <a:prstGeom prst="rect">
                          <a:avLst/>
                        </a:prstGeom>
                        <a:noFill/>
                        <a:ln w="6350">
                          <a:noFill/>
                        </a:ln>
                        <a:effectLst/>
                      </wps:spPr>
                      <wps:txbx>
                        <w:txbxContent>
                          <w:p w14:paraId="6485E8B6">
                            <w:pPr>
                              <w:bidi w:val="0"/>
                              <w:rPr>
                                <w:rFonts w:hint="default" w:ascii="Times New Roman" w:hAnsi="Times New Roman" w:cs="Times New Roman"/>
                              </w:rPr>
                            </w:pPr>
                            <w:r>
                              <w:rPr>
                                <w:rFonts w:hint="default" w:ascii="Times New Roman" w:hAnsi="Times New Roman" w:cs="Times New Roman"/>
                              </w:rPr>
                              <w:t>注：</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3 \* GB3 \* MERGEFORMAT </w:instrText>
                            </w:r>
                            <w:r>
                              <w:rPr>
                                <w:rFonts w:hint="default" w:ascii="Times New Roman" w:hAnsi="Times New Roman" w:cs="Times New Roman"/>
                              </w:rPr>
                              <w:fldChar w:fldCharType="separate"/>
                            </w:r>
                            <w:r>
                              <w:rPr>
                                <w:rFonts w:hint="default" w:ascii="Times New Roman" w:hAnsi="Times New Roman" w:cs="Times New Roman"/>
                              </w:rPr>
                              <w:t>③</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4 \* GB3 \* MERGEFORMAT </w:instrText>
                            </w:r>
                            <w:r>
                              <w:rPr>
                                <w:rFonts w:hint="default" w:ascii="Times New Roman" w:hAnsi="Times New Roman" w:cs="Times New Roman"/>
                              </w:rPr>
                              <w:fldChar w:fldCharType="separate"/>
                            </w:r>
                            <w:r>
                              <w:rPr>
                                <w:rFonts w:hint="default" w:ascii="Times New Roman" w:hAnsi="Times New Roman" w:cs="Times New Roman"/>
                              </w:rPr>
                              <w:t>④</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5 \* GB3 \* MERGEFORMAT </w:instrText>
                            </w:r>
                            <w:r>
                              <w:rPr>
                                <w:rFonts w:hint="default" w:ascii="Times New Roman" w:hAnsi="Times New Roman" w:cs="Times New Roman"/>
                              </w:rPr>
                              <w:fldChar w:fldCharType="separate"/>
                            </w:r>
                            <w:r>
                              <w:rPr>
                                <w:rFonts w:hint="default" w:ascii="Times New Roman" w:hAnsi="Times New Roman" w:cs="Times New Roman"/>
                              </w:rPr>
                              <w:t>⑤</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7 \* GB3 \* MERGEFORMAT </w:instrText>
                            </w:r>
                            <w:r>
                              <w:rPr>
                                <w:rFonts w:hint="default" w:ascii="Times New Roman" w:hAnsi="Times New Roman" w:cs="Times New Roman"/>
                              </w:rPr>
                              <w:fldChar w:fldCharType="separate"/>
                            </w:r>
                            <w:r>
                              <w:rPr>
                                <w:rFonts w:hint="default" w:ascii="Times New Roman" w:hAnsi="Times New Roman" w:cs="Times New Roman"/>
                              </w:rPr>
                              <w:t>⑦</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p>
                          <w:p w14:paraId="128358B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4pt;margin-top:316.25pt;height:21pt;width:213pt;z-index:251664384;mso-width-relative:page;mso-height-relative:page;" filled="f" stroked="f" coordsize="21600,21600" o:gfxdata="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hnj8NsAAAALAQAADwAA&#10;AAAAAAABACAAAAAiAAAAZHJzL2Rvd25yZXYueG1sUEsBAhQAFAAAAAgAh07iQPUjp6xMAgAAggQA&#10;AA4AAAAAAAAAAQAgAAAAKgEAAGRycy9lMm9Eb2MueG1sUEsFBgAAAAAGAAYAWQEAAOgFAAAAAA==&#10;">
                <v:fill on="f" focussize="0,0"/>
                <v:stroke on="f" weight="0.5pt"/>
                <v:imagedata o:title=""/>
                <o:lock v:ext="edit" aspectratio="f"/>
                <v:textbox>
                  <w:txbxContent>
                    <w:p w14:paraId="6485E8B6">
                      <w:pPr>
                        <w:bidi w:val="0"/>
                        <w:rPr>
                          <w:rFonts w:hint="default" w:ascii="Times New Roman" w:hAnsi="Times New Roman" w:cs="Times New Roman"/>
                        </w:rPr>
                      </w:pPr>
                      <w:r>
                        <w:rPr>
                          <w:rFonts w:hint="default" w:ascii="Times New Roman" w:hAnsi="Times New Roman" w:cs="Times New Roman"/>
                        </w:rPr>
                        <w:t>注：</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3 \* GB3 \* MERGEFORMAT </w:instrText>
                      </w:r>
                      <w:r>
                        <w:rPr>
                          <w:rFonts w:hint="default" w:ascii="Times New Roman" w:hAnsi="Times New Roman" w:cs="Times New Roman"/>
                        </w:rPr>
                        <w:fldChar w:fldCharType="separate"/>
                      </w:r>
                      <w:r>
                        <w:rPr>
                          <w:rFonts w:hint="default" w:ascii="Times New Roman" w:hAnsi="Times New Roman" w:cs="Times New Roman"/>
                        </w:rPr>
                        <w:t>③</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4 \* GB3 \* MERGEFORMAT </w:instrText>
                      </w:r>
                      <w:r>
                        <w:rPr>
                          <w:rFonts w:hint="default" w:ascii="Times New Roman" w:hAnsi="Times New Roman" w:cs="Times New Roman"/>
                        </w:rPr>
                        <w:fldChar w:fldCharType="separate"/>
                      </w:r>
                      <w:r>
                        <w:rPr>
                          <w:rFonts w:hint="default" w:ascii="Times New Roman" w:hAnsi="Times New Roman" w:cs="Times New Roman"/>
                        </w:rPr>
                        <w:t>④</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5 \* GB3 \* MERGEFORMAT </w:instrText>
                      </w:r>
                      <w:r>
                        <w:rPr>
                          <w:rFonts w:hint="default" w:ascii="Times New Roman" w:hAnsi="Times New Roman" w:cs="Times New Roman"/>
                        </w:rPr>
                        <w:fldChar w:fldCharType="separate"/>
                      </w:r>
                      <w:r>
                        <w:rPr>
                          <w:rFonts w:hint="default" w:ascii="Times New Roman" w:hAnsi="Times New Roman" w:cs="Times New Roman"/>
                        </w:rPr>
                        <w:t>⑤</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7 \* GB3 \* MERGEFORMAT </w:instrText>
                      </w:r>
                      <w:r>
                        <w:rPr>
                          <w:rFonts w:hint="default" w:ascii="Times New Roman" w:hAnsi="Times New Roman" w:cs="Times New Roman"/>
                        </w:rPr>
                        <w:fldChar w:fldCharType="separate"/>
                      </w:r>
                      <w:r>
                        <w:rPr>
                          <w:rFonts w:hint="default" w:ascii="Times New Roman" w:hAnsi="Times New Roman" w:cs="Times New Roman"/>
                        </w:rPr>
                        <w:t>⑦</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6 \* GB3 \* MERGEFORMAT </w:instrText>
                      </w:r>
                      <w:r>
                        <w:rPr>
                          <w:rFonts w:hint="default" w:ascii="Times New Roman" w:hAnsi="Times New Roman" w:cs="Times New Roman"/>
                        </w:rPr>
                        <w:fldChar w:fldCharType="separate"/>
                      </w:r>
                      <w:r>
                        <w:rPr>
                          <w:rFonts w:hint="default" w:ascii="Times New Roman" w:hAnsi="Times New Roman" w:cs="Times New Roman"/>
                        </w:rPr>
                        <w:t>⑥</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 1 \* GB3 \* MERGEFORMAT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p>
                    <w:p w14:paraId="128358B6"/>
                  </w:txbxContent>
                </v:textbox>
              </v:shape>
            </w:pict>
          </mc:Fallback>
        </mc:AlternateContent>
      </w:r>
    </w:p>
    <w:p w14:paraId="11F8AD3A">
      <w:pPr>
        <w:pStyle w:val="12"/>
        <w:rPr>
          <w:rFonts w:hint="default"/>
        </w:rPr>
      </w:pPr>
    </w:p>
    <w:p w14:paraId="0B4DF04B">
      <w:pPr>
        <w:bidi w:val="0"/>
        <w:rPr>
          <w:rFonts w:hint="default" w:ascii="Times New Roman" w:hAnsi="Times New Roman" w:eastAsia="宋体" w:cs="Times New Roman"/>
          <w:color w:val="000000" w:themeColor="text1"/>
          <w:spacing w:val="0"/>
          <w:position w:val="0"/>
          <w:u w:val="none" w:color="auto"/>
          <w14:textFill>
            <w14:solidFill>
              <w14:schemeClr w14:val="tx1"/>
            </w14:solidFill>
          </w14:textFill>
        </w:rPr>
      </w:pPr>
    </w:p>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auto"/>
    <w:pitch w:val="default"/>
    <w:sig w:usb0="FFFFFFFF" w:usb1="E9FFFFFF" w:usb2="0000003F" w:usb3="00000000" w:csb0="603F01FF" w:csb1="FFFF0000"/>
  </w:font>
  <w:font w:name="MingLiU">
    <w:panose1 w:val="02020509000000000000"/>
    <w:charset w:val="88"/>
    <w:family w:val="modern"/>
    <w:pitch w:val="default"/>
    <w:sig w:usb0="A00002FF" w:usb1="28CFFCFA" w:usb2="00000016" w:usb3="00000000" w:csb0="00100001" w:csb1="00000000"/>
  </w:font>
  <w:font w:name="方正小标宋_GBK">
    <w:altName w:val="宋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92AAE">
    <w:pPr>
      <w:pStyle w:val="2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AD42F">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2ABAD42F">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BD9D7">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3071E">
    <w:pPr>
      <w:pStyle w:val="2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0924C">
    <w:pPr>
      <w:pStyle w:val="2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57AE085">
                          <w:pPr>
                            <w:pStyle w:val="26"/>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BkgO9jQAQAAogMAAA4AAAAAAAAAAQAgAAAAHwEAAGRy&#10;cy9lMm9Eb2MueG1sUEsFBgAAAAAGAAYAWQEAAGEFAAAAAA==&#10;">
              <v:fill on="f" focussize="0,0"/>
              <v:stroke on="f" weight="0.5pt"/>
              <v:imagedata o:title=""/>
              <o:lock v:ext="edit" aspectratio="f"/>
              <v:textbox inset="0mm,0mm,0mm,0mm" style="mso-fit-shape-to-text:t;">
                <w:txbxContent>
                  <w:p w14:paraId="157AE085">
                    <w:pPr>
                      <w:pStyle w:val="26"/>
                    </w:pPr>
                    <w:r>
                      <w:fldChar w:fldCharType="begin"/>
                    </w:r>
                    <w:r>
                      <w:instrText xml:space="preserve"> PAGE  \* MERGEFORMAT </w:instrText>
                    </w:r>
                    <w:r>
                      <w:fldChar w:fldCharType="separate"/>
                    </w:r>
                    <w:r>
                      <w:t>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8A19A"/>
    <w:multiLevelType w:val="singleLevel"/>
    <w:tmpl w:val="81B8A19A"/>
    <w:lvl w:ilvl="0" w:tentative="0">
      <w:start w:val="1"/>
      <w:numFmt w:val="decimal"/>
      <w:suff w:val="nothing"/>
      <w:lvlText w:val="%1、"/>
      <w:lvlJc w:val="left"/>
    </w:lvl>
  </w:abstractNum>
  <w:abstractNum w:abstractNumId="1">
    <w:nsid w:val="8B37C2BC"/>
    <w:multiLevelType w:val="singleLevel"/>
    <w:tmpl w:val="8B37C2BC"/>
    <w:lvl w:ilvl="0" w:tentative="0">
      <w:start w:val="2"/>
      <w:numFmt w:val="decimal"/>
      <w:suff w:val="nothing"/>
      <w:lvlText w:val="（%1）"/>
      <w:lvlJc w:val="left"/>
    </w:lvl>
  </w:abstractNum>
  <w:abstractNum w:abstractNumId="2">
    <w:nsid w:val="9F29E7AF"/>
    <w:multiLevelType w:val="singleLevel"/>
    <w:tmpl w:val="9F29E7AF"/>
    <w:lvl w:ilvl="0" w:tentative="0">
      <w:start w:val="1"/>
      <w:numFmt w:val="decimal"/>
      <w:suff w:val="nothing"/>
      <w:lvlText w:val="（%1）"/>
      <w:lvlJc w:val="left"/>
    </w:lvl>
  </w:abstractNum>
  <w:abstractNum w:abstractNumId="3">
    <w:nsid w:val="ACE2F868"/>
    <w:multiLevelType w:val="singleLevel"/>
    <w:tmpl w:val="ACE2F868"/>
    <w:lvl w:ilvl="0" w:tentative="0">
      <w:start w:val="1"/>
      <w:numFmt w:val="decimal"/>
      <w:suff w:val="nothing"/>
      <w:lvlText w:val="%1、"/>
      <w:lvlJc w:val="left"/>
    </w:lvl>
  </w:abstractNum>
  <w:abstractNum w:abstractNumId="4">
    <w:nsid w:val="B7E61EF7"/>
    <w:multiLevelType w:val="singleLevel"/>
    <w:tmpl w:val="B7E61EF7"/>
    <w:lvl w:ilvl="0" w:tentative="0">
      <w:start w:val="1"/>
      <w:numFmt w:val="decimal"/>
      <w:suff w:val="nothing"/>
      <w:lvlText w:val="%1、"/>
      <w:lvlJc w:val="left"/>
    </w:lvl>
  </w:abstractNum>
  <w:abstractNum w:abstractNumId="5">
    <w:nsid w:val="CA62BFCC"/>
    <w:multiLevelType w:val="singleLevel"/>
    <w:tmpl w:val="CA62BFCC"/>
    <w:lvl w:ilvl="0" w:tentative="0">
      <w:start w:val="1"/>
      <w:numFmt w:val="decimal"/>
      <w:suff w:val="nothing"/>
      <w:lvlText w:val="%1、"/>
      <w:lvlJc w:val="left"/>
    </w:lvl>
  </w:abstractNum>
  <w:abstractNum w:abstractNumId="6">
    <w:nsid w:val="DFB86C0B"/>
    <w:multiLevelType w:val="singleLevel"/>
    <w:tmpl w:val="DFB86C0B"/>
    <w:lvl w:ilvl="0" w:tentative="0">
      <w:start w:val="2"/>
      <w:numFmt w:val="decimal"/>
      <w:suff w:val="nothing"/>
      <w:lvlText w:val="%1）"/>
      <w:lvlJc w:val="left"/>
    </w:lvl>
  </w:abstractNum>
  <w:abstractNum w:abstractNumId="7">
    <w:nsid w:val="27855094"/>
    <w:multiLevelType w:val="singleLevel"/>
    <w:tmpl w:val="27855094"/>
    <w:lvl w:ilvl="0" w:tentative="0">
      <w:start w:val="1"/>
      <w:numFmt w:val="decimal"/>
      <w:suff w:val="nothing"/>
      <w:lvlText w:val="%1、"/>
      <w:lvlJc w:val="left"/>
    </w:lvl>
  </w:abstractNum>
  <w:abstractNum w:abstractNumId="8">
    <w:nsid w:val="3D91A262"/>
    <w:multiLevelType w:val="multilevel"/>
    <w:tmpl w:val="3D91A262"/>
    <w:lvl w:ilvl="0" w:tentative="0">
      <w:start w:val="1"/>
      <w:numFmt w:val="decimal"/>
      <w:lvlText w:val="%1."/>
      <w:lvlJc w:val="left"/>
      <w:pPr>
        <w:ind w:left="425" w:hanging="425"/>
      </w:pPr>
      <w:rPr>
        <w:rFonts w:hint="default" w:ascii="Times New Roman" w:hAnsi="Times New Roman" w:eastAsia="宋体" w:cs="Times New Roman"/>
      </w:rPr>
    </w:lvl>
    <w:lvl w:ilvl="1" w:tentative="0">
      <w:start w:val="1"/>
      <w:numFmt w:val="decimal"/>
      <w:lvlRestart w:val="0"/>
      <w:pStyle w:val="8"/>
      <w:lvlText w:val="%1.%2."/>
      <w:lvlJc w:val="left"/>
      <w:pPr>
        <w:ind w:left="567" w:hanging="567"/>
      </w:pPr>
      <w:rPr>
        <w:rFonts w:hint="default" w:ascii="Times New Roman" w:hAnsi="Times New Roman" w:eastAsia="宋体" w:cs="Times New Roman"/>
        <w:sz w:val="24"/>
        <w:szCs w:val="24"/>
      </w:rPr>
    </w:lvl>
    <w:lvl w:ilvl="2" w:tentative="0">
      <w:start w:val="1"/>
      <w:numFmt w:val="decimal"/>
      <w:pStyle w:val="9"/>
      <w:lvlText w:val="%1.%2.%3."/>
      <w:lvlJc w:val="left"/>
      <w:pPr>
        <w:ind w:left="709" w:hanging="709"/>
      </w:pPr>
      <w:rPr>
        <w:rFonts w:hint="default" w:ascii="Times New Roman" w:hAnsi="Times New Roman" w:eastAsia="宋体" w:cs="Times New Roman"/>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6BE08F74"/>
    <w:multiLevelType w:val="singleLevel"/>
    <w:tmpl w:val="6BE08F74"/>
    <w:lvl w:ilvl="0" w:tentative="0">
      <w:start w:val="1"/>
      <w:numFmt w:val="bullet"/>
      <w:pStyle w:val="25"/>
      <w:lvlText w:val=""/>
      <w:lvlJc w:val="left"/>
      <w:pPr>
        <w:tabs>
          <w:tab w:val="left" w:pos="780"/>
        </w:tabs>
        <w:ind w:left="780" w:hanging="360"/>
      </w:pPr>
      <w:rPr>
        <w:rFonts w:hint="default" w:ascii="Wingdings" w:hAnsi="Wingdings"/>
      </w:rPr>
    </w:lvl>
  </w:abstractNum>
  <w:num w:numId="1">
    <w:abstractNumId w:val="8"/>
  </w:num>
  <w:num w:numId="2">
    <w:abstractNumId w:val="9"/>
  </w:num>
  <w:num w:numId="3">
    <w:abstractNumId w:val="7"/>
  </w:num>
  <w:num w:numId="4">
    <w:abstractNumId w:val="5"/>
  </w:num>
  <w:num w:numId="5">
    <w:abstractNumId w:val="4"/>
  </w:num>
  <w:num w:numId="6">
    <w:abstractNumId w:val="0"/>
  </w:num>
  <w:num w:numId="7">
    <w:abstractNumId w:val="2"/>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4ZTE5NjJiZThjZTkyNzg0Y2YyN2JhNWViMTRkN2IifQ=="/>
    <w:docVar w:name="KSO_WPS_MARK_KEY" w:val="4e927f7d-ea3b-46ef-86fd-97b60aace266"/>
  </w:docVars>
  <w:rsids>
    <w:rsidRoot w:val="00172A27"/>
    <w:rsid w:val="00081FCD"/>
    <w:rsid w:val="00103897"/>
    <w:rsid w:val="00132FE5"/>
    <w:rsid w:val="002410F1"/>
    <w:rsid w:val="002B06D1"/>
    <w:rsid w:val="002D269B"/>
    <w:rsid w:val="00305CE7"/>
    <w:rsid w:val="00377076"/>
    <w:rsid w:val="00496DA9"/>
    <w:rsid w:val="004C0647"/>
    <w:rsid w:val="004D6899"/>
    <w:rsid w:val="0055574E"/>
    <w:rsid w:val="005C4D2E"/>
    <w:rsid w:val="005E0AA6"/>
    <w:rsid w:val="006F69A6"/>
    <w:rsid w:val="007C717F"/>
    <w:rsid w:val="007D27F3"/>
    <w:rsid w:val="007F27CB"/>
    <w:rsid w:val="008E2A0E"/>
    <w:rsid w:val="009049D8"/>
    <w:rsid w:val="00A566D5"/>
    <w:rsid w:val="00B32474"/>
    <w:rsid w:val="00CA613C"/>
    <w:rsid w:val="00CD1788"/>
    <w:rsid w:val="00DA3EA5"/>
    <w:rsid w:val="00DB20F7"/>
    <w:rsid w:val="00E6284A"/>
    <w:rsid w:val="00F34525"/>
    <w:rsid w:val="01042CD0"/>
    <w:rsid w:val="01050F22"/>
    <w:rsid w:val="010D7DD7"/>
    <w:rsid w:val="010F7FF3"/>
    <w:rsid w:val="0112363F"/>
    <w:rsid w:val="01170C55"/>
    <w:rsid w:val="012D5548"/>
    <w:rsid w:val="01323CE1"/>
    <w:rsid w:val="013B0DE8"/>
    <w:rsid w:val="0179546C"/>
    <w:rsid w:val="017C1F82"/>
    <w:rsid w:val="017D4F5C"/>
    <w:rsid w:val="018067FB"/>
    <w:rsid w:val="01875DDB"/>
    <w:rsid w:val="018D750F"/>
    <w:rsid w:val="019D115B"/>
    <w:rsid w:val="019E3125"/>
    <w:rsid w:val="01A73D87"/>
    <w:rsid w:val="01A93FA3"/>
    <w:rsid w:val="01B446F6"/>
    <w:rsid w:val="01CC5EE4"/>
    <w:rsid w:val="01DD0FD5"/>
    <w:rsid w:val="01E90844"/>
    <w:rsid w:val="020411DA"/>
    <w:rsid w:val="020531A4"/>
    <w:rsid w:val="020E02AA"/>
    <w:rsid w:val="021A6C4F"/>
    <w:rsid w:val="02353A89"/>
    <w:rsid w:val="024E06A7"/>
    <w:rsid w:val="02513701"/>
    <w:rsid w:val="02571C51"/>
    <w:rsid w:val="025A34EF"/>
    <w:rsid w:val="02630139"/>
    <w:rsid w:val="026B74AB"/>
    <w:rsid w:val="026C0DE4"/>
    <w:rsid w:val="026E2AF7"/>
    <w:rsid w:val="027125E7"/>
    <w:rsid w:val="02714395"/>
    <w:rsid w:val="02820350"/>
    <w:rsid w:val="028E13EB"/>
    <w:rsid w:val="029A7D90"/>
    <w:rsid w:val="029F7154"/>
    <w:rsid w:val="02A36C44"/>
    <w:rsid w:val="02A46519"/>
    <w:rsid w:val="02B61FAF"/>
    <w:rsid w:val="02ED1C6E"/>
    <w:rsid w:val="02EE59E6"/>
    <w:rsid w:val="03100052"/>
    <w:rsid w:val="03192A63"/>
    <w:rsid w:val="031F2043"/>
    <w:rsid w:val="03333525"/>
    <w:rsid w:val="03345AEF"/>
    <w:rsid w:val="034321D6"/>
    <w:rsid w:val="03443858"/>
    <w:rsid w:val="034C72DC"/>
    <w:rsid w:val="03761BA0"/>
    <w:rsid w:val="03766107"/>
    <w:rsid w:val="03970307"/>
    <w:rsid w:val="03993BA4"/>
    <w:rsid w:val="03AD764F"/>
    <w:rsid w:val="03AF1619"/>
    <w:rsid w:val="03C76963"/>
    <w:rsid w:val="03CC3F79"/>
    <w:rsid w:val="03D72276"/>
    <w:rsid w:val="03D91E8E"/>
    <w:rsid w:val="03F62DA4"/>
    <w:rsid w:val="03F82FC0"/>
    <w:rsid w:val="040000C7"/>
    <w:rsid w:val="04000E6F"/>
    <w:rsid w:val="04051239"/>
    <w:rsid w:val="040F0039"/>
    <w:rsid w:val="04133956"/>
    <w:rsid w:val="0414147C"/>
    <w:rsid w:val="042C0EBC"/>
    <w:rsid w:val="04410970"/>
    <w:rsid w:val="047C774D"/>
    <w:rsid w:val="0486237A"/>
    <w:rsid w:val="04983E5B"/>
    <w:rsid w:val="04991A9C"/>
    <w:rsid w:val="04B52C5F"/>
    <w:rsid w:val="04B844FD"/>
    <w:rsid w:val="04B909D2"/>
    <w:rsid w:val="04BC5D9C"/>
    <w:rsid w:val="04BD7D66"/>
    <w:rsid w:val="04E946B7"/>
    <w:rsid w:val="050414F1"/>
    <w:rsid w:val="051E0804"/>
    <w:rsid w:val="05243941"/>
    <w:rsid w:val="05322502"/>
    <w:rsid w:val="0534627A"/>
    <w:rsid w:val="053E0EA6"/>
    <w:rsid w:val="05404C1F"/>
    <w:rsid w:val="054162A1"/>
    <w:rsid w:val="05465FAD"/>
    <w:rsid w:val="05467D5B"/>
    <w:rsid w:val="054933A7"/>
    <w:rsid w:val="054B5371"/>
    <w:rsid w:val="05685F23"/>
    <w:rsid w:val="056A3A4A"/>
    <w:rsid w:val="056C5A14"/>
    <w:rsid w:val="058D14E6"/>
    <w:rsid w:val="05A96DF8"/>
    <w:rsid w:val="05AA02EA"/>
    <w:rsid w:val="05B60A3D"/>
    <w:rsid w:val="05BC1DCB"/>
    <w:rsid w:val="05CA098C"/>
    <w:rsid w:val="05D610DF"/>
    <w:rsid w:val="05D709B3"/>
    <w:rsid w:val="05D90BCF"/>
    <w:rsid w:val="05DB4947"/>
    <w:rsid w:val="05E03D0C"/>
    <w:rsid w:val="05EE467B"/>
    <w:rsid w:val="05EF3F4F"/>
    <w:rsid w:val="05FB0B46"/>
    <w:rsid w:val="060E1141"/>
    <w:rsid w:val="061E4834"/>
    <w:rsid w:val="06257970"/>
    <w:rsid w:val="06287461"/>
    <w:rsid w:val="06301201"/>
    <w:rsid w:val="064029FC"/>
    <w:rsid w:val="064C75F3"/>
    <w:rsid w:val="065546FA"/>
    <w:rsid w:val="0661309E"/>
    <w:rsid w:val="066761DB"/>
    <w:rsid w:val="067A4160"/>
    <w:rsid w:val="068A1125"/>
    <w:rsid w:val="068B011B"/>
    <w:rsid w:val="06B01930"/>
    <w:rsid w:val="06B238FA"/>
    <w:rsid w:val="06B34F7C"/>
    <w:rsid w:val="06BD404D"/>
    <w:rsid w:val="06C158EB"/>
    <w:rsid w:val="06D849E3"/>
    <w:rsid w:val="06D870D9"/>
    <w:rsid w:val="06E17D3B"/>
    <w:rsid w:val="06E31D05"/>
    <w:rsid w:val="06E65352"/>
    <w:rsid w:val="06F85085"/>
    <w:rsid w:val="07091040"/>
    <w:rsid w:val="07106873"/>
    <w:rsid w:val="07140111"/>
    <w:rsid w:val="07181283"/>
    <w:rsid w:val="0721772D"/>
    <w:rsid w:val="072B545A"/>
    <w:rsid w:val="073256DB"/>
    <w:rsid w:val="07397B77"/>
    <w:rsid w:val="07487DBA"/>
    <w:rsid w:val="075E138C"/>
    <w:rsid w:val="076B1CFB"/>
    <w:rsid w:val="077566D6"/>
    <w:rsid w:val="078A03D3"/>
    <w:rsid w:val="078D1C71"/>
    <w:rsid w:val="07A70F85"/>
    <w:rsid w:val="07BB058C"/>
    <w:rsid w:val="07CF228A"/>
    <w:rsid w:val="07E13D6B"/>
    <w:rsid w:val="07EA2C20"/>
    <w:rsid w:val="07F27D26"/>
    <w:rsid w:val="07F470A0"/>
    <w:rsid w:val="07F95559"/>
    <w:rsid w:val="07F97307"/>
    <w:rsid w:val="07FE2B6F"/>
    <w:rsid w:val="080261BB"/>
    <w:rsid w:val="080F2686"/>
    <w:rsid w:val="081303C8"/>
    <w:rsid w:val="08167EB9"/>
    <w:rsid w:val="082A3964"/>
    <w:rsid w:val="08365E65"/>
    <w:rsid w:val="083E6FCA"/>
    <w:rsid w:val="08713341"/>
    <w:rsid w:val="08971538"/>
    <w:rsid w:val="08A13C26"/>
    <w:rsid w:val="08A81BD0"/>
    <w:rsid w:val="08C07E24"/>
    <w:rsid w:val="08C711B3"/>
    <w:rsid w:val="08DA2C94"/>
    <w:rsid w:val="08DA7138"/>
    <w:rsid w:val="08E73603"/>
    <w:rsid w:val="091004C6"/>
    <w:rsid w:val="09181A0E"/>
    <w:rsid w:val="092108C3"/>
    <w:rsid w:val="09254857"/>
    <w:rsid w:val="094445B2"/>
    <w:rsid w:val="094620D8"/>
    <w:rsid w:val="095C5D9F"/>
    <w:rsid w:val="096E7880"/>
    <w:rsid w:val="098A4E60"/>
    <w:rsid w:val="09B63701"/>
    <w:rsid w:val="09CD27F9"/>
    <w:rsid w:val="09D973F0"/>
    <w:rsid w:val="09E813E1"/>
    <w:rsid w:val="0A017D11"/>
    <w:rsid w:val="0A03446D"/>
    <w:rsid w:val="0A0A1357"/>
    <w:rsid w:val="0A14667A"/>
    <w:rsid w:val="0A187F18"/>
    <w:rsid w:val="0A2D5046"/>
    <w:rsid w:val="0A2F5774"/>
    <w:rsid w:val="0A3B59B5"/>
    <w:rsid w:val="0A622F41"/>
    <w:rsid w:val="0A6A44EC"/>
    <w:rsid w:val="0A6E612D"/>
    <w:rsid w:val="0A6F38B0"/>
    <w:rsid w:val="0A7D7D7B"/>
    <w:rsid w:val="0A8A06EA"/>
    <w:rsid w:val="0A99092D"/>
    <w:rsid w:val="0A9E5F43"/>
    <w:rsid w:val="0AA25A34"/>
    <w:rsid w:val="0ABF6EA4"/>
    <w:rsid w:val="0AC260D6"/>
    <w:rsid w:val="0ACE6829"/>
    <w:rsid w:val="0AD007F3"/>
    <w:rsid w:val="0AD96F7B"/>
    <w:rsid w:val="0ADD6A6C"/>
    <w:rsid w:val="0AE222D4"/>
    <w:rsid w:val="0AE47DFA"/>
    <w:rsid w:val="0AF0102C"/>
    <w:rsid w:val="0AFA5870"/>
    <w:rsid w:val="0AFA761E"/>
    <w:rsid w:val="0B022976"/>
    <w:rsid w:val="0B082ACE"/>
    <w:rsid w:val="0B1B5EC4"/>
    <w:rsid w:val="0B1D155E"/>
    <w:rsid w:val="0B2E5519"/>
    <w:rsid w:val="0B30303F"/>
    <w:rsid w:val="0B3F14D4"/>
    <w:rsid w:val="0B5F68B1"/>
    <w:rsid w:val="0B756CA4"/>
    <w:rsid w:val="0B7623FE"/>
    <w:rsid w:val="0B925AA8"/>
    <w:rsid w:val="0B9F1F73"/>
    <w:rsid w:val="0BA13F3D"/>
    <w:rsid w:val="0BCB0FBA"/>
    <w:rsid w:val="0BD31C1D"/>
    <w:rsid w:val="0BD95485"/>
    <w:rsid w:val="0BDE6F3F"/>
    <w:rsid w:val="0BF00A21"/>
    <w:rsid w:val="0BF73B5D"/>
    <w:rsid w:val="0BFE7ECD"/>
    <w:rsid w:val="0C0F0EA7"/>
    <w:rsid w:val="0C1741FF"/>
    <w:rsid w:val="0C1C1816"/>
    <w:rsid w:val="0C2F1549"/>
    <w:rsid w:val="0C324B95"/>
    <w:rsid w:val="0C381A43"/>
    <w:rsid w:val="0C460641"/>
    <w:rsid w:val="0C4D7C21"/>
    <w:rsid w:val="0C540FAF"/>
    <w:rsid w:val="0C5965C6"/>
    <w:rsid w:val="0C752EE2"/>
    <w:rsid w:val="0C7C4062"/>
    <w:rsid w:val="0C8353F1"/>
    <w:rsid w:val="0C945850"/>
    <w:rsid w:val="0CC31C91"/>
    <w:rsid w:val="0CCE2B10"/>
    <w:rsid w:val="0CDA7707"/>
    <w:rsid w:val="0CE045F1"/>
    <w:rsid w:val="0CE3096D"/>
    <w:rsid w:val="0CEB7EF6"/>
    <w:rsid w:val="0D103128"/>
    <w:rsid w:val="0D1150F2"/>
    <w:rsid w:val="0D15073F"/>
    <w:rsid w:val="0D173FD0"/>
    <w:rsid w:val="0D1A3FA7"/>
    <w:rsid w:val="0D2210AE"/>
    <w:rsid w:val="0D2941EA"/>
    <w:rsid w:val="0D531267"/>
    <w:rsid w:val="0D643474"/>
    <w:rsid w:val="0D646FD0"/>
    <w:rsid w:val="0D662150"/>
    <w:rsid w:val="0D896A37"/>
    <w:rsid w:val="0D8B0A01"/>
    <w:rsid w:val="0DA27AF9"/>
    <w:rsid w:val="0DA6583B"/>
    <w:rsid w:val="0DA675E9"/>
    <w:rsid w:val="0DA87805"/>
    <w:rsid w:val="0DCB34F3"/>
    <w:rsid w:val="0DD405FA"/>
    <w:rsid w:val="0DD423A8"/>
    <w:rsid w:val="0DDA7292"/>
    <w:rsid w:val="0DDE3227"/>
    <w:rsid w:val="0DEB76F2"/>
    <w:rsid w:val="0DFA7935"/>
    <w:rsid w:val="0DFC545B"/>
    <w:rsid w:val="0E0662D9"/>
    <w:rsid w:val="0E0A401C"/>
    <w:rsid w:val="0E0D1416"/>
    <w:rsid w:val="0E1529C0"/>
    <w:rsid w:val="0E1E7AC7"/>
    <w:rsid w:val="0E213113"/>
    <w:rsid w:val="0E2449B2"/>
    <w:rsid w:val="0E252C04"/>
    <w:rsid w:val="0E2C21E4"/>
    <w:rsid w:val="0E370B89"/>
    <w:rsid w:val="0E3C619F"/>
    <w:rsid w:val="0E3F0B70"/>
    <w:rsid w:val="0E464928"/>
    <w:rsid w:val="0E4D3F08"/>
    <w:rsid w:val="0E5232CD"/>
    <w:rsid w:val="0E574D87"/>
    <w:rsid w:val="0E63372C"/>
    <w:rsid w:val="0E792F4F"/>
    <w:rsid w:val="0E80608C"/>
    <w:rsid w:val="0E9438E5"/>
    <w:rsid w:val="0E976E7C"/>
    <w:rsid w:val="0E983B98"/>
    <w:rsid w:val="0EA71062"/>
    <w:rsid w:val="0EAA3109"/>
    <w:rsid w:val="0ED7369D"/>
    <w:rsid w:val="0EE228A3"/>
    <w:rsid w:val="0EE24651"/>
    <w:rsid w:val="0EF12AE6"/>
    <w:rsid w:val="0EFC47BF"/>
    <w:rsid w:val="0EFE5203"/>
    <w:rsid w:val="0F022F45"/>
    <w:rsid w:val="0F2904D1"/>
    <w:rsid w:val="0F2B249C"/>
    <w:rsid w:val="0F3155D8"/>
    <w:rsid w:val="0F384BB8"/>
    <w:rsid w:val="0F3B6457"/>
    <w:rsid w:val="0F476BAA"/>
    <w:rsid w:val="0F515C7A"/>
    <w:rsid w:val="0F522D71"/>
    <w:rsid w:val="0F587331"/>
    <w:rsid w:val="0F59068B"/>
    <w:rsid w:val="0F692FC4"/>
    <w:rsid w:val="0F7B6853"/>
    <w:rsid w:val="0F803E6A"/>
    <w:rsid w:val="0FA61B22"/>
    <w:rsid w:val="0FA91612"/>
    <w:rsid w:val="0FAE09D7"/>
    <w:rsid w:val="0FBC1346"/>
    <w:rsid w:val="0FCD3553"/>
    <w:rsid w:val="0FD06B9F"/>
    <w:rsid w:val="0FD52407"/>
    <w:rsid w:val="0FDB1613"/>
    <w:rsid w:val="0FDF2A92"/>
    <w:rsid w:val="0FE715CD"/>
    <w:rsid w:val="0FEB5787"/>
    <w:rsid w:val="100920B1"/>
    <w:rsid w:val="10096E60"/>
    <w:rsid w:val="101F18D4"/>
    <w:rsid w:val="10207B26"/>
    <w:rsid w:val="103709CC"/>
    <w:rsid w:val="10417A9D"/>
    <w:rsid w:val="104B4477"/>
    <w:rsid w:val="105772C0"/>
    <w:rsid w:val="10765998"/>
    <w:rsid w:val="107E2A9F"/>
    <w:rsid w:val="109309A2"/>
    <w:rsid w:val="109E6C9D"/>
    <w:rsid w:val="10A047C3"/>
    <w:rsid w:val="10A122E9"/>
    <w:rsid w:val="10A342B4"/>
    <w:rsid w:val="10A5002C"/>
    <w:rsid w:val="10D10E21"/>
    <w:rsid w:val="10D4446D"/>
    <w:rsid w:val="10F22B45"/>
    <w:rsid w:val="11001706"/>
    <w:rsid w:val="11343285"/>
    <w:rsid w:val="113D2012"/>
    <w:rsid w:val="114415F3"/>
    <w:rsid w:val="114F61E9"/>
    <w:rsid w:val="115D0906"/>
    <w:rsid w:val="115D4462"/>
    <w:rsid w:val="115E01DA"/>
    <w:rsid w:val="116457F1"/>
    <w:rsid w:val="117874EE"/>
    <w:rsid w:val="117A3266"/>
    <w:rsid w:val="117B0D8C"/>
    <w:rsid w:val="1181768F"/>
    <w:rsid w:val="118A60A0"/>
    <w:rsid w:val="11902A8A"/>
    <w:rsid w:val="119105B0"/>
    <w:rsid w:val="11944B11"/>
    <w:rsid w:val="11A227BD"/>
    <w:rsid w:val="11A71B81"/>
    <w:rsid w:val="11AB78C4"/>
    <w:rsid w:val="11B06C88"/>
    <w:rsid w:val="11BD3153"/>
    <w:rsid w:val="11C049F1"/>
    <w:rsid w:val="11CB5870"/>
    <w:rsid w:val="11DA5AB3"/>
    <w:rsid w:val="120174E4"/>
    <w:rsid w:val="1202325C"/>
    <w:rsid w:val="122136E2"/>
    <w:rsid w:val="122E5DFF"/>
    <w:rsid w:val="12311A59"/>
    <w:rsid w:val="12483364"/>
    <w:rsid w:val="125E4936"/>
    <w:rsid w:val="125F420A"/>
    <w:rsid w:val="126006AE"/>
    <w:rsid w:val="126D4B79"/>
    <w:rsid w:val="129245E0"/>
    <w:rsid w:val="129F0AAB"/>
    <w:rsid w:val="12A143E4"/>
    <w:rsid w:val="12C0739F"/>
    <w:rsid w:val="12E34E3B"/>
    <w:rsid w:val="12E60488"/>
    <w:rsid w:val="12F26E2C"/>
    <w:rsid w:val="12F47048"/>
    <w:rsid w:val="12F6691D"/>
    <w:rsid w:val="12F72695"/>
    <w:rsid w:val="12FB2185"/>
    <w:rsid w:val="130A061A"/>
    <w:rsid w:val="131274CE"/>
    <w:rsid w:val="131C20FB"/>
    <w:rsid w:val="1332191F"/>
    <w:rsid w:val="13446422"/>
    <w:rsid w:val="13685340"/>
    <w:rsid w:val="136E45B2"/>
    <w:rsid w:val="138E2FF9"/>
    <w:rsid w:val="13A26AA4"/>
    <w:rsid w:val="13A50343"/>
    <w:rsid w:val="13A740BB"/>
    <w:rsid w:val="13D053C0"/>
    <w:rsid w:val="13D06947"/>
    <w:rsid w:val="13EE3A98"/>
    <w:rsid w:val="140E7C96"/>
    <w:rsid w:val="141259D8"/>
    <w:rsid w:val="14126715"/>
    <w:rsid w:val="141E31EF"/>
    <w:rsid w:val="142B0848"/>
    <w:rsid w:val="14353475"/>
    <w:rsid w:val="14373691"/>
    <w:rsid w:val="14465682"/>
    <w:rsid w:val="144E09DA"/>
    <w:rsid w:val="14665D24"/>
    <w:rsid w:val="146A5814"/>
    <w:rsid w:val="149208C7"/>
    <w:rsid w:val="1494463F"/>
    <w:rsid w:val="1499190B"/>
    <w:rsid w:val="149A59CD"/>
    <w:rsid w:val="149D101A"/>
    <w:rsid w:val="14BA7E1E"/>
    <w:rsid w:val="14BC1DE8"/>
    <w:rsid w:val="14D42C8D"/>
    <w:rsid w:val="14E05AD6"/>
    <w:rsid w:val="14E135FC"/>
    <w:rsid w:val="14F72E20"/>
    <w:rsid w:val="14F74BCE"/>
    <w:rsid w:val="14F96B98"/>
    <w:rsid w:val="1500082F"/>
    <w:rsid w:val="15007F26"/>
    <w:rsid w:val="151A266A"/>
    <w:rsid w:val="151C2A51"/>
    <w:rsid w:val="15205ED3"/>
    <w:rsid w:val="15273705"/>
    <w:rsid w:val="152D6842"/>
    <w:rsid w:val="15542020"/>
    <w:rsid w:val="15565D98"/>
    <w:rsid w:val="15593193"/>
    <w:rsid w:val="156A35F2"/>
    <w:rsid w:val="157D3BB8"/>
    <w:rsid w:val="15910B7E"/>
    <w:rsid w:val="159A2EA7"/>
    <w:rsid w:val="15A24B3A"/>
    <w:rsid w:val="15AC3C0A"/>
    <w:rsid w:val="15B66683"/>
    <w:rsid w:val="15B66837"/>
    <w:rsid w:val="15CA5E3E"/>
    <w:rsid w:val="15CF047F"/>
    <w:rsid w:val="15D66ED9"/>
    <w:rsid w:val="15D942D4"/>
    <w:rsid w:val="15EF58A5"/>
    <w:rsid w:val="16104199"/>
    <w:rsid w:val="16135A37"/>
    <w:rsid w:val="161377E5"/>
    <w:rsid w:val="161672D6"/>
    <w:rsid w:val="16175528"/>
    <w:rsid w:val="161812A0"/>
    <w:rsid w:val="16247C45"/>
    <w:rsid w:val="1629525B"/>
    <w:rsid w:val="163360DA"/>
    <w:rsid w:val="1638549E"/>
    <w:rsid w:val="163D2AB4"/>
    <w:rsid w:val="16414353"/>
    <w:rsid w:val="1653052A"/>
    <w:rsid w:val="165E3157"/>
    <w:rsid w:val="166B5873"/>
    <w:rsid w:val="166B7621"/>
    <w:rsid w:val="166E2C6E"/>
    <w:rsid w:val="167C182F"/>
    <w:rsid w:val="1683496B"/>
    <w:rsid w:val="168D57EA"/>
    <w:rsid w:val="169528F0"/>
    <w:rsid w:val="16BA2357"/>
    <w:rsid w:val="16CA25E4"/>
    <w:rsid w:val="16DA0303"/>
    <w:rsid w:val="16E01266"/>
    <w:rsid w:val="16EB2510"/>
    <w:rsid w:val="16FE2244"/>
    <w:rsid w:val="171E6442"/>
    <w:rsid w:val="171F21BA"/>
    <w:rsid w:val="1752258F"/>
    <w:rsid w:val="176C3651"/>
    <w:rsid w:val="176E4207"/>
    <w:rsid w:val="17710C68"/>
    <w:rsid w:val="17771FF6"/>
    <w:rsid w:val="17822E75"/>
    <w:rsid w:val="178A3AD7"/>
    <w:rsid w:val="17B20E6E"/>
    <w:rsid w:val="17C0399D"/>
    <w:rsid w:val="17EC4792"/>
    <w:rsid w:val="18025D64"/>
    <w:rsid w:val="181066D2"/>
    <w:rsid w:val="18277578"/>
    <w:rsid w:val="183A54FD"/>
    <w:rsid w:val="183D3240"/>
    <w:rsid w:val="187C5B16"/>
    <w:rsid w:val="188744BB"/>
    <w:rsid w:val="1896572A"/>
    <w:rsid w:val="189C1D14"/>
    <w:rsid w:val="18A94431"/>
    <w:rsid w:val="18B0756E"/>
    <w:rsid w:val="18C179CD"/>
    <w:rsid w:val="18C4126B"/>
    <w:rsid w:val="18D07C10"/>
    <w:rsid w:val="18D771F0"/>
    <w:rsid w:val="18DF60A5"/>
    <w:rsid w:val="18EB2C9C"/>
    <w:rsid w:val="18F558C8"/>
    <w:rsid w:val="190900B0"/>
    <w:rsid w:val="190C2859"/>
    <w:rsid w:val="190D2C12"/>
    <w:rsid w:val="192561AE"/>
    <w:rsid w:val="192D5062"/>
    <w:rsid w:val="19371A3D"/>
    <w:rsid w:val="193F3921"/>
    <w:rsid w:val="1945415A"/>
    <w:rsid w:val="1954439D"/>
    <w:rsid w:val="195941C5"/>
    <w:rsid w:val="195C14A3"/>
    <w:rsid w:val="195E521C"/>
    <w:rsid w:val="19744A3F"/>
    <w:rsid w:val="198729C4"/>
    <w:rsid w:val="19C05ED6"/>
    <w:rsid w:val="19C21C4E"/>
    <w:rsid w:val="19C92FDD"/>
    <w:rsid w:val="19CE23A1"/>
    <w:rsid w:val="19E31364"/>
    <w:rsid w:val="19EE47F1"/>
    <w:rsid w:val="1A134258"/>
    <w:rsid w:val="1A155D65"/>
    <w:rsid w:val="1A1A3838"/>
    <w:rsid w:val="1A22449B"/>
    <w:rsid w:val="1A27385F"/>
    <w:rsid w:val="1A332204"/>
    <w:rsid w:val="1A490F86"/>
    <w:rsid w:val="1A4F2DB6"/>
    <w:rsid w:val="1A564145"/>
    <w:rsid w:val="1A8E1B30"/>
    <w:rsid w:val="1A91517D"/>
    <w:rsid w:val="1AAB623F"/>
    <w:rsid w:val="1AC437A4"/>
    <w:rsid w:val="1B2A7AAB"/>
    <w:rsid w:val="1B32070E"/>
    <w:rsid w:val="1B4072CF"/>
    <w:rsid w:val="1B4E306E"/>
    <w:rsid w:val="1B6A60FA"/>
    <w:rsid w:val="1B7E2ED7"/>
    <w:rsid w:val="1B8D29CC"/>
    <w:rsid w:val="1B9B4505"/>
    <w:rsid w:val="1BA23AE5"/>
    <w:rsid w:val="1BA710FC"/>
    <w:rsid w:val="1BD9502D"/>
    <w:rsid w:val="1BDD2D6F"/>
    <w:rsid w:val="1BE22134"/>
    <w:rsid w:val="1BF105C9"/>
    <w:rsid w:val="1BF14125"/>
    <w:rsid w:val="1BF754B3"/>
    <w:rsid w:val="1C142509"/>
    <w:rsid w:val="1C252021"/>
    <w:rsid w:val="1C281B11"/>
    <w:rsid w:val="1C2E5379"/>
    <w:rsid w:val="1C416BBB"/>
    <w:rsid w:val="1C450915"/>
    <w:rsid w:val="1C454471"/>
    <w:rsid w:val="1C640D9B"/>
    <w:rsid w:val="1C6C5D0E"/>
    <w:rsid w:val="1C8C6544"/>
    <w:rsid w:val="1CB11B06"/>
    <w:rsid w:val="1CB57848"/>
    <w:rsid w:val="1CBF5FD1"/>
    <w:rsid w:val="1CC61A56"/>
    <w:rsid w:val="1CD06430"/>
    <w:rsid w:val="1CDF6673"/>
    <w:rsid w:val="1CE617B0"/>
    <w:rsid w:val="1CE67A02"/>
    <w:rsid w:val="1CE7377A"/>
    <w:rsid w:val="1D0B1216"/>
    <w:rsid w:val="1D1207F7"/>
    <w:rsid w:val="1D1D0F4A"/>
    <w:rsid w:val="1D2642A2"/>
    <w:rsid w:val="1D3A7D4E"/>
    <w:rsid w:val="1D4D4082"/>
    <w:rsid w:val="1D552DD9"/>
    <w:rsid w:val="1D5A3F4C"/>
    <w:rsid w:val="1D646B79"/>
    <w:rsid w:val="1D8D4321"/>
    <w:rsid w:val="1D931911"/>
    <w:rsid w:val="1DA358F3"/>
    <w:rsid w:val="1DAF6046"/>
    <w:rsid w:val="1DB209F8"/>
    <w:rsid w:val="1DB775F0"/>
    <w:rsid w:val="1DBA2C3C"/>
    <w:rsid w:val="1DC51D0D"/>
    <w:rsid w:val="1DDC7057"/>
    <w:rsid w:val="1DEC54EC"/>
    <w:rsid w:val="1DED3012"/>
    <w:rsid w:val="1E256308"/>
    <w:rsid w:val="1E2A1B70"/>
    <w:rsid w:val="1E2D340E"/>
    <w:rsid w:val="1E3824DF"/>
    <w:rsid w:val="1E3B1FCF"/>
    <w:rsid w:val="1E4C1AE7"/>
    <w:rsid w:val="1E567F47"/>
    <w:rsid w:val="1E5730FC"/>
    <w:rsid w:val="1E71154D"/>
    <w:rsid w:val="1E8C5C2B"/>
    <w:rsid w:val="1E960FB4"/>
    <w:rsid w:val="1E967206"/>
    <w:rsid w:val="1E9D4066"/>
    <w:rsid w:val="1EA23DFC"/>
    <w:rsid w:val="1EAE09F3"/>
    <w:rsid w:val="1EB51D82"/>
    <w:rsid w:val="1EBD4792"/>
    <w:rsid w:val="1EC71AB5"/>
    <w:rsid w:val="1ECC2C27"/>
    <w:rsid w:val="1ED65854"/>
    <w:rsid w:val="1ED815CC"/>
    <w:rsid w:val="1EDF0BAD"/>
    <w:rsid w:val="1EF34658"/>
    <w:rsid w:val="1EF53F2C"/>
    <w:rsid w:val="1F010B23"/>
    <w:rsid w:val="1F262338"/>
    <w:rsid w:val="1F353518"/>
    <w:rsid w:val="1F354C71"/>
    <w:rsid w:val="1F690575"/>
    <w:rsid w:val="1F7702FE"/>
    <w:rsid w:val="1F7D3F22"/>
    <w:rsid w:val="1F817EB6"/>
    <w:rsid w:val="1F916731"/>
    <w:rsid w:val="1FA31BDA"/>
    <w:rsid w:val="1FB75686"/>
    <w:rsid w:val="1FCC5B5B"/>
    <w:rsid w:val="1FDF698A"/>
    <w:rsid w:val="1FFC12EA"/>
    <w:rsid w:val="200F7270"/>
    <w:rsid w:val="2020322B"/>
    <w:rsid w:val="20404209"/>
    <w:rsid w:val="204607B7"/>
    <w:rsid w:val="206D21E8"/>
    <w:rsid w:val="206D7961"/>
    <w:rsid w:val="20863CB7"/>
    <w:rsid w:val="20937EA1"/>
    <w:rsid w:val="20943C19"/>
    <w:rsid w:val="20987265"/>
    <w:rsid w:val="20A35C0A"/>
    <w:rsid w:val="20A87A21"/>
    <w:rsid w:val="20B3409F"/>
    <w:rsid w:val="20D50F88"/>
    <w:rsid w:val="20E958F3"/>
    <w:rsid w:val="21093CBF"/>
    <w:rsid w:val="211F7986"/>
    <w:rsid w:val="21222FD3"/>
    <w:rsid w:val="212C5BFF"/>
    <w:rsid w:val="21354AB4"/>
    <w:rsid w:val="21387B05"/>
    <w:rsid w:val="216655B5"/>
    <w:rsid w:val="21731A80"/>
    <w:rsid w:val="217A696B"/>
    <w:rsid w:val="217F65C1"/>
    <w:rsid w:val="21843C8D"/>
    <w:rsid w:val="219519F6"/>
    <w:rsid w:val="21997739"/>
    <w:rsid w:val="21AE2AB8"/>
    <w:rsid w:val="21B04A82"/>
    <w:rsid w:val="21B93937"/>
    <w:rsid w:val="21BE719F"/>
    <w:rsid w:val="21D40771"/>
    <w:rsid w:val="21E02801"/>
    <w:rsid w:val="21E87D78"/>
    <w:rsid w:val="22082653"/>
    <w:rsid w:val="22097CEF"/>
    <w:rsid w:val="220B3A67"/>
    <w:rsid w:val="22162B37"/>
    <w:rsid w:val="22237002"/>
    <w:rsid w:val="222B4109"/>
    <w:rsid w:val="222F59A7"/>
    <w:rsid w:val="22304C78"/>
    <w:rsid w:val="22346EEE"/>
    <w:rsid w:val="223B434C"/>
    <w:rsid w:val="22405E06"/>
    <w:rsid w:val="2245341D"/>
    <w:rsid w:val="224867F4"/>
    <w:rsid w:val="225418B2"/>
    <w:rsid w:val="227B299A"/>
    <w:rsid w:val="227B5090"/>
    <w:rsid w:val="22806203"/>
    <w:rsid w:val="228A52D3"/>
    <w:rsid w:val="228D4F28"/>
    <w:rsid w:val="22A30143"/>
    <w:rsid w:val="22A5741C"/>
    <w:rsid w:val="22AD2D70"/>
    <w:rsid w:val="22B91715"/>
    <w:rsid w:val="22BD1FD6"/>
    <w:rsid w:val="22CC31F6"/>
    <w:rsid w:val="22EE5862"/>
    <w:rsid w:val="22FB1D2D"/>
    <w:rsid w:val="2302273A"/>
    <w:rsid w:val="23056708"/>
    <w:rsid w:val="23080765"/>
    <w:rsid w:val="231B23CF"/>
    <w:rsid w:val="23244DE0"/>
    <w:rsid w:val="23533917"/>
    <w:rsid w:val="23645B24"/>
    <w:rsid w:val="236553F8"/>
    <w:rsid w:val="236E6EF2"/>
    <w:rsid w:val="238241FC"/>
    <w:rsid w:val="238B4E5F"/>
    <w:rsid w:val="239A7798"/>
    <w:rsid w:val="23A45F21"/>
    <w:rsid w:val="23B32608"/>
    <w:rsid w:val="23B75C54"/>
    <w:rsid w:val="23C860B3"/>
    <w:rsid w:val="23E06530"/>
    <w:rsid w:val="23E14259"/>
    <w:rsid w:val="23E7405F"/>
    <w:rsid w:val="23E9602A"/>
    <w:rsid w:val="23F24EDE"/>
    <w:rsid w:val="23F252C0"/>
    <w:rsid w:val="23F76998"/>
    <w:rsid w:val="23FF13A9"/>
    <w:rsid w:val="24084702"/>
    <w:rsid w:val="24091E96"/>
    <w:rsid w:val="240E783E"/>
    <w:rsid w:val="24174945"/>
    <w:rsid w:val="24247062"/>
    <w:rsid w:val="24431BDE"/>
    <w:rsid w:val="24524CA0"/>
    <w:rsid w:val="245F009A"/>
    <w:rsid w:val="24653902"/>
    <w:rsid w:val="246833F2"/>
    <w:rsid w:val="24727DCD"/>
    <w:rsid w:val="24822706"/>
    <w:rsid w:val="248A3369"/>
    <w:rsid w:val="248D10AB"/>
    <w:rsid w:val="249935AC"/>
    <w:rsid w:val="24AA7567"/>
    <w:rsid w:val="24B6415E"/>
    <w:rsid w:val="24C0322E"/>
    <w:rsid w:val="24D5777B"/>
    <w:rsid w:val="24D65057"/>
    <w:rsid w:val="24DE5462"/>
    <w:rsid w:val="25007ACF"/>
    <w:rsid w:val="25056E93"/>
    <w:rsid w:val="25076767"/>
    <w:rsid w:val="25196DF7"/>
    <w:rsid w:val="25201F1F"/>
    <w:rsid w:val="252F3F10"/>
    <w:rsid w:val="25357778"/>
    <w:rsid w:val="253F23A5"/>
    <w:rsid w:val="254E1484"/>
    <w:rsid w:val="255A71DF"/>
    <w:rsid w:val="255D6CCF"/>
    <w:rsid w:val="2564005E"/>
    <w:rsid w:val="257858B7"/>
    <w:rsid w:val="258424AE"/>
    <w:rsid w:val="258B55EA"/>
    <w:rsid w:val="258E50DA"/>
    <w:rsid w:val="25C12DBA"/>
    <w:rsid w:val="25DA20CE"/>
    <w:rsid w:val="25E1345C"/>
    <w:rsid w:val="25FA62CC"/>
    <w:rsid w:val="26025181"/>
    <w:rsid w:val="260929B3"/>
    <w:rsid w:val="26154EB4"/>
    <w:rsid w:val="26215C8C"/>
    <w:rsid w:val="26243349"/>
    <w:rsid w:val="262F241A"/>
    <w:rsid w:val="26301CEE"/>
    <w:rsid w:val="263872BC"/>
    <w:rsid w:val="264D0AF2"/>
    <w:rsid w:val="26643F50"/>
    <w:rsid w:val="26681488"/>
    <w:rsid w:val="26767E3C"/>
    <w:rsid w:val="267B565F"/>
    <w:rsid w:val="267F0C45"/>
    <w:rsid w:val="26844491"/>
    <w:rsid w:val="2685028B"/>
    <w:rsid w:val="26B02E2F"/>
    <w:rsid w:val="26BB3CAD"/>
    <w:rsid w:val="26C73F39"/>
    <w:rsid w:val="26CC6643"/>
    <w:rsid w:val="26CC7C68"/>
    <w:rsid w:val="26F947D6"/>
    <w:rsid w:val="26FC6074"/>
    <w:rsid w:val="270360CD"/>
    <w:rsid w:val="27194E78"/>
    <w:rsid w:val="27196C26"/>
    <w:rsid w:val="272A498F"/>
    <w:rsid w:val="2736179B"/>
    <w:rsid w:val="275F6D2E"/>
    <w:rsid w:val="27673E35"/>
    <w:rsid w:val="27781826"/>
    <w:rsid w:val="277A3B68"/>
    <w:rsid w:val="27881424"/>
    <w:rsid w:val="278E3170"/>
    <w:rsid w:val="279462AC"/>
    <w:rsid w:val="27987506"/>
    <w:rsid w:val="27A961FC"/>
    <w:rsid w:val="27AA5AD0"/>
    <w:rsid w:val="27B30E28"/>
    <w:rsid w:val="27F356C9"/>
    <w:rsid w:val="27F54F9D"/>
    <w:rsid w:val="27F60D15"/>
    <w:rsid w:val="280276BA"/>
    <w:rsid w:val="280478D6"/>
    <w:rsid w:val="280D678A"/>
    <w:rsid w:val="28296D29"/>
    <w:rsid w:val="282B4E63"/>
    <w:rsid w:val="284657F9"/>
    <w:rsid w:val="28650375"/>
    <w:rsid w:val="286B34B1"/>
    <w:rsid w:val="286B525F"/>
    <w:rsid w:val="28722A91"/>
    <w:rsid w:val="287A36F4"/>
    <w:rsid w:val="288640F1"/>
    <w:rsid w:val="288822B5"/>
    <w:rsid w:val="288B5901"/>
    <w:rsid w:val="28AF7842"/>
    <w:rsid w:val="28B74948"/>
    <w:rsid w:val="28B977DD"/>
    <w:rsid w:val="28DF17A9"/>
    <w:rsid w:val="28E3573D"/>
    <w:rsid w:val="28E75A13"/>
    <w:rsid w:val="28F1489E"/>
    <w:rsid w:val="29053906"/>
    <w:rsid w:val="29086F52"/>
    <w:rsid w:val="290F02E0"/>
    <w:rsid w:val="29137EFB"/>
    <w:rsid w:val="29226266"/>
    <w:rsid w:val="292A47E5"/>
    <w:rsid w:val="292A511A"/>
    <w:rsid w:val="296E3259"/>
    <w:rsid w:val="29847B60"/>
    <w:rsid w:val="29A053DC"/>
    <w:rsid w:val="29CF181E"/>
    <w:rsid w:val="29D60DFE"/>
    <w:rsid w:val="29DF4157"/>
    <w:rsid w:val="2A077209"/>
    <w:rsid w:val="2A1831C5"/>
    <w:rsid w:val="2A2E29E8"/>
    <w:rsid w:val="2A306760"/>
    <w:rsid w:val="2A3C5105"/>
    <w:rsid w:val="2A44220C"/>
    <w:rsid w:val="2A573CED"/>
    <w:rsid w:val="2A7F1496"/>
    <w:rsid w:val="2AA607D0"/>
    <w:rsid w:val="2AA8279A"/>
    <w:rsid w:val="2AAD7DB1"/>
    <w:rsid w:val="2ABC4498"/>
    <w:rsid w:val="2AC375D4"/>
    <w:rsid w:val="2AC82E3D"/>
    <w:rsid w:val="2AC84BEB"/>
    <w:rsid w:val="2ADC34FB"/>
    <w:rsid w:val="2B1971F4"/>
    <w:rsid w:val="2B216024"/>
    <w:rsid w:val="2B3B53BD"/>
    <w:rsid w:val="2B41674B"/>
    <w:rsid w:val="2B5B26E4"/>
    <w:rsid w:val="2B5E40E2"/>
    <w:rsid w:val="2B717030"/>
    <w:rsid w:val="2B77216D"/>
    <w:rsid w:val="2B7D3C27"/>
    <w:rsid w:val="2B870602"/>
    <w:rsid w:val="2B9351F9"/>
    <w:rsid w:val="2B960845"/>
    <w:rsid w:val="2BA016C4"/>
    <w:rsid w:val="2BAC62BA"/>
    <w:rsid w:val="2BB807BB"/>
    <w:rsid w:val="2BBA09D7"/>
    <w:rsid w:val="2BCF1FA9"/>
    <w:rsid w:val="2BCF3D57"/>
    <w:rsid w:val="2BEF7F55"/>
    <w:rsid w:val="2BF33EE9"/>
    <w:rsid w:val="2BF81500"/>
    <w:rsid w:val="2C3342E6"/>
    <w:rsid w:val="2C414C55"/>
    <w:rsid w:val="2C444745"/>
    <w:rsid w:val="2C567FD4"/>
    <w:rsid w:val="2C576226"/>
    <w:rsid w:val="2C6F788B"/>
    <w:rsid w:val="2C714E0E"/>
    <w:rsid w:val="2C734E7C"/>
    <w:rsid w:val="2C7965AC"/>
    <w:rsid w:val="2C90798A"/>
    <w:rsid w:val="2C954FA0"/>
    <w:rsid w:val="2CA90A4C"/>
    <w:rsid w:val="2CB2345D"/>
    <w:rsid w:val="2CB63A29"/>
    <w:rsid w:val="2CC969F8"/>
    <w:rsid w:val="2CD21D51"/>
    <w:rsid w:val="2D0839C4"/>
    <w:rsid w:val="2D2A393B"/>
    <w:rsid w:val="2D384C14"/>
    <w:rsid w:val="2D3B78F6"/>
    <w:rsid w:val="2D3E2F42"/>
    <w:rsid w:val="2D46629B"/>
    <w:rsid w:val="2D4F6EFD"/>
    <w:rsid w:val="2D5717A7"/>
    <w:rsid w:val="2D5E35E4"/>
    <w:rsid w:val="2D9E1C33"/>
    <w:rsid w:val="2DA21723"/>
    <w:rsid w:val="2DA27975"/>
    <w:rsid w:val="2DB33930"/>
    <w:rsid w:val="2DE33AEA"/>
    <w:rsid w:val="2DF61A6F"/>
    <w:rsid w:val="2E0028ED"/>
    <w:rsid w:val="2E1C3046"/>
    <w:rsid w:val="2E1E4B22"/>
    <w:rsid w:val="2E1F0B3A"/>
    <w:rsid w:val="2E20089A"/>
    <w:rsid w:val="2E24482E"/>
    <w:rsid w:val="2E271C28"/>
    <w:rsid w:val="2E4B5422"/>
    <w:rsid w:val="2E60513A"/>
    <w:rsid w:val="2E642E7C"/>
    <w:rsid w:val="2E686D3A"/>
    <w:rsid w:val="2E692241"/>
    <w:rsid w:val="2E6966E5"/>
    <w:rsid w:val="2E7C01C6"/>
    <w:rsid w:val="2E8438E1"/>
    <w:rsid w:val="2E864BA1"/>
    <w:rsid w:val="2E876B6B"/>
    <w:rsid w:val="2EA66FF1"/>
    <w:rsid w:val="2EAB0AAB"/>
    <w:rsid w:val="2EAB2859"/>
    <w:rsid w:val="2EBA2A9C"/>
    <w:rsid w:val="2ECB2EFB"/>
    <w:rsid w:val="2EDA6C9B"/>
    <w:rsid w:val="2EE93382"/>
    <w:rsid w:val="2F1321AD"/>
    <w:rsid w:val="2F226F15"/>
    <w:rsid w:val="2F337B9A"/>
    <w:rsid w:val="2F391C13"/>
    <w:rsid w:val="2F503401"/>
    <w:rsid w:val="2F5E5B1E"/>
    <w:rsid w:val="2F6A6270"/>
    <w:rsid w:val="2F6B70AE"/>
    <w:rsid w:val="2F7215C9"/>
    <w:rsid w:val="2F735CB0"/>
    <w:rsid w:val="2F8530AA"/>
    <w:rsid w:val="2F9B0B20"/>
    <w:rsid w:val="2F9D01D0"/>
    <w:rsid w:val="2FAF6379"/>
    <w:rsid w:val="2FB7522E"/>
    <w:rsid w:val="2FB76FDC"/>
    <w:rsid w:val="2FBE036A"/>
    <w:rsid w:val="2FC040E2"/>
    <w:rsid w:val="2FC71915"/>
    <w:rsid w:val="2FE06533"/>
    <w:rsid w:val="2FE51D9B"/>
    <w:rsid w:val="2FE73D65"/>
    <w:rsid w:val="2FFB511A"/>
    <w:rsid w:val="3025488D"/>
    <w:rsid w:val="30296DCB"/>
    <w:rsid w:val="302A1EA4"/>
    <w:rsid w:val="306E3B3E"/>
    <w:rsid w:val="306F1A97"/>
    <w:rsid w:val="307A0735"/>
    <w:rsid w:val="30872E52"/>
    <w:rsid w:val="30937A49"/>
    <w:rsid w:val="309E026E"/>
    <w:rsid w:val="309F019C"/>
    <w:rsid w:val="30AC4667"/>
    <w:rsid w:val="30B359F5"/>
    <w:rsid w:val="30C6397A"/>
    <w:rsid w:val="30FE1366"/>
    <w:rsid w:val="31033A61"/>
    <w:rsid w:val="31093867"/>
    <w:rsid w:val="31104BF6"/>
    <w:rsid w:val="311346E6"/>
    <w:rsid w:val="311741D6"/>
    <w:rsid w:val="31295CB7"/>
    <w:rsid w:val="31374878"/>
    <w:rsid w:val="31434FCB"/>
    <w:rsid w:val="315C608D"/>
    <w:rsid w:val="31750EFD"/>
    <w:rsid w:val="319121DA"/>
    <w:rsid w:val="319F5F79"/>
    <w:rsid w:val="31A17F44"/>
    <w:rsid w:val="31A65120"/>
    <w:rsid w:val="31A6555A"/>
    <w:rsid w:val="31AA504A"/>
    <w:rsid w:val="31C0486E"/>
    <w:rsid w:val="31C679AA"/>
    <w:rsid w:val="31D835C8"/>
    <w:rsid w:val="31EA5447"/>
    <w:rsid w:val="31EE13DB"/>
    <w:rsid w:val="31F938DC"/>
    <w:rsid w:val="321B7CF6"/>
    <w:rsid w:val="321E1594"/>
    <w:rsid w:val="32240B08"/>
    <w:rsid w:val="322F554F"/>
    <w:rsid w:val="32307B30"/>
    <w:rsid w:val="323963CE"/>
    <w:rsid w:val="323B5CA2"/>
    <w:rsid w:val="32696CB3"/>
    <w:rsid w:val="32700042"/>
    <w:rsid w:val="32807B59"/>
    <w:rsid w:val="328E2276"/>
    <w:rsid w:val="32981347"/>
    <w:rsid w:val="32AA2E28"/>
    <w:rsid w:val="32AB107A"/>
    <w:rsid w:val="32B43E7A"/>
    <w:rsid w:val="32B53CA7"/>
    <w:rsid w:val="32B75C71"/>
    <w:rsid w:val="32BD2B5B"/>
    <w:rsid w:val="32D16607"/>
    <w:rsid w:val="32D57EA5"/>
    <w:rsid w:val="32D63C1D"/>
    <w:rsid w:val="32DD31FD"/>
    <w:rsid w:val="32E4458C"/>
    <w:rsid w:val="32FD11AA"/>
    <w:rsid w:val="330B38C7"/>
    <w:rsid w:val="33134E71"/>
    <w:rsid w:val="331F55C4"/>
    <w:rsid w:val="3344502A"/>
    <w:rsid w:val="334B63B9"/>
    <w:rsid w:val="3350577D"/>
    <w:rsid w:val="335214F5"/>
    <w:rsid w:val="33576B0C"/>
    <w:rsid w:val="33770F5C"/>
    <w:rsid w:val="33883169"/>
    <w:rsid w:val="339A5589"/>
    <w:rsid w:val="33D22636"/>
    <w:rsid w:val="33D91C17"/>
    <w:rsid w:val="33DC1707"/>
    <w:rsid w:val="33DE722D"/>
    <w:rsid w:val="33DF6B01"/>
    <w:rsid w:val="33FE167D"/>
    <w:rsid w:val="34000F51"/>
    <w:rsid w:val="34003C72"/>
    <w:rsid w:val="34192013"/>
    <w:rsid w:val="342B1D46"/>
    <w:rsid w:val="342F7A89"/>
    <w:rsid w:val="343E1A7A"/>
    <w:rsid w:val="343E7CCC"/>
    <w:rsid w:val="346516FC"/>
    <w:rsid w:val="347210E5"/>
    <w:rsid w:val="34784F8C"/>
    <w:rsid w:val="347E631A"/>
    <w:rsid w:val="34802092"/>
    <w:rsid w:val="348A4CBF"/>
    <w:rsid w:val="349D0E96"/>
    <w:rsid w:val="34A71D15"/>
    <w:rsid w:val="34AE30A3"/>
    <w:rsid w:val="34AE6BFF"/>
    <w:rsid w:val="34D643A8"/>
    <w:rsid w:val="34DD5737"/>
    <w:rsid w:val="34DF14AF"/>
    <w:rsid w:val="34FA62E8"/>
    <w:rsid w:val="35020CF9"/>
    <w:rsid w:val="35066A3B"/>
    <w:rsid w:val="351349D4"/>
    <w:rsid w:val="352E5F92"/>
    <w:rsid w:val="35301D0A"/>
    <w:rsid w:val="35380BBF"/>
    <w:rsid w:val="3550415A"/>
    <w:rsid w:val="35696FCA"/>
    <w:rsid w:val="35702107"/>
    <w:rsid w:val="358838F4"/>
    <w:rsid w:val="358856A2"/>
    <w:rsid w:val="358B5193"/>
    <w:rsid w:val="35942299"/>
    <w:rsid w:val="359C2EFC"/>
    <w:rsid w:val="35A41DB0"/>
    <w:rsid w:val="35AD5109"/>
    <w:rsid w:val="35B04BF9"/>
    <w:rsid w:val="35BF4E3C"/>
    <w:rsid w:val="35C3492C"/>
    <w:rsid w:val="35D73F34"/>
    <w:rsid w:val="35E825E5"/>
    <w:rsid w:val="35E93C67"/>
    <w:rsid w:val="35ED7BFB"/>
    <w:rsid w:val="35F76384"/>
    <w:rsid w:val="35FB40C6"/>
    <w:rsid w:val="36107446"/>
    <w:rsid w:val="36121410"/>
    <w:rsid w:val="361231BE"/>
    <w:rsid w:val="36251143"/>
    <w:rsid w:val="36363350"/>
    <w:rsid w:val="36370E76"/>
    <w:rsid w:val="36484E32"/>
    <w:rsid w:val="364A0BAA"/>
    <w:rsid w:val="36592B9B"/>
    <w:rsid w:val="367C6E23"/>
    <w:rsid w:val="367D0F7F"/>
    <w:rsid w:val="367E6AA5"/>
    <w:rsid w:val="368F4FA1"/>
    <w:rsid w:val="36981915"/>
    <w:rsid w:val="36A06A1C"/>
    <w:rsid w:val="36B349A1"/>
    <w:rsid w:val="36BB5604"/>
    <w:rsid w:val="36C24BE4"/>
    <w:rsid w:val="36E0150E"/>
    <w:rsid w:val="36E27034"/>
    <w:rsid w:val="36EB22DB"/>
    <w:rsid w:val="36FB736B"/>
    <w:rsid w:val="36FD5C1C"/>
    <w:rsid w:val="37001FC9"/>
    <w:rsid w:val="3710594F"/>
    <w:rsid w:val="37107F95"/>
    <w:rsid w:val="371F2036"/>
    <w:rsid w:val="3720190B"/>
    <w:rsid w:val="372C4753"/>
    <w:rsid w:val="373F4487"/>
    <w:rsid w:val="374C2700"/>
    <w:rsid w:val="3790083E"/>
    <w:rsid w:val="379876F3"/>
    <w:rsid w:val="379A790F"/>
    <w:rsid w:val="37B24C58"/>
    <w:rsid w:val="37BB49D2"/>
    <w:rsid w:val="37BC3018"/>
    <w:rsid w:val="37C4673A"/>
    <w:rsid w:val="37D3697D"/>
    <w:rsid w:val="37EF1A09"/>
    <w:rsid w:val="37F94635"/>
    <w:rsid w:val="37FC4126"/>
    <w:rsid w:val="38003C16"/>
    <w:rsid w:val="3814321D"/>
    <w:rsid w:val="381C6576"/>
    <w:rsid w:val="382316B2"/>
    <w:rsid w:val="382471D8"/>
    <w:rsid w:val="382C31C1"/>
    <w:rsid w:val="38367638"/>
    <w:rsid w:val="38471845"/>
    <w:rsid w:val="384F24A7"/>
    <w:rsid w:val="38521F98"/>
    <w:rsid w:val="3857135C"/>
    <w:rsid w:val="38602906"/>
    <w:rsid w:val="38683569"/>
    <w:rsid w:val="38991974"/>
    <w:rsid w:val="38AA3B82"/>
    <w:rsid w:val="38CE5AC2"/>
    <w:rsid w:val="38E30E42"/>
    <w:rsid w:val="38E946AA"/>
    <w:rsid w:val="38FA68B7"/>
    <w:rsid w:val="390958AF"/>
    <w:rsid w:val="391334D5"/>
    <w:rsid w:val="391536F1"/>
    <w:rsid w:val="391A2AB5"/>
    <w:rsid w:val="393F42CA"/>
    <w:rsid w:val="394A0EC1"/>
    <w:rsid w:val="395A7356"/>
    <w:rsid w:val="39641F82"/>
    <w:rsid w:val="39691347"/>
    <w:rsid w:val="39730417"/>
    <w:rsid w:val="397B107A"/>
    <w:rsid w:val="398919E9"/>
    <w:rsid w:val="39AD1B7B"/>
    <w:rsid w:val="39C3314D"/>
    <w:rsid w:val="39C80763"/>
    <w:rsid w:val="39CB0253"/>
    <w:rsid w:val="39D4535A"/>
    <w:rsid w:val="39D7459C"/>
    <w:rsid w:val="39DC420F"/>
    <w:rsid w:val="39E44E71"/>
    <w:rsid w:val="39E92488"/>
    <w:rsid w:val="39F50E2C"/>
    <w:rsid w:val="39FB720A"/>
    <w:rsid w:val="3A127C30"/>
    <w:rsid w:val="3A1C0AAF"/>
    <w:rsid w:val="3A233BEC"/>
    <w:rsid w:val="3A3000B7"/>
    <w:rsid w:val="3A317842"/>
    <w:rsid w:val="3A404DB1"/>
    <w:rsid w:val="3A43603C"/>
    <w:rsid w:val="3A445910"/>
    <w:rsid w:val="3A4A561C"/>
    <w:rsid w:val="3A557B1D"/>
    <w:rsid w:val="3A575643"/>
    <w:rsid w:val="3A8521B0"/>
    <w:rsid w:val="3A946897"/>
    <w:rsid w:val="3AAF547F"/>
    <w:rsid w:val="3AF25F99"/>
    <w:rsid w:val="3AF714D8"/>
    <w:rsid w:val="3B00217F"/>
    <w:rsid w:val="3B027CA5"/>
    <w:rsid w:val="3B0A6B5A"/>
    <w:rsid w:val="3B2F65C0"/>
    <w:rsid w:val="3B4B164C"/>
    <w:rsid w:val="3B824942"/>
    <w:rsid w:val="3B84690C"/>
    <w:rsid w:val="3B8C756F"/>
    <w:rsid w:val="3B9D352A"/>
    <w:rsid w:val="3BA42B0A"/>
    <w:rsid w:val="3BCC3E0F"/>
    <w:rsid w:val="3BED44B1"/>
    <w:rsid w:val="3C0D6901"/>
    <w:rsid w:val="3C1934F8"/>
    <w:rsid w:val="3C243C4B"/>
    <w:rsid w:val="3C2679C3"/>
    <w:rsid w:val="3C2B4FD9"/>
    <w:rsid w:val="3C2B6D87"/>
    <w:rsid w:val="3C343B5E"/>
    <w:rsid w:val="3C37572C"/>
    <w:rsid w:val="3C3E2FB4"/>
    <w:rsid w:val="3C4936B2"/>
    <w:rsid w:val="3C5E715D"/>
    <w:rsid w:val="3C5F4C83"/>
    <w:rsid w:val="3C700C3E"/>
    <w:rsid w:val="3CA761D7"/>
    <w:rsid w:val="3CB74ABF"/>
    <w:rsid w:val="3CC30FE1"/>
    <w:rsid w:val="3CCA034E"/>
    <w:rsid w:val="3CD336F5"/>
    <w:rsid w:val="3CD63197"/>
    <w:rsid w:val="3CD94A35"/>
    <w:rsid w:val="3CDC4526"/>
    <w:rsid w:val="3CDD2778"/>
    <w:rsid w:val="3CF7310E"/>
    <w:rsid w:val="3CF92B17"/>
    <w:rsid w:val="3CF96E86"/>
    <w:rsid w:val="3D034EFE"/>
    <w:rsid w:val="3D0A2E41"/>
    <w:rsid w:val="3D0E0B83"/>
    <w:rsid w:val="3D163594"/>
    <w:rsid w:val="3D1D26A3"/>
    <w:rsid w:val="3D232155"/>
    <w:rsid w:val="3D2757A1"/>
    <w:rsid w:val="3D2C2DB7"/>
    <w:rsid w:val="3D2E2FD3"/>
    <w:rsid w:val="3D3103CE"/>
    <w:rsid w:val="3D4E0F7F"/>
    <w:rsid w:val="3D5E4F3B"/>
    <w:rsid w:val="3D622C7D"/>
    <w:rsid w:val="3D672041"/>
    <w:rsid w:val="3D885580"/>
    <w:rsid w:val="3DB5123C"/>
    <w:rsid w:val="3DB80AEF"/>
    <w:rsid w:val="3DBF00CF"/>
    <w:rsid w:val="3DD05E38"/>
    <w:rsid w:val="3DD1570D"/>
    <w:rsid w:val="3DDD2303"/>
    <w:rsid w:val="3E063608"/>
    <w:rsid w:val="3E0C4997"/>
    <w:rsid w:val="3E23240C"/>
    <w:rsid w:val="3E306B73"/>
    <w:rsid w:val="3E350391"/>
    <w:rsid w:val="3E3839DE"/>
    <w:rsid w:val="3E43301E"/>
    <w:rsid w:val="3E452870"/>
    <w:rsid w:val="3E554590"/>
    <w:rsid w:val="3E5720B6"/>
    <w:rsid w:val="3E5B7667"/>
    <w:rsid w:val="3E66054B"/>
    <w:rsid w:val="3E78202C"/>
    <w:rsid w:val="3E817133"/>
    <w:rsid w:val="3E86299B"/>
    <w:rsid w:val="3E8D1F7B"/>
    <w:rsid w:val="3E9C56FF"/>
    <w:rsid w:val="3EAD617A"/>
    <w:rsid w:val="3EB43064"/>
    <w:rsid w:val="3EBB0897"/>
    <w:rsid w:val="3EBC63BD"/>
    <w:rsid w:val="3EC05EAD"/>
    <w:rsid w:val="3EE53B65"/>
    <w:rsid w:val="3EF14405"/>
    <w:rsid w:val="3EFE69D5"/>
    <w:rsid w:val="3F43088C"/>
    <w:rsid w:val="3F4C7741"/>
    <w:rsid w:val="3F79605C"/>
    <w:rsid w:val="3F830C89"/>
    <w:rsid w:val="3F8808CC"/>
    <w:rsid w:val="3F994C6A"/>
    <w:rsid w:val="3F9F3D14"/>
    <w:rsid w:val="3FB05F21"/>
    <w:rsid w:val="3FBA6DA0"/>
    <w:rsid w:val="3FBB48C6"/>
    <w:rsid w:val="3FC7326B"/>
    <w:rsid w:val="3FE71217"/>
    <w:rsid w:val="3FF244A1"/>
    <w:rsid w:val="3FF86DEC"/>
    <w:rsid w:val="3FFD6C8D"/>
    <w:rsid w:val="400E0E9A"/>
    <w:rsid w:val="40210BCD"/>
    <w:rsid w:val="403C77B5"/>
    <w:rsid w:val="4047615A"/>
    <w:rsid w:val="40477F08"/>
    <w:rsid w:val="404E1296"/>
    <w:rsid w:val="40552625"/>
    <w:rsid w:val="40672358"/>
    <w:rsid w:val="407A02DD"/>
    <w:rsid w:val="408244E4"/>
    <w:rsid w:val="408D0011"/>
    <w:rsid w:val="4093139F"/>
    <w:rsid w:val="40BC26A4"/>
    <w:rsid w:val="40C672FD"/>
    <w:rsid w:val="40E35E83"/>
    <w:rsid w:val="40EB11DB"/>
    <w:rsid w:val="40EB4D37"/>
    <w:rsid w:val="40EE65D6"/>
    <w:rsid w:val="40FC5196"/>
    <w:rsid w:val="411424E0"/>
    <w:rsid w:val="4114603C"/>
    <w:rsid w:val="41151DB4"/>
    <w:rsid w:val="41230975"/>
    <w:rsid w:val="412D35A2"/>
    <w:rsid w:val="4136004A"/>
    <w:rsid w:val="41395AA3"/>
    <w:rsid w:val="413D1A37"/>
    <w:rsid w:val="41480BCA"/>
    <w:rsid w:val="41524DB6"/>
    <w:rsid w:val="415B010F"/>
    <w:rsid w:val="41807B75"/>
    <w:rsid w:val="41825BE2"/>
    <w:rsid w:val="41883195"/>
    <w:rsid w:val="419E7FFC"/>
    <w:rsid w:val="41A5138A"/>
    <w:rsid w:val="41A73354"/>
    <w:rsid w:val="41B31CF9"/>
    <w:rsid w:val="41B73ADC"/>
    <w:rsid w:val="41C02B02"/>
    <w:rsid w:val="41C04416"/>
    <w:rsid w:val="41C31810"/>
    <w:rsid w:val="41C932CA"/>
    <w:rsid w:val="41E81277"/>
    <w:rsid w:val="41E974C9"/>
    <w:rsid w:val="41EE4ADF"/>
    <w:rsid w:val="41FF0A9A"/>
    <w:rsid w:val="42051E29"/>
    <w:rsid w:val="421039FA"/>
    <w:rsid w:val="42186000"/>
    <w:rsid w:val="421C477C"/>
    <w:rsid w:val="423C025F"/>
    <w:rsid w:val="426052B1"/>
    <w:rsid w:val="426A6C05"/>
    <w:rsid w:val="4283791D"/>
    <w:rsid w:val="42890CAC"/>
    <w:rsid w:val="429C453B"/>
    <w:rsid w:val="42C85330"/>
    <w:rsid w:val="42CB6BCE"/>
    <w:rsid w:val="42CF2B62"/>
    <w:rsid w:val="42DC527F"/>
    <w:rsid w:val="42EE113A"/>
    <w:rsid w:val="42EF4FB3"/>
    <w:rsid w:val="42F00D2B"/>
    <w:rsid w:val="42F223AD"/>
    <w:rsid w:val="42FE51F6"/>
    <w:rsid w:val="43122A4F"/>
    <w:rsid w:val="431C38CE"/>
    <w:rsid w:val="431E13F4"/>
    <w:rsid w:val="43212C92"/>
    <w:rsid w:val="43324E9F"/>
    <w:rsid w:val="433429C6"/>
    <w:rsid w:val="433F11B1"/>
    <w:rsid w:val="4341424F"/>
    <w:rsid w:val="4355293C"/>
    <w:rsid w:val="43707776"/>
    <w:rsid w:val="4374370A"/>
    <w:rsid w:val="43877DAD"/>
    <w:rsid w:val="43882D11"/>
    <w:rsid w:val="438F22F2"/>
    <w:rsid w:val="43993170"/>
    <w:rsid w:val="43BD6E5F"/>
    <w:rsid w:val="43C26223"/>
    <w:rsid w:val="43CF6B92"/>
    <w:rsid w:val="43DB5537"/>
    <w:rsid w:val="43E73EDC"/>
    <w:rsid w:val="43E91A02"/>
    <w:rsid w:val="44095083"/>
    <w:rsid w:val="441B1DD7"/>
    <w:rsid w:val="4436451B"/>
    <w:rsid w:val="443C7F5E"/>
    <w:rsid w:val="44476729"/>
    <w:rsid w:val="444C01E3"/>
    <w:rsid w:val="445E73A2"/>
    <w:rsid w:val="44A1052F"/>
    <w:rsid w:val="44A27E03"/>
    <w:rsid w:val="44A41DCD"/>
    <w:rsid w:val="44A818BD"/>
    <w:rsid w:val="44B71B00"/>
    <w:rsid w:val="44BD69EB"/>
    <w:rsid w:val="44C47D79"/>
    <w:rsid w:val="44CD59DF"/>
    <w:rsid w:val="44E818A0"/>
    <w:rsid w:val="44EE4DF6"/>
    <w:rsid w:val="44FA19ED"/>
    <w:rsid w:val="44FC7513"/>
    <w:rsid w:val="451F1453"/>
    <w:rsid w:val="45232CF2"/>
    <w:rsid w:val="45260A34"/>
    <w:rsid w:val="45264590"/>
    <w:rsid w:val="453F5652"/>
    <w:rsid w:val="45466251"/>
    <w:rsid w:val="4550160D"/>
    <w:rsid w:val="45701CAF"/>
    <w:rsid w:val="458B6AE9"/>
    <w:rsid w:val="45A81449"/>
    <w:rsid w:val="45AD4CB1"/>
    <w:rsid w:val="45BC5235"/>
    <w:rsid w:val="45C06792"/>
    <w:rsid w:val="45C459CD"/>
    <w:rsid w:val="45CD0EAF"/>
    <w:rsid w:val="45F14280"/>
    <w:rsid w:val="45FB5A1D"/>
    <w:rsid w:val="46003033"/>
    <w:rsid w:val="46120628"/>
    <w:rsid w:val="46195EA3"/>
    <w:rsid w:val="46252A99"/>
    <w:rsid w:val="463054C5"/>
    <w:rsid w:val="463D6035"/>
    <w:rsid w:val="46470C62"/>
    <w:rsid w:val="46603AD2"/>
    <w:rsid w:val="4662784A"/>
    <w:rsid w:val="466510E8"/>
    <w:rsid w:val="466B2BA2"/>
    <w:rsid w:val="467C4DAF"/>
    <w:rsid w:val="468E4AE3"/>
    <w:rsid w:val="46A165C4"/>
    <w:rsid w:val="46A54D20"/>
    <w:rsid w:val="46AF05B5"/>
    <w:rsid w:val="46B207D1"/>
    <w:rsid w:val="46BB51AC"/>
    <w:rsid w:val="46CB1893"/>
    <w:rsid w:val="46DC584E"/>
    <w:rsid w:val="46E9193A"/>
    <w:rsid w:val="46EB5A91"/>
    <w:rsid w:val="46FC0B68"/>
    <w:rsid w:val="46FC7C9E"/>
    <w:rsid w:val="47040E62"/>
    <w:rsid w:val="47305B9A"/>
    <w:rsid w:val="4743767B"/>
    <w:rsid w:val="475A6773"/>
    <w:rsid w:val="476A2E5A"/>
    <w:rsid w:val="477C2B8D"/>
    <w:rsid w:val="477F442B"/>
    <w:rsid w:val="478B1022"/>
    <w:rsid w:val="478B2DD0"/>
    <w:rsid w:val="478D08F6"/>
    <w:rsid w:val="47903BAF"/>
    <w:rsid w:val="47A67C0A"/>
    <w:rsid w:val="47AC564D"/>
    <w:rsid w:val="47BC567F"/>
    <w:rsid w:val="47C3256A"/>
    <w:rsid w:val="47C40234"/>
    <w:rsid w:val="47CD5197"/>
    <w:rsid w:val="47CF53B3"/>
    <w:rsid w:val="47D46525"/>
    <w:rsid w:val="47DE1152"/>
    <w:rsid w:val="47F00E85"/>
    <w:rsid w:val="47F22E4F"/>
    <w:rsid w:val="47F6293F"/>
    <w:rsid w:val="480A0199"/>
    <w:rsid w:val="480A63EB"/>
    <w:rsid w:val="481C1C7A"/>
    <w:rsid w:val="48217291"/>
    <w:rsid w:val="48256D81"/>
    <w:rsid w:val="482F690A"/>
    <w:rsid w:val="4839282C"/>
    <w:rsid w:val="48400666"/>
    <w:rsid w:val="48646943"/>
    <w:rsid w:val="48684EBF"/>
    <w:rsid w:val="48711C4A"/>
    <w:rsid w:val="487D1872"/>
    <w:rsid w:val="48934632"/>
    <w:rsid w:val="489F4D85"/>
    <w:rsid w:val="48B000A2"/>
    <w:rsid w:val="48D34A2F"/>
    <w:rsid w:val="48E83C6F"/>
    <w:rsid w:val="48FB5B7B"/>
    <w:rsid w:val="49042E3A"/>
    <w:rsid w:val="4916491B"/>
    <w:rsid w:val="49205B89"/>
    <w:rsid w:val="49437E06"/>
    <w:rsid w:val="4948541D"/>
    <w:rsid w:val="49492F43"/>
    <w:rsid w:val="495913D8"/>
    <w:rsid w:val="49690EEF"/>
    <w:rsid w:val="497F6965"/>
    <w:rsid w:val="49B02FC2"/>
    <w:rsid w:val="49C36851"/>
    <w:rsid w:val="49C83E68"/>
    <w:rsid w:val="49E36EF3"/>
    <w:rsid w:val="4A037596"/>
    <w:rsid w:val="4A0A26D2"/>
    <w:rsid w:val="4A0C2FCC"/>
    <w:rsid w:val="4A0D7EB6"/>
    <w:rsid w:val="4A161077"/>
    <w:rsid w:val="4A2117CA"/>
    <w:rsid w:val="4A2937F6"/>
    <w:rsid w:val="4A317C5F"/>
    <w:rsid w:val="4A4060F4"/>
    <w:rsid w:val="4A4C4A99"/>
    <w:rsid w:val="4A527BD5"/>
    <w:rsid w:val="4A6B78A3"/>
    <w:rsid w:val="4A714B1B"/>
    <w:rsid w:val="4A783AE0"/>
    <w:rsid w:val="4A7C007C"/>
    <w:rsid w:val="4A9B5A20"/>
    <w:rsid w:val="4A9E2E1A"/>
    <w:rsid w:val="4AA03036"/>
    <w:rsid w:val="4AB80380"/>
    <w:rsid w:val="4AC26B09"/>
    <w:rsid w:val="4AEC1DD8"/>
    <w:rsid w:val="4B0B04B0"/>
    <w:rsid w:val="4B1B446B"/>
    <w:rsid w:val="4B3F63AB"/>
    <w:rsid w:val="4B475260"/>
    <w:rsid w:val="4B4C2876"/>
    <w:rsid w:val="4B9761E7"/>
    <w:rsid w:val="4B9A1834"/>
    <w:rsid w:val="4B9F509C"/>
    <w:rsid w:val="4BA12BC2"/>
    <w:rsid w:val="4BAD5A0B"/>
    <w:rsid w:val="4BB01057"/>
    <w:rsid w:val="4BBA1ED6"/>
    <w:rsid w:val="4BC82845"/>
    <w:rsid w:val="4BDA60D4"/>
    <w:rsid w:val="4BE34F89"/>
    <w:rsid w:val="4BEB208F"/>
    <w:rsid w:val="4BF52C35"/>
    <w:rsid w:val="4BF86149"/>
    <w:rsid w:val="4BF91C0F"/>
    <w:rsid w:val="4C123AC0"/>
    <w:rsid w:val="4C196BFC"/>
    <w:rsid w:val="4C1E4213"/>
    <w:rsid w:val="4C261319"/>
    <w:rsid w:val="4C416153"/>
    <w:rsid w:val="4C547C35"/>
    <w:rsid w:val="4C7C718B"/>
    <w:rsid w:val="4C885B30"/>
    <w:rsid w:val="4C8A7AFA"/>
    <w:rsid w:val="4C8B341B"/>
    <w:rsid w:val="4C9149E5"/>
    <w:rsid w:val="4C934C01"/>
    <w:rsid w:val="4CA94424"/>
    <w:rsid w:val="4CBE1552"/>
    <w:rsid w:val="4CFB4554"/>
    <w:rsid w:val="4D1A0E7E"/>
    <w:rsid w:val="4D4B7289"/>
    <w:rsid w:val="4D6420F9"/>
    <w:rsid w:val="4D643C6E"/>
    <w:rsid w:val="4D6640C3"/>
    <w:rsid w:val="4D66647C"/>
    <w:rsid w:val="4D752558"/>
    <w:rsid w:val="4D8C1650"/>
    <w:rsid w:val="4D9E1AAF"/>
    <w:rsid w:val="4DA22C22"/>
    <w:rsid w:val="4DAB41CC"/>
    <w:rsid w:val="4DB03590"/>
    <w:rsid w:val="4DB2236C"/>
    <w:rsid w:val="4DBA2ACB"/>
    <w:rsid w:val="4DBD7A5B"/>
    <w:rsid w:val="4DC16DD5"/>
    <w:rsid w:val="4DC1754C"/>
    <w:rsid w:val="4DC332C4"/>
    <w:rsid w:val="4DC62DB4"/>
    <w:rsid w:val="4DDE00FE"/>
    <w:rsid w:val="4DFE60AA"/>
    <w:rsid w:val="4E192EE4"/>
    <w:rsid w:val="4E1A6C5C"/>
    <w:rsid w:val="4E233F72"/>
    <w:rsid w:val="4E3C3076"/>
    <w:rsid w:val="4E546612"/>
    <w:rsid w:val="4E685C19"/>
    <w:rsid w:val="4E760336"/>
    <w:rsid w:val="4E7740AE"/>
    <w:rsid w:val="4E7B3B9E"/>
    <w:rsid w:val="4E8862BB"/>
    <w:rsid w:val="4E9C3B15"/>
    <w:rsid w:val="4EB250E6"/>
    <w:rsid w:val="4EB621B3"/>
    <w:rsid w:val="4EC07803"/>
    <w:rsid w:val="4EC217CD"/>
    <w:rsid w:val="4EC76DE4"/>
    <w:rsid w:val="4ECC264C"/>
    <w:rsid w:val="4ECD1F20"/>
    <w:rsid w:val="4EDD55BF"/>
    <w:rsid w:val="4EEC684A"/>
    <w:rsid w:val="4EEF633A"/>
    <w:rsid w:val="4EF92D15"/>
    <w:rsid w:val="4EFE20DA"/>
    <w:rsid w:val="4F0C47F7"/>
    <w:rsid w:val="4F135B80"/>
    <w:rsid w:val="4F1D07B2"/>
    <w:rsid w:val="4F271630"/>
    <w:rsid w:val="4F3E697A"/>
    <w:rsid w:val="4F4915A7"/>
    <w:rsid w:val="4F672375"/>
    <w:rsid w:val="4F6E725F"/>
    <w:rsid w:val="4F6F4D85"/>
    <w:rsid w:val="4F714FA1"/>
    <w:rsid w:val="4F950C90"/>
    <w:rsid w:val="4F9C201E"/>
    <w:rsid w:val="4FA2515B"/>
    <w:rsid w:val="4FAD422B"/>
    <w:rsid w:val="4FB21842"/>
    <w:rsid w:val="4FB235F0"/>
    <w:rsid w:val="4FB355BA"/>
    <w:rsid w:val="4FBA6948"/>
    <w:rsid w:val="4FBE01E7"/>
    <w:rsid w:val="4FBF7ABB"/>
    <w:rsid w:val="4FDF015D"/>
    <w:rsid w:val="4FE85264"/>
    <w:rsid w:val="500D0826"/>
    <w:rsid w:val="501871CB"/>
    <w:rsid w:val="502B5150"/>
    <w:rsid w:val="506A3ECB"/>
    <w:rsid w:val="50854860"/>
    <w:rsid w:val="509E3B74"/>
    <w:rsid w:val="50D70E34"/>
    <w:rsid w:val="50D91050"/>
    <w:rsid w:val="50DA57DC"/>
    <w:rsid w:val="50EF3FFC"/>
    <w:rsid w:val="50EF43D0"/>
    <w:rsid w:val="50F9524E"/>
    <w:rsid w:val="514A5AAA"/>
    <w:rsid w:val="51583D23"/>
    <w:rsid w:val="515F3303"/>
    <w:rsid w:val="51644DBE"/>
    <w:rsid w:val="516A7EFA"/>
    <w:rsid w:val="517B5C63"/>
    <w:rsid w:val="517D5E7F"/>
    <w:rsid w:val="518C1C1F"/>
    <w:rsid w:val="518E1E3B"/>
    <w:rsid w:val="519D1F0F"/>
    <w:rsid w:val="51B11685"/>
    <w:rsid w:val="51B51175"/>
    <w:rsid w:val="51BC0756"/>
    <w:rsid w:val="51C55131"/>
    <w:rsid w:val="51DA0BDC"/>
    <w:rsid w:val="51E1640E"/>
    <w:rsid w:val="51E97071"/>
    <w:rsid w:val="520143BB"/>
    <w:rsid w:val="523302EC"/>
    <w:rsid w:val="523A13C9"/>
    <w:rsid w:val="523F3135"/>
    <w:rsid w:val="525A1D1D"/>
    <w:rsid w:val="52643C20"/>
    <w:rsid w:val="526A6404"/>
    <w:rsid w:val="5272350A"/>
    <w:rsid w:val="527C6137"/>
    <w:rsid w:val="528B0128"/>
    <w:rsid w:val="52A64F62"/>
    <w:rsid w:val="52AD27C0"/>
    <w:rsid w:val="52B633F7"/>
    <w:rsid w:val="52BA27BB"/>
    <w:rsid w:val="52BB6C5F"/>
    <w:rsid w:val="52BE04FE"/>
    <w:rsid w:val="52CA50F4"/>
    <w:rsid w:val="52CC6DE9"/>
    <w:rsid w:val="52E15F9A"/>
    <w:rsid w:val="52E57838"/>
    <w:rsid w:val="52F7756C"/>
    <w:rsid w:val="52F97788"/>
    <w:rsid w:val="53065A01"/>
    <w:rsid w:val="530B1EA6"/>
    <w:rsid w:val="530F0D59"/>
    <w:rsid w:val="53146370"/>
    <w:rsid w:val="53191BD8"/>
    <w:rsid w:val="53226CDE"/>
    <w:rsid w:val="53346A12"/>
    <w:rsid w:val="534529CD"/>
    <w:rsid w:val="534C5B09"/>
    <w:rsid w:val="53513120"/>
    <w:rsid w:val="535B3F9E"/>
    <w:rsid w:val="535D1AC5"/>
    <w:rsid w:val="535F3A8F"/>
    <w:rsid w:val="5362532D"/>
    <w:rsid w:val="536E5A80"/>
    <w:rsid w:val="53771355"/>
    <w:rsid w:val="53794425"/>
    <w:rsid w:val="537A2677"/>
    <w:rsid w:val="538C05FC"/>
    <w:rsid w:val="53966D85"/>
    <w:rsid w:val="539D0113"/>
    <w:rsid w:val="53A25729"/>
    <w:rsid w:val="53AE40CE"/>
    <w:rsid w:val="53BD2563"/>
    <w:rsid w:val="53C658BC"/>
    <w:rsid w:val="53CA5790"/>
    <w:rsid w:val="53DF697E"/>
    <w:rsid w:val="53EB789C"/>
    <w:rsid w:val="53F266B1"/>
    <w:rsid w:val="54085ED4"/>
    <w:rsid w:val="54106B37"/>
    <w:rsid w:val="542B571F"/>
    <w:rsid w:val="542E16B3"/>
    <w:rsid w:val="543C792C"/>
    <w:rsid w:val="544260FD"/>
    <w:rsid w:val="54624EB9"/>
    <w:rsid w:val="54680721"/>
    <w:rsid w:val="54776BB6"/>
    <w:rsid w:val="54790B80"/>
    <w:rsid w:val="54931516"/>
    <w:rsid w:val="549A1AA7"/>
    <w:rsid w:val="54AD4386"/>
    <w:rsid w:val="54BC281B"/>
    <w:rsid w:val="54CB3991"/>
    <w:rsid w:val="54CB6F02"/>
    <w:rsid w:val="54DE4B42"/>
    <w:rsid w:val="54E104D3"/>
    <w:rsid w:val="54E3249D"/>
    <w:rsid w:val="54F2448F"/>
    <w:rsid w:val="54F55D2D"/>
    <w:rsid w:val="54F9581D"/>
    <w:rsid w:val="55012924"/>
    <w:rsid w:val="552E7574"/>
    <w:rsid w:val="553F738D"/>
    <w:rsid w:val="5540219F"/>
    <w:rsid w:val="554271C4"/>
    <w:rsid w:val="554D31A3"/>
    <w:rsid w:val="555D2250"/>
    <w:rsid w:val="55654C60"/>
    <w:rsid w:val="556C6C12"/>
    <w:rsid w:val="556E620B"/>
    <w:rsid w:val="557355CF"/>
    <w:rsid w:val="557B4484"/>
    <w:rsid w:val="557C1FAA"/>
    <w:rsid w:val="559B68D4"/>
    <w:rsid w:val="55A97243"/>
    <w:rsid w:val="55B300C2"/>
    <w:rsid w:val="55E262B1"/>
    <w:rsid w:val="55E64236"/>
    <w:rsid w:val="55EF3B1D"/>
    <w:rsid w:val="55F067F7"/>
    <w:rsid w:val="55F06C20"/>
    <w:rsid w:val="56226FF5"/>
    <w:rsid w:val="562E623D"/>
    <w:rsid w:val="56334D5F"/>
    <w:rsid w:val="563A60ED"/>
    <w:rsid w:val="566E5D97"/>
    <w:rsid w:val="56772E9D"/>
    <w:rsid w:val="56786C15"/>
    <w:rsid w:val="56925F29"/>
    <w:rsid w:val="569752EE"/>
    <w:rsid w:val="56A17F1A"/>
    <w:rsid w:val="56A94110"/>
    <w:rsid w:val="56B23183"/>
    <w:rsid w:val="56C1680E"/>
    <w:rsid w:val="56D47F14"/>
    <w:rsid w:val="56DA342C"/>
    <w:rsid w:val="56E60023"/>
    <w:rsid w:val="56E66275"/>
    <w:rsid w:val="56F95FA8"/>
    <w:rsid w:val="570A1F63"/>
    <w:rsid w:val="571903F8"/>
    <w:rsid w:val="572528F9"/>
    <w:rsid w:val="57272B15"/>
    <w:rsid w:val="572927F8"/>
    <w:rsid w:val="5737087F"/>
    <w:rsid w:val="574E75D2"/>
    <w:rsid w:val="57534881"/>
    <w:rsid w:val="575925A3"/>
    <w:rsid w:val="576D42A0"/>
    <w:rsid w:val="578C4726"/>
    <w:rsid w:val="57945CD1"/>
    <w:rsid w:val="57A44166"/>
    <w:rsid w:val="57AC4DC9"/>
    <w:rsid w:val="57B27E22"/>
    <w:rsid w:val="57D367F9"/>
    <w:rsid w:val="57E26A3C"/>
    <w:rsid w:val="57E427B4"/>
    <w:rsid w:val="57E76DCC"/>
    <w:rsid w:val="580B5F93"/>
    <w:rsid w:val="58247055"/>
    <w:rsid w:val="582F1556"/>
    <w:rsid w:val="585A65D3"/>
    <w:rsid w:val="58694DA2"/>
    <w:rsid w:val="586B4C84"/>
    <w:rsid w:val="58711B6E"/>
    <w:rsid w:val="587F428B"/>
    <w:rsid w:val="588B70D4"/>
    <w:rsid w:val="58975A79"/>
    <w:rsid w:val="58CB5722"/>
    <w:rsid w:val="58DC7930"/>
    <w:rsid w:val="58E6255C"/>
    <w:rsid w:val="58E81E30"/>
    <w:rsid w:val="58FA064D"/>
    <w:rsid w:val="59123351"/>
    <w:rsid w:val="59374B66"/>
    <w:rsid w:val="59417793"/>
    <w:rsid w:val="594F3C5E"/>
    <w:rsid w:val="595219A0"/>
    <w:rsid w:val="59545718"/>
    <w:rsid w:val="595B6AA6"/>
    <w:rsid w:val="596D0588"/>
    <w:rsid w:val="598A738C"/>
    <w:rsid w:val="59934492"/>
    <w:rsid w:val="59A33FA9"/>
    <w:rsid w:val="59A57D21"/>
    <w:rsid w:val="59AF294E"/>
    <w:rsid w:val="59DE3233"/>
    <w:rsid w:val="59E85E60"/>
    <w:rsid w:val="59E92304"/>
    <w:rsid w:val="5A074538"/>
    <w:rsid w:val="5A117165"/>
    <w:rsid w:val="5A1A070F"/>
    <w:rsid w:val="5A1A3741"/>
    <w:rsid w:val="5A405C9C"/>
    <w:rsid w:val="5A470DD9"/>
    <w:rsid w:val="5A673229"/>
    <w:rsid w:val="5A706581"/>
    <w:rsid w:val="5A7D0C9E"/>
    <w:rsid w:val="5A92474A"/>
    <w:rsid w:val="5A987886"/>
    <w:rsid w:val="5AC62645"/>
    <w:rsid w:val="5AD76600"/>
    <w:rsid w:val="5AE12FDB"/>
    <w:rsid w:val="5AE15FF4"/>
    <w:rsid w:val="5AF96577"/>
    <w:rsid w:val="5AFE3B8D"/>
    <w:rsid w:val="5B1F09BF"/>
    <w:rsid w:val="5B24111A"/>
    <w:rsid w:val="5B2F1F99"/>
    <w:rsid w:val="5B323837"/>
    <w:rsid w:val="5B3D3F8A"/>
    <w:rsid w:val="5B503CBD"/>
    <w:rsid w:val="5B681491"/>
    <w:rsid w:val="5B6F6839"/>
    <w:rsid w:val="5B7200D7"/>
    <w:rsid w:val="5B8322E4"/>
    <w:rsid w:val="5B863B83"/>
    <w:rsid w:val="5B865931"/>
    <w:rsid w:val="5B9B5880"/>
    <w:rsid w:val="5BA142A2"/>
    <w:rsid w:val="5BB64468"/>
    <w:rsid w:val="5BC00E43"/>
    <w:rsid w:val="5BC36B85"/>
    <w:rsid w:val="5BD112A2"/>
    <w:rsid w:val="5BE74621"/>
    <w:rsid w:val="5BE82147"/>
    <w:rsid w:val="5BF175E7"/>
    <w:rsid w:val="5C0276AD"/>
    <w:rsid w:val="5C311D40"/>
    <w:rsid w:val="5C3D2493"/>
    <w:rsid w:val="5C3F445D"/>
    <w:rsid w:val="5C583771"/>
    <w:rsid w:val="5C814A76"/>
    <w:rsid w:val="5C871960"/>
    <w:rsid w:val="5C891B7C"/>
    <w:rsid w:val="5C950521"/>
    <w:rsid w:val="5C9D1184"/>
    <w:rsid w:val="5CA644DC"/>
    <w:rsid w:val="5CC52489"/>
    <w:rsid w:val="5CD03307"/>
    <w:rsid w:val="5CDD5A24"/>
    <w:rsid w:val="5CED3EB9"/>
    <w:rsid w:val="5D011713"/>
    <w:rsid w:val="5D017965"/>
    <w:rsid w:val="5D080CF3"/>
    <w:rsid w:val="5D096819"/>
    <w:rsid w:val="5D26561D"/>
    <w:rsid w:val="5D275B74"/>
    <w:rsid w:val="5D2D075A"/>
    <w:rsid w:val="5D3867A1"/>
    <w:rsid w:val="5D4E247E"/>
    <w:rsid w:val="5D5201C0"/>
    <w:rsid w:val="5D69550A"/>
    <w:rsid w:val="5D8440F2"/>
    <w:rsid w:val="5D852344"/>
    <w:rsid w:val="5D8F31C2"/>
    <w:rsid w:val="5DAF2843"/>
    <w:rsid w:val="5DBF512A"/>
    <w:rsid w:val="5DC04449"/>
    <w:rsid w:val="5DCA41FA"/>
    <w:rsid w:val="5DCC593B"/>
    <w:rsid w:val="5DD76917"/>
    <w:rsid w:val="5DDE6906"/>
    <w:rsid w:val="5DEF3C61"/>
    <w:rsid w:val="5DF254FF"/>
    <w:rsid w:val="5DF9063C"/>
    <w:rsid w:val="5E1B088B"/>
    <w:rsid w:val="5E1B6804"/>
    <w:rsid w:val="5E2356B9"/>
    <w:rsid w:val="5E2E29DB"/>
    <w:rsid w:val="5E3B0C54"/>
    <w:rsid w:val="5E4A0E97"/>
    <w:rsid w:val="5E4A533B"/>
    <w:rsid w:val="5E56783C"/>
    <w:rsid w:val="5E655CD1"/>
    <w:rsid w:val="5E6B3663"/>
    <w:rsid w:val="5E850121"/>
    <w:rsid w:val="5E912F6A"/>
    <w:rsid w:val="5E9F5687"/>
    <w:rsid w:val="5EAE58CA"/>
    <w:rsid w:val="5ED44178"/>
    <w:rsid w:val="5EFD415C"/>
    <w:rsid w:val="5F021772"/>
    <w:rsid w:val="5F0674B4"/>
    <w:rsid w:val="5F144B06"/>
    <w:rsid w:val="5F166FCB"/>
    <w:rsid w:val="5F1F40D2"/>
    <w:rsid w:val="5F2E07B9"/>
    <w:rsid w:val="5F30008D"/>
    <w:rsid w:val="5F3758C0"/>
    <w:rsid w:val="5F3D09FC"/>
    <w:rsid w:val="5F426012"/>
    <w:rsid w:val="5F441D8B"/>
    <w:rsid w:val="5F4B136B"/>
    <w:rsid w:val="5F5D4BFA"/>
    <w:rsid w:val="5F5E109E"/>
    <w:rsid w:val="5F7F2DC3"/>
    <w:rsid w:val="5F8D54E0"/>
    <w:rsid w:val="5F901C5C"/>
    <w:rsid w:val="5FA42829"/>
    <w:rsid w:val="5FB24212"/>
    <w:rsid w:val="5FBC7B73"/>
    <w:rsid w:val="5FE315A4"/>
    <w:rsid w:val="5FE377F5"/>
    <w:rsid w:val="5FF27A39"/>
    <w:rsid w:val="6008100A"/>
    <w:rsid w:val="601131A9"/>
    <w:rsid w:val="60213E7A"/>
    <w:rsid w:val="602A2D2E"/>
    <w:rsid w:val="60365B77"/>
    <w:rsid w:val="603D6F06"/>
    <w:rsid w:val="60491541"/>
    <w:rsid w:val="606049A2"/>
    <w:rsid w:val="607448F1"/>
    <w:rsid w:val="60765F74"/>
    <w:rsid w:val="6089214B"/>
    <w:rsid w:val="60934D78"/>
    <w:rsid w:val="6098238E"/>
    <w:rsid w:val="609F196E"/>
    <w:rsid w:val="60B62814"/>
    <w:rsid w:val="60C03231"/>
    <w:rsid w:val="60CC2038"/>
    <w:rsid w:val="60D94755"/>
    <w:rsid w:val="60F670B5"/>
    <w:rsid w:val="60F82E2D"/>
    <w:rsid w:val="60F872D1"/>
    <w:rsid w:val="613A3445"/>
    <w:rsid w:val="613B33A9"/>
    <w:rsid w:val="615D1AB0"/>
    <w:rsid w:val="617A5F38"/>
    <w:rsid w:val="61840B64"/>
    <w:rsid w:val="61BC02FE"/>
    <w:rsid w:val="61BC3E5A"/>
    <w:rsid w:val="61C04C8C"/>
    <w:rsid w:val="61ED04B8"/>
    <w:rsid w:val="61F31031"/>
    <w:rsid w:val="620852F1"/>
    <w:rsid w:val="620C3034"/>
    <w:rsid w:val="622F0AD0"/>
    <w:rsid w:val="625D388F"/>
    <w:rsid w:val="625F1FDD"/>
    <w:rsid w:val="62600C89"/>
    <w:rsid w:val="6268653A"/>
    <w:rsid w:val="629923ED"/>
    <w:rsid w:val="62A768B8"/>
    <w:rsid w:val="62BB05B6"/>
    <w:rsid w:val="62C841A3"/>
    <w:rsid w:val="62CA07F9"/>
    <w:rsid w:val="62CA6A4B"/>
    <w:rsid w:val="62CC631F"/>
    <w:rsid w:val="62D653F0"/>
    <w:rsid w:val="62D82F16"/>
    <w:rsid w:val="62D90A3C"/>
    <w:rsid w:val="62DE6052"/>
    <w:rsid w:val="62FA7330"/>
    <w:rsid w:val="6300246C"/>
    <w:rsid w:val="630E06E5"/>
    <w:rsid w:val="6317721D"/>
    <w:rsid w:val="63350368"/>
    <w:rsid w:val="63365E8E"/>
    <w:rsid w:val="633B16F7"/>
    <w:rsid w:val="63410154"/>
    <w:rsid w:val="63422A85"/>
    <w:rsid w:val="634C3904"/>
    <w:rsid w:val="63585E05"/>
    <w:rsid w:val="63626C83"/>
    <w:rsid w:val="638E4DF7"/>
    <w:rsid w:val="63936E3D"/>
    <w:rsid w:val="639A01CB"/>
    <w:rsid w:val="63EB6C79"/>
    <w:rsid w:val="63F02630"/>
    <w:rsid w:val="640815D9"/>
    <w:rsid w:val="640B2E77"/>
    <w:rsid w:val="640F6E0B"/>
    <w:rsid w:val="64124205"/>
    <w:rsid w:val="64144421"/>
    <w:rsid w:val="643E4FFA"/>
    <w:rsid w:val="6448700C"/>
    <w:rsid w:val="645412F8"/>
    <w:rsid w:val="646D1D84"/>
    <w:rsid w:val="64735C16"/>
    <w:rsid w:val="647629E6"/>
    <w:rsid w:val="6488096B"/>
    <w:rsid w:val="648B3FB8"/>
    <w:rsid w:val="649B41FB"/>
    <w:rsid w:val="64AA08E2"/>
    <w:rsid w:val="64BF46EE"/>
    <w:rsid w:val="64C37BF6"/>
    <w:rsid w:val="64D37E39"/>
    <w:rsid w:val="64E060B2"/>
    <w:rsid w:val="64E536C8"/>
    <w:rsid w:val="64E738E4"/>
    <w:rsid w:val="64E7797E"/>
    <w:rsid w:val="64EF4547"/>
    <w:rsid w:val="64F32289"/>
    <w:rsid w:val="64F953C5"/>
    <w:rsid w:val="64FF4C8A"/>
    <w:rsid w:val="651144BD"/>
    <w:rsid w:val="6518584B"/>
    <w:rsid w:val="651D7306"/>
    <w:rsid w:val="652C12F7"/>
    <w:rsid w:val="652E32C1"/>
    <w:rsid w:val="65406F24"/>
    <w:rsid w:val="65532D27"/>
    <w:rsid w:val="65807D2E"/>
    <w:rsid w:val="6589499B"/>
    <w:rsid w:val="658C7FE7"/>
    <w:rsid w:val="658D448B"/>
    <w:rsid w:val="65A13A93"/>
    <w:rsid w:val="65BF03BD"/>
    <w:rsid w:val="65C43C25"/>
    <w:rsid w:val="65D025CA"/>
    <w:rsid w:val="65D10CAC"/>
    <w:rsid w:val="65D5373C"/>
    <w:rsid w:val="65DC5DBF"/>
    <w:rsid w:val="65DF45BB"/>
    <w:rsid w:val="660109D5"/>
    <w:rsid w:val="66012783"/>
    <w:rsid w:val="66157F23"/>
    <w:rsid w:val="661A3845"/>
    <w:rsid w:val="66302417"/>
    <w:rsid w:val="663253A6"/>
    <w:rsid w:val="663568D1"/>
    <w:rsid w:val="663D12E2"/>
    <w:rsid w:val="66507267"/>
    <w:rsid w:val="665E3732"/>
    <w:rsid w:val="66652D12"/>
    <w:rsid w:val="667271DD"/>
    <w:rsid w:val="668B029F"/>
    <w:rsid w:val="668F4233"/>
    <w:rsid w:val="66967370"/>
    <w:rsid w:val="669862A3"/>
    <w:rsid w:val="66B617C0"/>
    <w:rsid w:val="66BD3978"/>
    <w:rsid w:val="66CA526B"/>
    <w:rsid w:val="66D32372"/>
    <w:rsid w:val="670267B3"/>
    <w:rsid w:val="6703252B"/>
    <w:rsid w:val="67065B78"/>
    <w:rsid w:val="670869A1"/>
    <w:rsid w:val="671E7365"/>
    <w:rsid w:val="672151C5"/>
    <w:rsid w:val="672506F4"/>
    <w:rsid w:val="672755B0"/>
    <w:rsid w:val="67535261"/>
    <w:rsid w:val="67550FD9"/>
    <w:rsid w:val="675608AD"/>
    <w:rsid w:val="677376B1"/>
    <w:rsid w:val="67786A75"/>
    <w:rsid w:val="677F0672"/>
    <w:rsid w:val="67803B7C"/>
    <w:rsid w:val="6787315C"/>
    <w:rsid w:val="678C2521"/>
    <w:rsid w:val="679338AF"/>
    <w:rsid w:val="679B6D62"/>
    <w:rsid w:val="67A264AA"/>
    <w:rsid w:val="67A80605"/>
    <w:rsid w:val="67BA0E3C"/>
    <w:rsid w:val="67CE2B39"/>
    <w:rsid w:val="67D57A24"/>
    <w:rsid w:val="681A3FD0"/>
    <w:rsid w:val="68295FC1"/>
    <w:rsid w:val="682D3D04"/>
    <w:rsid w:val="682E5386"/>
    <w:rsid w:val="684626D0"/>
    <w:rsid w:val="684A6664"/>
    <w:rsid w:val="684D1CB0"/>
    <w:rsid w:val="686D2352"/>
    <w:rsid w:val="68701E42"/>
    <w:rsid w:val="687C2595"/>
    <w:rsid w:val="687E455F"/>
    <w:rsid w:val="687F5BE1"/>
    <w:rsid w:val="68882CE8"/>
    <w:rsid w:val="68A72550"/>
    <w:rsid w:val="68AB4C28"/>
    <w:rsid w:val="68B7181F"/>
    <w:rsid w:val="68D51CA5"/>
    <w:rsid w:val="68D73C6F"/>
    <w:rsid w:val="68E41190"/>
    <w:rsid w:val="68E51EE8"/>
    <w:rsid w:val="68E73E66"/>
    <w:rsid w:val="68F93BE6"/>
    <w:rsid w:val="68FE2FAA"/>
    <w:rsid w:val="69167A2A"/>
    <w:rsid w:val="69236EB5"/>
    <w:rsid w:val="692A0243"/>
    <w:rsid w:val="69306483"/>
    <w:rsid w:val="69390486"/>
    <w:rsid w:val="693D7F76"/>
    <w:rsid w:val="693E784B"/>
    <w:rsid w:val="69474951"/>
    <w:rsid w:val="6954706E"/>
    <w:rsid w:val="695E1C9B"/>
    <w:rsid w:val="696E0130"/>
    <w:rsid w:val="69807E63"/>
    <w:rsid w:val="69824564"/>
    <w:rsid w:val="69931944"/>
    <w:rsid w:val="699658D9"/>
    <w:rsid w:val="69A00505"/>
    <w:rsid w:val="69A578CA"/>
    <w:rsid w:val="69B31FE7"/>
    <w:rsid w:val="69C53AC8"/>
    <w:rsid w:val="69D65CD5"/>
    <w:rsid w:val="69D81A4D"/>
    <w:rsid w:val="69DF0F70"/>
    <w:rsid w:val="69E5416A"/>
    <w:rsid w:val="69E623BC"/>
    <w:rsid w:val="69E72CD3"/>
    <w:rsid w:val="69EC374B"/>
    <w:rsid w:val="6A0960AB"/>
    <w:rsid w:val="6A132A85"/>
    <w:rsid w:val="6A1F767C"/>
    <w:rsid w:val="6A242EE4"/>
    <w:rsid w:val="6A301889"/>
    <w:rsid w:val="6A3273AF"/>
    <w:rsid w:val="6A356EA0"/>
    <w:rsid w:val="6A413A96"/>
    <w:rsid w:val="6A5A6906"/>
    <w:rsid w:val="6A611A43"/>
    <w:rsid w:val="6A687275"/>
    <w:rsid w:val="6A731776"/>
    <w:rsid w:val="6A8C4103"/>
    <w:rsid w:val="6A941E18"/>
    <w:rsid w:val="6A96214C"/>
    <w:rsid w:val="6AA81420"/>
    <w:rsid w:val="6AB853DB"/>
    <w:rsid w:val="6AC912F0"/>
    <w:rsid w:val="6ADA17F5"/>
    <w:rsid w:val="6AE54422"/>
    <w:rsid w:val="6AF74155"/>
    <w:rsid w:val="6AFC0FC1"/>
    <w:rsid w:val="6B0074AE"/>
    <w:rsid w:val="6B0625EA"/>
    <w:rsid w:val="6B146AB5"/>
    <w:rsid w:val="6B15282D"/>
    <w:rsid w:val="6B1B7E43"/>
    <w:rsid w:val="6B1C3BBC"/>
    <w:rsid w:val="6B2272E2"/>
    <w:rsid w:val="6B4D1FC7"/>
    <w:rsid w:val="6B601CFA"/>
    <w:rsid w:val="6B7314EF"/>
    <w:rsid w:val="6B7439F8"/>
    <w:rsid w:val="6B79100E"/>
    <w:rsid w:val="6BA50055"/>
    <w:rsid w:val="6BAF4A30"/>
    <w:rsid w:val="6BB67B6C"/>
    <w:rsid w:val="6BBB33D4"/>
    <w:rsid w:val="6BBD0EFB"/>
    <w:rsid w:val="6BC229B5"/>
    <w:rsid w:val="6BEA5A9E"/>
    <w:rsid w:val="6BEC5C84"/>
    <w:rsid w:val="6BF347C4"/>
    <w:rsid w:val="6BF863D7"/>
    <w:rsid w:val="6BF95CAB"/>
    <w:rsid w:val="6C05633C"/>
    <w:rsid w:val="6C092392"/>
    <w:rsid w:val="6C133210"/>
    <w:rsid w:val="6C171E92"/>
    <w:rsid w:val="6C180827"/>
    <w:rsid w:val="6C1A00FB"/>
    <w:rsid w:val="6C313697"/>
    <w:rsid w:val="6C4433CA"/>
    <w:rsid w:val="6C494E84"/>
    <w:rsid w:val="6C580C23"/>
    <w:rsid w:val="6C5F0204"/>
    <w:rsid w:val="6C845EBC"/>
    <w:rsid w:val="6C861C34"/>
    <w:rsid w:val="6C88775B"/>
    <w:rsid w:val="6C8D4D71"/>
    <w:rsid w:val="6CA34594"/>
    <w:rsid w:val="6CA420BB"/>
    <w:rsid w:val="6CAB169B"/>
    <w:rsid w:val="6CB30550"/>
    <w:rsid w:val="6CB467A2"/>
    <w:rsid w:val="6CBF0CA2"/>
    <w:rsid w:val="6CCE7137"/>
    <w:rsid w:val="6CD40BF2"/>
    <w:rsid w:val="6CD429A0"/>
    <w:rsid w:val="6CDA788A"/>
    <w:rsid w:val="6CED1CB3"/>
    <w:rsid w:val="6CEE797C"/>
    <w:rsid w:val="6CFA617E"/>
    <w:rsid w:val="6D1A237D"/>
    <w:rsid w:val="6D21195D"/>
    <w:rsid w:val="6D2356D5"/>
    <w:rsid w:val="6D2A25C0"/>
    <w:rsid w:val="6D2B6338"/>
    <w:rsid w:val="6D4C4C2C"/>
    <w:rsid w:val="6D4F64CA"/>
    <w:rsid w:val="6D592EA5"/>
    <w:rsid w:val="6D594C53"/>
    <w:rsid w:val="6D785A21"/>
    <w:rsid w:val="6D7952F5"/>
    <w:rsid w:val="6D7D3037"/>
    <w:rsid w:val="6D82064E"/>
    <w:rsid w:val="6DA85BDA"/>
    <w:rsid w:val="6DAF6F69"/>
    <w:rsid w:val="6DB115EC"/>
    <w:rsid w:val="6DCF760B"/>
    <w:rsid w:val="6DD52834"/>
    <w:rsid w:val="6DDA2238"/>
    <w:rsid w:val="6DDD3AD6"/>
    <w:rsid w:val="6DEC5AC7"/>
    <w:rsid w:val="6DEE5CE3"/>
    <w:rsid w:val="6E0252EB"/>
    <w:rsid w:val="6E13574A"/>
    <w:rsid w:val="6E166FE8"/>
    <w:rsid w:val="6E272FA3"/>
    <w:rsid w:val="6E3A4A84"/>
    <w:rsid w:val="6E4771A1"/>
    <w:rsid w:val="6E4A0A40"/>
    <w:rsid w:val="6E62222D"/>
    <w:rsid w:val="6E661D1D"/>
    <w:rsid w:val="6E6733A0"/>
    <w:rsid w:val="6E69536A"/>
    <w:rsid w:val="6E697118"/>
    <w:rsid w:val="6E7873F9"/>
    <w:rsid w:val="6E873A42"/>
    <w:rsid w:val="6E8E6B7E"/>
    <w:rsid w:val="6E91041D"/>
    <w:rsid w:val="6E987696"/>
    <w:rsid w:val="6EA14B04"/>
    <w:rsid w:val="6EA2262A"/>
    <w:rsid w:val="6EA463A2"/>
    <w:rsid w:val="6EA6036C"/>
    <w:rsid w:val="6EBA3E17"/>
    <w:rsid w:val="6EBC193D"/>
    <w:rsid w:val="6EC30F1E"/>
    <w:rsid w:val="6EC6695C"/>
    <w:rsid w:val="6ED07197"/>
    <w:rsid w:val="6ED80F7B"/>
    <w:rsid w:val="6EDC5B3C"/>
    <w:rsid w:val="6EE40E94"/>
    <w:rsid w:val="6EEE3AC1"/>
    <w:rsid w:val="6EFC7F8C"/>
    <w:rsid w:val="6F0D7E9E"/>
    <w:rsid w:val="6F2D6397"/>
    <w:rsid w:val="6F47199B"/>
    <w:rsid w:val="6F502086"/>
    <w:rsid w:val="6F5462CC"/>
    <w:rsid w:val="6F651FD5"/>
    <w:rsid w:val="6F6D70DC"/>
    <w:rsid w:val="6F83245B"/>
    <w:rsid w:val="6F96218E"/>
    <w:rsid w:val="6F984159"/>
    <w:rsid w:val="6FA50623"/>
    <w:rsid w:val="6FB1521A"/>
    <w:rsid w:val="6FB16FC8"/>
    <w:rsid w:val="6FB70357"/>
    <w:rsid w:val="6FBB1BF5"/>
    <w:rsid w:val="6FBB39A3"/>
    <w:rsid w:val="6FBD3BBF"/>
    <w:rsid w:val="6FF173C5"/>
    <w:rsid w:val="700510C2"/>
    <w:rsid w:val="70057314"/>
    <w:rsid w:val="7012558D"/>
    <w:rsid w:val="70136A8B"/>
    <w:rsid w:val="702E23C7"/>
    <w:rsid w:val="704F0209"/>
    <w:rsid w:val="7053007F"/>
    <w:rsid w:val="7064228D"/>
    <w:rsid w:val="70776ED8"/>
    <w:rsid w:val="70A408DB"/>
    <w:rsid w:val="70AB3A18"/>
    <w:rsid w:val="70C96594"/>
    <w:rsid w:val="70DE4632"/>
    <w:rsid w:val="70DF36C1"/>
    <w:rsid w:val="70E76A1A"/>
    <w:rsid w:val="70ED2282"/>
    <w:rsid w:val="70ED4030"/>
    <w:rsid w:val="70F33611"/>
    <w:rsid w:val="70F3716D"/>
    <w:rsid w:val="71267542"/>
    <w:rsid w:val="71286452"/>
    <w:rsid w:val="71630796"/>
    <w:rsid w:val="717464FF"/>
    <w:rsid w:val="71752277"/>
    <w:rsid w:val="71754026"/>
    <w:rsid w:val="71770F2F"/>
    <w:rsid w:val="717A1819"/>
    <w:rsid w:val="71853A42"/>
    <w:rsid w:val="718801FD"/>
    <w:rsid w:val="71900E5F"/>
    <w:rsid w:val="719034E1"/>
    <w:rsid w:val="71926986"/>
    <w:rsid w:val="719A3A8C"/>
    <w:rsid w:val="71AD4EE0"/>
    <w:rsid w:val="71B66B18"/>
    <w:rsid w:val="71B763EC"/>
    <w:rsid w:val="71B91357"/>
    <w:rsid w:val="71BB412E"/>
    <w:rsid w:val="71C34D91"/>
    <w:rsid w:val="71C5381D"/>
    <w:rsid w:val="71CA611F"/>
    <w:rsid w:val="71D15700"/>
    <w:rsid w:val="71F47640"/>
    <w:rsid w:val="72073CA9"/>
    <w:rsid w:val="721101F2"/>
    <w:rsid w:val="72113D4E"/>
    <w:rsid w:val="721B4BCD"/>
    <w:rsid w:val="721D26F3"/>
    <w:rsid w:val="7229553C"/>
    <w:rsid w:val="72404633"/>
    <w:rsid w:val="72514A93"/>
    <w:rsid w:val="72516841"/>
    <w:rsid w:val="72554235"/>
    <w:rsid w:val="72606A84"/>
    <w:rsid w:val="72636BB1"/>
    <w:rsid w:val="72691DDC"/>
    <w:rsid w:val="727B1AA4"/>
    <w:rsid w:val="727D13E4"/>
    <w:rsid w:val="728E1843"/>
    <w:rsid w:val="7292242C"/>
    <w:rsid w:val="72A72905"/>
    <w:rsid w:val="72A9042B"/>
    <w:rsid w:val="72CC236B"/>
    <w:rsid w:val="72E15E16"/>
    <w:rsid w:val="72E2393D"/>
    <w:rsid w:val="72E26492"/>
    <w:rsid w:val="72EC0317"/>
    <w:rsid w:val="72F35B4A"/>
    <w:rsid w:val="72F84F0E"/>
    <w:rsid w:val="72FC49FE"/>
    <w:rsid w:val="72FF004B"/>
    <w:rsid w:val="732E6B82"/>
    <w:rsid w:val="73351CBE"/>
    <w:rsid w:val="73357F10"/>
    <w:rsid w:val="733C4DFB"/>
    <w:rsid w:val="73497518"/>
    <w:rsid w:val="73506AF8"/>
    <w:rsid w:val="73560972"/>
    <w:rsid w:val="736425A4"/>
    <w:rsid w:val="73733F24"/>
    <w:rsid w:val="73775FE8"/>
    <w:rsid w:val="73813156"/>
    <w:rsid w:val="73814F04"/>
    <w:rsid w:val="739A7D73"/>
    <w:rsid w:val="739C1D3D"/>
    <w:rsid w:val="739C3AEB"/>
    <w:rsid w:val="73AF381F"/>
    <w:rsid w:val="73BF77DA"/>
    <w:rsid w:val="73DA4614"/>
    <w:rsid w:val="73E73399"/>
    <w:rsid w:val="73F27BAF"/>
    <w:rsid w:val="73FE47A6"/>
    <w:rsid w:val="74220495"/>
    <w:rsid w:val="743326A2"/>
    <w:rsid w:val="743E2DF5"/>
    <w:rsid w:val="74534AF2"/>
    <w:rsid w:val="746D7236"/>
    <w:rsid w:val="74736F42"/>
    <w:rsid w:val="74775787"/>
    <w:rsid w:val="747B1953"/>
    <w:rsid w:val="747F7695"/>
    <w:rsid w:val="748527D2"/>
    <w:rsid w:val="74AA5A49"/>
    <w:rsid w:val="74AC7D5E"/>
    <w:rsid w:val="74BE7A92"/>
    <w:rsid w:val="74D472B5"/>
    <w:rsid w:val="74EC2851"/>
    <w:rsid w:val="74F33BDF"/>
    <w:rsid w:val="74F6722B"/>
    <w:rsid w:val="74F74AF6"/>
    <w:rsid w:val="75047B9A"/>
    <w:rsid w:val="752C70F1"/>
    <w:rsid w:val="75377F70"/>
    <w:rsid w:val="753D30AC"/>
    <w:rsid w:val="75410DEE"/>
    <w:rsid w:val="75422471"/>
    <w:rsid w:val="754601B3"/>
    <w:rsid w:val="754C32EF"/>
    <w:rsid w:val="7550602B"/>
    <w:rsid w:val="7557416E"/>
    <w:rsid w:val="756218C5"/>
    <w:rsid w:val="75652227"/>
    <w:rsid w:val="75734D20"/>
    <w:rsid w:val="75736ACE"/>
    <w:rsid w:val="75866801"/>
    <w:rsid w:val="7589009F"/>
    <w:rsid w:val="758D4034"/>
    <w:rsid w:val="75A66EA3"/>
    <w:rsid w:val="75B4336E"/>
    <w:rsid w:val="75B72E5F"/>
    <w:rsid w:val="75B82733"/>
    <w:rsid w:val="75CA0DE4"/>
    <w:rsid w:val="75CB4B5C"/>
    <w:rsid w:val="75CB690A"/>
    <w:rsid w:val="75D05CCE"/>
    <w:rsid w:val="75D43A11"/>
    <w:rsid w:val="75F220E9"/>
    <w:rsid w:val="75F23E97"/>
    <w:rsid w:val="75F419BD"/>
    <w:rsid w:val="75FE283B"/>
    <w:rsid w:val="75FF0362"/>
    <w:rsid w:val="760140DA"/>
    <w:rsid w:val="7614205F"/>
    <w:rsid w:val="761E6A3A"/>
    <w:rsid w:val="76283826"/>
    <w:rsid w:val="762A53DF"/>
    <w:rsid w:val="764566BC"/>
    <w:rsid w:val="76544B51"/>
    <w:rsid w:val="766703E1"/>
    <w:rsid w:val="76880357"/>
    <w:rsid w:val="768852C2"/>
    <w:rsid w:val="768E0063"/>
    <w:rsid w:val="76984A3E"/>
    <w:rsid w:val="76A4500F"/>
    <w:rsid w:val="76A50F09"/>
    <w:rsid w:val="76CA4E14"/>
    <w:rsid w:val="76D96E05"/>
    <w:rsid w:val="76EB7264"/>
    <w:rsid w:val="77075720"/>
    <w:rsid w:val="7709593C"/>
    <w:rsid w:val="7715608F"/>
    <w:rsid w:val="772207AC"/>
    <w:rsid w:val="772B58B2"/>
    <w:rsid w:val="772E0EFE"/>
    <w:rsid w:val="77430E54"/>
    <w:rsid w:val="77493F8A"/>
    <w:rsid w:val="774C75D7"/>
    <w:rsid w:val="774D3A7A"/>
    <w:rsid w:val="775A6197"/>
    <w:rsid w:val="77756B2D"/>
    <w:rsid w:val="77784870"/>
    <w:rsid w:val="77813724"/>
    <w:rsid w:val="7790767F"/>
    <w:rsid w:val="77A86F03"/>
    <w:rsid w:val="77CB0E43"/>
    <w:rsid w:val="77D221D2"/>
    <w:rsid w:val="77ED2B68"/>
    <w:rsid w:val="77F43EF6"/>
    <w:rsid w:val="77F5069A"/>
    <w:rsid w:val="77FA5285"/>
    <w:rsid w:val="781A76D5"/>
    <w:rsid w:val="78210A63"/>
    <w:rsid w:val="78267E28"/>
    <w:rsid w:val="78324A1E"/>
    <w:rsid w:val="78434E7D"/>
    <w:rsid w:val="78484242"/>
    <w:rsid w:val="786916FF"/>
    <w:rsid w:val="786A240A"/>
    <w:rsid w:val="78872FBC"/>
    <w:rsid w:val="78A51694"/>
    <w:rsid w:val="78AE64F4"/>
    <w:rsid w:val="78BE03A8"/>
    <w:rsid w:val="78BE7249"/>
    <w:rsid w:val="78D773C9"/>
    <w:rsid w:val="78E2060D"/>
    <w:rsid w:val="78E26444"/>
    <w:rsid w:val="78E35D19"/>
    <w:rsid w:val="78E51A91"/>
    <w:rsid w:val="78EA70A7"/>
    <w:rsid w:val="790F6B0E"/>
    <w:rsid w:val="79112886"/>
    <w:rsid w:val="791A1E16"/>
    <w:rsid w:val="792627D5"/>
    <w:rsid w:val="792C5912"/>
    <w:rsid w:val="792E168A"/>
    <w:rsid w:val="79347D59"/>
    <w:rsid w:val="79366790"/>
    <w:rsid w:val="79492020"/>
    <w:rsid w:val="794964C4"/>
    <w:rsid w:val="79554E68"/>
    <w:rsid w:val="79586707"/>
    <w:rsid w:val="795E63F5"/>
    <w:rsid w:val="796450AB"/>
    <w:rsid w:val="79752E15"/>
    <w:rsid w:val="798474FC"/>
    <w:rsid w:val="798B2638"/>
    <w:rsid w:val="79946B31"/>
    <w:rsid w:val="79AB2CDA"/>
    <w:rsid w:val="79AC612F"/>
    <w:rsid w:val="79B70BEC"/>
    <w:rsid w:val="79C515B9"/>
    <w:rsid w:val="79CB440F"/>
    <w:rsid w:val="79CD0EA3"/>
    <w:rsid w:val="79CD2C51"/>
    <w:rsid w:val="79E81839"/>
    <w:rsid w:val="79F04B91"/>
    <w:rsid w:val="79FC3536"/>
    <w:rsid w:val="79FF61D3"/>
    <w:rsid w:val="7A01504A"/>
    <w:rsid w:val="7A100D8F"/>
    <w:rsid w:val="7A124B07"/>
    <w:rsid w:val="7A15269A"/>
    <w:rsid w:val="7A1E525A"/>
    <w:rsid w:val="7A293BFF"/>
    <w:rsid w:val="7A5A025C"/>
    <w:rsid w:val="7A65732D"/>
    <w:rsid w:val="7A666C01"/>
    <w:rsid w:val="7A70182E"/>
    <w:rsid w:val="7A813A3B"/>
    <w:rsid w:val="7A8F43AA"/>
    <w:rsid w:val="7AAF67FA"/>
    <w:rsid w:val="7AB20098"/>
    <w:rsid w:val="7AD41DBD"/>
    <w:rsid w:val="7AD85D51"/>
    <w:rsid w:val="7AF16E13"/>
    <w:rsid w:val="7AF4420D"/>
    <w:rsid w:val="7B0703E4"/>
    <w:rsid w:val="7B0D52CF"/>
    <w:rsid w:val="7B104793"/>
    <w:rsid w:val="7B242D44"/>
    <w:rsid w:val="7B2D73B5"/>
    <w:rsid w:val="7B2E771F"/>
    <w:rsid w:val="7B334D35"/>
    <w:rsid w:val="7B340AAD"/>
    <w:rsid w:val="7B362A78"/>
    <w:rsid w:val="7B4231CA"/>
    <w:rsid w:val="7B430CF1"/>
    <w:rsid w:val="7B4E6013"/>
    <w:rsid w:val="7B7535A0"/>
    <w:rsid w:val="7B7D06A6"/>
    <w:rsid w:val="7B826FB5"/>
    <w:rsid w:val="7B9147BF"/>
    <w:rsid w:val="7B9D6653"/>
    <w:rsid w:val="7BBC11CF"/>
    <w:rsid w:val="7BCB1412"/>
    <w:rsid w:val="7BD06A28"/>
    <w:rsid w:val="7BEE3352"/>
    <w:rsid w:val="7BFE73B1"/>
    <w:rsid w:val="7C030BAC"/>
    <w:rsid w:val="7C2848F5"/>
    <w:rsid w:val="7C336FB7"/>
    <w:rsid w:val="7C43369E"/>
    <w:rsid w:val="7C6F4493"/>
    <w:rsid w:val="7C7E0232"/>
    <w:rsid w:val="7C943EFA"/>
    <w:rsid w:val="7C9C4B5C"/>
    <w:rsid w:val="7C9E2682"/>
    <w:rsid w:val="7C9E6B26"/>
    <w:rsid w:val="7CA659DB"/>
    <w:rsid w:val="7CAD6D69"/>
    <w:rsid w:val="7CAF4890"/>
    <w:rsid w:val="7CB93960"/>
    <w:rsid w:val="7CE87DA1"/>
    <w:rsid w:val="7D126BCC"/>
    <w:rsid w:val="7D3354C1"/>
    <w:rsid w:val="7D384885"/>
    <w:rsid w:val="7D3B6123"/>
    <w:rsid w:val="7D5316BF"/>
    <w:rsid w:val="7D637428"/>
    <w:rsid w:val="7D67516A"/>
    <w:rsid w:val="7D7358BD"/>
    <w:rsid w:val="7D7D673C"/>
    <w:rsid w:val="7D896D97"/>
    <w:rsid w:val="7D8C697F"/>
    <w:rsid w:val="7D935F5F"/>
    <w:rsid w:val="7D951CD7"/>
    <w:rsid w:val="7D9D6DDE"/>
    <w:rsid w:val="7DA737B9"/>
    <w:rsid w:val="7DAF266D"/>
    <w:rsid w:val="7DCE51E9"/>
    <w:rsid w:val="7DD30741"/>
    <w:rsid w:val="7DEC38C1"/>
    <w:rsid w:val="7DF369FE"/>
    <w:rsid w:val="7E097FCF"/>
    <w:rsid w:val="7E1536A4"/>
    <w:rsid w:val="7E282B4B"/>
    <w:rsid w:val="7E357016"/>
    <w:rsid w:val="7E492AC2"/>
    <w:rsid w:val="7E5020A2"/>
    <w:rsid w:val="7E6B6EDC"/>
    <w:rsid w:val="7E723DC7"/>
    <w:rsid w:val="7E7318ED"/>
    <w:rsid w:val="7E891110"/>
    <w:rsid w:val="7E9401E1"/>
    <w:rsid w:val="7E97382D"/>
    <w:rsid w:val="7EA1645A"/>
    <w:rsid w:val="7EA5419C"/>
    <w:rsid w:val="7EAB2C22"/>
    <w:rsid w:val="7EAB72D9"/>
    <w:rsid w:val="7EB937A4"/>
    <w:rsid w:val="7EBC6B26"/>
    <w:rsid w:val="7EC363D0"/>
    <w:rsid w:val="7ECA3C03"/>
    <w:rsid w:val="7ED14F91"/>
    <w:rsid w:val="7EE36A72"/>
    <w:rsid w:val="7EE90C95"/>
    <w:rsid w:val="7F196938"/>
    <w:rsid w:val="7F203823"/>
    <w:rsid w:val="7F2D4191"/>
    <w:rsid w:val="7F2F1CB8"/>
    <w:rsid w:val="7F301B81"/>
    <w:rsid w:val="7F3207A9"/>
    <w:rsid w:val="7F370B6C"/>
    <w:rsid w:val="7F3E639F"/>
    <w:rsid w:val="7F464068"/>
    <w:rsid w:val="7F53229D"/>
    <w:rsid w:val="7F5F07EF"/>
    <w:rsid w:val="7F686F78"/>
    <w:rsid w:val="7F6D458E"/>
    <w:rsid w:val="7F736048"/>
    <w:rsid w:val="7F743B6E"/>
    <w:rsid w:val="7F802513"/>
    <w:rsid w:val="7F875650"/>
    <w:rsid w:val="7F9E72D8"/>
    <w:rsid w:val="7FAC4BF1"/>
    <w:rsid w:val="7FB30672"/>
    <w:rsid w:val="7FB36445"/>
    <w:rsid w:val="7FB87EFF"/>
    <w:rsid w:val="7FBB354B"/>
    <w:rsid w:val="7FCA19E0"/>
    <w:rsid w:val="7FCA378E"/>
    <w:rsid w:val="7FCC7507"/>
    <w:rsid w:val="7FE91E78"/>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51"/>
    <w:qFormat/>
    <w:uiPriority w:val="0"/>
    <w:pPr>
      <w:keepNext/>
      <w:keepLines/>
      <w:widowControl/>
      <w:spacing w:before="100" w:after="90" w:line="578" w:lineRule="auto"/>
      <w:jc w:val="center"/>
      <w:outlineLvl w:val="0"/>
    </w:pPr>
    <w:rPr>
      <w:rFonts w:ascii="宋体" w:hAnsi="宋体" w:eastAsia="宋体" w:cs="宋体"/>
      <w:b/>
      <w:bCs/>
      <w:kern w:val="44"/>
      <w:sz w:val="36"/>
      <w:szCs w:val="44"/>
    </w:rPr>
  </w:style>
  <w:style w:type="paragraph" w:styleId="7">
    <w:name w:val="heading 2"/>
    <w:basedOn w:val="1"/>
    <w:next w:val="1"/>
    <w:unhideWhenUsed/>
    <w:qFormat/>
    <w:uiPriority w:val="0"/>
    <w:pPr>
      <w:keepNext/>
      <w:keepLines/>
      <w:spacing w:beforeLines="0" w:beforeAutospacing="0" w:afterLines="0" w:afterAutospacing="0" w:line="360" w:lineRule="auto"/>
      <w:ind w:firstLine="0" w:firstLineChars="0"/>
      <w:outlineLvl w:val="1"/>
    </w:pPr>
    <w:rPr>
      <w:rFonts w:ascii="Times New Roman" w:hAnsi="Times New Roman" w:eastAsia="宋体" w:cs="Times New Roman"/>
      <w:b/>
      <w:sz w:val="32"/>
      <w:szCs w:val="32"/>
    </w:rPr>
  </w:style>
  <w:style w:type="paragraph" w:styleId="8">
    <w:name w:val="heading 3"/>
    <w:basedOn w:val="1"/>
    <w:next w:val="1"/>
    <w:link w:val="52"/>
    <w:semiHidden/>
    <w:unhideWhenUsed/>
    <w:qFormat/>
    <w:uiPriority w:val="0"/>
    <w:pPr>
      <w:keepNext/>
      <w:keepLines/>
      <w:numPr>
        <w:ilvl w:val="1"/>
        <w:numId w:val="1"/>
      </w:numPr>
      <w:spacing w:line="360" w:lineRule="auto"/>
      <w:outlineLvl w:val="2"/>
    </w:pPr>
    <w:rPr>
      <w:rFonts w:ascii="Times New Roman" w:hAnsi="Times New Roman" w:eastAsia="宋体" w:cs="Times New Roman"/>
      <w:b/>
      <w:bCs/>
      <w:sz w:val="28"/>
      <w:szCs w:val="32"/>
    </w:rPr>
  </w:style>
  <w:style w:type="paragraph" w:styleId="9">
    <w:name w:val="heading 4"/>
    <w:basedOn w:val="1"/>
    <w:next w:val="1"/>
    <w:semiHidden/>
    <w:unhideWhenUsed/>
    <w:qFormat/>
    <w:uiPriority w:val="0"/>
    <w:pPr>
      <w:keepNext/>
      <w:keepLines/>
      <w:numPr>
        <w:ilvl w:val="2"/>
        <w:numId w:val="1"/>
      </w:numPr>
      <w:tabs>
        <w:tab w:val="left" w:pos="1021"/>
      </w:tabs>
      <w:spacing w:line="360" w:lineRule="auto"/>
      <w:ind w:left="709" w:hanging="709" w:firstLineChars="0"/>
      <w:outlineLvl w:val="3"/>
    </w:pPr>
    <w:rPr>
      <w:rFonts w:ascii="Times New Roman" w:hAnsi="Times New Roman" w:eastAsia="宋体" w:cs="Times New Roman"/>
      <w:b/>
      <w:bCs/>
      <w:kern w:val="0"/>
      <w:sz w:val="28"/>
      <w:szCs w:val="28"/>
    </w:rPr>
  </w:style>
  <w:style w:type="character" w:default="1" w:styleId="39">
    <w:name w:val="Default Paragraph Font"/>
    <w:semiHidden/>
    <w:qFormat/>
    <w:uiPriority w:val="0"/>
  </w:style>
  <w:style w:type="table" w:default="1" w:styleId="3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95"/>
    <w:qFormat/>
    <w:uiPriority w:val="0"/>
    <w:pPr>
      <w:spacing w:after="120" w:afterLines="0" w:afterAutospacing="0"/>
    </w:pPr>
  </w:style>
  <w:style w:type="paragraph" w:customStyle="1" w:styleId="3">
    <w:name w:val="xl27"/>
    <w:basedOn w:val="4"/>
    <w:next w:val="5"/>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styleId="4">
    <w:name w:val="table of authorities"/>
    <w:basedOn w:val="1"/>
    <w:next w:val="1"/>
    <w:qFormat/>
    <w:uiPriority w:val="0"/>
    <w:pPr>
      <w:ind w:left="420" w:leftChars="200"/>
    </w:pPr>
  </w:style>
  <w:style w:type="paragraph" w:styleId="5">
    <w:name w:val="Body Text Indent 2"/>
    <w:basedOn w:val="1"/>
    <w:next w:val="1"/>
    <w:qFormat/>
    <w:uiPriority w:val="0"/>
    <w:pPr>
      <w:spacing w:line="520" w:lineRule="exact"/>
      <w:ind w:firstLine="705"/>
    </w:pPr>
    <w:rPr>
      <w:rFonts w:ascii="宋体"/>
      <w:sz w:val="28"/>
    </w:rPr>
  </w:style>
  <w:style w:type="paragraph" w:styleId="10">
    <w:name w:val="E-mail Signature"/>
    <w:basedOn w:val="1"/>
    <w:next w:val="11"/>
    <w:qFormat/>
    <w:uiPriority w:val="0"/>
  </w:style>
  <w:style w:type="paragraph" w:customStyle="1" w:styleId="11">
    <w:name w:val="文章"/>
    <w:basedOn w:val="1"/>
    <w:next w:val="12"/>
    <w:qFormat/>
    <w:uiPriority w:val="0"/>
    <w:pPr>
      <w:widowControl/>
      <w:ind w:firstLine="480"/>
      <w:jc w:val="center"/>
    </w:pPr>
    <w:rPr>
      <w:rFonts w:ascii="Times New Roman" w:hAnsi="Times New Roman" w:eastAsia="宋体" w:cs="Times New Roman"/>
      <w:sz w:val="26"/>
    </w:rPr>
  </w:style>
  <w:style w:type="paragraph" w:styleId="12">
    <w:name w:val="List"/>
    <w:basedOn w:val="1"/>
    <w:qFormat/>
    <w:uiPriority w:val="0"/>
    <w:pPr>
      <w:spacing w:line="360" w:lineRule="exact"/>
      <w:ind w:firstLine="38" w:firstLineChars="18"/>
      <w:jc w:val="left"/>
    </w:pPr>
    <w:rPr>
      <w:rFonts w:ascii="宋体"/>
      <w:szCs w:val="21"/>
    </w:rPr>
  </w:style>
  <w:style w:type="paragraph" w:styleId="13">
    <w:name w:val="Normal Indent"/>
    <w:basedOn w:val="1"/>
    <w:next w:val="9"/>
    <w:qFormat/>
    <w:uiPriority w:val="0"/>
    <w:pPr>
      <w:ind w:firstLine="420"/>
    </w:pPr>
  </w:style>
  <w:style w:type="paragraph" w:styleId="14">
    <w:name w:val="caption"/>
    <w:basedOn w:val="1"/>
    <w:next w:val="15"/>
    <w:unhideWhenUsed/>
    <w:qFormat/>
    <w:uiPriority w:val="0"/>
    <w:pPr>
      <w:adjustRightInd w:val="0"/>
      <w:snapToGrid w:val="0"/>
      <w:spacing w:before="30" w:beforeLines="30" w:line="240" w:lineRule="auto"/>
      <w:ind w:firstLine="0" w:firstLineChars="0"/>
      <w:jc w:val="center"/>
    </w:pPr>
    <w:rPr>
      <w:rFonts w:ascii="Times New Roman" w:hAnsi="Times New Roman" w:eastAsia="宋体" w:cs="Times New Roman"/>
      <w:b/>
      <w:sz w:val="21"/>
      <w:szCs w:val="21"/>
    </w:rPr>
  </w:style>
  <w:style w:type="paragraph" w:customStyle="1" w:styleId="15">
    <w:name w:val="表格内格式"/>
    <w:basedOn w:val="16"/>
    <w:next w:val="19"/>
    <w:qFormat/>
    <w:uiPriority w:val="0"/>
    <w:pPr>
      <w:spacing w:line="360" w:lineRule="exact"/>
    </w:pPr>
  </w:style>
  <w:style w:type="paragraph" w:customStyle="1" w:styleId="16">
    <w:name w:val="表格内容"/>
    <w:basedOn w:val="17"/>
    <w:next w:val="1"/>
    <w:qFormat/>
    <w:uiPriority w:val="0"/>
    <w:pPr>
      <w:snapToGrid w:val="0"/>
      <w:spacing w:line="360" w:lineRule="auto"/>
      <w:jc w:val="center"/>
    </w:pPr>
    <w:rPr>
      <w:szCs w:val="21"/>
    </w:rPr>
  </w:style>
  <w:style w:type="paragraph" w:customStyle="1" w:styleId="17">
    <w:name w:val="表格"/>
    <w:basedOn w:val="18"/>
    <w:next w:val="1"/>
    <w:qFormat/>
    <w:uiPriority w:val="0"/>
    <w:pPr>
      <w:adjustRightInd w:val="0"/>
      <w:snapToGrid w:val="0"/>
      <w:spacing w:beforeLines="10" w:afterLines="10" w:line="259" w:lineRule="auto"/>
      <w:jc w:val="center"/>
    </w:pPr>
    <w:rPr>
      <w:rFonts w:ascii="宋体"/>
      <w:kern w:val="0"/>
      <w:szCs w:val="20"/>
    </w:rPr>
  </w:style>
  <w:style w:type="paragraph" w:customStyle="1" w:styleId="18">
    <w:name w:val="封面"/>
    <w:basedOn w:val="1"/>
    <w:qFormat/>
    <w:uiPriority w:val="0"/>
    <w:pPr>
      <w:spacing w:line="720" w:lineRule="auto"/>
      <w:ind w:firstLine="0" w:firstLineChars="0"/>
      <w:jc w:val="center"/>
    </w:pPr>
    <w:rPr>
      <w:rFonts w:ascii="Times New Roman" w:hAnsi="Times New Roman"/>
      <w:b/>
      <w:sz w:val="44"/>
    </w:rPr>
  </w:style>
  <w:style w:type="paragraph" w:customStyle="1" w:styleId="19">
    <w:name w:val="（正文）"/>
    <w:basedOn w:val="20"/>
    <w:qFormat/>
    <w:uiPriority w:val="0"/>
    <w:pPr>
      <w:adjustRightInd w:val="0"/>
      <w:snapToGrid w:val="0"/>
      <w:spacing w:line="360" w:lineRule="auto"/>
      <w:ind w:firstLine="200" w:firstLineChars="200"/>
    </w:pPr>
    <w:rPr>
      <w:rFonts w:ascii="Times New Roman" w:hAnsi="Times New Roman"/>
      <w:kern w:val="0"/>
      <w:sz w:val="24"/>
    </w:rPr>
  </w:style>
  <w:style w:type="paragraph" w:styleId="20">
    <w:name w:val="Plain Text"/>
    <w:basedOn w:val="1"/>
    <w:qFormat/>
    <w:uiPriority w:val="0"/>
    <w:rPr>
      <w:rFonts w:ascii="宋体" w:hAnsi="Courier New" w:cs="Courier New"/>
      <w:szCs w:val="21"/>
    </w:rPr>
  </w:style>
  <w:style w:type="paragraph" w:styleId="21">
    <w:name w:val="annotation text"/>
    <w:basedOn w:val="1"/>
    <w:qFormat/>
    <w:uiPriority w:val="0"/>
    <w:pPr>
      <w:jc w:val="left"/>
    </w:pPr>
  </w:style>
  <w:style w:type="paragraph" w:styleId="22">
    <w:name w:val="Salutation"/>
    <w:basedOn w:val="1"/>
    <w:next w:val="1"/>
    <w:qFormat/>
    <w:uiPriority w:val="0"/>
  </w:style>
  <w:style w:type="paragraph" w:styleId="23">
    <w:name w:val="Body Text Indent"/>
    <w:basedOn w:val="1"/>
    <w:next w:val="24"/>
    <w:qFormat/>
    <w:uiPriority w:val="0"/>
    <w:pPr>
      <w:spacing w:after="120"/>
      <w:ind w:left="420" w:leftChars="200"/>
    </w:pPr>
    <w:rPr>
      <w:kern w:val="0"/>
      <w:sz w:val="24"/>
      <w:szCs w:val="20"/>
    </w:rPr>
  </w:style>
  <w:style w:type="paragraph" w:customStyle="1" w:styleId="24">
    <w:name w:val="样式 正文文本缩进 + 行距: 1.5 倍行距"/>
    <w:basedOn w:val="23"/>
    <w:qFormat/>
    <w:uiPriority w:val="0"/>
    <w:pPr>
      <w:spacing w:before="0" w:after="120"/>
      <w:ind w:left="90" w:leftChars="32" w:firstLine="560" w:firstLineChars="200"/>
    </w:pPr>
    <w:rPr>
      <w:rFonts w:ascii="Times New Roman" w:cs="宋体"/>
    </w:rPr>
  </w:style>
  <w:style w:type="paragraph" w:styleId="25">
    <w:name w:val="List Bullet 2"/>
    <w:basedOn w:val="1"/>
    <w:next w:val="1"/>
    <w:qFormat/>
    <w:uiPriority w:val="0"/>
    <w:pPr>
      <w:numPr>
        <w:ilvl w:val="0"/>
        <w:numId w:val="2"/>
      </w:numPr>
    </w:pPr>
  </w:style>
  <w:style w:type="paragraph" w:styleId="26">
    <w:name w:val="footer"/>
    <w:basedOn w:val="1"/>
    <w:qFormat/>
    <w:uiPriority w:val="0"/>
    <w:pPr>
      <w:tabs>
        <w:tab w:val="center" w:pos="4153"/>
        <w:tab w:val="right" w:pos="8306"/>
      </w:tabs>
      <w:snapToGrid w:val="0"/>
      <w:jc w:val="left"/>
    </w:pPr>
    <w:rPr>
      <w:sz w:val="18"/>
    </w:rPr>
  </w:style>
  <w:style w:type="paragraph" w:styleId="27">
    <w:name w:val="envelope return"/>
    <w:basedOn w:val="1"/>
    <w:qFormat/>
    <w:uiPriority w:val="99"/>
    <w:pPr>
      <w:snapToGrid w:val="0"/>
    </w:pPr>
    <w:rPr>
      <w:rFonts w:ascii="Arial" w:hAnsi="Arial"/>
    </w:rPr>
  </w:style>
  <w:style w:type="paragraph" w:styleId="2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9">
    <w:name w:val="toc 1"/>
    <w:basedOn w:val="1"/>
    <w:next w:val="1"/>
    <w:qFormat/>
    <w:uiPriority w:val="0"/>
  </w:style>
  <w:style w:type="paragraph" w:styleId="30">
    <w:name w:val="index heading"/>
    <w:basedOn w:val="1"/>
    <w:next w:val="31"/>
    <w:qFormat/>
    <w:uiPriority w:val="0"/>
    <w:pPr>
      <w:tabs>
        <w:tab w:val="left" w:pos="1021"/>
      </w:tabs>
      <w:spacing w:line="480" w:lineRule="exact"/>
    </w:pPr>
    <w:rPr>
      <w:rFonts w:ascii="Arial" w:hAnsi="Arial" w:eastAsia="宋体" w:cs="Arial"/>
      <w:b/>
      <w:bCs/>
      <w:sz w:val="24"/>
      <w:szCs w:val="20"/>
    </w:rPr>
  </w:style>
  <w:style w:type="paragraph" w:styleId="31">
    <w:name w:val="index 1"/>
    <w:basedOn w:val="1"/>
    <w:next w:val="1"/>
    <w:qFormat/>
    <w:uiPriority w:val="0"/>
    <w:pPr>
      <w:tabs>
        <w:tab w:val="left" w:pos="1021"/>
      </w:tabs>
      <w:spacing w:line="480" w:lineRule="exact"/>
    </w:pPr>
    <w:rPr>
      <w:rFonts w:ascii="Times New Roman" w:hAnsi="Times New Roman" w:eastAsia="宋体" w:cs="Times New Roman"/>
      <w:sz w:val="24"/>
      <w:szCs w:val="24"/>
    </w:rPr>
  </w:style>
  <w:style w:type="paragraph" w:styleId="32">
    <w:name w:val="Body Text Indent 3"/>
    <w:basedOn w:val="1"/>
    <w:qFormat/>
    <w:uiPriority w:val="0"/>
    <w:pPr>
      <w:spacing w:line="440" w:lineRule="exact"/>
      <w:ind w:firstLine="425"/>
    </w:pPr>
    <w:rPr>
      <w:rFonts w:ascii="宋体"/>
      <w:b/>
      <w:bCs/>
      <w:i/>
      <w:iCs/>
      <w:sz w:val="24"/>
      <w:szCs w:val="20"/>
    </w:rPr>
  </w:style>
  <w:style w:type="paragraph" w:styleId="33">
    <w:name w:val="toc 2"/>
    <w:basedOn w:val="1"/>
    <w:next w:val="1"/>
    <w:qFormat/>
    <w:uiPriority w:val="39"/>
    <w:pPr>
      <w:tabs>
        <w:tab w:val="left" w:pos="840"/>
        <w:tab w:val="right" w:leader="dot" w:pos="8302"/>
      </w:tabs>
      <w:spacing w:line="360" w:lineRule="auto"/>
      <w:ind w:left="358" w:leftChars="170" w:hanging="1"/>
    </w:pPr>
    <w:rPr>
      <w:rFonts w:ascii="宋体" w:hAnsi="宋体"/>
      <w:bCs/>
      <w:szCs w:val="24"/>
    </w:rPr>
  </w:style>
  <w:style w:type="paragraph" w:styleId="3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35">
    <w:name w:val="Body Text First Indent"/>
    <w:basedOn w:val="2"/>
    <w:next w:val="1"/>
    <w:qFormat/>
    <w:uiPriority w:val="0"/>
    <w:pPr>
      <w:ind w:firstLine="420" w:firstLineChars="100"/>
    </w:pPr>
  </w:style>
  <w:style w:type="paragraph" w:styleId="36">
    <w:name w:val="Body Text First Indent 2"/>
    <w:basedOn w:val="23"/>
    <w:next w:val="35"/>
    <w:unhideWhenUsed/>
    <w:qFormat/>
    <w:uiPriority w:val="0"/>
    <w:pPr>
      <w:spacing w:after="120" w:line="360" w:lineRule="auto"/>
      <w:ind w:firstLine="420"/>
    </w:p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page number"/>
    <w:basedOn w:val="39"/>
    <w:qFormat/>
    <w:uiPriority w:val="0"/>
  </w:style>
  <w:style w:type="character" w:styleId="41">
    <w:name w:val="Emphasis"/>
    <w:basedOn w:val="39"/>
    <w:qFormat/>
    <w:uiPriority w:val="0"/>
    <w:rPr>
      <w:i/>
    </w:rPr>
  </w:style>
  <w:style w:type="character" w:styleId="42">
    <w:name w:val="Hyperlink"/>
    <w:basedOn w:val="39"/>
    <w:qFormat/>
    <w:uiPriority w:val="0"/>
    <w:rPr>
      <w:color w:val="333333"/>
      <w:u w:val="none"/>
    </w:rPr>
  </w:style>
  <w:style w:type="paragraph" w:customStyle="1" w:styleId="43">
    <w:name w:val="Default"/>
    <w:basedOn w:val="2"/>
    <w:next w:val="12"/>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44">
    <w:name w:val="表格文字"/>
    <w:basedOn w:val="35"/>
    <w:qFormat/>
    <w:uiPriority w:val="0"/>
    <w:pPr>
      <w:spacing w:before="60" w:beforeLines="0" w:after="60" w:afterLines="0" w:line="240" w:lineRule="atLeast"/>
      <w:jc w:val="center"/>
    </w:pPr>
    <w:rPr>
      <w:sz w:val="24"/>
    </w:rPr>
  </w:style>
  <w:style w:type="paragraph" w:customStyle="1" w:styleId="45">
    <w:name w:val="reader-word-layer reader-word-s46-2"/>
    <w:basedOn w:val="1"/>
    <w:next w:val="46"/>
    <w:qFormat/>
    <w:uiPriority w:val="0"/>
    <w:pPr>
      <w:widowControl/>
      <w:spacing w:before="280" w:after="280" w:line="240" w:lineRule="auto"/>
      <w:jc w:val="both"/>
    </w:pPr>
    <w:rPr>
      <w:rFonts w:ascii="宋体"/>
      <w:sz w:val="24"/>
    </w:rPr>
  </w:style>
  <w:style w:type="paragraph" w:customStyle="1" w:styleId="46">
    <w:name w:val="xl35"/>
    <w:basedOn w:val="1"/>
    <w:next w:val="1"/>
    <w:qFormat/>
    <w:uiPriority w:val="0"/>
    <w:pPr>
      <w:widowControl/>
      <w:shd w:val="clear" w:color="FFFFFF" w:fill="FFFFFF"/>
      <w:spacing w:before="280" w:after="280" w:line="240" w:lineRule="auto"/>
      <w:jc w:val="both"/>
    </w:pPr>
    <w:rPr>
      <w:rFonts w:ascii="Arial Unicode MS" w:eastAsia="Arial Unicode MS"/>
      <w:sz w:val="24"/>
    </w:rPr>
  </w:style>
  <w:style w:type="paragraph" w:customStyle="1" w:styleId="47">
    <w:name w:val="纯文本1"/>
    <w:basedOn w:val="1"/>
    <w:qFormat/>
    <w:uiPriority w:val="0"/>
    <w:pPr>
      <w:topLinePunct w:val="0"/>
      <w:spacing w:line="240" w:lineRule="auto"/>
      <w:jc w:val="both"/>
      <w:textAlignment w:val="baseline"/>
    </w:pPr>
    <w:rPr>
      <w:rFonts w:ascii="宋体" w:hAnsi="Courier New"/>
      <w:sz w:val="21"/>
      <w:szCs w:val="20"/>
    </w:rPr>
  </w:style>
  <w:style w:type="paragraph" w:customStyle="1" w:styleId="48">
    <w:name w:val="样式 样式 首行缩进:  2 字符 + 首行缩进:  2 字符"/>
    <w:basedOn w:val="1"/>
    <w:next w:val="29"/>
    <w:qFormat/>
    <w:uiPriority w:val="0"/>
    <w:pPr>
      <w:adjustRightInd w:val="0"/>
      <w:snapToGrid w:val="0"/>
      <w:spacing w:line="360" w:lineRule="auto"/>
      <w:ind w:firstLine="200" w:firstLineChars="200"/>
    </w:pPr>
    <w:rPr>
      <w:rFonts w:cs="宋体"/>
      <w:sz w:val="24"/>
      <w:szCs w:val="20"/>
    </w:rPr>
  </w:style>
  <w:style w:type="paragraph" w:customStyle="1" w:styleId="49">
    <w:name w:val="样式35"/>
    <w:basedOn w:val="1"/>
    <w:next w:val="50"/>
    <w:qFormat/>
    <w:uiPriority w:val="0"/>
    <w:pPr>
      <w:spacing w:line="312" w:lineRule="auto"/>
      <w:ind w:firstLine="567"/>
    </w:pPr>
    <w:rPr>
      <w:rFonts w:ascii="宋体"/>
      <w:sz w:val="28"/>
    </w:rPr>
  </w:style>
  <w:style w:type="paragraph" w:customStyle="1" w:styleId="50">
    <w:name w:val="font6"/>
    <w:basedOn w:val="1"/>
    <w:next w:val="33"/>
    <w:qFormat/>
    <w:uiPriority w:val="0"/>
    <w:pPr>
      <w:widowControl/>
      <w:spacing w:before="100" w:beforeAutospacing="1" w:after="100" w:afterAutospacing="1"/>
      <w:jc w:val="left"/>
    </w:pPr>
    <w:rPr>
      <w:rFonts w:ascii="宋体" w:hAnsi="宋体" w:eastAsia="宋体" w:cs="宋体"/>
      <w:kern w:val="0"/>
      <w:sz w:val="20"/>
    </w:rPr>
  </w:style>
  <w:style w:type="character" w:customStyle="1" w:styleId="51">
    <w:name w:val="标题 1 Char"/>
    <w:link w:val="6"/>
    <w:qFormat/>
    <w:uiPriority w:val="0"/>
    <w:rPr>
      <w:rFonts w:ascii="宋体" w:hAnsi="宋体" w:eastAsia="宋体" w:cs="Times New Roman"/>
      <w:bCs/>
      <w:kern w:val="44"/>
      <w:sz w:val="36"/>
      <w:szCs w:val="44"/>
    </w:rPr>
  </w:style>
  <w:style w:type="character" w:customStyle="1" w:styleId="52">
    <w:name w:val="标题 3 字符"/>
    <w:link w:val="8"/>
    <w:qFormat/>
    <w:uiPriority w:val="0"/>
    <w:rPr>
      <w:rFonts w:ascii="Times New Roman" w:hAnsi="Times New Roman" w:eastAsia="宋体" w:cs="Times New Roman"/>
      <w:b/>
      <w:bCs/>
      <w:kern w:val="2"/>
      <w:sz w:val="24"/>
      <w:szCs w:val="32"/>
    </w:rPr>
  </w:style>
  <w:style w:type="paragraph" w:customStyle="1" w:styleId="53">
    <w:name w:val="WPSOffice手动目录 1"/>
    <w:qFormat/>
    <w:uiPriority w:val="0"/>
    <w:pPr>
      <w:ind w:leftChars="0"/>
    </w:pPr>
    <w:rPr>
      <w:rFonts w:ascii="Times New Roman" w:hAnsi="Times New Roman" w:eastAsia="宋体" w:cs="Times New Roman"/>
      <w:sz w:val="20"/>
      <w:szCs w:val="20"/>
    </w:rPr>
  </w:style>
  <w:style w:type="paragraph" w:customStyle="1" w:styleId="54">
    <w:name w:val="表格表头"/>
    <w:basedOn w:val="1"/>
    <w:unhideWhenUsed/>
    <w:qFormat/>
    <w:uiPriority w:val="0"/>
    <w:pPr>
      <w:adjustRightInd w:val="0"/>
      <w:snapToGrid w:val="0"/>
      <w:spacing w:beforeLines="0" w:afterLines="0" w:line="240" w:lineRule="auto"/>
      <w:ind w:firstLine="0" w:firstLineChars="0"/>
      <w:jc w:val="center"/>
    </w:pPr>
    <w:rPr>
      <w:rFonts w:hint="eastAsia"/>
      <w:b/>
      <w:kern w:val="0"/>
      <w:sz w:val="21"/>
      <w:szCs w:val="20"/>
    </w:rPr>
  </w:style>
  <w:style w:type="paragraph" w:customStyle="1" w:styleId="55">
    <w:name w:val="标题三"/>
    <w:basedOn w:val="1"/>
    <w:qFormat/>
    <w:uiPriority w:val="0"/>
    <w:pPr>
      <w:widowControl/>
      <w:jc w:val="left"/>
    </w:pPr>
    <w:rPr>
      <w:rFonts w:ascii="宋体" w:hAnsi="宋体"/>
      <w:kern w:val="0"/>
      <w:sz w:val="24"/>
    </w:rPr>
  </w:style>
  <w:style w:type="paragraph" w:customStyle="1" w:styleId="56">
    <w:name w:val="正文qz"/>
    <w:basedOn w:val="1"/>
    <w:qFormat/>
    <w:uiPriority w:val="0"/>
    <w:pPr>
      <w:adjustRightInd w:val="0"/>
      <w:snapToGrid w:val="0"/>
      <w:spacing w:line="440" w:lineRule="exact"/>
      <w:ind w:firstLine="200" w:firstLineChars="200"/>
    </w:pPr>
    <w:rPr>
      <w:sz w:val="24"/>
    </w:rPr>
  </w:style>
  <w:style w:type="paragraph" w:customStyle="1" w:styleId="57">
    <w:name w:val="九晟表格"/>
    <w:basedOn w:val="1"/>
    <w:qFormat/>
    <w:uiPriority w:val="0"/>
    <w:pPr>
      <w:jc w:val="left"/>
    </w:pPr>
    <w:rPr>
      <w:rFonts w:hAnsi="宋体"/>
      <w:szCs w:val="21"/>
    </w:rPr>
  </w:style>
  <w:style w:type="paragraph" w:customStyle="1" w:styleId="58">
    <w:name w:val="正文(首行缩进2字)"/>
    <w:basedOn w:val="1"/>
    <w:next w:val="1"/>
    <w:qFormat/>
    <w:uiPriority w:val="0"/>
    <w:pPr>
      <w:adjustRightInd w:val="0"/>
      <w:spacing w:line="360" w:lineRule="auto"/>
      <w:ind w:firstLine="200" w:firstLineChars="200"/>
      <w:jc w:val="left"/>
      <w:textAlignment w:val="baseline"/>
    </w:pPr>
    <w:rPr>
      <w:color w:val="000000"/>
      <w:kern w:val="0"/>
      <w:sz w:val="24"/>
      <w:szCs w:val="20"/>
    </w:rPr>
  </w:style>
  <w:style w:type="paragraph" w:customStyle="1" w:styleId="59">
    <w:name w:val="Table Paragraph"/>
    <w:basedOn w:val="1"/>
    <w:qFormat/>
    <w:uiPriority w:val="1"/>
    <w:pPr>
      <w:autoSpaceDE w:val="0"/>
      <w:autoSpaceDN w:val="0"/>
      <w:adjustRightInd w:val="0"/>
      <w:jc w:val="left"/>
    </w:pPr>
    <w:rPr>
      <w:kern w:val="0"/>
      <w:sz w:val="24"/>
    </w:rPr>
  </w:style>
  <w:style w:type="paragraph" w:customStyle="1" w:styleId="60">
    <w:name w:val="表字体"/>
    <w:basedOn w:val="1"/>
    <w:next w:val="1"/>
    <w:qFormat/>
    <w:uiPriority w:val="0"/>
    <w:pPr>
      <w:jc w:val="center"/>
    </w:pPr>
    <w:rPr>
      <w:rFonts w:ascii="Times New Roman" w:hAnsi="Times New Roman"/>
    </w:rPr>
  </w:style>
  <w:style w:type="paragraph" w:customStyle="1" w:styleId="61">
    <w:name w:val="正文（用）"/>
    <w:basedOn w:val="1"/>
    <w:qFormat/>
    <w:uiPriority w:val="0"/>
    <w:pPr>
      <w:spacing w:line="360" w:lineRule="auto"/>
      <w:ind w:firstLine="480" w:firstLineChars="200"/>
      <w:jc w:val="left"/>
    </w:pPr>
    <w:rPr>
      <w:rFonts w:ascii="宋体" w:hAnsi="宋体" w:cs="宋体"/>
      <w:sz w:val="24"/>
    </w:rPr>
  </w:style>
  <w:style w:type="character" w:customStyle="1" w:styleId="62">
    <w:name w:val="报告正文 Char Char"/>
    <w:qFormat/>
    <w:uiPriority w:val="0"/>
    <w:rPr>
      <w:rFonts w:ascii="Times New Roman" w:hAnsi="Times New Roman" w:eastAsia="宋体" w:cs="Times New Roman"/>
      <w:color w:val="000000"/>
      <w:sz w:val="24"/>
      <w:szCs w:val="24"/>
    </w:rPr>
  </w:style>
  <w:style w:type="character" w:customStyle="1" w:styleId="63">
    <w:name w:val="font41"/>
    <w:basedOn w:val="39"/>
    <w:qFormat/>
    <w:uiPriority w:val="0"/>
    <w:rPr>
      <w:rFonts w:hint="default" w:ascii="Times New Roman" w:hAnsi="Times New Roman" w:cs="Times New Roman"/>
      <w:color w:val="000000"/>
      <w:sz w:val="18"/>
      <w:szCs w:val="18"/>
      <w:u w:val="none"/>
    </w:rPr>
  </w:style>
  <w:style w:type="paragraph" w:customStyle="1" w:styleId="64">
    <w:name w:val="p0"/>
    <w:basedOn w:val="1"/>
    <w:qFormat/>
    <w:uiPriority w:val="0"/>
    <w:pPr>
      <w:widowControl/>
      <w:spacing w:line="240" w:lineRule="auto"/>
      <w:ind w:firstLine="0" w:firstLineChars="0"/>
      <w:jc w:val="both"/>
    </w:pPr>
    <w:rPr>
      <w:kern w:val="0"/>
      <w:sz w:val="21"/>
      <w:szCs w:val="21"/>
    </w:rPr>
  </w:style>
  <w:style w:type="paragraph" w:customStyle="1" w:styleId="65">
    <w:name w:val="环评正文"/>
    <w:basedOn w:val="1"/>
    <w:qFormat/>
    <w:uiPriority w:val="0"/>
    <w:pPr>
      <w:spacing w:line="360" w:lineRule="auto"/>
      <w:ind w:firstLine="480" w:firstLineChars="200"/>
    </w:pPr>
    <w:rPr>
      <w:sz w:val="24"/>
      <w:szCs w:val="21"/>
    </w:rPr>
  </w:style>
  <w:style w:type="paragraph" w:customStyle="1" w:styleId="66">
    <w:name w:val="报告书正文"/>
    <w:basedOn w:val="1"/>
    <w:qFormat/>
    <w:uiPriority w:val="0"/>
    <w:pPr>
      <w:spacing w:line="300" w:lineRule="auto"/>
      <w:ind w:firstLine="200" w:firstLineChars="200"/>
    </w:pPr>
    <w:rPr>
      <w:sz w:val="24"/>
      <w:szCs w:val="20"/>
    </w:rPr>
  </w:style>
  <w:style w:type="paragraph" w:customStyle="1" w:styleId="67">
    <w:name w:val="样式1"/>
    <w:basedOn w:val="1"/>
    <w:qFormat/>
    <w:uiPriority w:val="0"/>
    <w:pPr>
      <w:adjustRightInd w:val="0"/>
      <w:spacing w:line="360" w:lineRule="exact"/>
      <w:ind w:firstLine="480" w:firstLineChars="200"/>
      <w:jc w:val="left"/>
      <w:textAlignment w:val="baseline"/>
    </w:pPr>
    <w:rPr>
      <w:sz w:val="24"/>
      <w:szCs w:val="20"/>
    </w:rPr>
  </w:style>
  <w:style w:type="paragraph" w:customStyle="1" w:styleId="68">
    <w:name w:val="表格内格式（自己）"/>
    <w:basedOn w:val="1"/>
    <w:next w:val="1"/>
    <w:qFormat/>
    <w:uiPriority w:val="0"/>
    <w:pPr>
      <w:widowControl/>
      <w:spacing w:line="360" w:lineRule="exact"/>
      <w:jc w:val="center"/>
    </w:pPr>
    <w:rPr>
      <w:rFonts w:ascii="Calibri" w:hAnsi="Calibri" w:cs="Calibri"/>
      <w:kern w:val="0"/>
      <w:szCs w:val="20"/>
    </w:rPr>
  </w:style>
  <w:style w:type="paragraph" w:customStyle="1" w:styleId="69">
    <w:name w:val="A正文1"/>
    <w:basedOn w:val="1"/>
    <w:qFormat/>
    <w:uiPriority w:val="0"/>
    <w:pPr>
      <w:spacing w:line="360" w:lineRule="auto"/>
      <w:ind w:firstLine="200" w:firstLineChars="200"/>
    </w:pPr>
    <w:rPr>
      <w:sz w:val="24"/>
      <w:szCs w:val="28"/>
    </w:rPr>
  </w:style>
  <w:style w:type="table" w:customStyle="1" w:styleId="70">
    <w:name w:val="Table Normal"/>
    <w:unhideWhenUsed/>
    <w:qFormat/>
    <w:uiPriority w:val="0"/>
    <w:tblPr>
      <w:tblCellMar>
        <w:top w:w="0" w:type="dxa"/>
        <w:left w:w="0" w:type="dxa"/>
        <w:bottom w:w="0" w:type="dxa"/>
        <w:right w:w="0" w:type="dxa"/>
      </w:tblCellMar>
    </w:tblPr>
  </w:style>
  <w:style w:type="paragraph" w:customStyle="1" w:styleId="71">
    <w:name w:val="表标题"/>
    <w:basedOn w:val="1"/>
    <w:qFormat/>
    <w:uiPriority w:val="0"/>
    <w:pPr>
      <w:jc w:val="center"/>
    </w:pPr>
    <w:rPr>
      <w:rFonts w:ascii="Times New Roman" w:hAnsi="Times New Roman" w:eastAsia="宋体" w:cs="Times New Roman"/>
      <w:b/>
      <w:kern w:val="0"/>
      <w:sz w:val="20"/>
      <w:szCs w:val="20"/>
    </w:rPr>
  </w:style>
  <w:style w:type="paragraph" w:customStyle="1" w:styleId="72">
    <w:name w:val="表格1"/>
    <w:basedOn w:val="1"/>
    <w:qFormat/>
    <w:uiPriority w:val="0"/>
    <w:pPr>
      <w:spacing w:line="320" w:lineRule="exact"/>
    </w:pPr>
    <w:rPr>
      <w:bCs/>
      <w:spacing w:val="6"/>
      <w:kern w:val="0"/>
      <w:szCs w:val="21"/>
    </w:rPr>
  </w:style>
  <w:style w:type="paragraph" w:customStyle="1" w:styleId="73">
    <w:name w:val="表格内容-zxc"/>
    <w:next w:val="1"/>
    <w:qFormat/>
    <w:uiPriority w:val="0"/>
    <w:pPr>
      <w:jc w:val="center"/>
    </w:pPr>
    <w:rPr>
      <w:rFonts w:ascii="Times New Roman" w:hAnsi="Times New Roman" w:eastAsia="宋体" w:cs="Times New Roman"/>
      <w:kern w:val="2"/>
      <w:position w:val="-3"/>
      <w:sz w:val="21"/>
      <w:szCs w:val="21"/>
      <w:lang w:val="en-US" w:eastAsia="zh-CN" w:bidi="ar-SA"/>
    </w:rPr>
  </w:style>
  <w:style w:type="paragraph" w:customStyle="1" w:styleId="74">
    <w:name w:val="表头文字"/>
    <w:basedOn w:val="1"/>
    <w:next w:val="35"/>
    <w:qFormat/>
    <w:uiPriority w:val="0"/>
    <w:pPr>
      <w:adjustRightInd w:val="0"/>
      <w:snapToGrid w:val="0"/>
      <w:spacing w:before="156" w:beforeLines="50" w:line="360" w:lineRule="auto"/>
      <w:jc w:val="left"/>
    </w:pPr>
    <w:rPr>
      <w:rFonts w:eastAsia="黑体"/>
      <w:sz w:val="24"/>
      <w:szCs w:val="20"/>
    </w:rPr>
  </w:style>
  <w:style w:type="character" w:customStyle="1" w:styleId="75">
    <w:name w:val="font11"/>
    <w:basedOn w:val="39"/>
    <w:qFormat/>
    <w:uiPriority w:val="0"/>
    <w:rPr>
      <w:rFonts w:hint="eastAsia" w:ascii="宋体" w:hAnsi="宋体" w:eastAsia="宋体" w:cs="宋体"/>
      <w:color w:val="000000"/>
      <w:sz w:val="21"/>
      <w:szCs w:val="21"/>
      <w:u w:val="none"/>
    </w:rPr>
  </w:style>
  <w:style w:type="paragraph" w:customStyle="1" w:styleId="76">
    <w:name w:val="报告表正文"/>
    <w:basedOn w:val="1"/>
    <w:qFormat/>
    <w:uiPriority w:val="0"/>
    <w:pPr>
      <w:spacing w:line="360" w:lineRule="auto"/>
      <w:ind w:firstLine="200" w:firstLineChars="200"/>
    </w:pPr>
    <w:rPr>
      <w:kern w:val="0"/>
      <w:sz w:val="24"/>
    </w:rPr>
  </w:style>
  <w:style w:type="paragraph" w:customStyle="1" w:styleId="77">
    <w:name w:val="表文"/>
    <w:basedOn w:val="1"/>
    <w:qFormat/>
    <w:uiPriority w:val="0"/>
    <w:pPr>
      <w:tabs>
        <w:tab w:val="left" w:pos="1021"/>
      </w:tabs>
      <w:adjustRightInd w:val="0"/>
      <w:snapToGrid w:val="0"/>
      <w:spacing w:before="62" w:beforeLines="20" w:after="62" w:afterLines="20"/>
      <w:ind w:left="-105" w:leftChars="-50" w:right="-105" w:rightChars="-50"/>
      <w:jc w:val="center"/>
    </w:pPr>
    <w:rPr>
      <w:snapToGrid w:val="0"/>
      <w:kern w:val="0"/>
      <w:szCs w:val="21"/>
    </w:rPr>
  </w:style>
  <w:style w:type="paragraph" w:customStyle="1" w:styleId="78">
    <w:name w:val="【表格】"/>
    <w:next w:val="35"/>
    <w:qFormat/>
    <w:uiPriority w:val="0"/>
    <w:pPr>
      <w:jc w:val="center"/>
    </w:pPr>
    <w:rPr>
      <w:rFonts w:ascii="Times New Roman" w:hAnsi="Times New Roman" w:eastAsia="宋体" w:cs="Times New Roman"/>
      <w:sz w:val="21"/>
      <w:szCs w:val="24"/>
      <w:lang w:val="en-US" w:eastAsia="zh-CN" w:bidi="ar-SA"/>
    </w:rPr>
  </w:style>
  <w:style w:type="character" w:customStyle="1" w:styleId="79">
    <w:name w:val="font21"/>
    <w:basedOn w:val="39"/>
    <w:qFormat/>
    <w:uiPriority w:val="0"/>
    <w:rPr>
      <w:rFonts w:hint="eastAsia" w:ascii="宋体" w:hAnsi="宋体" w:eastAsia="宋体" w:cs="宋体"/>
      <w:color w:val="000000"/>
      <w:sz w:val="21"/>
      <w:szCs w:val="21"/>
      <w:u w:val="none"/>
    </w:rPr>
  </w:style>
  <w:style w:type="character" w:customStyle="1" w:styleId="80">
    <w:name w:val="font31"/>
    <w:basedOn w:val="39"/>
    <w:qFormat/>
    <w:uiPriority w:val="0"/>
    <w:rPr>
      <w:rFonts w:hint="eastAsia" w:ascii="宋体" w:hAnsi="宋体" w:eastAsia="宋体" w:cs="宋体"/>
      <w:color w:val="000000"/>
      <w:sz w:val="21"/>
      <w:szCs w:val="21"/>
      <w:u w:val="single"/>
    </w:rPr>
  </w:style>
  <w:style w:type="paragraph" w:customStyle="1" w:styleId="81">
    <w:name w:val="表格标题"/>
    <w:basedOn w:val="35"/>
    <w:qFormat/>
    <w:uiPriority w:val="0"/>
    <w:pPr>
      <w:snapToGrid w:val="0"/>
      <w:spacing w:after="0" w:line="360" w:lineRule="auto"/>
      <w:ind w:firstLine="200" w:firstLineChars="200"/>
      <w:jc w:val="center"/>
    </w:pPr>
    <w:rPr>
      <w:rFonts w:eastAsia="黑体"/>
      <w:kern w:val="0"/>
      <w:szCs w:val="20"/>
    </w:rPr>
  </w:style>
  <w:style w:type="paragraph" w:customStyle="1" w:styleId="82">
    <w:name w:val="正文-邓单"/>
    <w:basedOn w:val="1"/>
    <w:next w:val="1"/>
    <w:qFormat/>
    <w:uiPriority w:val="0"/>
    <w:pPr>
      <w:spacing w:line="360" w:lineRule="auto"/>
      <w:ind w:firstLine="480" w:firstLineChars="200"/>
    </w:pPr>
    <w:rPr>
      <w:rFonts w:ascii="Times New Roman" w:hAnsi="Times New Roman" w:eastAsia="宋体" w:cs="Times New Roman"/>
      <w:bCs/>
      <w:sz w:val="24"/>
    </w:rPr>
  </w:style>
  <w:style w:type="paragraph" w:customStyle="1" w:styleId="83">
    <w:name w:val="spook报告正文"/>
    <w:basedOn w:val="1"/>
    <w:qFormat/>
    <w:uiPriority w:val="0"/>
    <w:pPr>
      <w:adjustRightInd w:val="0"/>
      <w:snapToGrid w:val="0"/>
      <w:spacing w:line="360" w:lineRule="auto"/>
      <w:ind w:firstLine="510"/>
    </w:pPr>
    <w:rPr>
      <w:sz w:val="24"/>
      <w:szCs w:val="20"/>
    </w:rPr>
  </w:style>
  <w:style w:type="paragraph" w:customStyle="1" w:styleId="84">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85">
    <w:name w:val="卓龙正文"/>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6">
    <w:name w:val="正文1"/>
    <w:basedOn w:val="1"/>
    <w:next w:val="1"/>
    <w:unhideWhenUsed/>
    <w:qFormat/>
    <w:uiPriority w:val="0"/>
    <w:pPr>
      <w:spacing w:beforeLines="0" w:afterLines="0"/>
      <w:ind w:firstLine="723" w:firstLineChars="200"/>
    </w:pPr>
    <w:rPr>
      <w:rFonts w:eastAsia="Times New Roman"/>
      <w:kern w:val="0"/>
      <w:szCs w:val="20"/>
    </w:rPr>
  </w:style>
  <w:style w:type="paragraph" w:customStyle="1" w:styleId="87">
    <w:name w:val="表格内容居中"/>
    <w:basedOn w:val="1"/>
    <w:qFormat/>
    <w:uiPriority w:val="0"/>
    <w:pPr>
      <w:widowControl/>
      <w:adjustRightInd w:val="0"/>
      <w:snapToGrid w:val="0"/>
      <w:jc w:val="center"/>
    </w:pPr>
    <w:rPr>
      <w:rFonts w:ascii="Times New Roman" w:hAnsi="Times New Roman" w:eastAsia="宋体" w:cs="Times New Roman"/>
      <w:kern w:val="0"/>
      <w:szCs w:val="21"/>
    </w:rPr>
  </w:style>
  <w:style w:type="paragraph" w:customStyle="1" w:styleId="88">
    <w:name w:val="正文1 Char"/>
    <w:basedOn w:val="1"/>
    <w:qFormat/>
    <w:uiPriority w:val="0"/>
    <w:pPr>
      <w:adjustRightInd w:val="0"/>
      <w:spacing w:line="360" w:lineRule="auto"/>
      <w:ind w:firstLine="480" w:firstLineChars="200"/>
    </w:pPr>
    <w:rPr>
      <w:rFonts w:hint="eastAsia" w:ascii="宋体" w:hAnsi="宋体" w:eastAsia="宋体" w:cs="Times New Roman"/>
      <w:kern w:val="21"/>
      <w:sz w:val="24"/>
    </w:rPr>
  </w:style>
  <w:style w:type="paragraph" w:customStyle="1" w:styleId="89">
    <w:name w:val="List Paragraph1"/>
    <w:basedOn w:val="1"/>
    <w:qFormat/>
    <w:uiPriority w:val="0"/>
    <w:pPr>
      <w:ind w:firstLine="420" w:firstLineChars="200"/>
    </w:pPr>
  </w:style>
  <w:style w:type="paragraph" w:customStyle="1" w:styleId="90">
    <w:name w:val="表头"/>
    <w:basedOn w:val="17"/>
    <w:next w:val="91"/>
    <w:qFormat/>
    <w:uiPriority w:val="0"/>
    <w:pPr>
      <w:spacing w:line="360" w:lineRule="auto"/>
      <w:jc w:val="center"/>
    </w:pPr>
    <w:rPr>
      <w:rFonts w:ascii="Times New Roman" w:hAnsi="Times New Roman" w:eastAsia="宋体"/>
    </w:rPr>
  </w:style>
  <w:style w:type="paragraph" w:customStyle="1" w:styleId="91">
    <w:name w:val="表头内文字"/>
    <w:basedOn w:val="1"/>
    <w:qFormat/>
    <w:uiPriority w:val="0"/>
    <w:pPr>
      <w:jc w:val="left"/>
    </w:pPr>
    <w:rPr>
      <w:rFonts w:hint="eastAsia"/>
      <w:sz w:val="21"/>
    </w:rPr>
  </w:style>
  <w:style w:type="character" w:customStyle="1" w:styleId="92">
    <w:name w:val="15"/>
    <w:basedOn w:val="39"/>
    <w:qFormat/>
    <w:uiPriority w:val="0"/>
    <w:rPr>
      <w:rFonts w:hint="default" w:ascii="Times New Roman" w:hAnsi="Times New Roman" w:cs="Times New Roman"/>
      <w:sz w:val="21"/>
      <w:szCs w:val="21"/>
    </w:rPr>
  </w:style>
  <w:style w:type="paragraph" w:customStyle="1" w:styleId="93">
    <w:name w:val="zwb-正文"/>
    <w:basedOn w:val="1"/>
    <w:qFormat/>
    <w:uiPriority w:val="0"/>
    <w:pPr>
      <w:spacing w:line="360" w:lineRule="auto"/>
      <w:ind w:firstLine="480" w:firstLineChars="200"/>
    </w:pPr>
    <w:rPr>
      <w:rFonts w:ascii="Arial" w:hAnsi="Arial" w:cs="Times New Roman"/>
      <w:szCs w:val="24"/>
    </w:rPr>
  </w:style>
  <w:style w:type="paragraph" w:customStyle="1" w:styleId="94">
    <w:name w:val="Body text|1"/>
    <w:basedOn w:val="1"/>
    <w:qFormat/>
    <w:uiPriority w:val="0"/>
    <w:pPr>
      <w:widowControl w:val="0"/>
      <w:shd w:val="clear" w:color="auto" w:fill="auto"/>
      <w:spacing w:line="271" w:lineRule="auto"/>
    </w:pPr>
    <w:rPr>
      <w:rFonts w:ascii="MingLiU" w:hAnsi="MingLiU" w:eastAsia="MingLiU" w:cs="MingLiU"/>
      <w:sz w:val="20"/>
      <w:szCs w:val="20"/>
      <w:u w:val="none"/>
      <w:shd w:val="clear" w:color="auto" w:fill="FFFFFF"/>
      <w:lang w:val="zh-TW" w:eastAsia="zh-TW" w:bidi="zh-TW"/>
    </w:rPr>
  </w:style>
  <w:style w:type="character" w:customStyle="1" w:styleId="95">
    <w:name w:val="正文文本 Char"/>
    <w:link w:val="2"/>
    <w:qFormat/>
    <w:uiPriority w:val="0"/>
  </w:style>
  <w:style w:type="character" w:customStyle="1" w:styleId="96">
    <w:name w:val="fontstyle01"/>
    <w:basedOn w:val="39"/>
    <w:autoRedefine/>
    <w:qFormat/>
    <w:uiPriority w:val="0"/>
    <w:rPr>
      <w:rFonts w:hint="eastAsia" w:ascii="宋体" w:hAnsi="宋体" w:eastAsia="宋体"/>
      <w:color w:val="000000"/>
      <w:sz w:val="24"/>
      <w:szCs w:val="24"/>
    </w:rPr>
  </w:style>
  <w:style w:type="paragraph" w:customStyle="1" w:styleId="97">
    <w:name w:val="00000000000000000000000"/>
    <w:basedOn w:val="1"/>
    <w:qFormat/>
    <w:uiPriority w:val="0"/>
    <w:pPr>
      <w:spacing w:line="360" w:lineRule="auto"/>
      <w:ind w:firstLine="480" w:firstLineChars="200"/>
    </w:pPr>
    <w:rPr>
      <w:rFonts w:ascii="Times New Roman" w:hAnsi="Times New Roman" w:eastAsia="宋体"/>
      <w:snapToGrid w:val="0"/>
      <w:sz w:val="24"/>
    </w:rPr>
  </w:style>
  <w:style w:type="character" w:customStyle="1" w:styleId="98">
    <w:name w:val="font71"/>
    <w:basedOn w:val="39"/>
    <w:qFormat/>
    <w:uiPriority w:val="0"/>
    <w:rPr>
      <w:rFonts w:hint="default" w:ascii="Times New Roman" w:hAnsi="Times New Roman" w:cs="Times New Roman"/>
      <w:b/>
      <w:bCs/>
      <w:color w:val="000000"/>
      <w:sz w:val="21"/>
      <w:szCs w:val="21"/>
      <w:u w:val="none"/>
      <w:vertAlign w:val="subscript"/>
    </w:rPr>
  </w:style>
  <w:style w:type="character" w:customStyle="1" w:styleId="99">
    <w:name w:val="font91"/>
    <w:basedOn w:val="39"/>
    <w:qFormat/>
    <w:uiPriority w:val="0"/>
    <w:rPr>
      <w:rFonts w:hint="default" w:ascii="Times New Roman" w:hAnsi="Times New Roman" w:cs="Times New Roman"/>
      <w:color w:val="000000"/>
      <w:sz w:val="21"/>
      <w:szCs w:val="21"/>
      <w:u w:val="none"/>
      <w:vertAlign w:val="subscript"/>
    </w:rPr>
  </w:style>
  <w:style w:type="character" w:customStyle="1" w:styleId="100">
    <w:name w:val="font51"/>
    <w:basedOn w:val="39"/>
    <w:qFormat/>
    <w:uiPriority w:val="0"/>
    <w:rPr>
      <w:rFonts w:hint="default" w:ascii="Times New Roman" w:hAnsi="Times New Roman" w:cs="Times New Roman"/>
      <w:color w:val="000000"/>
      <w:sz w:val="21"/>
      <w:szCs w:val="21"/>
      <w:u w:val="none"/>
    </w:rPr>
  </w:style>
  <w:style w:type="paragraph" w:customStyle="1" w:styleId="101">
    <w:name w:val="样式 样式 样式 首行缩进:  2 字符 + 居中 + 行距: 固定值 17 磅"/>
    <w:basedOn w:val="1"/>
    <w:qFormat/>
    <w:uiPriority w:val="0"/>
    <w:pPr>
      <w:adjustRightInd w:val="0"/>
      <w:snapToGrid w:val="0"/>
      <w:spacing w:line="340" w:lineRule="exact"/>
      <w:jc w:val="center"/>
    </w:pPr>
    <w:rPr>
      <w:color w:val="00000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2.bin"/><Relationship Id="rId17" Type="http://schemas.openxmlformats.org/officeDocument/2006/relationships/image" Target="media/image9.e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11004</Words>
  <Characters>11724</Characters>
  <Lines>1</Lines>
  <Paragraphs>1</Paragraphs>
  <TotalTime>15</TotalTime>
  <ScaleCrop>false</ScaleCrop>
  <LinksUpToDate>false</LinksUpToDate>
  <CharactersWithSpaces>11967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2020-04-29T00:46:00Z</dcterms:created>
  <dc:creator>Administrator</dc:creator>
  <cp:lastModifiedBy>闵</cp:lastModifiedBy>
  <dcterms:modified xsi:type="dcterms:W3CDTF">2025-04-23T08:58:59Z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A8F5615A65614AF79E10282D17C81BF6_13</vt:lpwstr>
  </property>
  <property fmtid="{D5CDD505-2E9C-101B-9397-08002B2CF9AE}" pid="4" name="KSOTemplateDocerSaveRecord">
    <vt:lpwstr>eyJoZGlkIjoiY2U4ZTE5NjJiZThjZTkyNzg0Y2YyN2JhNWViMTRkN2IiLCJ1c2VySWQiOiI0NzMzMzMzMDQifQ==</vt:lpwstr>
  </property>
</Properties>
</file>