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D1258">
      <w:pPr>
        <w:rPr>
          <w:rFonts w:eastAsia="仿宋_GB2312"/>
          <w:sz w:val="36"/>
          <w:szCs w:val="36"/>
        </w:rPr>
      </w:pPr>
    </w:p>
    <w:p w14:paraId="2E531421">
      <w:pPr>
        <w:rPr>
          <w:rFonts w:eastAsia="仿宋_GB2312"/>
          <w:sz w:val="36"/>
          <w:szCs w:val="36"/>
        </w:rPr>
      </w:pPr>
    </w:p>
    <w:p w14:paraId="2203C1A7">
      <w:pPr>
        <w:rPr>
          <w:rFonts w:eastAsia="仿宋_GB2312"/>
          <w:sz w:val="36"/>
          <w:szCs w:val="36"/>
        </w:rPr>
      </w:pPr>
    </w:p>
    <w:p w14:paraId="1B978899">
      <w:pPr>
        <w:rPr>
          <w:rFonts w:eastAsia="仿宋_GB2312"/>
          <w:sz w:val="36"/>
          <w:szCs w:val="36"/>
        </w:rPr>
      </w:pPr>
    </w:p>
    <w:p w14:paraId="548E0011">
      <w:pPr>
        <w:rPr>
          <w:rFonts w:eastAsia="仿宋_GB2312"/>
          <w:sz w:val="36"/>
          <w:szCs w:val="36"/>
        </w:rPr>
      </w:pPr>
    </w:p>
    <w:p w14:paraId="7BF2F126">
      <w:pPr>
        <w:adjustRightInd w:val="0"/>
        <w:snapToGrid w:val="0"/>
        <w:jc w:val="center"/>
        <w:outlineLvl w:val="0"/>
        <w:rPr>
          <w:rFonts w:eastAsia="方正小标宋_GBK"/>
          <w:bCs/>
          <w:sz w:val="72"/>
          <w:szCs w:val="72"/>
        </w:rPr>
      </w:pPr>
      <w:bookmarkStart w:id="0" w:name="_Toc71631396"/>
      <w:r>
        <w:rPr>
          <w:rFonts w:eastAsia="方正小标宋_GBK"/>
          <w:bCs/>
          <w:sz w:val="72"/>
          <w:szCs w:val="72"/>
        </w:rPr>
        <w:t>建设项目环境影响报告表</w:t>
      </w:r>
      <w:bookmarkEnd w:id="0"/>
    </w:p>
    <w:p w14:paraId="3E2897D3">
      <w:pPr>
        <w:adjustRightInd w:val="0"/>
        <w:snapToGrid w:val="0"/>
        <w:spacing w:before="192" w:beforeLines="80"/>
        <w:jc w:val="center"/>
        <w:rPr>
          <w:rFonts w:eastAsia="楷体_GB2312"/>
          <w:bCs/>
          <w:sz w:val="48"/>
          <w:szCs w:val="48"/>
        </w:rPr>
      </w:pPr>
      <w:r>
        <w:rPr>
          <w:rFonts w:eastAsia="楷体_GB2312"/>
          <w:bCs/>
          <w:sz w:val="48"/>
          <w:szCs w:val="48"/>
        </w:rPr>
        <w:t>（污染影响类）</w:t>
      </w:r>
    </w:p>
    <w:p w14:paraId="370579C7">
      <w:pPr>
        <w:adjustRightInd w:val="0"/>
        <w:snapToGrid w:val="0"/>
        <w:spacing w:before="192" w:beforeLines="80"/>
        <w:jc w:val="center"/>
        <w:rPr>
          <w:rFonts w:hint="default" w:eastAsia="楷体_GB2312"/>
          <w:bCs/>
          <w:sz w:val="48"/>
          <w:szCs w:val="48"/>
          <w:lang w:val="en-US" w:eastAsia="zh-CN"/>
        </w:rPr>
      </w:pPr>
      <w:r>
        <w:rPr>
          <w:rFonts w:hint="default" w:eastAsia="楷体_GB2312"/>
          <w:bCs/>
          <w:sz w:val="48"/>
          <w:szCs w:val="48"/>
          <w:lang w:val="en-US" w:eastAsia="zh-CN"/>
        </w:rPr>
        <w:t>（</w:t>
      </w:r>
      <w:r>
        <w:rPr>
          <w:rFonts w:hint="eastAsia" w:eastAsia="楷体_GB2312"/>
          <w:bCs/>
          <w:sz w:val="48"/>
          <w:szCs w:val="48"/>
          <w:lang w:val="en-US" w:eastAsia="zh-CN"/>
        </w:rPr>
        <w:t>送审</w:t>
      </w:r>
      <w:r>
        <w:rPr>
          <w:rFonts w:hint="default" w:eastAsia="楷体_GB2312"/>
          <w:bCs/>
          <w:sz w:val="48"/>
          <w:szCs w:val="48"/>
          <w:lang w:val="en-US" w:eastAsia="zh-CN"/>
        </w:rPr>
        <w:t>稿）</w:t>
      </w:r>
    </w:p>
    <w:p w14:paraId="0C094322">
      <w:pPr>
        <w:adjustRightInd w:val="0"/>
        <w:snapToGrid w:val="0"/>
        <w:spacing w:line="288" w:lineRule="auto"/>
        <w:jc w:val="center"/>
        <w:rPr>
          <w:rFonts w:eastAsia="华文仿宋"/>
          <w:kern w:val="44"/>
          <w:sz w:val="44"/>
          <w:szCs w:val="44"/>
        </w:rPr>
      </w:pPr>
    </w:p>
    <w:p w14:paraId="39F49515">
      <w:pPr>
        <w:jc w:val="center"/>
        <w:rPr>
          <w:rFonts w:eastAsia="仿宋"/>
          <w:sz w:val="52"/>
          <w:szCs w:val="52"/>
        </w:rPr>
      </w:pPr>
    </w:p>
    <w:p w14:paraId="7C433804">
      <w:pPr>
        <w:ind w:firstLine="1040"/>
        <w:rPr>
          <w:rFonts w:eastAsia="仿宋"/>
          <w:sz w:val="44"/>
          <w:szCs w:val="44"/>
        </w:rPr>
      </w:pPr>
    </w:p>
    <w:p w14:paraId="7DA66186">
      <w:pPr>
        <w:ind w:firstLine="1040"/>
        <w:rPr>
          <w:rFonts w:eastAsia="仿宋"/>
          <w:sz w:val="44"/>
          <w:szCs w:val="44"/>
        </w:rPr>
      </w:pPr>
    </w:p>
    <w:p w14:paraId="28E79D19">
      <w:pPr>
        <w:ind w:firstLine="1040"/>
        <w:rPr>
          <w:rFonts w:eastAsia="仿宋"/>
          <w:sz w:val="44"/>
          <w:szCs w:val="44"/>
        </w:rPr>
      </w:pPr>
    </w:p>
    <w:p w14:paraId="14302B6C">
      <w:pPr>
        <w:ind w:firstLine="1040"/>
        <w:rPr>
          <w:rFonts w:eastAsia="仿宋"/>
          <w:sz w:val="44"/>
          <w:szCs w:val="44"/>
        </w:rPr>
      </w:pPr>
    </w:p>
    <w:p w14:paraId="0A444195">
      <w:pPr>
        <w:adjustRightInd w:val="0"/>
        <w:snapToGrid w:val="0"/>
        <w:spacing w:line="288" w:lineRule="auto"/>
        <w:rPr>
          <w:rFonts w:hint="default" w:eastAsia="仿宋_GB2312"/>
          <w:sz w:val="36"/>
          <w:szCs w:val="36"/>
          <w:u w:val="single"/>
          <w:lang w:val="en-US" w:eastAsia="zh-CN"/>
        </w:rPr>
      </w:pPr>
      <w:r>
        <w:rPr>
          <w:rFonts w:eastAsia="仿宋_GB2312"/>
          <w:sz w:val="36"/>
          <w:szCs w:val="36"/>
        </w:rPr>
        <w:t>项目名称：</w:t>
      </w:r>
      <w:r>
        <w:rPr>
          <w:rFonts w:hint="eastAsia" w:eastAsia="仿宋_GB2312"/>
          <w:sz w:val="36"/>
          <w:szCs w:val="36"/>
          <w:u w:val="single"/>
          <w:lang w:eastAsia="zh-CN"/>
        </w:rPr>
        <w:t xml:space="preserve"> </w:t>
      </w:r>
      <w:r>
        <w:rPr>
          <w:rFonts w:hint="eastAsia" w:eastAsia="仿宋_GB2312"/>
          <w:sz w:val="36"/>
          <w:szCs w:val="36"/>
          <w:u w:val="single"/>
          <w:lang w:val="en-US" w:eastAsia="zh-CN"/>
        </w:rPr>
        <w:t xml:space="preserve">      </w:t>
      </w:r>
      <w:r>
        <w:rPr>
          <w:rFonts w:hint="eastAsia" w:eastAsia="仿宋_GB2312"/>
          <w:sz w:val="36"/>
          <w:szCs w:val="36"/>
          <w:u w:val="single"/>
          <w:lang w:eastAsia="zh-CN"/>
        </w:rPr>
        <w:t>NMP浆料环保加工项目</w:t>
      </w:r>
      <w:r>
        <w:rPr>
          <w:rFonts w:hint="eastAsia" w:eastAsia="仿宋_GB2312"/>
          <w:sz w:val="36"/>
          <w:szCs w:val="36"/>
          <w:u w:val="single"/>
          <w:lang w:val="en-US" w:eastAsia="zh-CN"/>
        </w:rPr>
        <w:t xml:space="preserve">     </w:t>
      </w:r>
    </w:p>
    <w:p w14:paraId="102C10F7">
      <w:pPr>
        <w:adjustRightInd w:val="0"/>
        <w:snapToGrid w:val="0"/>
        <w:spacing w:line="288" w:lineRule="auto"/>
        <w:rPr>
          <w:rFonts w:eastAsia="仿宋_GB2312"/>
          <w:sz w:val="36"/>
          <w:szCs w:val="36"/>
          <w:u w:val="single"/>
        </w:rPr>
      </w:pPr>
      <w:r>
        <w:rPr>
          <w:rFonts w:eastAsia="仿宋_GB2312"/>
          <w:sz w:val="36"/>
          <w:szCs w:val="36"/>
        </w:rPr>
        <w:t>建设单位（盖章）：</w:t>
      </w:r>
      <w:r>
        <w:rPr>
          <w:rFonts w:hint="eastAsia" w:eastAsia="仿宋_GB2312"/>
          <w:sz w:val="36"/>
          <w:szCs w:val="36"/>
          <w:u w:val="single"/>
          <w:lang w:eastAsia="zh-CN"/>
        </w:rPr>
        <w:t>湖南东驰思创新能源科技有限公司</w:t>
      </w:r>
      <w:r>
        <w:rPr>
          <w:rFonts w:hint="eastAsia" w:eastAsia="仿宋_GB2312"/>
          <w:sz w:val="36"/>
          <w:szCs w:val="36"/>
          <w:u w:val="single"/>
          <w:lang w:val="en-US" w:eastAsia="zh-CN"/>
        </w:rPr>
        <w:t xml:space="preserve"> </w:t>
      </w:r>
      <w:r>
        <w:rPr>
          <w:rFonts w:hint="eastAsia" w:eastAsia="仿宋_GB2312"/>
          <w:sz w:val="36"/>
          <w:szCs w:val="36"/>
          <w:u w:val="single"/>
        </w:rPr>
        <w:t xml:space="preserve"> </w:t>
      </w:r>
    </w:p>
    <w:p w14:paraId="1C5B3713">
      <w:pPr>
        <w:adjustRightInd w:val="0"/>
        <w:snapToGrid w:val="0"/>
        <w:spacing w:line="288" w:lineRule="auto"/>
        <w:rPr>
          <w:rFonts w:eastAsia="仿宋_GB2312"/>
          <w:sz w:val="36"/>
          <w:szCs w:val="36"/>
          <w:u w:val="single"/>
        </w:rPr>
      </w:pPr>
      <w:r>
        <w:rPr>
          <w:rFonts w:eastAsia="仿宋_GB2312"/>
          <w:sz w:val="36"/>
          <w:szCs w:val="36"/>
        </w:rPr>
        <w:t>编制日期：</w:t>
      </w:r>
      <w:r>
        <w:rPr>
          <w:rFonts w:eastAsia="仿宋_GB2312"/>
          <w:sz w:val="36"/>
          <w:szCs w:val="36"/>
          <w:u w:val="single"/>
        </w:rPr>
        <w:t xml:space="preserve">         </w:t>
      </w:r>
      <w:r>
        <w:rPr>
          <w:rFonts w:hint="eastAsia" w:eastAsia="仿宋_GB2312"/>
          <w:sz w:val="36"/>
          <w:szCs w:val="36"/>
          <w:u w:val="single"/>
        </w:rPr>
        <w:t xml:space="preserve">  </w:t>
      </w:r>
      <w:r>
        <w:rPr>
          <w:rFonts w:eastAsia="仿宋_GB2312"/>
          <w:sz w:val="36"/>
          <w:szCs w:val="36"/>
          <w:u w:val="single"/>
        </w:rPr>
        <w:t>202</w:t>
      </w:r>
      <w:r>
        <w:rPr>
          <w:rFonts w:hint="eastAsia" w:eastAsia="仿宋_GB2312"/>
          <w:sz w:val="36"/>
          <w:szCs w:val="36"/>
          <w:u w:val="single"/>
          <w:lang w:val="en-US" w:eastAsia="zh-CN"/>
        </w:rPr>
        <w:t>5</w:t>
      </w:r>
      <w:r>
        <w:rPr>
          <w:rFonts w:eastAsia="仿宋_GB2312"/>
          <w:sz w:val="36"/>
          <w:szCs w:val="36"/>
          <w:u w:val="single"/>
        </w:rPr>
        <w:t>年</w:t>
      </w:r>
      <w:r>
        <w:rPr>
          <w:rFonts w:hint="eastAsia" w:eastAsia="仿宋_GB2312"/>
          <w:sz w:val="36"/>
          <w:szCs w:val="36"/>
          <w:u w:val="single"/>
          <w:lang w:val="en-US" w:eastAsia="zh-CN"/>
        </w:rPr>
        <w:t>7</w:t>
      </w:r>
      <w:r>
        <w:rPr>
          <w:rFonts w:eastAsia="仿宋_GB2312"/>
          <w:sz w:val="36"/>
          <w:szCs w:val="36"/>
          <w:u w:val="single"/>
        </w:rPr>
        <w:t xml:space="preserve">月   </w:t>
      </w:r>
      <w:r>
        <w:rPr>
          <w:rFonts w:hint="eastAsia" w:eastAsia="仿宋_GB2312"/>
          <w:sz w:val="36"/>
          <w:szCs w:val="36"/>
          <w:u w:val="single"/>
        </w:rPr>
        <w:t xml:space="preserve">  </w:t>
      </w:r>
      <w:r>
        <w:rPr>
          <w:rFonts w:eastAsia="仿宋_GB2312"/>
          <w:sz w:val="36"/>
          <w:szCs w:val="36"/>
          <w:u w:val="single"/>
        </w:rPr>
        <w:t xml:space="preserve"> </w:t>
      </w:r>
      <w:r>
        <w:rPr>
          <w:rFonts w:hint="eastAsia" w:eastAsia="仿宋_GB2312"/>
          <w:sz w:val="36"/>
          <w:szCs w:val="36"/>
          <w:u w:val="single"/>
          <w:lang w:val="en-US" w:eastAsia="zh-CN"/>
        </w:rPr>
        <w:t xml:space="preserve"> </w:t>
      </w:r>
      <w:r>
        <w:rPr>
          <w:rFonts w:eastAsia="仿宋_GB2312"/>
          <w:sz w:val="36"/>
          <w:szCs w:val="36"/>
          <w:u w:val="single"/>
        </w:rPr>
        <w:t xml:space="preserve">    </w:t>
      </w:r>
    </w:p>
    <w:p w14:paraId="78A3DA4E">
      <w:pPr>
        <w:adjustRightInd w:val="0"/>
        <w:snapToGrid w:val="0"/>
        <w:spacing w:line="288" w:lineRule="auto"/>
        <w:ind w:firstLine="1040"/>
        <w:rPr>
          <w:rFonts w:eastAsia="仿宋_GB2312"/>
          <w:sz w:val="36"/>
          <w:szCs w:val="36"/>
          <w:u w:val="single"/>
        </w:rPr>
      </w:pPr>
      <w:bookmarkStart w:id="1" w:name="_Hlk57884087"/>
    </w:p>
    <w:p w14:paraId="63991540">
      <w:pPr>
        <w:adjustRightInd w:val="0"/>
        <w:snapToGrid w:val="0"/>
        <w:spacing w:line="288" w:lineRule="auto"/>
        <w:ind w:firstLine="1040"/>
        <w:rPr>
          <w:rFonts w:eastAsia="仿宋_GB2312"/>
          <w:sz w:val="36"/>
          <w:szCs w:val="36"/>
        </w:rPr>
      </w:pPr>
    </w:p>
    <w:p w14:paraId="746810C8">
      <w:pPr>
        <w:adjustRightInd w:val="0"/>
        <w:snapToGrid w:val="0"/>
        <w:spacing w:line="288" w:lineRule="auto"/>
        <w:ind w:firstLine="1040"/>
        <w:rPr>
          <w:rFonts w:eastAsia="仿宋_GB2312"/>
          <w:sz w:val="36"/>
          <w:szCs w:val="36"/>
        </w:rPr>
      </w:pPr>
    </w:p>
    <w:p w14:paraId="12246776">
      <w:pPr>
        <w:pStyle w:val="30"/>
      </w:pPr>
    </w:p>
    <w:p w14:paraId="20C6C9C2">
      <w:pPr>
        <w:adjustRightInd w:val="0"/>
        <w:snapToGrid w:val="0"/>
        <w:spacing w:line="288" w:lineRule="auto"/>
        <w:ind w:firstLine="1040"/>
        <w:rPr>
          <w:rFonts w:eastAsia="仿宋_GB2312"/>
          <w:sz w:val="36"/>
          <w:szCs w:val="36"/>
        </w:rPr>
      </w:pPr>
    </w:p>
    <w:bookmarkEnd w:id="1"/>
    <w:p w14:paraId="7242C27A">
      <w:pPr>
        <w:adjustRightInd w:val="0"/>
        <w:snapToGrid w:val="0"/>
        <w:spacing w:line="288" w:lineRule="auto"/>
        <w:jc w:val="center"/>
        <w:rPr>
          <w:rFonts w:eastAsia="楷体_GB2312"/>
          <w:sz w:val="36"/>
          <w:szCs w:val="36"/>
        </w:rPr>
        <w:sectPr>
          <w:pgSz w:w="11906" w:h="16838"/>
          <w:pgMar w:top="1701" w:right="1531" w:bottom="1701" w:left="1531" w:header="851" w:footer="1077" w:gutter="0"/>
          <w:pgNumType w:start="1"/>
          <w:cols w:space="720" w:num="1"/>
          <w:docGrid w:linePitch="312" w:charSpace="0"/>
        </w:sectPr>
      </w:pPr>
      <w:r>
        <w:rPr>
          <w:rFonts w:eastAsia="楷体_GB2312"/>
          <w:sz w:val="36"/>
          <w:szCs w:val="36"/>
        </w:rPr>
        <w:t>中华人民共和国生态环境部制</w:t>
      </w:r>
    </w:p>
    <w:p w14:paraId="1E384FDF">
      <w:pPr>
        <w:pStyle w:val="2"/>
        <w:spacing w:line="360" w:lineRule="auto"/>
        <w:jc w:val="center"/>
        <w:rPr>
          <w:rFonts w:hint="eastAsia" w:ascii="宋体" w:hAnsi="宋体" w:eastAsia="宋体" w:cs="宋体"/>
          <w:color w:val="auto"/>
        </w:rPr>
      </w:pPr>
      <w:bookmarkStart w:id="2" w:name="_Toc71631397"/>
      <w:r>
        <w:rPr>
          <w:rFonts w:hint="eastAsia" w:ascii="宋体" w:hAnsi="宋体" w:eastAsia="宋体" w:cs="宋体"/>
          <w:color w:val="auto"/>
        </w:rPr>
        <w:t>目  录</w:t>
      </w:r>
    </w:p>
    <w:p w14:paraId="751EA135">
      <w:pPr>
        <w:pStyle w:val="22"/>
        <w:tabs>
          <w:tab w:val="right" w:leader="dot" w:pos="8834"/>
        </w:tabs>
        <w:spacing w:line="360" w:lineRule="auto"/>
      </w:pPr>
      <w:r>
        <w:fldChar w:fldCharType="begin"/>
      </w:r>
      <w:r>
        <w:instrText xml:space="preserve"> </w:instrText>
      </w:r>
      <w:r>
        <w:rPr>
          <w:rFonts w:hint="eastAsia"/>
        </w:rPr>
        <w:instrText xml:space="preserve">TOC \o "1-1" \h \z \u</w:instrText>
      </w:r>
      <w:r>
        <w:instrText xml:space="preserve"> </w:instrText>
      </w:r>
      <w:r>
        <w:fldChar w:fldCharType="separate"/>
      </w:r>
      <w:r>
        <w:fldChar w:fldCharType="begin"/>
      </w:r>
      <w:r>
        <w:instrText xml:space="preserve"> HYPERLINK \l "_Toc71631398" </w:instrText>
      </w:r>
      <w:r>
        <w:fldChar w:fldCharType="separate"/>
      </w:r>
      <w:r>
        <w:rPr>
          <w:rStyle w:val="36"/>
          <w:color w:val="auto"/>
        </w:rPr>
        <w:t>一、建设项目基本情况</w:t>
      </w:r>
      <w:r>
        <w:tab/>
      </w:r>
      <w:r>
        <w:fldChar w:fldCharType="begin"/>
      </w:r>
      <w:r>
        <w:instrText xml:space="preserve"> PAGEREF _Toc71631398 \h </w:instrText>
      </w:r>
      <w:r>
        <w:fldChar w:fldCharType="separate"/>
      </w:r>
      <w:r>
        <w:t>1</w:t>
      </w:r>
      <w:r>
        <w:fldChar w:fldCharType="end"/>
      </w:r>
      <w:r>
        <w:fldChar w:fldCharType="end"/>
      </w:r>
    </w:p>
    <w:p w14:paraId="1ED2DB71">
      <w:pPr>
        <w:pStyle w:val="22"/>
        <w:tabs>
          <w:tab w:val="right" w:leader="dot" w:pos="8834"/>
        </w:tabs>
        <w:spacing w:line="360" w:lineRule="auto"/>
      </w:pPr>
      <w:r>
        <w:fldChar w:fldCharType="begin"/>
      </w:r>
      <w:r>
        <w:instrText xml:space="preserve"> HYPERLINK \l "_Toc71631399" </w:instrText>
      </w:r>
      <w:r>
        <w:fldChar w:fldCharType="separate"/>
      </w:r>
      <w:r>
        <w:rPr>
          <w:rStyle w:val="36"/>
          <w:color w:val="auto"/>
        </w:rPr>
        <w:t>二、建设项目工程分析</w:t>
      </w:r>
      <w:r>
        <w:tab/>
      </w:r>
      <w:r>
        <w:fldChar w:fldCharType="begin"/>
      </w:r>
      <w:r>
        <w:instrText xml:space="preserve"> PAGEREF _Toc71631399 \h </w:instrText>
      </w:r>
      <w:r>
        <w:fldChar w:fldCharType="separate"/>
      </w:r>
      <w:r>
        <w:t>20</w:t>
      </w:r>
      <w:r>
        <w:fldChar w:fldCharType="end"/>
      </w:r>
      <w:r>
        <w:fldChar w:fldCharType="end"/>
      </w:r>
    </w:p>
    <w:p w14:paraId="421B147D">
      <w:pPr>
        <w:pStyle w:val="22"/>
        <w:tabs>
          <w:tab w:val="right" w:leader="dot" w:pos="8834"/>
        </w:tabs>
        <w:spacing w:line="360" w:lineRule="auto"/>
      </w:pPr>
      <w:r>
        <w:fldChar w:fldCharType="begin"/>
      </w:r>
      <w:r>
        <w:instrText xml:space="preserve"> HYPERLINK \l "_Toc71631403" </w:instrText>
      </w:r>
      <w:r>
        <w:fldChar w:fldCharType="separate"/>
      </w:r>
      <w:r>
        <w:rPr>
          <w:rStyle w:val="36"/>
          <w:color w:val="auto"/>
        </w:rPr>
        <w:t>三、区域环境质量现状、环境保护目标及评价标准</w:t>
      </w:r>
      <w:r>
        <w:tab/>
      </w:r>
      <w:r>
        <w:fldChar w:fldCharType="begin"/>
      </w:r>
      <w:r>
        <w:instrText xml:space="preserve"> PAGEREF _Toc71631403 \h </w:instrText>
      </w:r>
      <w:r>
        <w:fldChar w:fldCharType="separate"/>
      </w:r>
      <w:r>
        <w:t>31</w:t>
      </w:r>
      <w:r>
        <w:fldChar w:fldCharType="end"/>
      </w:r>
      <w:r>
        <w:fldChar w:fldCharType="end"/>
      </w:r>
    </w:p>
    <w:p w14:paraId="5B374C22">
      <w:pPr>
        <w:pStyle w:val="22"/>
        <w:tabs>
          <w:tab w:val="right" w:leader="dot" w:pos="8834"/>
        </w:tabs>
        <w:spacing w:line="360" w:lineRule="auto"/>
      </w:pPr>
      <w:r>
        <w:fldChar w:fldCharType="begin"/>
      </w:r>
      <w:r>
        <w:instrText xml:space="preserve"> HYPERLINK \l "_Toc71631404" </w:instrText>
      </w:r>
      <w:r>
        <w:fldChar w:fldCharType="separate"/>
      </w:r>
      <w:r>
        <w:rPr>
          <w:rStyle w:val="36"/>
          <w:color w:val="auto"/>
          <w:kern w:val="44"/>
        </w:rPr>
        <w:t>四、主要环境影响和保护措施</w:t>
      </w:r>
      <w:r>
        <w:tab/>
      </w:r>
      <w:r>
        <w:fldChar w:fldCharType="begin"/>
      </w:r>
      <w:r>
        <w:instrText xml:space="preserve"> PAGEREF _Toc71631404 \h </w:instrText>
      </w:r>
      <w:r>
        <w:fldChar w:fldCharType="separate"/>
      </w:r>
      <w:r>
        <w:t>36</w:t>
      </w:r>
      <w:r>
        <w:fldChar w:fldCharType="end"/>
      </w:r>
      <w:r>
        <w:fldChar w:fldCharType="end"/>
      </w:r>
    </w:p>
    <w:p w14:paraId="2344E986">
      <w:pPr>
        <w:pStyle w:val="22"/>
        <w:tabs>
          <w:tab w:val="right" w:leader="dot" w:pos="8834"/>
        </w:tabs>
        <w:spacing w:line="360" w:lineRule="auto"/>
      </w:pPr>
      <w:r>
        <w:fldChar w:fldCharType="begin"/>
      </w:r>
      <w:r>
        <w:instrText xml:space="preserve"> HYPERLINK \l "_Toc71631407" </w:instrText>
      </w:r>
      <w:r>
        <w:fldChar w:fldCharType="separate"/>
      </w:r>
      <w:r>
        <w:rPr>
          <w:rStyle w:val="36"/>
          <w:color w:val="auto"/>
          <w:kern w:val="44"/>
        </w:rPr>
        <w:t>五、环境保护措施监督检查清单</w:t>
      </w:r>
      <w:r>
        <w:tab/>
      </w:r>
      <w:r>
        <w:fldChar w:fldCharType="begin"/>
      </w:r>
      <w:r>
        <w:instrText xml:space="preserve"> PAGEREF _Toc71631407 \h </w:instrText>
      </w:r>
      <w:r>
        <w:fldChar w:fldCharType="separate"/>
      </w:r>
      <w:r>
        <w:t>55</w:t>
      </w:r>
      <w:r>
        <w:fldChar w:fldCharType="end"/>
      </w:r>
      <w:r>
        <w:fldChar w:fldCharType="end"/>
      </w:r>
    </w:p>
    <w:p w14:paraId="559C714B">
      <w:pPr>
        <w:pStyle w:val="22"/>
        <w:tabs>
          <w:tab w:val="right" w:leader="dot" w:pos="8834"/>
        </w:tabs>
        <w:spacing w:line="360" w:lineRule="auto"/>
      </w:pPr>
      <w:r>
        <w:fldChar w:fldCharType="begin"/>
      </w:r>
      <w:r>
        <w:instrText xml:space="preserve"> HYPERLINK \l "_Toc71631408" </w:instrText>
      </w:r>
      <w:r>
        <w:fldChar w:fldCharType="separate"/>
      </w:r>
      <w:r>
        <w:rPr>
          <w:rStyle w:val="36"/>
          <w:color w:val="auto"/>
          <w:kern w:val="44"/>
        </w:rPr>
        <w:t>六、结论</w:t>
      </w:r>
      <w:r>
        <w:tab/>
      </w:r>
      <w:r>
        <w:fldChar w:fldCharType="begin"/>
      </w:r>
      <w:r>
        <w:instrText xml:space="preserve"> PAGEREF _Toc71631408 \h </w:instrText>
      </w:r>
      <w:r>
        <w:fldChar w:fldCharType="separate"/>
      </w:r>
      <w:r>
        <w:t>57</w:t>
      </w:r>
      <w:r>
        <w:fldChar w:fldCharType="end"/>
      </w:r>
      <w:r>
        <w:fldChar w:fldCharType="end"/>
      </w:r>
    </w:p>
    <w:p w14:paraId="4D044854">
      <w:pPr>
        <w:pStyle w:val="22"/>
        <w:tabs>
          <w:tab w:val="right" w:leader="dot" w:pos="8834"/>
        </w:tabs>
        <w:spacing w:line="360" w:lineRule="auto"/>
      </w:pPr>
      <w:r>
        <w:fldChar w:fldCharType="begin"/>
      </w:r>
      <w:r>
        <w:instrText xml:space="preserve"> HYPERLINK \l "_Toc71631410" </w:instrText>
      </w:r>
      <w:r>
        <w:fldChar w:fldCharType="separate"/>
      </w:r>
      <w:r>
        <w:rPr>
          <w:rStyle w:val="36"/>
          <w:snapToGrid w:val="0"/>
          <w:color w:val="auto"/>
        </w:rPr>
        <w:t>建设项目污染物排放量汇总表</w:t>
      </w:r>
      <w:r>
        <w:tab/>
      </w:r>
      <w:r>
        <w:fldChar w:fldCharType="begin"/>
      </w:r>
      <w:r>
        <w:instrText xml:space="preserve"> PAGEREF _Toc71631410 \h </w:instrText>
      </w:r>
      <w:r>
        <w:fldChar w:fldCharType="separate"/>
      </w:r>
      <w:r>
        <w:t>58</w:t>
      </w:r>
      <w:r>
        <w:fldChar w:fldCharType="end"/>
      </w:r>
      <w:r>
        <w:fldChar w:fldCharType="end"/>
      </w:r>
    </w:p>
    <w:p w14:paraId="3F282372">
      <w:pPr>
        <w:spacing w:line="360" w:lineRule="auto"/>
      </w:pPr>
      <w:r>
        <w:fldChar w:fldCharType="end"/>
      </w:r>
      <w:bookmarkEnd w:id="2"/>
      <w:r>
        <w:rPr>
          <w:rFonts w:hint="eastAsia"/>
        </w:rPr>
        <w:t>附件：</w:t>
      </w:r>
    </w:p>
    <w:p w14:paraId="5EB2504C">
      <w:pPr>
        <w:pStyle w:val="17"/>
        <w:spacing w:line="360" w:lineRule="auto"/>
        <w:rPr>
          <w:rFonts w:ascii="Times New Roman" w:hAnsi="Times New Roman"/>
        </w:rPr>
      </w:pPr>
      <w:r>
        <w:rPr>
          <w:rFonts w:ascii="Times New Roman" w:hAnsi="Times New Roman"/>
        </w:rPr>
        <w:t>附件1 环境影响评价委托书</w:t>
      </w:r>
    </w:p>
    <w:p w14:paraId="6016E6CF">
      <w:pPr>
        <w:pStyle w:val="17"/>
        <w:spacing w:line="360" w:lineRule="auto"/>
        <w:rPr>
          <w:rFonts w:ascii="Times New Roman" w:hAnsi="Times New Roman"/>
        </w:rPr>
      </w:pPr>
      <w:r>
        <w:rPr>
          <w:rFonts w:ascii="Times New Roman" w:hAnsi="Times New Roman"/>
        </w:rPr>
        <w:t>附件2 营业执照</w:t>
      </w:r>
    </w:p>
    <w:p w14:paraId="18A2E5B4">
      <w:pPr>
        <w:pStyle w:val="17"/>
        <w:spacing w:line="360" w:lineRule="auto"/>
        <w:rPr>
          <w:rFonts w:hint="eastAsia" w:ascii="Times New Roman" w:hAnsi="Times New Roman" w:eastAsia="宋体"/>
          <w:lang w:eastAsia="zh-CN"/>
        </w:rPr>
      </w:pPr>
      <w:r>
        <w:rPr>
          <w:rFonts w:ascii="Times New Roman" w:hAnsi="Times New Roman"/>
        </w:rPr>
        <w:t xml:space="preserve">附件3 </w:t>
      </w:r>
      <w:r>
        <w:rPr>
          <w:rFonts w:hint="eastAsia" w:ascii="Times New Roman" w:hAnsi="Times New Roman"/>
        </w:rPr>
        <w:t>发改委备案证明</w:t>
      </w:r>
    </w:p>
    <w:p w14:paraId="6EC2B512">
      <w:pPr>
        <w:pStyle w:val="38"/>
        <w:ind w:firstLine="0" w:firstLineChars="0"/>
        <w:rPr>
          <w:rFonts w:hint="eastAsia" w:ascii="Times New Roman" w:eastAsia="宋体"/>
          <w:lang w:eastAsia="zh-CN"/>
        </w:rPr>
      </w:pPr>
      <w:r>
        <w:rPr>
          <w:rFonts w:hint="eastAsia"/>
        </w:rPr>
        <w:t>附件</w:t>
      </w:r>
      <w:r>
        <w:rPr>
          <w:rFonts w:hint="eastAsia" w:ascii="Times New Roman"/>
          <w:lang w:val="en-US" w:eastAsia="zh-CN"/>
        </w:rPr>
        <w:t>4</w:t>
      </w:r>
      <w:r>
        <w:rPr>
          <w:rFonts w:ascii="Times New Roman"/>
        </w:rPr>
        <w:t xml:space="preserve"> </w:t>
      </w:r>
      <w:r>
        <w:rPr>
          <w:rFonts w:hint="eastAsia" w:ascii="Times New Roman" w:hAnsi="Times New Roman"/>
          <w:lang w:val="en-US" w:eastAsia="zh-CN"/>
        </w:rPr>
        <w:t>厂房</w:t>
      </w:r>
      <w:r>
        <w:rPr>
          <w:rFonts w:hint="eastAsia" w:ascii="Times New Roman"/>
          <w:lang w:eastAsia="zh-CN"/>
        </w:rPr>
        <w:t>租赁合同</w:t>
      </w:r>
    </w:p>
    <w:p w14:paraId="4C5BA6A3">
      <w:pPr>
        <w:pStyle w:val="38"/>
        <w:ind w:firstLine="0" w:firstLineChars="0"/>
        <w:rPr>
          <w:rFonts w:hint="eastAsia" w:ascii="Times New Roman"/>
          <w:lang w:eastAsia="zh-CN"/>
        </w:rPr>
      </w:pPr>
      <w:r>
        <w:rPr>
          <w:rFonts w:hint="eastAsia" w:ascii="Times New Roman"/>
        </w:rPr>
        <w:t>附件</w:t>
      </w:r>
      <w:r>
        <w:rPr>
          <w:rFonts w:hint="eastAsia" w:ascii="Times New Roman"/>
          <w:lang w:val="en-US" w:eastAsia="zh-CN"/>
        </w:rPr>
        <w:t>5</w:t>
      </w:r>
      <w:r>
        <w:rPr>
          <w:rFonts w:hint="eastAsia" w:ascii="Times New Roman"/>
        </w:rPr>
        <w:t xml:space="preserve"> </w:t>
      </w:r>
      <w:r>
        <w:rPr>
          <w:rFonts w:hint="eastAsia" w:ascii="Times New Roman"/>
          <w:lang w:val="en-US" w:eastAsia="zh-CN"/>
        </w:rPr>
        <w:t>原料检测报告</w:t>
      </w:r>
    </w:p>
    <w:p w14:paraId="726E06E0">
      <w:pPr>
        <w:pStyle w:val="38"/>
        <w:ind w:firstLine="0" w:firstLineChars="0"/>
        <w:rPr>
          <w:rFonts w:hint="eastAsia" w:ascii="Times New Roman"/>
        </w:rPr>
      </w:pPr>
      <w:r>
        <w:rPr>
          <w:rFonts w:hint="eastAsia" w:ascii="Times New Roman"/>
        </w:rPr>
        <w:t>附件</w:t>
      </w:r>
      <w:r>
        <w:rPr>
          <w:rFonts w:hint="eastAsia" w:ascii="Times New Roman"/>
          <w:lang w:val="en-US" w:eastAsia="zh-CN"/>
        </w:rPr>
        <w:t>6</w:t>
      </w:r>
      <w:r>
        <w:rPr>
          <w:rFonts w:hint="eastAsia" w:ascii="Times New Roman"/>
        </w:rPr>
        <w:t xml:space="preserve"> 关于废旧锂电池收集处置有关问题的复函（环办函[2014]1621号）</w:t>
      </w:r>
    </w:p>
    <w:p w14:paraId="5B136E9F">
      <w:pPr>
        <w:pStyle w:val="38"/>
        <w:ind w:firstLine="0" w:firstLineChars="0"/>
        <w:rPr>
          <w:rFonts w:hint="eastAsia" w:ascii="Times New Roman"/>
          <w:lang w:val="en-US" w:eastAsia="zh-CN"/>
        </w:rPr>
      </w:pPr>
      <w:r>
        <w:rPr>
          <w:rFonts w:hint="eastAsia" w:ascii="Times New Roman"/>
          <w:lang w:val="en-US" w:eastAsia="zh-CN"/>
        </w:rPr>
        <w:t>附件7 关于N-甲基吡咯烷酮是否属于危险化学品事项的答复</w:t>
      </w:r>
    </w:p>
    <w:p w14:paraId="2B214561">
      <w:pPr>
        <w:pStyle w:val="38"/>
        <w:ind w:firstLine="0" w:firstLineChars="0"/>
        <w:rPr>
          <w:rFonts w:hint="eastAsia" w:ascii="Times New Roman"/>
          <w:lang w:val="en-US" w:eastAsia="zh-CN"/>
        </w:rPr>
      </w:pPr>
      <w:r>
        <w:rPr>
          <w:rFonts w:hint="eastAsia" w:ascii="Times New Roman"/>
          <w:lang w:val="en-US" w:eastAsia="zh-CN"/>
        </w:rPr>
        <w:t>附件8 湖南城陵矶临港产业新区环评批复</w:t>
      </w:r>
    </w:p>
    <w:p w14:paraId="28A6C570">
      <w:pPr>
        <w:pStyle w:val="38"/>
        <w:ind w:firstLine="0" w:firstLineChars="0"/>
        <w:rPr>
          <w:rFonts w:hint="default" w:ascii="Times New Roman"/>
          <w:lang w:val="en-US" w:eastAsia="zh-CN"/>
        </w:rPr>
      </w:pPr>
      <w:r>
        <w:rPr>
          <w:rFonts w:hint="eastAsia" w:ascii="Times New Roman"/>
          <w:lang w:val="en-US" w:eastAsia="zh-CN"/>
        </w:rPr>
        <w:t>附件9 岳阳临港高新技术产业开发区环境影响跟踪评价批复</w:t>
      </w:r>
    </w:p>
    <w:p w14:paraId="1BDDD14A">
      <w:pPr>
        <w:snapToGrid w:val="0"/>
        <w:spacing w:before="0" w:beforeLines="0" w:line="360" w:lineRule="auto"/>
      </w:pPr>
      <w:bookmarkStart w:id="3" w:name="_Toc6450"/>
      <w:bookmarkStart w:id="4" w:name="_Toc29579_WPSOffice_Level1"/>
      <w:bookmarkStart w:id="5" w:name="_Toc6146_WPSOffice_Level1"/>
      <w:bookmarkStart w:id="6" w:name="_Toc12329"/>
      <w:bookmarkStart w:id="7" w:name="_Toc25692_WPSOffice_Level1"/>
      <w:r>
        <w:rPr>
          <w:rFonts w:hint="eastAsia"/>
        </w:rPr>
        <w:t>附图：</w:t>
      </w:r>
    </w:p>
    <w:p w14:paraId="646B6340">
      <w:pPr>
        <w:snapToGrid w:val="0"/>
        <w:spacing w:before="0" w:beforeLines="0" w:line="360" w:lineRule="auto"/>
      </w:pPr>
      <w:r>
        <w:t>附图1</w:t>
      </w:r>
      <w:r>
        <w:rPr>
          <w:rFonts w:hint="eastAsia"/>
        </w:rPr>
        <w:t xml:space="preserve"> </w:t>
      </w:r>
      <w:r>
        <w:t>项目地理位置图</w:t>
      </w:r>
      <w:bookmarkEnd w:id="3"/>
      <w:bookmarkEnd w:id="4"/>
      <w:bookmarkEnd w:id="5"/>
      <w:bookmarkEnd w:id="6"/>
      <w:bookmarkEnd w:id="7"/>
    </w:p>
    <w:p w14:paraId="612E5A3F">
      <w:pPr>
        <w:snapToGrid w:val="0"/>
        <w:spacing w:before="0" w:beforeLines="0" w:line="360" w:lineRule="auto"/>
      </w:pPr>
      <w:bookmarkStart w:id="8" w:name="_Toc25608_WPSOffice_Level1"/>
      <w:bookmarkStart w:id="9" w:name="_Toc24547_WPSOffice_Level1"/>
      <w:bookmarkStart w:id="10" w:name="_Toc9811_WPSOffice_Level1"/>
      <w:bookmarkStart w:id="11" w:name="_Toc12815"/>
      <w:bookmarkStart w:id="12" w:name="_Toc25732"/>
      <w:r>
        <w:t>附图2</w:t>
      </w:r>
      <w:bookmarkEnd w:id="8"/>
      <w:bookmarkEnd w:id="9"/>
      <w:bookmarkEnd w:id="10"/>
      <w:r>
        <w:rPr>
          <w:rFonts w:hint="eastAsia"/>
        </w:rPr>
        <w:t xml:space="preserve"> </w:t>
      </w:r>
      <w:bookmarkEnd w:id="11"/>
      <w:bookmarkEnd w:id="12"/>
      <w:r>
        <w:rPr>
          <w:rFonts w:hint="eastAsia"/>
        </w:rPr>
        <w:t>项目周边环境敏感目标示意图</w:t>
      </w:r>
    </w:p>
    <w:p w14:paraId="7AE8B6CC">
      <w:pPr>
        <w:snapToGrid w:val="0"/>
        <w:spacing w:before="0" w:beforeLines="0" w:line="360" w:lineRule="auto"/>
      </w:pPr>
      <w:bookmarkStart w:id="13" w:name="_Toc7164_WPSOffice_Level1"/>
      <w:bookmarkStart w:id="14" w:name="_Toc21149_WPSOffice_Level1"/>
      <w:bookmarkStart w:id="15" w:name="_Toc26592_WPSOffice_Level1"/>
      <w:bookmarkStart w:id="16" w:name="_Toc5350"/>
      <w:bookmarkStart w:id="17" w:name="_Toc3232"/>
      <w:r>
        <w:t>附图</w:t>
      </w:r>
      <w:bookmarkEnd w:id="13"/>
      <w:bookmarkEnd w:id="14"/>
      <w:bookmarkEnd w:id="15"/>
      <w:r>
        <w:rPr>
          <w:rFonts w:hint="eastAsia"/>
        </w:rPr>
        <w:t xml:space="preserve">3 </w:t>
      </w:r>
      <w:r>
        <w:t>项目平面布置图</w:t>
      </w:r>
      <w:bookmarkEnd w:id="16"/>
      <w:bookmarkEnd w:id="17"/>
    </w:p>
    <w:p w14:paraId="28B0ED71">
      <w:pPr>
        <w:snapToGrid w:val="0"/>
        <w:spacing w:before="0" w:beforeLines="0" w:line="360" w:lineRule="auto"/>
        <w:rPr>
          <w:rFonts w:hint="eastAsia"/>
        </w:rPr>
      </w:pPr>
      <w:bookmarkStart w:id="18" w:name="_Toc19510"/>
      <w:bookmarkStart w:id="19" w:name="_Toc1614"/>
      <w:r>
        <w:rPr>
          <w:rFonts w:hint="eastAsia"/>
        </w:rPr>
        <w:t xml:space="preserve">附图4 </w:t>
      </w:r>
      <w:bookmarkEnd w:id="18"/>
      <w:r>
        <w:rPr>
          <w:rFonts w:hint="eastAsia"/>
        </w:rPr>
        <w:t>项目在岳阳临港高新技术产业开发区位置图</w:t>
      </w:r>
    </w:p>
    <w:p w14:paraId="4D0D1F39">
      <w:pPr>
        <w:pStyle w:val="30"/>
        <w:spacing w:beforeLines="0" w:after="0" w:line="360" w:lineRule="auto"/>
        <w:rPr>
          <w:rFonts w:hint="eastAsia"/>
        </w:rPr>
      </w:pPr>
      <w:r>
        <w:rPr>
          <w:rFonts w:hint="eastAsia"/>
        </w:rPr>
        <w:t>附图5 土地利用规划图</w:t>
      </w:r>
    </w:p>
    <w:p w14:paraId="4C9BD966">
      <w:pPr>
        <w:spacing w:beforeLines="0" w:line="360" w:lineRule="auto"/>
        <w:rPr>
          <w:rFonts w:hint="eastAsia"/>
          <w:lang w:val="en-US" w:eastAsia="zh-CN"/>
        </w:rPr>
      </w:pPr>
      <w:r>
        <w:rPr>
          <w:rFonts w:hint="eastAsia"/>
          <w:lang w:val="en-US" w:eastAsia="zh-CN"/>
        </w:rPr>
        <w:t>附图6 雨水、污水管道图</w:t>
      </w:r>
    </w:p>
    <w:p w14:paraId="71E4B035">
      <w:pPr>
        <w:spacing w:beforeLines="0" w:line="360" w:lineRule="auto"/>
        <w:rPr>
          <w:rFonts w:hint="default"/>
          <w:lang w:val="en-US" w:eastAsia="zh-CN"/>
        </w:rPr>
      </w:pPr>
      <w:r>
        <w:rPr>
          <w:rFonts w:hint="eastAsia"/>
          <w:lang w:val="en-US" w:eastAsia="zh-CN"/>
        </w:rPr>
        <w:t>附图7 自贸区岳阳片区与开发区、岳阳城陵矶综合保税区位置关系图</w:t>
      </w:r>
    </w:p>
    <w:bookmarkEnd w:id="19"/>
    <w:p w14:paraId="2FBE25E1">
      <w:pPr>
        <w:snapToGrid w:val="0"/>
        <w:spacing w:before="0" w:beforeLines="0" w:line="360" w:lineRule="auto"/>
      </w:pPr>
      <w:r>
        <w:rPr>
          <w:rFonts w:hint="eastAsia"/>
        </w:rPr>
        <w:t>附图</w:t>
      </w:r>
      <w:r>
        <w:rPr>
          <w:rFonts w:hint="eastAsia"/>
          <w:lang w:val="en-US" w:eastAsia="zh-CN"/>
        </w:rPr>
        <w:t xml:space="preserve">8 </w:t>
      </w:r>
      <w:r>
        <w:t>项目</w:t>
      </w:r>
      <w:r>
        <w:rPr>
          <w:rFonts w:hint="eastAsia"/>
        </w:rPr>
        <w:t>地</w:t>
      </w:r>
      <w:r>
        <w:t>现状图</w:t>
      </w:r>
    </w:p>
    <w:p w14:paraId="7E20A0BF">
      <w:pPr>
        <w:pStyle w:val="38"/>
        <w:ind w:firstLine="480"/>
        <w:sectPr>
          <w:footerReference r:id="rId3" w:type="default"/>
          <w:pgSz w:w="11906" w:h="16838"/>
          <w:pgMar w:top="1701" w:right="1531" w:bottom="1701" w:left="1531" w:header="851" w:footer="1077" w:gutter="0"/>
          <w:pgNumType w:start="1"/>
          <w:cols w:space="720" w:num="1"/>
          <w:docGrid w:linePitch="312" w:charSpace="0"/>
        </w:sectPr>
      </w:pPr>
    </w:p>
    <w:p w14:paraId="6B8CF66E">
      <w:pPr>
        <w:pStyle w:val="2"/>
        <w:jc w:val="center"/>
        <w:rPr>
          <w:rStyle w:val="48"/>
          <w:rFonts w:eastAsia="宋体"/>
          <w:b/>
          <w:bCs/>
          <w:color w:val="auto"/>
        </w:rPr>
      </w:pPr>
      <w:bookmarkStart w:id="20" w:name="_Toc71631398"/>
      <w:r>
        <w:rPr>
          <w:rStyle w:val="48"/>
          <w:rFonts w:eastAsia="宋体"/>
          <w:b/>
          <w:bCs/>
          <w:color w:val="auto"/>
        </w:rPr>
        <w:t>一、建设项目基本情况</w:t>
      </w:r>
      <w:bookmarkEnd w:id="20"/>
    </w:p>
    <w:p w14:paraId="7A2A5CC0">
      <w:pPr>
        <w:jc w:val="left"/>
      </w:pP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72"/>
        <w:gridCol w:w="1746"/>
        <w:gridCol w:w="2010"/>
        <w:gridCol w:w="2942"/>
      </w:tblGrid>
      <w:tr w14:paraId="67094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72" w:type="dxa"/>
            <w:tcMar>
              <w:top w:w="16" w:type="dxa"/>
              <w:left w:w="16" w:type="dxa"/>
              <w:right w:w="16" w:type="dxa"/>
            </w:tcMar>
            <w:vAlign w:val="center"/>
          </w:tcPr>
          <w:p w14:paraId="1F42B7E2">
            <w:pPr>
              <w:adjustRightInd w:val="0"/>
              <w:snapToGrid w:val="0"/>
              <w:jc w:val="center"/>
            </w:pPr>
            <w:r>
              <w:t>建设项目名称</w:t>
            </w:r>
          </w:p>
        </w:tc>
        <w:tc>
          <w:tcPr>
            <w:tcW w:w="6698" w:type="dxa"/>
            <w:gridSpan w:val="3"/>
            <w:vAlign w:val="center"/>
          </w:tcPr>
          <w:p w14:paraId="2D3AD7EE">
            <w:pPr>
              <w:jc w:val="center"/>
              <w:rPr>
                <w:rFonts w:hint="eastAsia" w:eastAsia="宋体"/>
                <w:lang w:eastAsia="zh-CN"/>
              </w:rPr>
            </w:pPr>
            <w:r>
              <w:rPr>
                <w:rFonts w:hint="eastAsia"/>
                <w:sz w:val="24"/>
                <w:lang w:eastAsia="zh-CN"/>
              </w:rPr>
              <w:t>NMP浆料环保加工项目</w:t>
            </w:r>
          </w:p>
        </w:tc>
      </w:tr>
      <w:tr w14:paraId="0FD910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72" w:type="dxa"/>
            <w:tcMar>
              <w:top w:w="16" w:type="dxa"/>
              <w:left w:w="16" w:type="dxa"/>
              <w:right w:w="16" w:type="dxa"/>
            </w:tcMar>
            <w:vAlign w:val="center"/>
          </w:tcPr>
          <w:p w14:paraId="53446FEA">
            <w:pPr>
              <w:adjustRightInd w:val="0"/>
              <w:snapToGrid w:val="0"/>
              <w:jc w:val="center"/>
            </w:pPr>
            <w:r>
              <w:t>项目代码</w:t>
            </w:r>
          </w:p>
        </w:tc>
        <w:tc>
          <w:tcPr>
            <w:tcW w:w="6698" w:type="dxa"/>
            <w:gridSpan w:val="3"/>
            <w:vAlign w:val="center"/>
          </w:tcPr>
          <w:p w14:paraId="10EA73CD">
            <w:pPr>
              <w:adjustRightInd w:val="0"/>
              <w:snapToGrid w:val="0"/>
              <w:jc w:val="center"/>
              <w:rPr>
                <w:color w:val="auto"/>
              </w:rPr>
            </w:pPr>
            <w:r>
              <w:rPr>
                <w:rFonts w:hint="eastAsia"/>
                <w:color w:val="auto"/>
              </w:rPr>
              <w:t>2505-430600-04-05-762224</w:t>
            </w:r>
          </w:p>
        </w:tc>
      </w:tr>
      <w:tr w14:paraId="32930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72" w:type="dxa"/>
            <w:tcMar>
              <w:top w:w="16" w:type="dxa"/>
              <w:left w:w="16" w:type="dxa"/>
              <w:right w:w="16" w:type="dxa"/>
            </w:tcMar>
            <w:vAlign w:val="center"/>
          </w:tcPr>
          <w:p w14:paraId="73B0EA8D">
            <w:pPr>
              <w:adjustRightInd w:val="0"/>
              <w:snapToGrid w:val="0"/>
              <w:jc w:val="center"/>
            </w:pPr>
            <w:r>
              <w:t>建设单位联系人</w:t>
            </w:r>
          </w:p>
        </w:tc>
        <w:tc>
          <w:tcPr>
            <w:tcW w:w="1746" w:type="dxa"/>
            <w:vAlign w:val="center"/>
          </w:tcPr>
          <w:p w14:paraId="5D0B0E81">
            <w:pPr>
              <w:adjustRightInd w:val="0"/>
              <w:snapToGrid w:val="0"/>
              <w:jc w:val="center"/>
              <w:rPr>
                <w:color w:val="auto"/>
              </w:rPr>
            </w:pPr>
            <w:r>
              <w:rPr>
                <w:rFonts w:hint="eastAsia"/>
                <w:color w:val="auto"/>
                <w:szCs w:val="21"/>
                <w:lang w:val="en-US" w:eastAsia="zh-CN"/>
              </w:rPr>
              <w:t>王思明</w:t>
            </w:r>
          </w:p>
        </w:tc>
        <w:tc>
          <w:tcPr>
            <w:tcW w:w="2010" w:type="dxa"/>
            <w:vAlign w:val="center"/>
          </w:tcPr>
          <w:p w14:paraId="08FD765B">
            <w:pPr>
              <w:adjustRightInd w:val="0"/>
              <w:snapToGrid w:val="0"/>
              <w:jc w:val="center"/>
              <w:rPr>
                <w:color w:val="auto"/>
              </w:rPr>
            </w:pPr>
            <w:r>
              <w:rPr>
                <w:color w:val="auto"/>
              </w:rPr>
              <w:t>联系方式</w:t>
            </w:r>
          </w:p>
        </w:tc>
        <w:tc>
          <w:tcPr>
            <w:tcW w:w="2942" w:type="dxa"/>
            <w:vAlign w:val="center"/>
          </w:tcPr>
          <w:p w14:paraId="66795167">
            <w:pPr>
              <w:adjustRightInd w:val="0"/>
              <w:snapToGrid w:val="0"/>
              <w:jc w:val="center"/>
              <w:rPr>
                <w:rFonts w:hint="default" w:eastAsia="宋体"/>
                <w:color w:val="auto"/>
                <w:lang w:val="en-US" w:eastAsia="zh-CN"/>
              </w:rPr>
            </w:pPr>
            <w:r>
              <w:rPr>
                <w:rFonts w:hint="eastAsia"/>
                <w:color w:val="auto"/>
                <w:lang w:val="en-US" w:eastAsia="zh-CN"/>
              </w:rPr>
              <w:t>18682441812</w:t>
            </w:r>
          </w:p>
        </w:tc>
      </w:tr>
      <w:tr w14:paraId="3D944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72" w:type="dxa"/>
            <w:tcMar>
              <w:top w:w="16" w:type="dxa"/>
              <w:left w:w="16" w:type="dxa"/>
              <w:right w:w="16" w:type="dxa"/>
            </w:tcMar>
            <w:vAlign w:val="center"/>
          </w:tcPr>
          <w:p w14:paraId="0986EFE0">
            <w:pPr>
              <w:adjustRightInd w:val="0"/>
              <w:snapToGrid w:val="0"/>
              <w:jc w:val="center"/>
            </w:pPr>
            <w:r>
              <w:t>建设地点</w:t>
            </w:r>
          </w:p>
        </w:tc>
        <w:tc>
          <w:tcPr>
            <w:tcW w:w="6698" w:type="dxa"/>
            <w:gridSpan w:val="3"/>
            <w:vAlign w:val="center"/>
          </w:tcPr>
          <w:p w14:paraId="2BCDB6EA">
            <w:pPr>
              <w:adjustRightInd w:val="0"/>
              <w:snapToGrid w:val="0"/>
              <w:jc w:val="center"/>
              <w:rPr>
                <w:rFonts w:hint="eastAsia" w:eastAsia="宋体"/>
                <w:color w:val="auto"/>
                <w:lang w:eastAsia="zh-CN"/>
              </w:rPr>
            </w:pPr>
            <w:r>
              <w:rPr>
                <w:rFonts w:hint="eastAsia"/>
                <w:color w:val="auto"/>
                <w:highlight w:val="none"/>
                <w:lang w:eastAsia="zh-CN"/>
              </w:rPr>
              <w:t>中国（湖南）自由贸易试验区岳阳片区长江大道际华高分子材料高科产业园10#工房</w:t>
            </w:r>
          </w:p>
        </w:tc>
      </w:tr>
      <w:tr w14:paraId="4697C8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72" w:type="dxa"/>
            <w:tcMar>
              <w:top w:w="16" w:type="dxa"/>
              <w:left w:w="16" w:type="dxa"/>
              <w:right w:w="16" w:type="dxa"/>
            </w:tcMar>
            <w:vAlign w:val="center"/>
          </w:tcPr>
          <w:p w14:paraId="18AA2B66">
            <w:pPr>
              <w:adjustRightInd w:val="0"/>
              <w:snapToGrid w:val="0"/>
              <w:jc w:val="center"/>
            </w:pPr>
            <w:bookmarkStart w:id="21" w:name="_Hlk70624142"/>
            <w:r>
              <w:t>地理坐标</w:t>
            </w:r>
          </w:p>
        </w:tc>
        <w:tc>
          <w:tcPr>
            <w:tcW w:w="6698" w:type="dxa"/>
            <w:gridSpan w:val="3"/>
            <w:vAlign w:val="center"/>
          </w:tcPr>
          <w:p w14:paraId="6FABCF8D">
            <w:pPr>
              <w:jc w:val="center"/>
            </w:pPr>
            <w:r>
              <w:t>东经</w:t>
            </w:r>
            <w:r>
              <w:rPr>
                <w:rFonts w:hint="default"/>
                <w:u w:val="single"/>
              </w:rPr>
              <w:t>113°12′38.78</w:t>
            </w:r>
            <w:r>
              <w:rPr>
                <w:rFonts w:hint="eastAsia"/>
                <w:u w:val="single"/>
                <w:lang w:val="en-US" w:eastAsia="zh-CN"/>
              </w:rPr>
              <w:t>2</w:t>
            </w:r>
            <w:r>
              <w:rPr>
                <w:rFonts w:hint="default"/>
                <w:u w:val="single"/>
              </w:rPr>
              <w:t>″</w:t>
            </w:r>
            <w:r>
              <w:t>，北纬</w:t>
            </w:r>
            <w:r>
              <w:rPr>
                <w:rFonts w:hint="default"/>
                <w:u w:val="single"/>
              </w:rPr>
              <w:t>29°29′23.621″</w:t>
            </w:r>
          </w:p>
        </w:tc>
      </w:tr>
      <w:bookmarkEnd w:id="21"/>
      <w:tr w14:paraId="659CE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172" w:type="dxa"/>
            <w:tcMar>
              <w:top w:w="16" w:type="dxa"/>
              <w:left w:w="16" w:type="dxa"/>
              <w:right w:w="16" w:type="dxa"/>
            </w:tcMar>
            <w:vAlign w:val="center"/>
          </w:tcPr>
          <w:p w14:paraId="624326C1">
            <w:pPr>
              <w:adjustRightInd w:val="0"/>
              <w:snapToGrid w:val="0"/>
              <w:jc w:val="center"/>
            </w:pPr>
            <w:r>
              <w:t>国民经济</w:t>
            </w:r>
          </w:p>
          <w:p w14:paraId="19016701">
            <w:pPr>
              <w:adjustRightInd w:val="0"/>
              <w:snapToGrid w:val="0"/>
              <w:jc w:val="center"/>
            </w:pPr>
            <w:r>
              <w:t>行业类别</w:t>
            </w:r>
          </w:p>
        </w:tc>
        <w:tc>
          <w:tcPr>
            <w:tcW w:w="1746" w:type="dxa"/>
            <w:vAlign w:val="center"/>
          </w:tcPr>
          <w:p w14:paraId="1D343611">
            <w:pPr>
              <w:widowControl/>
              <w:adjustRightInd/>
              <w:snapToGrid/>
              <w:jc w:val="left"/>
              <w:rPr>
                <w:color w:val="auto"/>
              </w:rPr>
            </w:pPr>
            <w:r>
              <w:rPr>
                <w:rFonts w:hint="eastAsia"/>
                <w:color w:val="auto"/>
              </w:rPr>
              <w:t>C4220非金属废料和碎屑加工处理</w:t>
            </w:r>
          </w:p>
        </w:tc>
        <w:tc>
          <w:tcPr>
            <w:tcW w:w="2010" w:type="dxa"/>
            <w:vAlign w:val="center"/>
          </w:tcPr>
          <w:p w14:paraId="7676CC7A">
            <w:pPr>
              <w:adjustRightInd w:val="0"/>
              <w:snapToGrid w:val="0"/>
              <w:jc w:val="center"/>
              <w:rPr>
                <w:color w:val="auto"/>
              </w:rPr>
            </w:pPr>
            <w:bookmarkStart w:id="22" w:name="_Hlk49843745"/>
            <w:r>
              <w:rPr>
                <w:color w:val="auto"/>
              </w:rPr>
              <w:t>建设项目</w:t>
            </w:r>
          </w:p>
          <w:p w14:paraId="5BE0B8DC">
            <w:pPr>
              <w:adjustRightInd w:val="0"/>
              <w:snapToGrid w:val="0"/>
              <w:jc w:val="center"/>
              <w:rPr>
                <w:color w:val="auto"/>
              </w:rPr>
            </w:pPr>
            <w:r>
              <w:rPr>
                <w:color w:val="auto"/>
              </w:rPr>
              <w:t>行业类别</w:t>
            </w:r>
            <w:bookmarkEnd w:id="22"/>
          </w:p>
        </w:tc>
        <w:tc>
          <w:tcPr>
            <w:tcW w:w="2942" w:type="dxa"/>
            <w:vAlign w:val="center"/>
          </w:tcPr>
          <w:p w14:paraId="68F72BAD">
            <w:pPr>
              <w:adjustRightInd w:val="0"/>
              <w:snapToGrid w:val="0"/>
              <w:spacing w:line="240" w:lineRule="auto"/>
              <w:rPr>
                <w:rFonts w:hint="default"/>
                <w:color w:val="auto"/>
                <w:lang w:val="en-US" w:eastAsia="zh-CN"/>
              </w:rPr>
            </w:pPr>
            <w:r>
              <w:rPr>
                <w:rFonts w:hint="eastAsia"/>
                <w:color w:val="auto"/>
                <w:lang w:val="en-US" w:eastAsia="zh-CN"/>
              </w:rPr>
              <w:t>“十九、废弃资源综合利用业85”中“非金属废料和碎屑加工处理 422（421和422均不含原料为危险废物的，均不含仅分拣、破碎的）”中“其他废料和碎屑加工处理”</w:t>
            </w:r>
          </w:p>
        </w:tc>
      </w:tr>
      <w:tr w14:paraId="72995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172" w:type="dxa"/>
            <w:tcMar>
              <w:top w:w="16" w:type="dxa"/>
              <w:left w:w="16" w:type="dxa"/>
              <w:right w:w="16" w:type="dxa"/>
            </w:tcMar>
            <w:vAlign w:val="center"/>
          </w:tcPr>
          <w:p w14:paraId="4CD48000">
            <w:pPr>
              <w:adjustRightInd w:val="0"/>
              <w:snapToGrid w:val="0"/>
              <w:jc w:val="center"/>
            </w:pPr>
            <w:r>
              <w:t>建设性质</w:t>
            </w:r>
          </w:p>
        </w:tc>
        <w:tc>
          <w:tcPr>
            <w:tcW w:w="1746" w:type="dxa"/>
            <w:vAlign w:val="center"/>
          </w:tcPr>
          <w:p w14:paraId="32FBC231">
            <w:pPr>
              <w:jc w:val="left"/>
            </w:pPr>
            <w:r>
              <w:rPr>
                <w:rFonts w:hint="eastAsia"/>
                <w:lang w:eastAsia="zh-CN"/>
              </w:rPr>
              <w:t>☑</w:t>
            </w:r>
            <w:r>
              <w:t>新建</w:t>
            </w:r>
          </w:p>
          <w:p w14:paraId="6647CDD6">
            <w:pPr>
              <w:jc w:val="left"/>
            </w:pPr>
            <w:r>
              <w:rPr>
                <w:rFonts w:hint="eastAsia"/>
              </w:rPr>
              <w:t>□</w:t>
            </w:r>
            <w:r>
              <w:t>改建</w:t>
            </w:r>
          </w:p>
          <w:p w14:paraId="0B9C6672">
            <w:pPr>
              <w:jc w:val="left"/>
            </w:pPr>
            <w:r>
              <w:rPr>
                <w:rFonts w:hint="eastAsia"/>
                <w:lang w:eastAsia="zh-CN"/>
              </w:rPr>
              <w:t>□</w:t>
            </w:r>
            <w:r>
              <w:t>扩建</w:t>
            </w:r>
          </w:p>
          <w:p w14:paraId="164BE66F">
            <w:pPr>
              <w:jc w:val="left"/>
            </w:pPr>
            <w:r>
              <w:rPr>
                <w:rFonts w:hint="eastAsia"/>
              </w:rPr>
              <w:t>□</w:t>
            </w:r>
            <w:r>
              <w:t>技术改造</w:t>
            </w:r>
          </w:p>
        </w:tc>
        <w:tc>
          <w:tcPr>
            <w:tcW w:w="2010" w:type="dxa"/>
            <w:vAlign w:val="center"/>
          </w:tcPr>
          <w:p w14:paraId="54A97C23">
            <w:pPr>
              <w:adjustRightInd w:val="0"/>
              <w:snapToGrid w:val="0"/>
              <w:jc w:val="center"/>
            </w:pPr>
            <w:r>
              <w:t>建设项目</w:t>
            </w:r>
          </w:p>
          <w:p w14:paraId="087E2927">
            <w:pPr>
              <w:adjustRightInd w:val="0"/>
              <w:snapToGrid w:val="0"/>
              <w:jc w:val="center"/>
            </w:pPr>
            <w:r>
              <w:t>申报情形</w:t>
            </w:r>
          </w:p>
        </w:tc>
        <w:tc>
          <w:tcPr>
            <w:tcW w:w="2942" w:type="dxa"/>
            <w:vAlign w:val="center"/>
          </w:tcPr>
          <w:p w14:paraId="35E6BF28">
            <w:pPr>
              <w:jc w:val="left"/>
            </w:pPr>
            <w:r>
              <w:t xml:space="preserve">☑首次申报项目             </w:t>
            </w:r>
          </w:p>
          <w:p w14:paraId="379808E5">
            <w:pPr>
              <w:jc w:val="left"/>
            </w:pPr>
            <w:r>
              <w:rPr>
                <w:rFonts w:hint="eastAsia"/>
              </w:rPr>
              <w:t>□</w:t>
            </w:r>
            <w:r>
              <w:t>不予批准后再次申报项目</w:t>
            </w:r>
          </w:p>
          <w:p w14:paraId="561DECA6">
            <w:pPr>
              <w:jc w:val="left"/>
            </w:pPr>
            <w:r>
              <w:rPr>
                <w:rFonts w:hint="eastAsia"/>
              </w:rPr>
              <w:t>□</w:t>
            </w:r>
            <w:r>
              <w:t xml:space="preserve">超五年重新审核项目     </w:t>
            </w:r>
          </w:p>
          <w:p w14:paraId="7EC44BF3">
            <w:pPr>
              <w:jc w:val="left"/>
            </w:pPr>
            <w:r>
              <w:rPr>
                <w:rFonts w:hint="eastAsia"/>
              </w:rPr>
              <w:t>□</w:t>
            </w:r>
            <w:r>
              <w:t>重大变动重新报批项目</w:t>
            </w:r>
          </w:p>
        </w:tc>
      </w:tr>
      <w:tr w14:paraId="6A0C8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172" w:type="dxa"/>
            <w:tcMar>
              <w:top w:w="16" w:type="dxa"/>
              <w:left w:w="16" w:type="dxa"/>
              <w:right w:w="16" w:type="dxa"/>
            </w:tcMar>
            <w:vAlign w:val="center"/>
          </w:tcPr>
          <w:p w14:paraId="4CD90D66">
            <w:pPr>
              <w:adjustRightInd w:val="0"/>
              <w:snapToGrid w:val="0"/>
              <w:jc w:val="center"/>
            </w:pPr>
            <w:r>
              <w:t>项目审批（核准/</w:t>
            </w:r>
          </w:p>
          <w:p w14:paraId="6E80A13D">
            <w:pPr>
              <w:adjustRightInd w:val="0"/>
              <w:snapToGrid w:val="0"/>
              <w:jc w:val="center"/>
            </w:pPr>
            <w:r>
              <w:t>备案）部门（选填）</w:t>
            </w:r>
          </w:p>
        </w:tc>
        <w:tc>
          <w:tcPr>
            <w:tcW w:w="1746" w:type="dxa"/>
            <w:vAlign w:val="center"/>
          </w:tcPr>
          <w:p w14:paraId="08D062B2">
            <w:pPr>
              <w:adjustRightInd w:val="0"/>
              <w:snapToGrid w:val="0"/>
              <w:jc w:val="center"/>
            </w:pPr>
            <w:r>
              <w:rPr>
                <w:rFonts w:hint="eastAsia"/>
              </w:rPr>
              <w:t>岳阳市发展和改革委员会</w:t>
            </w:r>
          </w:p>
        </w:tc>
        <w:tc>
          <w:tcPr>
            <w:tcW w:w="2010" w:type="dxa"/>
            <w:vAlign w:val="center"/>
          </w:tcPr>
          <w:p w14:paraId="5EE28A39">
            <w:pPr>
              <w:adjustRightInd w:val="0"/>
              <w:snapToGrid w:val="0"/>
              <w:jc w:val="center"/>
            </w:pPr>
            <w:r>
              <w:t>项目审批（核准/</w:t>
            </w:r>
          </w:p>
          <w:p w14:paraId="6F0D85D9">
            <w:pPr>
              <w:adjustRightInd w:val="0"/>
              <w:snapToGrid w:val="0"/>
              <w:jc w:val="center"/>
            </w:pPr>
            <w:r>
              <w:t>备案）文号（选填）</w:t>
            </w:r>
          </w:p>
        </w:tc>
        <w:tc>
          <w:tcPr>
            <w:tcW w:w="2942" w:type="dxa"/>
            <w:vAlign w:val="center"/>
          </w:tcPr>
          <w:p w14:paraId="48960E20">
            <w:pPr>
              <w:adjustRightInd w:val="0"/>
              <w:snapToGrid w:val="0"/>
              <w:jc w:val="center"/>
            </w:pPr>
            <w:r>
              <w:t>无</w:t>
            </w:r>
          </w:p>
        </w:tc>
      </w:tr>
      <w:tr w14:paraId="4830C2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72" w:type="dxa"/>
            <w:tcMar>
              <w:top w:w="16" w:type="dxa"/>
              <w:left w:w="16" w:type="dxa"/>
              <w:right w:w="16" w:type="dxa"/>
            </w:tcMar>
            <w:vAlign w:val="center"/>
          </w:tcPr>
          <w:p w14:paraId="74882516">
            <w:pPr>
              <w:adjustRightInd w:val="0"/>
              <w:snapToGrid w:val="0"/>
              <w:jc w:val="center"/>
            </w:pPr>
            <w:r>
              <w:t>总投资（万元）</w:t>
            </w:r>
          </w:p>
        </w:tc>
        <w:tc>
          <w:tcPr>
            <w:tcW w:w="1746" w:type="dxa"/>
            <w:vAlign w:val="center"/>
          </w:tcPr>
          <w:p w14:paraId="1B7AF462">
            <w:pPr>
              <w:adjustRightInd w:val="0"/>
              <w:snapToGrid w:val="0"/>
              <w:jc w:val="center"/>
              <w:rPr>
                <w:rFonts w:hint="default" w:eastAsia="宋体"/>
                <w:color w:val="auto"/>
                <w:lang w:val="en-US" w:eastAsia="zh-CN"/>
              </w:rPr>
            </w:pPr>
            <w:r>
              <w:rPr>
                <w:rFonts w:hint="eastAsia"/>
                <w:color w:val="auto"/>
                <w:lang w:val="en-US" w:eastAsia="zh-CN"/>
              </w:rPr>
              <w:t>5000</w:t>
            </w:r>
          </w:p>
        </w:tc>
        <w:tc>
          <w:tcPr>
            <w:tcW w:w="2010" w:type="dxa"/>
            <w:tcMar>
              <w:top w:w="16" w:type="dxa"/>
              <w:left w:w="16" w:type="dxa"/>
              <w:right w:w="16" w:type="dxa"/>
            </w:tcMar>
            <w:vAlign w:val="center"/>
          </w:tcPr>
          <w:p w14:paraId="120CCEA2">
            <w:pPr>
              <w:adjustRightInd w:val="0"/>
              <w:snapToGrid w:val="0"/>
              <w:jc w:val="center"/>
              <w:rPr>
                <w:color w:val="auto"/>
              </w:rPr>
            </w:pPr>
            <w:r>
              <w:rPr>
                <w:color w:val="auto"/>
              </w:rPr>
              <w:t>环保投资（万元）</w:t>
            </w:r>
          </w:p>
        </w:tc>
        <w:tc>
          <w:tcPr>
            <w:tcW w:w="2942" w:type="dxa"/>
            <w:vAlign w:val="center"/>
          </w:tcPr>
          <w:p w14:paraId="61E2E73B">
            <w:pPr>
              <w:adjustRightInd w:val="0"/>
              <w:snapToGrid w:val="0"/>
              <w:jc w:val="center"/>
              <w:rPr>
                <w:rFonts w:hint="default" w:eastAsia="宋体"/>
                <w:color w:val="auto"/>
                <w:lang w:val="en-US" w:eastAsia="zh-CN"/>
              </w:rPr>
            </w:pPr>
            <w:r>
              <w:rPr>
                <w:rFonts w:hint="eastAsia"/>
                <w:color w:val="auto"/>
                <w:lang w:val="en-US" w:eastAsia="zh-CN"/>
              </w:rPr>
              <w:t>18</w:t>
            </w:r>
          </w:p>
        </w:tc>
      </w:tr>
      <w:tr w14:paraId="6BD4B9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72" w:type="dxa"/>
            <w:tcMar>
              <w:top w:w="16" w:type="dxa"/>
              <w:left w:w="16" w:type="dxa"/>
              <w:right w:w="16" w:type="dxa"/>
            </w:tcMar>
            <w:vAlign w:val="center"/>
          </w:tcPr>
          <w:p w14:paraId="3E0D0FA7">
            <w:pPr>
              <w:adjustRightInd w:val="0"/>
              <w:snapToGrid w:val="0"/>
              <w:jc w:val="center"/>
            </w:pPr>
            <w:r>
              <w:t>环保投资占比（%）</w:t>
            </w:r>
          </w:p>
        </w:tc>
        <w:tc>
          <w:tcPr>
            <w:tcW w:w="1746" w:type="dxa"/>
            <w:vAlign w:val="center"/>
          </w:tcPr>
          <w:p w14:paraId="592B4B36">
            <w:pPr>
              <w:adjustRightInd w:val="0"/>
              <w:snapToGrid w:val="0"/>
              <w:jc w:val="center"/>
              <w:rPr>
                <w:rFonts w:hint="default" w:eastAsia="宋体"/>
                <w:color w:val="auto"/>
                <w:lang w:val="en-US" w:eastAsia="zh-CN"/>
              </w:rPr>
            </w:pPr>
            <w:r>
              <w:rPr>
                <w:rFonts w:hint="eastAsia"/>
                <w:color w:val="auto"/>
                <w:lang w:val="en-US" w:eastAsia="zh-CN"/>
              </w:rPr>
              <w:t>0.36</w:t>
            </w:r>
          </w:p>
        </w:tc>
        <w:tc>
          <w:tcPr>
            <w:tcW w:w="2010" w:type="dxa"/>
            <w:tcMar>
              <w:top w:w="16" w:type="dxa"/>
              <w:left w:w="16" w:type="dxa"/>
              <w:right w:w="16" w:type="dxa"/>
            </w:tcMar>
            <w:vAlign w:val="center"/>
          </w:tcPr>
          <w:p w14:paraId="29C53570">
            <w:pPr>
              <w:adjustRightInd w:val="0"/>
              <w:snapToGrid w:val="0"/>
              <w:jc w:val="center"/>
              <w:rPr>
                <w:color w:val="auto"/>
              </w:rPr>
            </w:pPr>
            <w:r>
              <w:rPr>
                <w:color w:val="auto"/>
              </w:rPr>
              <w:t>施工工期</w:t>
            </w:r>
          </w:p>
        </w:tc>
        <w:tc>
          <w:tcPr>
            <w:tcW w:w="2942" w:type="dxa"/>
            <w:vAlign w:val="center"/>
          </w:tcPr>
          <w:p w14:paraId="7D3C22C0">
            <w:pPr>
              <w:adjustRightInd w:val="0"/>
              <w:snapToGrid w:val="0"/>
              <w:jc w:val="center"/>
              <w:rPr>
                <w:rFonts w:hint="default" w:eastAsia="宋体"/>
                <w:color w:val="auto"/>
                <w:lang w:val="en-US" w:eastAsia="zh-CN"/>
              </w:rPr>
            </w:pPr>
            <w:r>
              <w:rPr>
                <w:rFonts w:hint="eastAsia"/>
                <w:color w:val="auto"/>
                <w:lang w:val="en-US" w:eastAsia="zh-CN"/>
              </w:rPr>
              <w:t>2个月</w:t>
            </w:r>
          </w:p>
        </w:tc>
      </w:tr>
      <w:tr w14:paraId="5A830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72" w:type="dxa"/>
            <w:tcMar>
              <w:top w:w="16" w:type="dxa"/>
              <w:left w:w="16" w:type="dxa"/>
              <w:right w:w="16" w:type="dxa"/>
            </w:tcMar>
            <w:vAlign w:val="center"/>
          </w:tcPr>
          <w:p w14:paraId="7095C1FE">
            <w:pPr>
              <w:adjustRightInd w:val="0"/>
              <w:snapToGrid w:val="0"/>
              <w:jc w:val="center"/>
            </w:pPr>
            <w:r>
              <w:t>是否开工建设</w:t>
            </w:r>
          </w:p>
        </w:tc>
        <w:tc>
          <w:tcPr>
            <w:tcW w:w="1746" w:type="dxa"/>
            <w:vAlign w:val="center"/>
          </w:tcPr>
          <w:p w14:paraId="1A1B9357">
            <w:pPr>
              <w:adjustRightInd w:val="0"/>
              <w:snapToGrid w:val="0"/>
            </w:pPr>
            <w:r>
              <w:rPr>
                <w:rFonts w:hint="eastAsia"/>
                <w:lang w:eastAsia="zh-CN"/>
              </w:rPr>
              <w:t>☑</w:t>
            </w:r>
            <w:r>
              <w:t>否</w:t>
            </w:r>
          </w:p>
          <w:p w14:paraId="2B02E7BF">
            <w:pPr>
              <w:adjustRightInd w:val="0"/>
              <w:snapToGrid w:val="0"/>
              <w:rPr>
                <w:rFonts w:hint="default" w:eastAsia="宋体"/>
                <w:lang w:val="en-US" w:eastAsia="zh-CN"/>
              </w:rPr>
            </w:pPr>
            <w:r>
              <w:rPr>
                <w:rFonts w:hint="eastAsia"/>
                <w:lang w:eastAsia="zh-CN"/>
              </w:rPr>
              <w:t>□</w:t>
            </w:r>
            <w:r>
              <w:t>是：</w:t>
            </w:r>
            <w:r>
              <w:rPr>
                <w:rFonts w:hint="eastAsia"/>
                <w:u w:val="single"/>
                <w:lang w:val="en-US" w:eastAsia="zh-CN"/>
              </w:rPr>
              <w:t xml:space="preserve">     </w:t>
            </w:r>
          </w:p>
        </w:tc>
        <w:tc>
          <w:tcPr>
            <w:tcW w:w="2010" w:type="dxa"/>
            <w:tcMar>
              <w:top w:w="16" w:type="dxa"/>
              <w:left w:w="16" w:type="dxa"/>
              <w:right w:w="16" w:type="dxa"/>
            </w:tcMar>
            <w:vAlign w:val="center"/>
          </w:tcPr>
          <w:p w14:paraId="0ED44B69">
            <w:pPr>
              <w:adjustRightInd w:val="0"/>
              <w:snapToGrid w:val="0"/>
              <w:jc w:val="center"/>
              <w:rPr>
                <w:spacing w:val="-6"/>
              </w:rPr>
            </w:pPr>
            <w:r>
              <w:rPr>
                <w:spacing w:val="-6"/>
              </w:rPr>
              <w:t>用地（用海）</w:t>
            </w:r>
          </w:p>
          <w:p w14:paraId="594A6205">
            <w:pPr>
              <w:adjustRightInd w:val="0"/>
              <w:snapToGrid w:val="0"/>
              <w:jc w:val="center"/>
            </w:pPr>
            <w:r>
              <w:rPr>
                <w:spacing w:val="-6"/>
              </w:rPr>
              <w:t>面积（m</w:t>
            </w:r>
            <w:r>
              <w:rPr>
                <w:spacing w:val="-6"/>
                <w:vertAlign w:val="superscript"/>
              </w:rPr>
              <w:t>2</w:t>
            </w:r>
            <w:r>
              <w:rPr>
                <w:spacing w:val="-6"/>
              </w:rPr>
              <w:t>）</w:t>
            </w:r>
          </w:p>
        </w:tc>
        <w:tc>
          <w:tcPr>
            <w:tcW w:w="2942" w:type="dxa"/>
            <w:vAlign w:val="center"/>
          </w:tcPr>
          <w:p w14:paraId="1CF88A59">
            <w:pPr>
              <w:adjustRightInd w:val="0"/>
              <w:snapToGrid w:val="0"/>
              <w:jc w:val="center"/>
              <w:rPr>
                <w:rFonts w:hint="default" w:eastAsia="宋体"/>
                <w:color w:val="auto"/>
                <w:lang w:val="en-US" w:eastAsia="zh-CN"/>
              </w:rPr>
            </w:pPr>
            <w:r>
              <w:rPr>
                <w:rFonts w:hint="eastAsia"/>
                <w:color w:val="auto"/>
                <w:lang w:val="en-US" w:eastAsia="zh-CN"/>
              </w:rPr>
              <w:t>4054</w:t>
            </w:r>
          </w:p>
        </w:tc>
      </w:tr>
      <w:tr w14:paraId="38361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2172" w:type="dxa"/>
            <w:vAlign w:val="center"/>
          </w:tcPr>
          <w:p w14:paraId="14752386">
            <w:pPr>
              <w:autoSpaceDE w:val="0"/>
              <w:autoSpaceDN w:val="0"/>
              <w:adjustRightInd w:val="0"/>
              <w:snapToGrid w:val="0"/>
              <w:jc w:val="center"/>
              <w:rPr>
                <w:kern w:val="0"/>
              </w:rPr>
            </w:pPr>
            <w:r>
              <w:rPr>
                <w:kern w:val="0"/>
              </w:rPr>
              <w:t>专项评价设置情况</w:t>
            </w:r>
          </w:p>
        </w:tc>
        <w:tc>
          <w:tcPr>
            <w:tcW w:w="6698" w:type="dxa"/>
            <w:gridSpan w:val="3"/>
            <w:vAlign w:val="center"/>
          </w:tcPr>
          <w:tbl>
            <w:tblPr>
              <w:tblStyle w:val="3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3220"/>
              <w:gridCol w:w="2190"/>
            </w:tblGrid>
            <w:tr w14:paraId="6676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pct"/>
                  <w:noWrap w:val="0"/>
                  <w:vAlign w:val="center"/>
                </w:tcPr>
                <w:p w14:paraId="75BC9296">
                  <w:pPr>
                    <w:pStyle w:val="14"/>
                    <w:pBdr>
                      <w:bottom w:val="none" w:color="auto" w:sz="0" w:space="0"/>
                    </w:pBdr>
                    <w:rPr>
                      <w:rFonts w:hint="default" w:eastAsia="宋体"/>
                      <w:color w:val="000000"/>
                      <w:kern w:val="0"/>
                      <w:sz w:val="21"/>
                      <w:szCs w:val="21"/>
                      <w:vertAlign w:val="baseline"/>
                      <w:lang w:val="en-US" w:eastAsia="zh-CN" w:bidi="ar-SA"/>
                    </w:rPr>
                  </w:pPr>
                  <w:r>
                    <w:rPr>
                      <w:rFonts w:hint="eastAsia"/>
                      <w:color w:val="000000"/>
                      <w:sz w:val="21"/>
                      <w:szCs w:val="21"/>
                      <w:vertAlign w:val="baseline"/>
                      <w:lang w:eastAsia="zh-CN"/>
                    </w:rPr>
                    <w:t>专项评价的类别</w:t>
                  </w:r>
                </w:p>
              </w:tc>
              <w:tc>
                <w:tcPr>
                  <w:tcW w:w="2488" w:type="pct"/>
                  <w:noWrap w:val="0"/>
                  <w:vAlign w:val="center"/>
                </w:tcPr>
                <w:p w14:paraId="63395F8F">
                  <w:pPr>
                    <w:pStyle w:val="14"/>
                    <w:pBdr>
                      <w:bottom w:val="none" w:color="auto" w:sz="0" w:space="0"/>
                    </w:pBdr>
                    <w:rPr>
                      <w:rFonts w:hint="default" w:eastAsia="宋体"/>
                      <w:color w:val="000000"/>
                      <w:kern w:val="0"/>
                      <w:sz w:val="21"/>
                      <w:szCs w:val="21"/>
                      <w:vertAlign w:val="baseline"/>
                      <w:lang w:val="en-US" w:eastAsia="zh-CN" w:bidi="ar-SA"/>
                    </w:rPr>
                  </w:pPr>
                  <w:r>
                    <w:rPr>
                      <w:rFonts w:hint="eastAsia"/>
                      <w:color w:val="000000"/>
                      <w:sz w:val="21"/>
                      <w:szCs w:val="21"/>
                      <w:vertAlign w:val="baseline"/>
                      <w:lang w:eastAsia="zh-CN"/>
                    </w:rPr>
                    <w:t>设置原则</w:t>
                  </w:r>
                </w:p>
              </w:tc>
              <w:tc>
                <w:tcPr>
                  <w:tcW w:w="1691" w:type="pct"/>
                  <w:noWrap w:val="0"/>
                  <w:vAlign w:val="center"/>
                </w:tcPr>
                <w:p w14:paraId="0F98E89A">
                  <w:pPr>
                    <w:pStyle w:val="14"/>
                    <w:pBdr>
                      <w:bottom w:val="none" w:color="auto" w:sz="0" w:space="0"/>
                    </w:pBdr>
                    <w:rPr>
                      <w:rFonts w:hint="default" w:eastAsia="宋体"/>
                      <w:color w:val="000000"/>
                      <w:kern w:val="0"/>
                      <w:sz w:val="21"/>
                      <w:szCs w:val="21"/>
                      <w:vertAlign w:val="baseline"/>
                      <w:lang w:val="en-US" w:eastAsia="zh-CN" w:bidi="ar-SA"/>
                    </w:rPr>
                  </w:pPr>
                  <w:r>
                    <w:rPr>
                      <w:rFonts w:hint="eastAsia"/>
                      <w:color w:val="000000"/>
                      <w:sz w:val="21"/>
                      <w:szCs w:val="21"/>
                      <w:vertAlign w:val="baseline"/>
                      <w:lang w:eastAsia="zh-CN"/>
                    </w:rPr>
                    <w:t>本项目情况</w:t>
                  </w:r>
                </w:p>
              </w:tc>
            </w:tr>
            <w:tr w14:paraId="2D05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pct"/>
                  <w:noWrap w:val="0"/>
                  <w:vAlign w:val="center"/>
                </w:tcPr>
                <w:p w14:paraId="0B7FD545">
                  <w:pPr>
                    <w:pStyle w:val="14"/>
                    <w:pBdr>
                      <w:bottom w:val="none" w:color="auto" w:sz="0" w:space="0"/>
                    </w:pBdr>
                    <w:rPr>
                      <w:rFonts w:hint="default" w:eastAsia="宋体"/>
                      <w:color w:val="000000"/>
                      <w:kern w:val="0"/>
                      <w:sz w:val="21"/>
                      <w:szCs w:val="21"/>
                      <w:vertAlign w:val="baseline"/>
                      <w:lang w:val="en-US" w:eastAsia="zh-CN" w:bidi="ar-SA"/>
                    </w:rPr>
                  </w:pPr>
                  <w:r>
                    <w:rPr>
                      <w:rFonts w:hint="eastAsia"/>
                      <w:color w:val="000000"/>
                      <w:sz w:val="21"/>
                      <w:szCs w:val="21"/>
                      <w:vertAlign w:val="baseline"/>
                      <w:lang w:eastAsia="zh-CN"/>
                    </w:rPr>
                    <w:t>大气</w:t>
                  </w:r>
                </w:p>
              </w:tc>
              <w:tc>
                <w:tcPr>
                  <w:tcW w:w="2488" w:type="pct"/>
                  <w:noWrap w:val="0"/>
                  <w:vAlign w:val="center"/>
                </w:tcPr>
                <w:p w14:paraId="529497AE">
                  <w:pPr>
                    <w:pStyle w:val="14"/>
                    <w:pBdr>
                      <w:bottom w:val="none" w:color="auto" w:sz="0" w:space="0"/>
                    </w:pBdr>
                    <w:rPr>
                      <w:rFonts w:hint="default" w:eastAsia="宋体"/>
                      <w:color w:val="000000"/>
                      <w:kern w:val="0"/>
                      <w:sz w:val="21"/>
                      <w:szCs w:val="21"/>
                      <w:vertAlign w:val="baseline"/>
                      <w:lang w:val="en-US" w:eastAsia="zh-CN" w:bidi="ar-SA"/>
                    </w:rPr>
                  </w:pPr>
                  <w:r>
                    <w:rPr>
                      <w:rFonts w:hint="eastAsia"/>
                      <w:color w:val="000000"/>
                      <w:sz w:val="21"/>
                      <w:szCs w:val="21"/>
                      <w:vertAlign w:val="baseline"/>
                      <w:lang w:eastAsia="zh-CN"/>
                    </w:rPr>
                    <w:t>排放废气含有有毒有害污染物</w:t>
                  </w:r>
                  <w:r>
                    <w:rPr>
                      <w:rFonts w:hint="eastAsia"/>
                      <w:color w:val="000000"/>
                      <w:sz w:val="21"/>
                      <w:szCs w:val="21"/>
                      <w:vertAlign w:val="superscript"/>
                      <w:lang w:val="en-US" w:eastAsia="zh-CN"/>
                    </w:rPr>
                    <w:t>1</w:t>
                  </w:r>
                  <w:r>
                    <w:rPr>
                      <w:rFonts w:hint="eastAsia"/>
                      <w:color w:val="000000"/>
                      <w:sz w:val="21"/>
                      <w:szCs w:val="21"/>
                      <w:vertAlign w:val="baseline"/>
                      <w:lang w:val="en-US" w:eastAsia="zh-CN"/>
                    </w:rPr>
                    <w:t>，二噁英、苯并[</w:t>
                  </w:r>
                  <w:r>
                    <w:rPr>
                      <w:rFonts w:hint="default" w:ascii="Arial" w:hAnsi="Arial" w:cs="Arial"/>
                      <w:color w:val="000000"/>
                      <w:sz w:val="21"/>
                      <w:szCs w:val="21"/>
                      <w:vertAlign w:val="baseline"/>
                      <w:lang w:val="en-US" w:eastAsia="zh-CN"/>
                    </w:rPr>
                    <w:t>ɑ</w:t>
                  </w:r>
                  <w:r>
                    <w:rPr>
                      <w:rFonts w:hint="eastAsia"/>
                      <w:color w:val="000000"/>
                      <w:sz w:val="21"/>
                      <w:szCs w:val="21"/>
                      <w:vertAlign w:val="baseline"/>
                      <w:lang w:val="en-US" w:eastAsia="zh-CN"/>
                    </w:rPr>
                    <w:t>]芘、氰化物、氯气且厂界外500米范围内有环境空气保护目标</w:t>
                  </w:r>
                  <w:r>
                    <w:rPr>
                      <w:rFonts w:hint="eastAsia"/>
                      <w:color w:val="000000"/>
                      <w:sz w:val="21"/>
                      <w:szCs w:val="21"/>
                      <w:vertAlign w:val="superscript"/>
                      <w:lang w:val="en-US" w:eastAsia="zh-CN"/>
                    </w:rPr>
                    <w:t>2</w:t>
                  </w:r>
                  <w:r>
                    <w:rPr>
                      <w:rFonts w:hint="eastAsia"/>
                      <w:color w:val="000000"/>
                      <w:sz w:val="21"/>
                      <w:szCs w:val="21"/>
                      <w:vertAlign w:val="baseline"/>
                      <w:lang w:val="en-US" w:eastAsia="zh-CN"/>
                    </w:rPr>
                    <w:t>的建设项目</w:t>
                  </w:r>
                </w:p>
              </w:tc>
              <w:tc>
                <w:tcPr>
                  <w:tcW w:w="1691" w:type="pct"/>
                  <w:noWrap w:val="0"/>
                  <w:vAlign w:val="center"/>
                </w:tcPr>
                <w:p w14:paraId="33D5F1C6">
                  <w:pPr>
                    <w:pStyle w:val="14"/>
                    <w:pBdr>
                      <w:bottom w:val="none" w:color="auto" w:sz="0" w:space="0"/>
                    </w:pBdr>
                    <w:rPr>
                      <w:rFonts w:hint="default" w:eastAsia="宋体"/>
                      <w:color w:val="000000"/>
                      <w:kern w:val="0"/>
                      <w:sz w:val="21"/>
                      <w:szCs w:val="21"/>
                      <w:vertAlign w:val="baseline"/>
                      <w:lang w:val="en-US" w:eastAsia="zh-CN" w:bidi="ar-SA"/>
                    </w:rPr>
                  </w:pPr>
                  <w:r>
                    <w:rPr>
                      <w:rFonts w:hint="eastAsia"/>
                      <w:color w:val="000000"/>
                      <w:sz w:val="21"/>
                      <w:szCs w:val="21"/>
                      <w:vertAlign w:val="baseline"/>
                      <w:lang w:eastAsia="zh-CN"/>
                    </w:rPr>
                    <w:t>本项目废气污染物</w:t>
                  </w:r>
                  <w:r>
                    <w:rPr>
                      <w:rFonts w:hint="eastAsia"/>
                      <w:color w:val="000000"/>
                      <w:sz w:val="21"/>
                      <w:szCs w:val="21"/>
                      <w:vertAlign w:val="baseline"/>
                      <w:lang w:val="en-US" w:eastAsia="zh-CN"/>
                    </w:rPr>
                    <w:t>不涉及需设置专项的有毒有害污染物</w:t>
                  </w:r>
                </w:p>
              </w:tc>
            </w:tr>
            <w:tr w14:paraId="4BDD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pct"/>
                  <w:noWrap w:val="0"/>
                  <w:vAlign w:val="center"/>
                </w:tcPr>
                <w:p w14:paraId="3729C4CD">
                  <w:pPr>
                    <w:pStyle w:val="14"/>
                    <w:pBdr>
                      <w:bottom w:val="none" w:color="auto" w:sz="0" w:space="0"/>
                    </w:pBdr>
                    <w:rPr>
                      <w:rFonts w:hint="default" w:eastAsia="宋体"/>
                      <w:color w:val="000000"/>
                      <w:kern w:val="0"/>
                      <w:sz w:val="21"/>
                      <w:szCs w:val="21"/>
                      <w:vertAlign w:val="baseline"/>
                      <w:lang w:val="en-US" w:eastAsia="zh-CN" w:bidi="ar-SA"/>
                    </w:rPr>
                  </w:pPr>
                  <w:r>
                    <w:rPr>
                      <w:rFonts w:hint="eastAsia"/>
                      <w:color w:val="000000"/>
                      <w:sz w:val="21"/>
                      <w:szCs w:val="21"/>
                      <w:vertAlign w:val="baseline"/>
                      <w:lang w:eastAsia="zh-CN"/>
                    </w:rPr>
                    <w:t>地表水</w:t>
                  </w:r>
                </w:p>
              </w:tc>
              <w:tc>
                <w:tcPr>
                  <w:tcW w:w="2488" w:type="pct"/>
                  <w:noWrap w:val="0"/>
                  <w:vAlign w:val="center"/>
                </w:tcPr>
                <w:p w14:paraId="24BF1C1E">
                  <w:pPr>
                    <w:pStyle w:val="14"/>
                    <w:pBdr>
                      <w:bottom w:val="none" w:color="auto" w:sz="0" w:space="0"/>
                    </w:pBdr>
                    <w:rPr>
                      <w:rFonts w:hint="eastAsia"/>
                      <w:color w:val="000000"/>
                      <w:sz w:val="21"/>
                      <w:szCs w:val="21"/>
                      <w:vertAlign w:val="baseline"/>
                      <w:lang w:eastAsia="zh-CN"/>
                    </w:rPr>
                  </w:pPr>
                  <w:r>
                    <w:rPr>
                      <w:rFonts w:hint="eastAsia"/>
                      <w:color w:val="000000"/>
                      <w:sz w:val="21"/>
                      <w:szCs w:val="21"/>
                      <w:vertAlign w:val="baseline"/>
                      <w:lang w:eastAsia="zh-CN"/>
                    </w:rPr>
                    <w:t>新增工业废水直排建设项目（槽罐车外送污水处理厂的除外）；</w:t>
                  </w:r>
                </w:p>
                <w:p w14:paraId="60B911E4">
                  <w:pPr>
                    <w:rPr>
                      <w:rFonts w:hint="default"/>
                      <w:color w:val="000000"/>
                      <w:kern w:val="2"/>
                      <w:sz w:val="21"/>
                      <w:szCs w:val="21"/>
                      <w:lang w:val="en-US" w:eastAsia="zh-CN" w:bidi="ar-SA"/>
                    </w:rPr>
                  </w:pPr>
                  <w:r>
                    <w:rPr>
                      <w:rFonts w:hint="eastAsia"/>
                      <w:color w:val="000000"/>
                      <w:sz w:val="21"/>
                      <w:szCs w:val="21"/>
                      <w:vertAlign w:val="baseline"/>
                      <w:lang w:eastAsia="zh-CN"/>
                    </w:rPr>
                    <w:t>新增废水直排的污水集中处理厂</w:t>
                  </w:r>
                </w:p>
              </w:tc>
              <w:tc>
                <w:tcPr>
                  <w:tcW w:w="1691" w:type="pct"/>
                  <w:noWrap w:val="0"/>
                  <w:vAlign w:val="center"/>
                </w:tcPr>
                <w:p w14:paraId="09FABA0A">
                  <w:pPr>
                    <w:pStyle w:val="14"/>
                    <w:pBdr>
                      <w:bottom w:val="none" w:color="auto" w:sz="0" w:space="0"/>
                    </w:pBdr>
                    <w:rPr>
                      <w:rFonts w:hint="default" w:eastAsia="宋体"/>
                      <w:color w:val="000000"/>
                      <w:kern w:val="0"/>
                      <w:sz w:val="21"/>
                      <w:szCs w:val="21"/>
                      <w:vertAlign w:val="baseline"/>
                      <w:lang w:val="en-US" w:eastAsia="zh-CN" w:bidi="ar-SA"/>
                    </w:rPr>
                  </w:pPr>
                  <w:r>
                    <w:rPr>
                      <w:rFonts w:hint="eastAsia"/>
                      <w:color w:val="000000"/>
                      <w:sz w:val="21"/>
                      <w:szCs w:val="21"/>
                      <w:vertAlign w:val="baseline"/>
                      <w:lang w:eastAsia="zh-CN"/>
                    </w:rPr>
                    <w:t>本项目无生产废水</w:t>
                  </w:r>
                  <w:r>
                    <w:rPr>
                      <w:rFonts w:hint="eastAsia"/>
                      <w:color w:val="000000"/>
                      <w:sz w:val="21"/>
                      <w:szCs w:val="21"/>
                      <w:vertAlign w:val="baseline"/>
                      <w:lang w:val="en-US" w:eastAsia="zh-CN"/>
                    </w:rPr>
                    <w:t>外排</w:t>
                  </w:r>
                  <w:r>
                    <w:rPr>
                      <w:rFonts w:hint="eastAsia"/>
                      <w:color w:val="000000"/>
                      <w:sz w:val="21"/>
                      <w:szCs w:val="21"/>
                      <w:vertAlign w:val="baseline"/>
                      <w:lang w:eastAsia="zh-CN"/>
                    </w:rPr>
                    <w:t>，生活污水排入</w:t>
                  </w:r>
                  <w:r>
                    <w:rPr>
                      <w:rFonts w:hint="eastAsia" w:cs="Times New Roman"/>
                      <w:color w:val="auto"/>
                      <w:kern w:val="2"/>
                      <w:sz w:val="21"/>
                      <w:szCs w:val="21"/>
                      <w:u w:val="none" w:color="auto"/>
                      <w:lang w:val="en-US" w:eastAsia="zh-CN" w:bidi="ar-SA"/>
                    </w:rPr>
                    <w:t>岳阳市三峡水环境综合治理有限责任公司临港水质净化厂</w:t>
                  </w:r>
                  <w:r>
                    <w:rPr>
                      <w:rFonts w:hint="eastAsia"/>
                      <w:color w:val="000000"/>
                      <w:sz w:val="21"/>
                      <w:szCs w:val="21"/>
                      <w:vertAlign w:val="baseline"/>
                      <w:lang w:eastAsia="zh-CN"/>
                    </w:rPr>
                    <w:t>处理，不需设置专项</w:t>
                  </w:r>
                </w:p>
              </w:tc>
            </w:tr>
            <w:tr w14:paraId="5E2D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pct"/>
                  <w:noWrap w:val="0"/>
                  <w:vAlign w:val="center"/>
                </w:tcPr>
                <w:p w14:paraId="0363099F">
                  <w:pPr>
                    <w:pStyle w:val="14"/>
                    <w:pBdr>
                      <w:bottom w:val="none" w:color="auto" w:sz="0" w:space="0"/>
                    </w:pBdr>
                    <w:rPr>
                      <w:rFonts w:hint="default" w:eastAsia="宋体"/>
                      <w:color w:val="000000"/>
                      <w:kern w:val="0"/>
                      <w:sz w:val="21"/>
                      <w:szCs w:val="21"/>
                      <w:vertAlign w:val="baseline"/>
                      <w:lang w:val="en-US" w:eastAsia="zh-CN" w:bidi="ar-SA"/>
                    </w:rPr>
                  </w:pPr>
                  <w:r>
                    <w:rPr>
                      <w:rFonts w:hint="eastAsia"/>
                      <w:color w:val="000000"/>
                      <w:sz w:val="21"/>
                      <w:szCs w:val="21"/>
                      <w:vertAlign w:val="baseline"/>
                      <w:lang w:eastAsia="zh-CN"/>
                    </w:rPr>
                    <w:t>环境风险</w:t>
                  </w:r>
                </w:p>
              </w:tc>
              <w:tc>
                <w:tcPr>
                  <w:tcW w:w="2488" w:type="pct"/>
                  <w:noWrap w:val="0"/>
                  <w:vAlign w:val="center"/>
                </w:tcPr>
                <w:p w14:paraId="3488A797">
                  <w:pPr>
                    <w:pStyle w:val="14"/>
                    <w:pBdr>
                      <w:bottom w:val="none" w:color="auto" w:sz="0" w:space="0"/>
                    </w:pBdr>
                    <w:rPr>
                      <w:rFonts w:hint="default" w:eastAsia="宋体"/>
                      <w:color w:val="000000"/>
                      <w:kern w:val="0"/>
                      <w:sz w:val="21"/>
                      <w:szCs w:val="21"/>
                      <w:vertAlign w:val="baseline"/>
                      <w:lang w:val="en-US" w:eastAsia="zh-CN" w:bidi="ar-SA"/>
                    </w:rPr>
                  </w:pPr>
                  <w:r>
                    <w:rPr>
                      <w:rFonts w:hint="eastAsia"/>
                      <w:color w:val="000000"/>
                      <w:sz w:val="21"/>
                      <w:szCs w:val="21"/>
                      <w:vertAlign w:val="baseline"/>
                      <w:lang w:eastAsia="zh-CN"/>
                    </w:rPr>
                    <w:t>有毒有害</w:t>
                  </w:r>
                  <w:r>
                    <w:rPr>
                      <w:rFonts w:hint="eastAsia"/>
                      <w:color w:val="000000"/>
                      <w:sz w:val="21"/>
                      <w:szCs w:val="21"/>
                      <w:vertAlign w:val="baseline"/>
                      <w:lang w:val="en-US" w:eastAsia="zh-CN"/>
                    </w:rPr>
                    <w:t>和易燃易爆危险物质存储量超过临界量</w:t>
                  </w:r>
                  <w:r>
                    <w:rPr>
                      <w:rFonts w:hint="eastAsia"/>
                      <w:color w:val="000000"/>
                      <w:sz w:val="21"/>
                      <w:szCs w:val="21"/>
                      <w:vertAlign w:val="superscript"/>
                      <w:lang w:val="en-US" w:eastAsia="zh-CN"/>
                    </w:rPr>
                    <w:t>3</w:t>
                  </w:r>
                  <w:r>
                    <w:rPr>
                      <w:rFonts w:hint="eastAsia"/>
                      <w:color w:val="000000"/>
                      <w:sz w:val="21"/>
                      <w:szCs w:val="21"/>
                      <w:vertAlign w:val="baseline"/>
                      <w:lang w:val="en-US" w:eastAsia="zh-CN"/>
                    </w:rPr>
                    <w:t>的建设项目</w:t>
                  </w:r>
                </w:p>
              </w:tc>
              <w:tc>
                <w:tcPr>
                  <w:tcW w:w="1691" w:type="pct"/>
                  <w:noWrap w:val="0"/>
                  <w:vAlign w:val="center"/>
                </w:tcPr>
                <w:p w14:paraId="0506C7E8">
                  <w:pPr>
                    <w:pStyle w:val="14"/>
                    <w:pBdr>
                      <w:bottom w:val="none" w:color="auto" w:sz="0" w:space="0"/>
                    </w:pBdr>
                    <w:rPr>
                      <w:rFonts w:hint="default" w:eastAsia="宋体"/>
                      <w:color w:val="000000"/>
                      <w:kern w:val="0"/>
                      <w:sz w:val="21"/>
                      <w:szCs w:val="21"/>
                      <w:vertAlign w:val="baseline"/>
                      <w:lang w:val="en-US" w:eastAsia="zh-CN" w:bidi="ar-SA"/>
                    </w:rPr>
                  </w:pPr>
                  <w:r>
                    <w:rPr>
                      <w:rFonts w:hint="eastAsia"/>
                      <w:color w:val="000000"/>
                      <w:sz w:val="21"/>
                      <w:szCs w:val="21"/>
                      <w:vertAlign w:val="baseline"/>
                      <w:lang w:eastAsia="zh-CN"/>
                    </w:rPr>
                    <w:t>经计算，</w:t>
                  </w:r>
                  <w:r>
                    <w:rPr>
                      <w:rFonts w:hint="eastAsia"/>
                      <w:color w:val="000000"/>
                      <w:sz w:val="21"/>
                      <w:szCs w:val="21"/>
                      <w:highlight w:val="none"/>
                      <w:vertAlign w:val="baseline"/>
                      <w:lang w:eastAsia="zh-CN"/>
                    </w:rPr>
                    <w:t>本项目环境风险物质</w:t>
                  </w:r>
                  <w:r>
                    <w:rPr>
                      <w:rFonts w:hint="eastAsia"/>
                      <w:color w:val="000000"/>
                      <w:sz w:val="21"/>
                      <w:szCs w:val="21"/>
                      <w:highlight w:val="none"/>
                      <w:vertAlign w:val="baseline"/>
                      <w:lang w:val="en-US" w:eastAsia="zh-CN"/>
                    </w:rPr>
                    <w:t>Q值未超临界量，不需设置专项</w:t>
                  </w:r>
                </w:p>
              </w:tc>
            </w:tr>
            <w:tr w14:paraId="4B72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pct"/>
                  <w:noWrap w:val="0"/>
                  <w:vAlign w:val="center"/>
                </w:tcPr>
                <w:p w14:paraId="264C0C4A">
                  <w:pPr>
                    <w:pStyle w:val="14"/>
                    <w:pBdr>
                      <w:bottom w:val="none" w:color="auto" w:sz="0" w:space="0"/>
                    </w:pBdr>
                    <w:rPr>
                      <w:rFonts w:hint="default" w:eastAsia="宋体"/>
                      <w:color w:val="000000"/>
                      <w:kern w:val="0"/>
                      <w:sz w:val="21"/>
                      <w:szCs w:val="21"/>
                      <w:vertAlign w:val="baseline"/>
                      <w:lang w:val="en-US" w:eastAsia="zh-CN" w:bidi="ar-SA"/>
                    </w:rPr>
                  </w:pPr>
                  <w:r>
                    <w:rPr>
                      <w:rFonts w:hint="eastAsia"/>
                      <w:color w:val="000000"/>
                      <w:sz w:val="21"/>
                      <w:szCs w:val="21"/>
                      <w:vertAlign w:val="baseline"/>
                      <w:lang w:eastAsia="zh-CN"/>
                    </w:rPr>
                    <w:t>生态</w:t>
                  </w:r>
                </w:p>
              </w:tc>
              <w:tc>
                <w:tcPr>
                  <w:tcW w:w="2488" w:type="pct"/>
                  <w:noWrap w:val="0"/>
                  <w:vAlign w:val="center"/>
                </w:tcPr>
                <w:p w14:paraId="231DF7CE">
                  <w:pPr>
                    <w:pStyle w:val="14"/>
                    <w:pBdr>
                      <w:bottom w:val="none" w:color="auto" w:sz="0" w:space="0"/>
                    </w:pBdr>
                    <w:rPr>
                      <w:rFonts w:hint="default" w:eastAsia="宋体"/>
                      <w:color w:val="000000"/>
                      <w:kern w:val="0"/>
                      <w:sz w:val="21"/>
                      <w:szCs w:val="21"/>
                      <w:vertAlign w:val="baseline"/>
                      <w:lang w:val="en-US" w:eastAsia="zh-CN" w:bidi="ar-SA"/>
                    </w:rPr>
                  </w:pPr>
                  <w:r>
                    <w:rPr>
                      <w:rFonts w:hint="eastAsia"/>
                      <w:color w:val="000000"/>
                      <w:sz w:val="21"/>
                      <w:szCs w:val="21"/>
                      <w:vertAlign w:val="baseline"/>
                      <w:lang w:eastAsia="zh-CN"/>
                    </w:rPr>
                    <w:t>取水口下游</w:t>
                  </w:r>
                  <w:r>
                    <w:rPr>
                      <w:rFonts w:hint="eastAsia"/>
                      <w:color w:val="000000"/>
                      <w:sz w:val="21"/>
                      <w:szCs w:val="21"/>
                      <w:vertAlign w:val="baseline"/>
                      <w:lang w:val="en-US" w:eastAsia="zh-CN"/>
                    </w:rPr>
                    <w:t>500米范围内有重要水生生物的自然产卵场、索饵场、越冬场和洄游通道的新增河道取水的污染类建设项目</w:t>
                  </w:r>
                </w:p>
              </w:tc>
              <w:tc>
                <w:tcPr>
                  <w:tcW w:w="1691" w:type="pct"/>
                  <w:noWrap w:val="0"/>
                  <w:vAlign w:val="center"/>
                </w:tcPr>
                <w:p w14:paraId="02FDF79A">
                  <w:pPr>
                    <w:pStyle w:val="14"/>
                    <w:pBdr>
                      <w:bottom w:val="none" w:color="auto" w:sz="0" w:space="0"/>
                    </w:pBdr>
                    <w:rPr>
                      <w:rFonts w:hint="default" w:eastAsia="宋体"/>
                      <w:color w:val="000000"/>
                      <w:kern w:val="0"/>
                      <w:sz w:val="21"/>
                      <w:szCs w:val="21"/>
                      <w:vertAlign w:val="baseline"/>
                      <w:lang w:val="en-US" w:eastAsia="zh-CN" w:bidi="ar-SA"/>
                    </w:rPr>
                  </w:pPr>
                  <w:r>
                    <w:rPr>
                      <w:rFonts w:hint="eastAsia"/>
                      <w:color w:val="000000"/>
                      <w:sz w:val="21"/>
                      <w:szCs w:val="21"/>
                      <w:vertAlign w:val="baseline"/>
                      <w:lang w:eastAsia="zh-CN"/>
                    </w:rPr>
                    <w:t>不涉及</w:t>
                  </w:r>
                </w:p>
              </w:tc>
            </w:tr>
            <w:tr w14:paraId="7F5D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pct"/>
                  <w:noWrap w:val="0"/>
                  <w:vAlign w:val="center"/>
                </w:tcPr>
                <w:p w14:paraId="07A724B4">
                  <w:pPr>
                    <w:pStyle w:val="14"/>
                    <w:pBdr>
                      <w:bottom w:val="none" w:color="auto" w:sz="0" w:space="0"/>
                    </w:pBdr>
                    <w:rPr>
                      <w:rFonts w:hint="default" w:eastAsia="宋体"/>
                      <w:color w:val="000000"/>
                      <w:kern w:val="0"/>
                      <w:sz w:val="21"/>
                      <w:szCs w:val="21"/>
                      <w:vertAlign w:val="baseline"/>
                      <w:lang w:val="en-US" w:eastAsia="zh-CN" w:bidi="ar-SA"/>
                    </w:rPr>
                  </w:pPr>
                  <w:r>
                    <w:rPr>
                      <w:rFonts w:hint="eastAsia"/>
                      <w:color w:val="000000"/>
                      <w:sz w:val="21"/>
                      <w:szCs w:val="21"/>
                      <w:vertAlign w:val="baseline"/>
                      <w:lang w:eastAsia="zh-CN"/>
                    </w:rPr>
                    <w:t>海洋</w:t>
                  </w:r>
                </w:p>
              </w:tc>
              <w:tc>
                <w:tcPr>
                  <w:tcW w:w="2488" w:type="pct"/>
                  <w:noWrap w:val="0"/>
                  <w:vAlign w:val="center"/>
                </w:tcPr>
                <w:p w14:paraId="540443FC">
                  <w:pPr>
                    <w:pStyle w:val="14"/>
                    <w:pBdr>
                      <w:bottom w:val="none" w:color="auto" w:sz="0" w:space="0"/>
                    </w:pBdr>
                    <w:rPr>
                      <w:rFonts w:hint="default"/>
                      <w:color w:val="000000"/>
                      <w:kern w:val="0"/>
                      <w:sz w:val="21"/>
                      <w:szCs w:val="21"/>
                      <w:vertAlign w:val="baseline"/>
                      <w:lang w:val="en-US" w:eastAsia="zh-CN" w:bidi="ar-SA"/>
                    </w:rPr>
                  </w:pPr>
                  <w:r>
                    <w:rPr>
                      <w:rFonts w:hint="eastAsia"/>
                      <w:color w:val="000000"/>
                      <w:sz w:val="21"/>
                      <w:szCs w:val="21"/>
                      <w:vertAlign w:val="baseline"/>
                      <w:lang w:eastAsia="zh-CN"/>
                    </w:rPr>
                    <w:t>直接向海排放污染物的海洋工程建设项目</w:t>
                  </w:r>
                </w:p>
              </w:tc>
              <w:tc>
                <w:tcPr>
                  <w:tcW w:w="1691" w:type="pct"/>
                  <w:noWrap w:val="0"/>
                  <w:vAlign w:val="center"/>
                </w:tcPr>
                <w:p w14:paraId="307A068F">
                  <w:pPr>
                    <w:pStyle w:val="14"/>
                    <w:pBdr>
                      <w:bottom w:val="none" w:color="auto" w:sz="0" w:space="0"/>
                    </w:pBdr>
                    <w:rPr>
                      <w:rFonts w:hint="default" w:eastAsia="宋体"/>
                      <w:color w:val="000000"/>
                      <w:kern w:val="0"/>
                      <w:sz w:val="21"/>
                      <w:szCs w:val="21"/>
                      <w:vertAlign w:val="baseline"/>
                      <w:lang w:val="en-US" w:eastAsia="zh-CN" w:bidi="ar-SA"/>
                    </w:rPr>
                  </w:pPr>
                  <w:r>
                    <w:rPr>
                      <w:rFonts w:hint="eastAsia"/>
                      <w:color w:val="000000"/>
                      <w:sz w:val="21"/>
                      <w:szCs w:val="21"/>
                      <w:vertAlign w:val="baseline"/>
                      <w:lang w:eastAsia="zh-CN"/>
                    </w:rPr>
                    <w:t>不涉及</w:t>
                  </w:r>
                </w:p>
              </w:tc>
            </w:tr>
          </w:tbl>
          <w:p w14:paraId="44204F6D">
            <w:pPr>
              <w:autoSpaceDE w:val="0"/>
              <w:autoSpaceDN w:val="0"/>
              <w:adjustRightInd w:val="0"/>
              <w:snapToGrid w:val="0"/>
              <w:jc w:val="center"/>
              <w:rPr>
                <w:rFonts w:hint="default" w:eastAsia="宋体"/>
                <w:kern w:val="0"/>
                <w:lang w:val="en-US" w:eastAsia="zh-CN"/>
              </w:rPr>
            </w:pPr>
          </w:p>
        </w:tc>
      </w:tr>
      <w:tr w14:paraId="119D3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172" w:type="dxa"/>
            <w:vAlign w:val="center"/>
          </w:tcPr>
          <w:p w14:paraId="3A4AEA4F">
            <w:pPr>
              <w:autoSpaceDE w:val="0"/>
              <w:autoSpaceDN w:val="0"/>
              <w:adjustRightInd w:val="0"/>
              <w:snapToGrid w:val="0"/>
              <w:jc w:val="center"/>
              <w:rPr>
                <w:kern w:val="0"/>
              </w:rPr>
            </w:pPr>
            <w:r>
              <w:t>规划情况</w:t>
            </w:r>
          </w:p>
        </w:tc>
        <w:tc>
          <w:tcPr>
            <w:tcW w:w="6698" w:type="dxa"/>
            <w:gridSpan w:val="3"/>
            <w:vAlign w:val="center"/>
          </w:tcPr>
          <w:p w14:paraId="392C79C9">
            <w:pPr>
              <w:numPr>
                <w:ilvl w:val="0"/>
                <w:numId w:val="0"/>
              </w:numPr>
              <w:autoSpaceDE/>
              <w:autoSpaceDN/>
              <w:adjustRightInd w:val="0"/>
              <w:snapToGrid w:val="0"/>
              <w:spacing w:line="360" w:lineRule="auto"/>
              <w:ind w:firstLine="480" w:firstLineChars="200"/>
              <w:jc w:val="left"/>
              <w:rPr>
                <w:kern w:val="0"/>
              </w:rPr>
            </w:pPr>
            <w:r>
              <w:rPr>
                <w:rFonts w:hint="default" w:ascii="Times New Roman" w:hAnsi="Times New Roman" w:eastAsia="宋体" w:cs="Times New Roman"/>
                <w:color w:val="auto"/>
                <w:sz w:val="24"/>
                <w:szCs w:val="24"/>
                <w:highlight w:val="none"/>
                <w:u w:val="none" w:color="auto"/>
              </w:rPr>
              <w:t>《湖南城陵矶临港产业新区产业核心区总体规划（2010~2030年）》，岳阳市规划勘测设计，2011年9月。</w:t>
            </w:r>
          </w:p>
        </w:tc>
      </w:tr>
      <w:tr w14:paraId="6FBC0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172" w:type="dxa"/>
            <w:vAlign w:val="center"/>
          </w:tcPr>
          <w:p w14:paraId="6B9B2F27">
            <w:pPr>
              <w:adjustRightInd w:val="0"/>
              <w:snapToGrid w:val="0"/>
              <w:jc w:val="center"/>
            </w:pPr>
            <w:r>
              <w:t>规划环境影响</w:t>
            </w:r>
          </w:p>
          <w:p w14:paraId="44D18396">
            <w:pPr>
              <w:adjustRightInd w:val="0"/>
              <w:snapToGrid w:val="0"/>
              <w:jc w:val="center"/>
              <w:rPr>
                <w:kern w:val="0"/>
              </w:rPr>
            </w:pPr>
            <w:r>
              <w:t>评价情况</w:t>
            </w:r>
          </w:p>
        </w:tc>
        <w:tc>
          <w:tcPr>
            <w:tcW w:w="6698" w:type="dxa"/>
            <w:gridSpan w:val="3"/>
            <w:vAlign w:val="center"/>
          </w:tcPr>
          <w:p w14:paraId="16DCA942">
            <w:pPr>
              <w:autoSpaceDE w:val="0"/>
              <w:autoSpaceDN w:val="0"/>
              <w:adjustRightInd w:val="0"/>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1、</w:t>
            </w:r>
            <w:r>
              <w:rPr>
                <w:rFonts w:hint="default" w:ascii="Times New Roman" w:hAnsi="Times New Roman" w:eastAsia="宋体" w:cs="Times New Roman"/>
                <w:sz w:val="24"/>
              </w:rPr>
              <w:t>规划环境影响评价文件名称：</w:t>
            </w:r>
            <w:r>
              <w:rPr>
                <w:rFonts w:hint="default" w:ascii="Times New Roman" w:hAnsi="Times New Roman" w:eastAsia="宋体" w:cs="Times New Roman"/>
                <w:b w:val="0"/>
                <w:bCs w:val="0"/>
                <w:color w:val="auto"/>
                <w:kern w:val="0"/>
                <w:sz w:val="24"/>
                <w:szCs w:val="24"/>
                <w:highlight w:val="none"/>
                <w:u w:val="none" w:color="auto"/>
              </w:rPr>
              <w:t>《湖南城陵矶临港产业新区产业核心区环境影响报告书》</w:t>
            </w:r>
            <w:r>
              <w:rPr>
                <w:rFonts w:hint="default" w:ascii="Times New Roman" w:hAnsi="Times New Roman" w:eastAsia="宋体" w:cs="Times New Roman"/>
                <w:b w:val="0"/>
                <w:bCs w:val="0"/>
                <w:color w:val="auto"/>
                <w:kern w:val="0"/>
                <w:sz w:val="24"/>
                <w:szCs w:val="24"/>
                <w:highlight w:val="none"/>
                <w:u w:val="none" w:color="auto"/>
                <w:lang w:eastAsia="zh-CN"/>
              </w:rPr>
              <w:t>、</w:t>
            </w:r>
            <w:r>
              <w:rPr>
                <w:rFonts w:hint="default" w:ascii="Times New Roman" w:hAnsi="Times New Roman" w:eastAsia="宋体" w:cs="Times New Roman"/>
                <w:color w:val="auto"/>
                <w:kern w:val="0"/>
                <w:sz w:val="24"/>
                <w:szCs w:val="24"/>
                <w:highlight w:val="none"/>
                <w:u w:val="none" w:color="auto"/>
              </w:rPr>
              <w:t>《</w:t>
            </w:r>
            <w:r>
              <w:rPr>
                <w:rFonts w:hint="default" w:ascii="Times New Roman" w:hAnsi="Times New Roman" w:eastAsia="宋体" w:cs="Times New Roman"/>
                <w:color w:val="auto"/>
                <w:sz w:val="24"/>
                <w:szCs w:val="24"/>
                <w:highlight w:val="none"/>
                <w:u w:val="none" w:color="auto"/>
                <w:lang w:val="zh-CN" w:bidi="ar"/>
              </w:rPr>
              <w:t>岳阳临港高新技术产业开发区环境影响跟踪评价报告书》</w:t>
            </w:r>
            <w:r>
              <w:rPr>
                <w:rFonts w:hint="default" w:ascii="Times New Roman" w:hAnsi="Times New Roman" w:eastAsia="宋体" w:cs="Times New Roman"/>
                <w:sz w:val="24"/>
              </w:rPr>
              <w:t>；</w:t>
            </w:r>
          </w:p>
          <w:p w14:paraId="09225585">
            <w:pPr>
              <w:autoSpaceDE w:val="0"/>
              <w:autoSpaceDN w:val="0"/>
              <w:adjustRightInd w:val="0"/>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2、</w:t>
            </w:r>
            <w:r>
              <w:rPr>
                <w:rFonts w:hint="default" w:ascii="Times New Roman" w:hAnsi="Times New Roman" w:eastAsia="宋体" w:cs="Times New Roman"/>
                <w:sz w:val="24"/>
              </w:rPr>
              <w:t>审查机关：</w:t>
            </w:r>
            <w:r>
              <w:rPr>
                <w:rFonts w:hint="default" w:ascii="Times New Roman" w:hAnsi="Times New Roman" w:eastAsia="宋体" w:cs="Times New Roman"/>
                <w:b w:val="0"/>
                <w:bCs w:val="0"/>
                <w:color w:val="auto"/>
                <w:sz w:val="24"/>
                <w:szCs w:val="24"/>
                <w:highlight w:val="none"/>
                <w:u w:val="none" w:color="auto"/>
                <w:lang w:val="zh-CN" w:bidi="ar"/>
              </w:rPr>
              <w:t>湖南省生态环境厅</w:t>
            </w:r>
            <w:r>
              <w:rPr>
                <w:rFonts w:hint="default" w:ascii="Times New Roman" w:hAnsi="Times New Roman" w:eastAsia="宋体" w:cs="Times New Roman"/>
                <w:sz w:val="24"/>
              </w:rPr>
              <w:t>；</w:t>
            </w:r>
          </w:p>
          <w:p w14:paraId="26064A5E">
            <w:pPr>
              <w:pStyle w:val="30"/>
              <w:spacing w:after="0" w:line="360" w:lineRule="auto"/>
              <w:ind w:firstLine="480" w:firstLineChars="200"/>
              <w:jc w:val="left"/>
              <w:rPr>
                <w:rFonts w:hint="eastAsia" w:eastAsia="宋体"/>
                <w:lang w:val="en-US" w:eastAsia="zh-CN"/>
              </w:rPr>
            </w:pPr>
            <w:r>
              <w:rPr>
                <w:rFonts w:hint="eastAsia" w:ascii="Times New Roman" w:hAnsi="Times New Roman" w:eastAsia="宋体" w:cs="Times New Roman"/>
                <w:sz w:val="24"/>
                <w:lang w:val="en-US" w:eastAsia="zh-CN"/>
              </w:rPr>
              <w:t>3、</w:t>
            </w:r>
            <w:r>
              <w:rPr>
                <w:rFonts w:hint="default" w:ascii="Times New Roman" w:hAnsi="Times New Roman" w:eastAsia="宋体" w:cs="Times New Roman"/>
                <w:sz w:val="24"/>
              </w:rPr>
              <w:t>审查文件名称及文号：《关于湖南城陵矶临港产业新区产业核心区环境影响报告书的批复》（</w:t>
            </w:r>
            <w:r>
              <w:rPr>
                <w:rFonts w:hint="default" w:ascii="Times New Roman" w:hAnsi="Times New Roman" w:eastAsia="宋体" w:cs="Times New Roman"/>
                <w:b w:val="0"/>
                <w:bCs w:val="0"/>
                <w:color w:val="auto"/>
                <w:kern w:val="0"/>
                <w:sz w:val="24"/>
                <w:szCs w:val="24"/>
                <w:highlight w:val="none"/>
                <w:u w:val="none" w:color="auto"/>
              </w:rPr>
              <w:t>湘环评</w:t>
            </w:r>
            <w:r>
              <w:rPr>
                <w:rFonts w:hint="default" w:ascii="Times New Roman" w:hAnsi="Times New Roman" w:eastAsia="宋体" w:cs="Times New Roman"/>
                <w:b w:val="0"/>
                <w:bCs w:val="0"/>
                <w:color w:val="auto"/>
                <w:sz w:val="24"/>
                <w:szCs w:val="24"/>
                <w:highlight w:val="none"/>
                <w:u w:val="none" w:color="auto"/>
              </w:rPr>
              <w:t>〔2012〕</w:t>
            </w:r>
            <w:r>
              <w:rPr>
                <w:rFonts w:hint="default" w:ascii="Times New Roman" w:hAnsi="Times New Roman" w:eastAsia="宋体" w:cs="Times New Roman"/>
                <w:b w:val="0"/>
                <w:bCs w:val="0"/>
                <w:color w:val="auto"/>
                <w:kern w:val="0"/>
                <w:sz w:val="24"/>
                <w:szCs w:val="24"/>
                <w:highlight w:val="none"/>
                <w:u w:val="none" w:color="auto"/>
              </w:rPr>
              <w:t>293号</w:t>
            </w:r>
            <w:r>
              <w:rPr>
                <w:rFonts w:hint="default" w:ascii="Times New Roman" w:hAnsi="Times New Roman" w:eastAsia="宋体" w:cs="Times New Roman"/>
                <w:sz w:val="24"/>
              </w:rPr>
              <w:t>）</w:t>
            </w:r>
            <w:r>
              <w:rPr>
                <w:rFonts w:hint="default" w:ascii="Times New Roman" w:hAnsi="Times New Roman" w:eastAsia="宋体" w:cs="Times New Roman"/>
                <w:sz w:val="24"/>
                <w:lang w:eastAsia="zh-CN"/>
              </w:rPr>
              <w:t>、《湖南省生态环境厅关于岳阳临港高新技术产业开发区环境影响跟踪评价工作意见的函》（</w:t>
            </w:r>
            <w:r>
              <w:rPr>
                <w:rFonts w:hint="default" w:ascii="Times New Roman" w:hAnsi="Times New Roman" w:eastAsia="宋体" w:cs="Times New Roman"/>
                <w:b w:val="0"/>
                <w:bCs w:val="0"/>
                <w:color w:val="auto"/>
                <w:sz w:val="24"/>
                <w:szCs w:val="24"/>
                <w:highlight w:val="none"/>
                <w:u w:val="none" w:color="auto"/>
                <w:lang w:val="zh-CN" w:bidi="ar"/>
              </w:rPr>
              <w:t>湘环评函</w:t>
            </w:r>
            <w:r>
              <w:rPr>
                <w:rFonts w:hint="default" w:ascii="Times New Roman" w:hAnsi="Times New Roman" w:eastAsia="宋体" w:cs="Times New Roman"/>
                <w:b w:val="0"/>
                <w:bCs w:val="0"/>
                <w:color w:val="auto"/>
                <w:sz w:val="24"/>
                <w:szCs w:val="24"/>
                <w:highlight w:val="none"/>
                <w:u w:val="none" w:color="auto"/>
              </w:rPr>
              <w:t>〔20</w:t>
            </w:r>
            <w:r>
              <w:rPr>
                <w:rFonts w:hint="default" w:ascii="Times New Roman" w:hAnsi="Times New Roman" w:eastAsia="宋体" w:cs="Times New Roman"/>
                <w:b w:val="0"/>
                <w:bCs w:val="0"/>
                <w:color w:val="auto"/>
                <w:sz w:val="24"/>
                <w:szCs w:val="24"/>
                <w:highlight w:val="none"/>
                <w:u w:val="none" w:color="auto"/>
                <w:lang w:val="en-US" w:eastAsia="zh-CN"/>
              </w:rPr>
              <w:t>21</w:t>
            </w:r>
            <w:r>
              <w:rPr>
                <w:rFonts w:hint="default" w:ascii="Times New Roman" w:hAnsi="Times New Roman" w:eastAsia="宋体" w:cs="Times New Roman"/>
                <w:b w:val="0"/>
                <w:bCs w:val="0"/>
                <w:color w:val="auto"/>
                <w:sz w:val="24"/>
                <w:szCs w:val="24"/>
                <w:highlight w:val="none"/>
                <w:u w:val="none" w:color="auto"/>
              </w:rPr>
              <w:t>〕</w:t>
            </w:r>
            <w:r>
              <w:rPr>
                <w:rFonts w:hint="default" w:ascii="Times New Roman" w:hAnsi="Times New Roman" w:eastAsia="宋体" w:cs="Times New Roman"/>
                <w:b w:val="0"/>
                <w:bCs w:val="0"/>
                <w:color w:val="auto"/>
                <w:sz w:val="24"/>
                <w:szCs w:val="24"/>
                <w:highlight w:val="none"/>
                <w:u w:val="none" w:color="auto"/>
                <w:lang w:val="zh-CN" w:bidi="ar"/>
              </w:rPr>
              <w:t>33号）</w:t>
            </w:r>
            <w:r>
              <w:rPr>
                <w:rFonts w:hint="default" w:ascii="Times New Roman" w:hAnsi="Times New Roman" w:eastAsia="宋体" w:cs="Times New Roman"/>
                <w:sz w:val="24"/>
              </w:rPr>
              <w:t>。</w:t>
            </w:r>
          </w:p>
        </w:tc>
      </w:tr>
      <w:tr w14:paraId="69126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172" w:type="dxa"/>
            <w:vAlign w:val="center"/>
          </w:tcPr>
          <w:p w14:paraId="339C33FD">
            <w:pPr>
              <w:autoSpaceDE w:val="0"/>
              <w:autoSpaceDN w:val="0"/>
              <w:adjustRightInd w:val="0"/>
              <w:snapToGrid w:val="0"/>
              <w:jc w:val="center"/>
              <w:rPr>
                <w:kern w:val="0"/>
              </w:rPr>
            </w:pPr>
            <w:r>
              <w:rPr>
                <w:kern w:val="0"/>
              </w:rPr>
              <w:t>规划及规划环境</w:t>
            </w:r>
          </w:p>
          <w:p w14:paraId="7FB8738B">
            <w:pPr>
              <w:autoSpaceDE w:val="0"/>
              <w:autoSpaceDN w:val="0"/>
              <w:adjustRightInd w:val="0"/>
              <w:snapToGrid w:val="0"/>
              <w:jc w:val="center"/>
              <w:rPr>
                <w:kern w:val="0"/>
              </w:rPr>
            </w:pPr>
            <w:r>
              <w:rPr>
                <w:kern w:val="0"/>
              </w:rPr>
              <w:t>影响评价符合性分析</w:t>
            </w:r>
          </w:p>
        </w:tc>
        <w:tc>
          <w:tcPr>
            <w:tcW w:w="6698" w:type="dxa"/>
            <w:gridSpan w:val="3"/>
            <w:vAlign w:val="center"/>
          </w:tcPr>
          <w:p w14:paraId="6E5E9502">
            <w:pPr>
              <w:adjustRightInd w:val="0"/>
              <w:snapToGrid w:val="0"/>
              <w:spacing w:before="0" w:beforeLines="0" w:after="0" w:afterLines="0" w:line="360" w:lineRule="auto"/>
              <w:ind w:firstLine="482" w:firstLineChars="200"/>
              <w:jc w:val="left"/>
              <w:rPr>
                <w:rFonts w:hint="default" w:ascii="Times New Roman" w:hAnsi="Times New Roman" w:eastAsia="宋体" w:cs="Times New Roman"/>
                <w:b/>
                <w:bCs/>
                <w:color w:val="auto"/>
                <w:sz w:val="24"/>
                <w:szCs w:val="32"/>
                <w:u w:val="none" w:color="auto"/>
              </w:rPr>
            </w:pPr>
            <w:r>
              <w:rPr>
                <w:rFonts w:hint="default" w:ascii="Times New Roman" w:hAnsi="Times New Roman" w:eastAsia="宋体" w:cs="Times New Roman"/>
                <w:b/>
                <w:bCs/>
                <w:color w:val="auto"/>
                <w:sz w:val="24"/>
                <w:szCs w:val="32"/>
                <w:u w:val="none" w:color="auto"/>
              </w:rPr>
              <w:t>1、</w:t>
            </w:r>
            <w:r>
              <w:rPr>
                <w:rFonts w:hint="default"/>
                <w:b/>
                <w:bCs/>
                <w:color w:val="auto"/>
                <w:szCs w:val="32"/>
                <w:u w:val="none" w:color="auto"/>
              </w:rPr>
              <w:t>与《湖南城陵矶临港产业新区产业核心区总体规划（2010~2030年）》符合性分析</w:t>
            </w:r>
          </w:p>
          <w:p w14:paraId="4EEA12A1">
            <w:pPr>
              <w:adjustRightInd w:val="0"/>
              <w:snapToGrid w:val="0"/>
              <w:spacing w:before="0" w:beforeLines="0" w:after="0" w:afterLines="0" w:line="360" w:lineRule="auto"/>
              <w:ind w:firstLine="480" w:firstLineChars="200"/>
              <w:jc w:val="left"/>
              <w:rPr>
                <w:rFonts w:hint="default" w:ascii="Times New Roman" w:hAnsi="Times New Roman" w:eastAsia="宋体" w:cs="Times New Roman"/>
                <w:color w:val="000000"/>
                <w:sz w:val="24"/>
                <w:szCs w:val="24"/>
                <w:highlight w:val="none"/>
                <w:u w:val="none" w:color="auto"/>
              </w:rPr>
            </w:pPr>
            <w:r>
              <w:rPr>
                <w:rFonts w:hint="default" w:ascii="Times New Roman" w:hAnsi="Times New Roman" w:eastAsia="宋体" w:cs="Times New Roman"/>
                <w:color w:val="auto"/>
                <w:sz w:val="24"/>
                <w:szCs w:val="24"/>
                <w:highlight w:val="none"/>
                <w:u w:val="none" w:color="auto"/>
              </w:rPr>
              <w:t>湖南城陵矶临港产业新区产业核心区</w:t>
            </w:r>
            <w:r>
              <w:rPr>
                <w:rFonts w:hint="eastAsia" w:cs="Times New Roman"/>
                <w:color w:val="auto"/>
                <w:sz w:val="24"/>
                <w:szCs w:val="24"/>
                <w:highlight w:val="none"/>
                <w:u w:val="none" w:color="auto"/>
                <w:lang w:eastAsia="zh-CN"/>
              </w:rPr>
              <w:t>（</w:t>
            </w:r>
            <w:r>
              <w:rPr>
                <w:rFonts w:hint="eastAsia" w:cs="Times New Roman"/>
                <w:color w:val="auto"/>
                <w:sz w:val="24"/>
                <w:szCs w:val="24"/>
                <w:highlight w:val="none"/>
                <w:u w:val="none" w:color="auto"/>
                <w:lang w:val="en-US" w:eastAsia="zh-CN"/>
              </w:rPr>
              <w:t>现</w:t>
            </w:r>
            <w:r>
              <w:rPr>
                <w:rFonts w:hint="default" w:ascii="Times New Roman" w:hAnsi="Times New Roman" w:eastAsia="宋体" w:cs="Times New Roman"/>
                <w:sz w:val="24"/>
                <w:lang w:eastAsia="zh-CN"/>
              </w:rPr>
              <w:t>岳阳临港高新技术产业开发区</w:t>
            </w:r>
            <w:r>
              <w:rPr>
                <w:rFonts w:hint="eastAsia"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规划范围：东起随岳高速公路西侧，西抵长江干堤道路西侧，南临规划擂鼓台路、煤灰湖路、兴港路及疏港大道，北至规划环湖路、松阳湖路及其局部所设防涝堤挡水一侧，总用地面积23.68km</w:t>
            </w:r>
            <w:r>
              <w:rPr>
                <w:rFonts w:hint="default" w:ascii="Times New Roman" w:hAnsi="Times New Roman" w:eastAsia="宋体" w:cs="Times New Roman"/>
                <w:color w:val="auto"/>
                <w:sz w:val="24"/>
                <w:szCs w:val="24"/>
                <w:highlight w:val="none"/>
                <w:u w:val="none" w:color="auto"/>
                <w:vertAlign w:val="superscript"/>
              </w:rPr>
              <w:t>2</w:t>
            </w:r>
            <w:r>
              <w:rPr>
                <w:rFonts w:hint="default" w:ascii="Times New Roman" w:hAnsi="Times New Roman" w:eastAsia="宋体" w:cs="Times New Roman"/>
                <w:color w:val="auto"/>
                <w:sz w:val="24"/>
                <w:szCs w:val="24"/>
                <w:highlight w:val="none"/>
                <w:u w:val="none" w:color="auto"/>
              </w:rPr>
              <w:t>。核心区重点发展新材料、高技术服务、高端装</w:t>
            </w:r>
            <w:r>
              <w:rPr>
                <w:rFonts w:hint="default" w:ascii="Times New Roman" w:hAnsi="Times New Roman" w:eastAsia="宋体" w:cs="Times New Roman"/>
                <w:color w:val="000000"/>
                <w:sz w:val="24"/>
                <w:szCs w:val="24"/>
                <w:highlight w:val="none"/>
                <w:u w:val="none" w:color="auto"/>
              </w:rPr>
              <w:t>备制造和电子信息四大产业。</w:t>
            </w:r>
          </w:p>
          <w:p w14:paraId="7CF7B0BE">
            <w:pPr>
              <w:adjustRightInd w:val="0"/>
              <w:snapToGrid w:val="0"/>
              <w:spacing w:before="0" w:beforeLines="0" w:after="0" w:afterLines="0" w:line="360" w:lineRule="auto"/>
              <w:ind w:firstLine="480" w:firstLineChars="200"/>
              <w:jc w:val="left"/>
              <w:rPr>
                <w:rFonts w:hint="default" w:ascii="Times New Roman" w:hAnsi="Times New Roman" w:eastAsia="宋体" w:cs="Times New Roman"/>
                <w:color w:val="auto"/>
                <w:sz w:val="24"/>
                <w:szCs w:val="32"/>
                <w:u w:val="none" w:color="auto"/>
              </w:rPr>
            </w:pPr>
            <w:r>
              <w:rPr>
                <w:rFonts w:hint="default" w:ascii="Times New Roman" w:hAnsi="Times New Roman" w:eastAsia="宋体" w:cs="Times New Roman"/>
                <w:color w:val="000000"/>
                <w:sz w:val="24"/>
                <w:szCs w:val="24"/>
                <w:highlight w:val="none"/>
                <w:u w:val="none" w:color="auto"/>
              </w:rPr>
              <w:t>本项目位于</w:t>
            </w:r>
            <w:r>
              <w:rPr>
                <w:rFonts w:hint="eastAsia"/>
                <w:color w:val="auto"/>
                <w:highlight w:val="none"/>
                <w:lang w:eastAsia="zh-CN"/>
              </w:rPr>
              <w:t>中国（湖南）自由贸易试验区岳阳片区长江大道际华高分子材料高科产业园10#工房</w:t>
            </w:r>
            <w:r>
              <w:rPr>
                <w:rFonts w:hint="default" w:ascii="Times New Roman" w:hAnsi="Times New Roman" w:eastAsia="宋体" w:cs="Times New Roman"/>
                <w:color w:val="000000"/>
                <w:sz w:val="24"/>
                <w:szCs w:val="24"/>
                <w:highlight w:val="none"/>
                <w:u w:val="none" w:color="auto"/>
              </w:rPr>
              <w:t>，属于</w:t>
            </w:r>
            <w:r>
              <w:rPr>
                <w:rFonts w:hint="default" w:ascii="Times New Roman" w:hAnsi="Times New Roman" w:eastAsia="宋体" w:cs="Times New Roman"/>
                <w:color w:val="auto"/>
                <w:sz w:val="24"/>
                <w:szCs w:val="24"/>
                <w:highlight w:val="none"/>
                <w:u w:val="none" w:color="auto"/>
              </w:rPr>
              <w:t>临港产业新区核心区范围</w:t>
            </w:r>
            <w:r>
              <w:rPr>
                <w:rFonts w:hint="eastAsia" w:cs="Times New Roman"/>
                <w:color w:val="auto"/>
                <w:sz w:val="24"/>
                <w:szCs w:val="24"/>
                <w:highlight w:val="none"/>
                <w:u w:val="none" w:color="auto"/>
                <w:lang w:eastAsia="zh-CN"/>
              </w:rPr>
              <w:t>，</w:t>
            </w:r>
            <w:r>
              <w:rPr>
                <w:rFonts w:hint="eastAsia" w:cs="Times New Roman"/>
                <w:color w:val="auto"/>
                <w:sz w:val="24"/>
                <w:szCs w:val="24"/>
                <w:highlight w:val="none"/>
                <w:u w:val="none" w:color="auto"/>
                <w:lang w:val="en-US" w:eastAsia="zh-CN"/>
              </w:rPr>
              <w:t>用地为工业用地</w:t>
            </w:r>
            <w:r>
              <w:rPr>
                <w:rFonts w:hint="eastAsia" w:cs="Times New Roman"/>
                <w:color w:val="auto"/>
                <w:sz w:val="24"/>
                <w:szCs w:val="24"/>
                <w:highlight w:val="none"/>
                <w:u w:val="none" w:color="auto"/>
                <w:lang w:eastAsia="zh-CN"/>
              </w:rPr>
              <w:t>（</w:t>
            </w:r>
            <w:r>
              <w:rPr>
                <w:rFonts w:hint="eastAsia"/>
                <w:color w:val="auto"/>
                <w:highlight w:val="none"/>
                <w:lang w:eastAsia="zh-CN"/>
              </w:rPr>
              <w:t>自由贸易试验区</w:t>
            </w:r>
            <w:r>
              <w:rPr>
                <w:rFonts w:hint="eastAsia"/>
                <w:color w:val="auto"/>
                <w:highlight w:val="none"/>
                <w:lang w:val="en-US" w:eastAsia="zh-CN"/>
              </w:rPr>
              <w:t>与</w:t>
            </w:r>
            <w:r>
              <w:rPr>
                <w:rFonts w:hint="default" w:ascii="Times New Roman" w:hAnsi="Times New Roman" w:eastAsia="宋体" w:cs="Times New Roman"/>
                <w:color w:val="auto"/>
                <w:sz w:val="24"/>
                <w:szCs w:val="24"/>
                <w:highlight w:val="none"/>
                <w:u w:val="none" w:color="auto"/>
              </w:rPr>
              <w:t>临港产业新区核心区</w:t>
            </w:r>
            <w:r>
              <w:rPr>
                <w:rFonts w:hint="eastAsia" w:cs="Times New Roman"/>
                <w:color w:val="auto"/>
                <w:sz w:val="24"/>
                <w:szCs w:val="24"/>
                <w:highlight w:val="none"/>
                <w:u w:val="none" w:color="auto"/>
                <w:lang w:val="en-US" w:eastAsia="zh-CN"/>
              </w:rPr>
              <w:t>位置关系见附图7</w:t>
            </w:r>
            <w:r>
              <w:rPr>
                <w:rFonts w:hint="eastAsia" w:cs="Times New Roman"/>
                <w:color w:val="auto"/>
                <w:sz w:val="24"/>
                <w:szCs w:val="24"/>
                <w:highlight w:val="none"/>
                <w:u w:val="none" w:color="auto"/>
                <w:lang w:eastAsia="zh-CN"/>
              </w:rPr>
              <w:t>）</w:t>
            </w:r>
            <w:bookmarkStart w:id="36" w:name="_GoBack"/>
            <w:bookmarkEnd w:id="36"/>
            <w:r>
              <w:rPr>
                <w:rFonts w:hint="eastAsia" w:cs="Times New Roman"/>
                <w:color w:val="auto"/>
                <w:sz w:val="24"/>
                <w:szCs w:val="24"/>
                <w:highlight w:val="none"/>
                <w:u w:val="none" w:color="auto"/>
                <w:lang w:eastAsia="zh-CN"/>
              </w:rPr>
              <w:t>，</w:t>
            </w:r>
            <w:r>
              <w:rPr>
                <w:rFonts w:hint="eastAsia" w:cs="Times New Roman"/>
                <w:color w:val="auto"/>
                <w:sz w:val="24"/>
                <w:szCs w:val="24"/>
                <w:highlight w:val="none"/>
                <w:u w:val="none" w:color="auto"/>
                <w:lang w:val="en-US" w:eastAsia="zh-CN"/>
              </w:rPr>
              <w:t>符合</w:t>
            </w:r>
            <w:r>
              <w:rPr>
                <w:rFonts w:hint="eastAsia"/>
                <w:color w:val="auto"/>
                <w:highlight w:val="none"/>
                <w:u w:val="none" w:color="auto"/>
              </w:rPr>
              <w:t>《湖南城陵矶临港产业新区产业核心区总体规划（2010~2030年）》</w:t>
            </w:r>
            <w:r>
              <w:rPr>
                <w:rFonts w:hint="eastAsia"/>
                <w:color w:val="auto"/>
                <w:highlight w:val="none"/>
                <w:u w:val="none" w:color="auto"/>
                <w:lang w:eastAsia="zh-CN"/>
              </w:rPr>
              <w:t>。</w:t>
            </w:r>
          </w:p>
          <w:p w14:paraId="13C133A1">
            <w:pPr>
              <w:adjustRightInd w:val="0"/>
              <w:snapToGrid w:val="0"/>
              <w:spacing w:before="0" w:beforeLines="0" w:after="0" w:afterLines="0" w:line="360" w:lineRule="auto"/>
              <w:ind w:firstLine="482" w:firstLineChars="200"/>
              <w:jc w:val="left"/>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2、与</w:t>
            </w:r>
            <w:r>
              <w:rPr>
                <w:rFonts w:hint="default"/>
                <w:b/>
                <w:bCs/>
                <w:color w:val="auto"/>
                <w:kern w:val="0"/>
                <w:u w:val="none" w:color="auto"/>
              </w:rPr>
              <w:t>《湖南城陵矶临港产业新区产业核心区环境影响报告书》</w:t>
            </w:r>
            <w:r>
              <w:rPr>
                <w:rFonts w:hint="eastAsia" w:ascii="Times New Roman" w:hAnsi="Times New Roman" w:eastAsia="宋体" w:cs="Times New Roman"/>
                <w:b/>
                <w:bCs/>
                <w:color w:val="auto"/>
                <w:kern w:val="0"/>
                <w:sz w:val="24"/>
                <w:u w:val="none" w:color="auto"/>
                <w:lang w:val="en-US" w:eastAsia="zh-CN"/>
              </w:rPr>
              <w:t>中</w:t>
            </w:r>
            <w:r>
              <w:rPr>
                <w:rFonts w:hint="default" w:ascii="Times New Roman" w:hAnsi="Times New Roman" w:eastAsia="宋体" w:cs="Times New Roman"/>
                <w:b/>
                <w:bCs/>
                <w:color w:val="auto"/>
                <w:sz w:val="24"/>
                <w:u w:val="none" w:color="auto"/>
              </w:rPr>
              <w:t>产业定位符合性分析</w:t>
            </w:r>
          </w:p>
          <w:p w14:paraId="1D1DEFD7">
            <w:pPr>
              <w:adjustRightInd w:val="0"/>
              <w:snapToGrid w:val="0"/>
              <w:spacing w:before="0" w:beforeLines="0" w:after="0" w:afterLines="0" w:line="360" w:lineRule="auto"/>
              <w:ind w:firstLine="480" w:firstLineChars="200"/>
              <w:jc w:val="left"/>
              <w:rPr>
                <w:rFonts w:hint="default" w:ascii="Times New Roman" w:hAnsi="Times New Roman" w:eastAsia="宋体" w:cs="Times New Roman"/>
                <w:color w:val="auto"/>
                <w:sz w:val="24"/>
                <w:u w:val="none" w:color="auto"/>
              </w:rPr>
            </w:pPr>
            <w:bookmarkStart w:id="23" w:name="_Ref505692441"/>
            <w:r>
              <w:rPr>
                <w:rFonts w:hint="default" w:ascii="Times New Roman" w:hAnsi="Times New Roman" w:eastAsia="宋体" w:cs="Times New Roman"/>
                <w:color w:val="auto"/>
                <w:sz w:val="24"/>
                <w:szCs w:val="24"/>
                <w:highlight w:val="none"/>
                <w:u w:val="none" w:color="auto"/>
              </w:rPr>
              <w:t>根据</w:t>
            </w:r>
            <w:r>
              <w:rPr>
                <w:rFonts w:hint="default" w:ascii="Times New Roman" w:hAnsi="Times New Roman" w:eastAsia="宋体" w:cs="Times New Roman"/>
                <w:color w:val="auto"/>
                <w:kern w:val="0"/>
                <w:sz w:val="24"/>
                <w:szCs w:val="24"/>
                <w:highlight w:val="none"/>
                <w:u w:val="none" w:color="auto"/>
              </w:rPr>
              <w:t>《湖南城陵矶临港产业新区产</w:t>
            </w:r>
            <w:r>
              <w:rPr>
                <w:rFonts w:hint="default" w:ascii="Times New Roman" w:hAnsi="Times New Roman" w:eastAsia="宋体" w:cs="Times New Roman"/>
                <w:color w:val="000000"/>
                <w:kern w:val="0"/>
                <w:sz w:val="24"/>
                <w:szCs w:val="24"/>
                <w:highlight w:val="none"/>
                <w:u w:val="none" w:color="auto"/>
              </w:rPr>
              <w:t>业核心区环境影响报告书》及其环评批复（湘环评〔2012〕293号）</w:t>
            </w:r>
            <w:r>
              <w:rPr>
                <w:rFonts w:hint="default" w:ascii="Times New Roman" w:hAnsi="Times New Roman" w:eastAsia="宋体" w:cs="Times New Roman"/>
                <w:color w:val="000000"/>
                <w:kern w:val="0"/>
                <w:sz w:val="24"/>
                <w:szCs w:val="24"/>
                <w:highlight w:val="none"/>
                <w:u w:val="none" w:color="auto"/>
                <w:lang w:eastAsia="zh-CN"/>
              </w:rPr>
              <w:t>：</w:t>
            </w:r>
            <w:r>
              <w:rPr>
                <w:rFonts w:hint="default"/>
                <w:color w:val="auto"/>
                <w:highlight w:val="none"/>
                <w:u w:val="none" w:color="auto"/>
              </w:rPr>
              <w:t>核心区依托区位航运交通及岳阳市现有石化工业基础的优势，拟重点发展新材料、高技术服务、高端装备制造和电子信息四大产业</w:t>
            </w:r>
            <w:r>
              <w:rPr>
                <w:rFonts w:hint="default" w:ascii="Times New Roman" w:hAnsi="Times New Roman" w:eastAsia="宋体" w:cs="Times New Roman"/>
                <w:color w:val="auto"/>
                <w:sz w:val="24"/>
                <w:szCs w:val="24"/>
                <w:highlight w:val="none"/>
                <w:u w:val="none" w:color="auto"/>
              </w:rPr>
              <w:t>。</w:t>
            </w:r>
            <w:r>
              <w:rPr>
                <w:rFonts w:hint="default" w:ascii="Times New Roman" w:hAnsi="Times New Roman" w:eastAsia="宋体" w:cs="Times New Roman"/>
                <w:color w:val="auto"/>
                <w:sz w:val="24"/>
                <w:szCs w:val="24"/>
                <w:highlight w:val="none"/>
                <w:u w:val="none" w:color="auto"/>
                <w:lang w:val="en-US" w:eastAsia="zh-CN"/>
              </w:rPr>
              <w:t>本项目与园区准入条件符合性分析如下表：</w:t>
            </w:r>
          </w:p>
          <w:p w14:paraId="5554F79E">
            <w:pPr>
              <w:spacing w:before="0" w:beforeLines="0" w:after="0" w:afterLines="0" w:line="240" w:lineRule="auto"/>
              <w:ind w:firstLine="0" w:firstLineChars="0"/>
              <w:jc w:val="center"/>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bCs/>
                <w:color w:val="auto"/>
                <w:sz w:val="24"/>
                <w:szCs w:val="24"/>
                <w:u w:val="none" w:color="auto"/>
              </w:rPr>
              <w:t>表1-1</w:t>
            </w:r>
            <w:r>
              <w:rPr>
                <w:rFonts w:hint="eastAsia" w:cs="Times New Roman"/>
                <w:b/>
                <w:bCs/>
                <w:color w:val="auto"/>
                <w:sz w:val="24"/>
                <w:szCs w:val="24"/>
                <w:u w:val="none" w:color="auto"/>
                <w:lang w:val="en-US" w:eastAsia="zh-CN"/>
              </w:rPr>
              <w:t xml:space="preserve">  </w:t>
            </w:r>
            <w:r>
              <w:rPr>
                <w:rFonts w:hint="default" w:ascii="Times New Roman" w:hAnsi="Times New Roman" w:eastAsia="宋体" w:cs="Times New Roman"/>
                <w:b/>
                <w:bCs/>
                <w:color w:val="auto"/>
                <w:sz w:val="24"/>
                <w:szCs w:val="24"/>
                <w:u w:val="none" w:color="auto"/>
              </w:rPr>
              <w:t>环境准入行业清单</w:t>
            </w:r>
            <w:r>
              <w:rPr>
                <w:rFonts w:hint="eastAsia" w:cs="Times New Roman"/>
                <w:b/>
                <w:bCs/>
                <w:color w:val="auto"/>
                <w:sz w:val="24"/>
                <w:szCs w:val="24"/>
                <w:u w:val="none" w:color="auto"/>
                <w:lang w:val="en-US" w:eastAsia="zh-CN"/>
              </w:rPr>
              <w:t>符合性分析</w:t>
            </w:r>
          </w:p>
          <w:bookmarkEnd w:id="23"/>
          <w:tbl>
            <w:tblPr>
              <w:tblStyle w:val="3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92"/>
              <w:gridCol w:w="3588"/>
              <w:gridCol w:w="2291"/>
            </w:tblGrid>
            <w:tr w14:paraId="19CC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457" w:type="pct"/>
                  <w:noWrap w:val="0"/>
                  <w:vAlign w:val="center"/>
                </w:tcPr>
                <w:p w14:paraId="52889D6A">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b/>
                      <w:bCs/>
                      <w:color w:val="auto"/>
                      <w:sz w:val="21"/>
                      <w:szCs w:val="21"/>
                      <w:u w:val="none" w:color="auto"/>
                      <w:lang w:val="en-US" w:eastAsia="zh-CN"/>
                    </w:rPr>
                  </w:pPr>
                  <w:r>
                    <w:rPr>
                      <w:rFonts w:hint="default" w:ascii="Times New Roman" w:hAnsi="Times New Roman" w:eastAsia="宋体" w:cs="Times New Roman"/>
                      <w:b/>
                      <w:bCs/>
                      <w:color w:val="auto"/>
                      <w:sz w:val="21"/>
                      <w:szCs w:val="21"/>
                      <w:u w:val="none" w:color="auto"/>
                      <w:lang w:val="en-US" w:eastAsia="zh-CN"/>
                    </w:rPr>
                    <w:t>类型</w:t>
                  </w:r>
                </w:p>
              </w:tc>
              <w:tc>
                <w:tcPr>
                  <w:tcW w:w="2772" w:type="pct"/>
                  <w:noWrap w:val="0"/>
                  <w:vAlign w:val="center"/>
                </w:tcPr>
                <w:p w14:paraId="341D74E2">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企业准入条件一览表</w:t>
                  </w:r>
                </w:p>
              </w:tc>
              <w:tc>
                <w:tcPr>
                  <w:tcW w:w="1770" w:type="pct"/>
                  <w:noWrap w:val="0"/>
                  <w:vAlign w:val="center"/>
                </w:tcPr>
                <w:p w14:paraId="3314F8FF">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b/>
                      <w:bCs/>
                      <w:color w:val="auto"/>
                      <w:sz w:val="21"/>
                      <w:szCs w:val="21"/>
                      <w:u w:val="none" w:color="auto"/>
                      <w:lang w:val="en-US" w:eastAsia="zh-CN"/>
                    </w:rPr>
                  </w:pPr>
                  <w:r>
                    <w:rPr>
                      <w:rFonts w:hint="default" w:ascii="Times New Roman" w:hAnsi="Times New Roman" w:eastAsia="宋体" w:cs="Times New Roman"/>
                      <w:b/>
                      <w:bCs/>
                      <w:color w:val="auto"/>
                      <w:sz w:val="21"/>
                      <w:szCs w:val="21"/>
                      <w:u w:val="none" w:color="auto"/>
                      <w:lang w:val="en-US" w:eastAsia="zh-CN"/>
                    </w:rPr>
                    <w:t>符合性分析</w:t>
                  </w:r>
                </w:p>
              </w:tc>
            </w:tr>
            <w:tr w14:paraId="4C4F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457" w:type="pct"/>
                  <w:noWrap w:val="0"/>
                  <w:vAlign w:val="center"/>
                </w:tcPr>
                <w:p w14:paraId="3ED122B9">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鼓励</w:t>
                  </w:r>
                </w:p>
                <w:p w14:paraId="63948E6A">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类</w:t>
                  </w:r>
                </w:p>
              </w:tc>
              <w:tc>
                <w:tcPr>
                  <w:tcW w:w="2772" w:type="pct"/>
                  <w:noWrap w:val="0"/>
                  <w:vAlign w:val="center"/>
                </w:tcPr>
                <w:p w14:paraId="18C608E9">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一类工业企业：企业技术研发机构、无工业废水、工艺废气排放的产业、现代物流、基础设施项目：交通运输、邮电通讯、供水、供热、供气、污水处理等；二类工业企业：先进机械制造业、环保新材料、高新技术产业；综合利用资源与再生资源、环境保护工程。</w:t>
                  </w:r>
                </w:p>
              </w:tc>
              <w:tc>
                <w:tcPr>
                  <w:tcW w:w="1770" w:type="pct"/>
                  <w:vMerge w:val="restart"/>
                  <w:noWrap w:val="0"/>
                  <w:vAlign w:val="center"/>
                </w:tcPr>
                <w:p w14:paraId="6E77EA64">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本</w:t>
                  </w:r>
                  <w:r>
                    <w:rPr>
                      <w:rFonts w:hint="default" w:ascii="Times New Roman" w:hAnsi="Times New Roman" w:eastAsia="宋体" w:cs="Times New Roman"/>
                      <w:color w:val="auto"/>
                      <w:sz w:val="21"/>
                      <w:szCs w:val="21"/>
                      <w:u w:val="none" w:color="auto"/>
                      <w:lang w:val="en-US" w:eastAsia="zh-CN"/>
                    </w:rPr>
                    <w:t>项目属于</w:t>
                  </w:r>
                  <w:r>
                    <w:rPr>
                      <w:rFonts w:hint="default" w:ascii="Times New Roman" w:hAnsi="Times New Roman" w:eastAsia="宋体" w:cs="Times New Roman"/>
                      <w:color w:val="auto"/>
                      <w:sz w:val="21"/>
                      <w:szCs w:val="21"/>
                      <w:u w:val="none" w:color="auto"/>
                    </w:rPr>
                    <w:t>非金属废料和碎屑加工处理</w:t>
                  </w:r>
                  <w:r>
                    <w:rPr>
                      <w:rFonts w:hint="eastAsia" w:ascii="Times New Roman" w:hAnsi="Times New Roman" w:eastAsia="宋体" w:cs="Times New Roman"/>
                      <w:color w:val="auto"/>
                      <w:sz w:val="21"/>
                      <w:szCs w:val="21"/>
                      <w:highlight w:val="none"/>
                      <w:u w:val="none" w:color="auto"/>
                      <w:lang w:val="en-US" w:eastAsia="zh-CN"/>
                    </w:rPr>
                    <w:t>，主要通过蒸馏的方式回收NMP废液中的NMP，属于鼓励类中的综合利用资源与再生资源</w:t>
                  </w:r>
                  <w:r>
                    <w:rPr>
                      <w:rFonts w:hint="eastAsia" w:cs="Times New Roman"/>
                      <w:color w:val="auto"/>
                      <w:sz w:val="21"/>
                      <w:szCs w:val="21"/>
                      <w:highlight w:val="none"/>
                      <w:u w:val="none" w:color="auto"/>
                      <w:lang w:val="en-US" w:eastAsia="zh-CN"/>
                    </w:rPr>
                    <w:t>项目</w:t>
                  </w:r>
                  <w:r>
                    <w:rPr>
                      <w:rFonts w:hint="eastAsia" w:ascii="Times New Roman" w:hAnsi="Times New Roman" w:eastAsia="宋体" w:cs="Times New Roman"/>
                      <w:color w:val="auto"/>
                      <w:sz w:val="21"/>
                      <w:szCs w:val="21"/>
                      <w:highlight w:val="none"/>
                      <w:u w:val="none" w:color="auto"/>
                      <w:lang w:val="en-US" w:eastAsia="zh-CN"/>
                    </w:rPr>
                    <w:t>，且不属于高能耗企业</w:t>
                  </w:r>
                </w:p>
              </w:tc>
            </w:tr>
            <w:tr w14:paraId="544D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457" w:type="pct"/>
                  <w:noWrap w:val="0"/>
                  <w:vAlign w:val="center"/>
                </w:tcPr>
                <w:p w14:paraId="54C944C1">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允许类</w:t>
                  </w:r>
                </w:p>
              </w:tc>
              <w:tc>
                <w:tcPr>
                  <w:tcW w:w="2772" w:type="pct"/>
                  <w:noWrap w:val="0"/>
                  <w:vAlign w:val="center"/>
                </w:tcPr>
                <w:p w14:paraId="51AA3AFB">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二类工业企业：排污量小，物耗能耗低的与主导产业配套的相关产业</w:t>
                  </w:r>
                </w:p>
              </w:tc>
              <w:tc>
                <w:tcPr>
                  <w:tcW w:w="1770" w:type="pct"/>
                  <w:vMerge w:val="continue"/>
                  <w:noWrap w:val="0"/>
                  <w:vAlign w:val="center"/>
                </w:tcPr>
                <w:p w14:paraId="315323F7">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p>
              </w:tc>
            </w:tr>
            <w:tr w14:paraId="3A24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457" w:type="pct"/>
                  <w:noWrap w:val="0"/>
                  <w:vAlign w:val="center"/>
                </w:tcPr>
                <w:p w14:paraId="4E6A5B52">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限制</w:t>
                  </w:r>
                </w:p>
                <w:p w14:paraId="39CD94A5">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类</w:t>
                  </w:r>
                </w:p>
              </w:tc>
              <w:tc>
                <w:tcPr>
                  <w:tcW w:w="2772" w:type="pct"/>
                  <w:noWrap w:val="0"/>
                  <w:vAlign w:val="center"/>
                </w:tcPr>
                <w:p w14:paraId="20E5AAAF">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一、二类工业企业：水耗、能耗较高的工业项目、现有生产能力大，市场容量小的项目；三类工业企业：制革工业、电镀工业、使用含汞、砷、镉、铬、铅、氰化物等为原料的项目、水耗、能耗较高的工业项目、现有生产能力大，市场容量小的项目。</w:t>
                  </w:r>
                </w:p>
              </w:tc>
              <w:tc>
                <w:tcPr>
                  <w:tcW w:w="1770" w:type="pct"/>
                  <w:vMerge w:val="continue"/>
                  <w:noWrap w:val="0"/>
                  <w:vAlign w:val="center"/>
                </w:tcPr>
                <w:p w14:paraId="2A3A3F56">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r>
            <w:tr w14:paraId="1B35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457" w:type="pct"/>
                  <w:noWrap w:val="0"/>
                  <w:vAlign w:val="center"/>
                </w:tcPr>
                <w:p w14:paraId="051033B9">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禁止</w:t>
                  </w:r>
                </w:p>
                <w:p w14:paraId="597A6B9E">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类</w:t>
                  </w:r>
                </w:p>
              </w:tc>
              <w:tc>
                <w:tcPr>
                  <w:tcW w:w="2772" w:type="pct"/>
                  <w:noWrap w:val="0"/>
                  <w:vAlign w:val="center"/>
                </w:tcPr>
                <w:p w14:paraId="06EDF232">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不符合核心区产业定位的一、二、三类工业企业项目；禁止铅、锌、铬等重污染冶炼行业；纺织印染、炼油、农药工业；水处理设施不完善的企业禁止开工生产；纺织印染工业；致癌、致畸、致突变产品生产项目；来料加工的海外废金属、塑料、纸张工业；电力工业的小火力发电；国家明文禁止的“十五小”和“新五小” 项目，以及大量增加SO</w:t>
                  </w:r>
                  <w:r>
                    <w:rPr>
                      <w:rFonts w:hint="default" w:ascii="Times New Roman" w:hAnsi="Times New Roman" w:eastAsia="宋体" w:cs="Times New Roman"/>
                      <w:color w:val="auto"/>
                      <w:sz w:val="21"/>
                      <w:szCs w:val="21"/>
                      <w:u w:val="none" w:color="auto"/>
                      <w:vertAlign w:val="subscript"/>
                    </w:rPr>
                    <w:t>2</w:t>
                  </w:r>
                  <w:r>
                    <w:rPr>
                      <w:rFonts w:hint="default" w:ascii="Times New Roman" w:hAnsi="Times New Roman" w:eastAsia="宋体" w:cs="Times New Roman"/>
                      <w:color w:val="auto"/>
                      <w:sz w:val="21"/>
                      <w:szCs w:val="21"/>
                      <w:u w:val="none" w:color="auto"/>
                    </w:rPr>
                    <w:t>、NO</w:t>
                  </w:r>
                  <w:r>
                    <w:rPr>
                      <w:rFonts w:hint="default" w:ascii="Times New Roman" w:hAnsi="Times New Roman" w:eastAsia="宋体" w:cs="Times New Roman"/>
                      <w:color w:val="auto"/>
                      <w:sz w:val="21"/>
                      <w:szCs w:val="21"/>
                      <w:u w:val="none" w:color="auto"/>
                      <w:vertAlign w:val="subscript"/>
                    </w:rPr>
                    <w:t>X</w:t>
                  </w:r>
                  <w:r>
                    <w:rPr>
                      <w:rFonts w:hint="default" w:ascii="Times New Roman" w:hAnsi="Times New Roman" w:eastAsia="宋体" w:cs="Times New Roman"/>
                      <w:color w:val="auto"/>
                      <w:sz w:val="21"/>
                      <w:szCs w:val="21"/>
                      <w:u w:val="none" w:color="auto"/>
                    </w:rPr>
                    <w:t>、COD、NH</w:t>
                  </w:r>
                  <w:r>
                    <w:rPr>
                      <w:rFonts w:hint="default" w:ascii="Times New Roman" w:hAnsi="Times New Roman" w:eastAsia="宋体" w:cs="Times New Roman"/>
                      <w:color w:val="auto"/>
                      <w:sz w:val="21"/>
                      <w:szCs w:val="21"/>
                      <w:u w:val="none" w:color="auto"/>
                      <w:vertAlign w:val="subscript"/>
                    </w:rPr>
                    <w:t>3</w:t>
                  </w:r>
                  <w:r>
                    <w:rPr>
                      <w:rFonts w:hint="default" w:ascii="Times New Roman" w:hAnsi="Times New Roman" w:eastAsia="宋体" w:cs="Times New Roman"/>
                      <w:color w:val="auto"/>
                      <w:sz w:val="21"/>
                      <w:szCs w:val="21"/>
                      <w:u w:val="none" w:color="auto"/>
                    </w:rPr>
                    <w:t>-N排放的工业项目</w:t>
                  </w:r>
                </w:p>
              </w:tc>
              <w:tc>
                <w:tcPr>
                  <w:tcW w:w="1770" w:type="pct"/>
                  <w:vMerge w:val="continue"/>
                  <w:noWrap w:val="0"/>
                  <w:vAlign w:val="center"/>
                </w:tcPr>
                <w:p w14:paraId="10AA2EA9">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r>
            <w:tr w14:paraId="5535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457" w:type="pct"/>
                  <w:noWrap w:val="0"/>
                  <w:vAlign w:val="center"/>
                </w:tcPr>
                <w:p w14:paraId="2DAD9B29">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环保</w:t>
                  </w:r>
                </w:p>
                <w:p w14:paraId="15A69828">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指标</w:t>
                  </w:r>
                </w:p>
                <w:p w14:paraId="72130115">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要求</w:t>
                  </w:r>
                </w:p>
              </w:tc>
              <w:tc>
                <w:tcPr>
                  <w:tcW w:w="2772" w:type="pct"/>
                  <w:noWrap w:val="0"/>
                  <w:vAlign w:val="center"/>
                </w:tcPr>
                <w:p w14:paraId="71962437">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废水、废气处理率达100%</w:t>
                  </w:r>
                </w:p>
                <w:p w14:paraId="1DD46C1E">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固废处置率达100%</w:t>
                  </w:r>
                </w:p>
                <w:p w14:paraId="5B6C9030">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污染物排放达标率100%</w:t>
                  </w:r>
                </w:p>
              </w:tc>
              <w:tc>
                <w:tcPr>
                  <w:tcW w:w="1770" w:type="pct"/>
                  <w:noWrap w:val="0"/>
                  <w:vAlign w:val="center"/>
                </w:tcPr>
                <w:p w14:paraId="625DD54F">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建设单位在做好本次评价提出的相关环保措施的前提下，可满足上述环保指标要求</w:t>
                  </w:r>
                </w:p>
              </w:tc>
            </w:tr>
            <w:tr w14:paraId="7152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457" w:type="pct"/>
                  <w:noWrap w:val="0"/>
                  <w:vAlign w:val="center"/>
                </w:tcPr>
                <w:p w14:paraId="6D4429FA">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其他</w:t>
                  </w:r>
                </w:p>
              </w:tc>
              <w:tc>
                <w:tcPr>
                  <w:tcW w:w="2772" w:type="pct"/>
                  <w:noWrap w:val="0"/>
                  <w:vAlign w:val="center"/>
                </w:tcPr>
                <w:p w14:paraId="5D523A34">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①三类工业用地仅限涉及三类工业的高新企业项目预留地；②引入的企业全部采用天然气为能源，禁止采用燃煤、燃油为能源的项目进入，禁止工艺废气中有大量SO</w:t>
                  </w:r>
                  <w:r>
                    <w:rPr>
                      <w:rFonts w:hint="default" w:ascii="Times New Roman" w:hAnsi="Times New Roman" w:eastAsia="宋体" w:cs="Times New Roman"/>
                      <w:color w:val="auto"/>
                      <w:sz w:val="21"/>
                      <w:szCs w:val="21"/>
                      <w:u w:val="none" w:color="auto"/>
                      <w:vertAlign w:val="subscript"/>
                    </w:rPr>
                    <w:t>2</w:t>
                  </w:r>
                  <w:r>
                    <w:rPr>
                      <w:rFonts w:hint="default" w:ascii="Times New Roman" w:hAnsi="Times New Roman" w:eastAsia="宋体" w:cs="Times New Roman"/>
                      <w:color w:val="auto"/>
                      <w:sz w:val="21"/>
                      <w:szCs w:val="21"/>
                      <w:u w:val="none" w:color="auto"/>
                    </w:rPr>
                    <w:t>、NO</w:t>
                  </w:r>
                  <w:r>
                    <w:rPr>
                      <w:rFonts w:hint="default" w:ascii="Times New Roman" w:hAnsi="Times New Roman" w:eastAsia="宋体" w:cs="Times New Roman"/>
                      <w:color w:val="auto"/>
                      <w:sz w:val="21"/>
                      <w:szCs w:val="21"/>
                      <w:u w:val="none" w:color="auto"/>
                      <w:vertAlign w:val="subscript"/>
                    </w:rPr>
                    <w:t>X</w:t>
                  </w:r>
                  <w:r>
                    <w:rPr>
                      <w:rFonts w:hint="default" w:ascii="Times New Roman" w:hAnsi="Times New Roman" w:eastAsia="宋体" w:cs="Times New Roman"/>
                      <w:color w:val="auto"/>
                      <w:sz w:val="21"/>
                      <w:szCs w:val="21"/>
                      <w:u w:val="none" w:color="auto"/>
                    </w:rPr>
                    <w:t>产生的产业。③污水处理厂及管网建成运行前，限制水型污染企业准入。</w:t>
                  </w:r>
                </w:p>
              </w:tc>
              <w:tc>
                <w:tcPr>
                  <w:tcW w:w="1770" w:type="pct"/>
                  <w:noWrap w:val="0"/>
                  <w:vAlign w:val="center"/>
                </w:tcPr>
                <w:p w14:paraId="0125267C">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①</w:t>
                  </w:r>
                  <w:r>
                    <w:rPr>
                      <w:rFonts w:hint="default" w:ascii="Times New Roman" w:hAnsi="Times New Roman" w:eastAsia="宋体" w:cs="Times New Roman"/>
                      <w:sz w:val="21"/>
                      <w:szCs w:val="21"/>
                      <w:highlight w:val="none"/>
                      <w:u w:val="none" w:color="auto"/>
                      <w:lang w:val="en-US" w:eastAsia="zh-CN"/>
                    </w:rPr>
                    <w:t>本项目不在三类用地</w:t>
                  </w:r>
                  <w:r>
                    <w:rPr>
                      <w:rFonts w:hint="default" w:ascii="Times New Roman" w:hAnsi="Times New Roman" w:eastAsia="宋体" w:cs="Times New Roman"/>
                      <w:color w:val="auto"/>
                      <w:sz w:val="21"/>
                      <w:szCs w:val="21"/>
                      <w:u w:val="none" w:color="auto"/>
                      <w:lang w:val="en-US" w:eastAsia="zh-CN"/>
                    </w:rPr>
                    <w:t>；②项目不使用燃煤、燃油等重污染燃料</w:t>
                  </w:r>
                  <w:r>
                    <w:rPr>
                      <w:rFonts w:hint="default" w:ascii="Times New Roman" w:hAnsi="Times New Roman" w:eastAsia="宋体" w:cs="Times New Roman"/>
                      <w:color w:val="000000"/>
                      <w:sz w:val="21"/>
                      <w:szCs w:val="21"/>
                      <w:u w:val="none" w:color="auto"/>
                      <w:lang w:val="en-US" w:eastAsia="zh-CN"/>
                    </w:rPr>
                    <w:t>；③生活污水通过化粪池处理后进入岳阳市三峡水环境综合治理有限责任公司临港水质净化厂进行处理</w:t>
                  </w:r>
                </w:p>
              </w:tc>
            </w:tr>
          </w:tbl>
          <w:p w14:paraId="72CDC138">
            <w:pPr>
              <w:widowControl w:val="0"/>
              <w:adjustRightInd w:val="0"/>
              <w:snapToGrid w:val="0"/>
              <w:spacing w:before="0" w:beforeLines="0" w:after="0" w:afterLines="0" w:line="360" w:lineRule="auto"/>
              <w:ind w:firstLine="480" w:firstLineChars="200"/>
              <w:jc w:val="left"/>
              <w:rPr>
                <w:rFonts w:hint="default" w:ascii="Times New Roman" w:hAnsi="Times New Roman" w:eastAsia="宋体" w:cs="Times New Roman"/>
                <w:color w:val="auto"/>
                <w:u w:val="none" w:color="auto"/>
              </w:rPr>
            </w:pPr>
            <w:r>
              <w:rPr>
                <w:rFonts w:hint="eastAsia" w:cs="Times New Roman"/>
                <w:color w:val="auto"/>
                <w:sz w:val="24"/>
                <w:u w:val="none" w:color="auto"/>
                <w:lang w:val="en-US" w:eastAsia="zh-CN"/>
              </w:rPr>
              <w:t>综上所述，</w:t>
            </w:r>
            <w:r>
              <w:rPr>
                <w:rFonts w:hint="default" w:ascii="Times New Roman" w:hAnsi="Times New Roman" w:eastAsia="宋体" w:cs="Times New Roman"/>
                <w:color w:val="auto"/>
                <w:sz w:val="24"/>
                <w:u w:val="none" w:color="auto"/>
              </w:rPr>
              <w:t>本项目属于</w:t>
            </w:r>
            <w:r>
              <w:rPr>
                <w:rFonts w:hint="default"/>
                <w:color w:val="auto"/>
                <w:u w:val="none" w:color="auto"/>
              </w:rPr>
              <w:t>非金属废料和碎屑加工处理</w:t>
            </w:r>
            <w:r>
              <w:rPr>
                <w:rFonts w:hint="default" w:ascii="Times New Roman" w:hAnsi="Times New Roman" w:eastAsia="宋体" w:cs="Times New Roman"/>
                <w:color w:val="auto"/>
                <w:sz w:val="24"/>
                <w:u w:val="none" w:color="auto"/>
              </w:rPr>
              <w:t>，</w:t>
            </w:r>
            <w:r>
              <w:rPr>
                <w:rFonts w:hint="eastAsia" w:cs="Times New Roman"/>
                <w:color w:val="auto"/>
                <w:sz w:val="24"/>
                <w:u w:val="none" w:color="auto"/>
                <w:lang w:val="en-US" w:eastAsia="zh-CN"/>
              </w:rPr>
              <w:t>属于园区鼓励类项目，且不是高能耗企业，</w:t>
            </w:r>
            <w:r>
              <w:rPr>
                <w:rFonts w:hint="default" w:ascii="Times New Roman" w:hAnsi="Times New Roman" w:eastAsia="宋体" w:cs="Times New Roman"/>
                <w:color w:val="auto"/>
                <w:sz w:val="24"/>
                <w:u w:val="none" w:color="auto"/>
              </w:rPr>
              <w:t>符合园区的总体发展规划、环保规划，符合园区规划环评的总体要求。</w:t>
            </w:r>
          </w:p>
          <w:p w14:paraId="40D678EF">
            <w:pPr>
              <w:widowControl w:val="0"/>
              <w:adjustRightInd w:val="0"/>
              <w:snapToGrid w:val="0"/>
              <w:spacing w:before="0" w:beforeLines="0" w:after="0" w:afterLines="0" w:line="360" w:lineRule="auto"/>
              <w:ind w:firstLine="482" w:firstLineChars="200"/>
              <w:jc w:val="left"/>
              <w:rPr>
                <w:rFonts w:hint="default" w:ascii="Times New Roman" w:hAnsi="Times New Roman" w:eastAsia="宋体" w:cs="Times New Roman"/>
                <w:b/>
                <w:bCs/>
                <w:color w:val="auto"/>
                <w:u w:val="none" w:color="auto"/>
              </w:rPr>
            </w:pPr>
            <w:r>
              <w:rPr>
                <w:rFonts w:hint="default" w:ascii="Times New Roman" w:hAnsi="Times New Roman" w:eastAsia="宋体" w:cs="Times New Roman"/>
                <w:b/>
                <w:bCs/>
                <w:color w:val="auto"/>
                <w:sz w:val="24"/>
                <w:szCs w:val="32"/>
                <w:u w:val="none" w:color="auto"/>
              </w:rPr>
              <w:t>3、与</w:t>
            </w:r>
            <w:r>
              <w:rPr>
                <w:rFonts w:hint="default"/>
                <w:b/>
                <w:bCs/>
                <w:color w:val="auto"/>
                <w:u w:val="none" w:color="auto"/>
              </w:rPr>
              <w:t>《关于湖南城陵矶临港产业新区产业核心区环境影响报告书的批复》（湘环评〔2012〕293号）</w:t>
            </w:r>
            <w:r>
              <w:rPr>
                <w:rFonts w:hint="default" w:ascii="Times New Roman" w:hAnsi="Times New Roman" w:eastAsia="宋体" w:cs="Times New Roman"/>
                <w:b/>
                <w:bCs/>
                <w:color w:val="auto"/>
                <w:sz w:val="24"/>
                <w:szCs w:val="32"/>
                <w:u w:val="none" w:color="auto"/>
              </w:rPr>
              <w:t>符合性分析</w:t>
            </w:r>
          </w:p>
          <w:p w14:paraId="3A3D6B11">
            <w:pPr>
              <w:widowControl w:val="0"/>
              <w:adjustRightInd w:val="0"/>
              <w:snapToGrid w:val="0"/>
              <w:spacing w:before="0" w:beforeLines="0" w:after="0" w:afterLines="0" w:line="240" w:lineRule="auto"/>
              <w:ind w:firstLine="482" w:firstLineChars="200"/>
              <w:jc w:val="left"/>
              <w:rPr>
                <w:rFonts w:hint="default" w:ascii="Times New Roman" w:hAnsi="Times New Roman" w:eastAsia="宋体" w:cs="Times New Roman"/>
                <w:b/>
                <w:bCs/>
                <w:color w:val="auto"/>
                <w:kern w:val="0"/>
                <w:sz w:val="24"/>
                <w:szCs w:val="24"/>
                <w:u w:val="none" w:color="auto"/>
                <w:lang w:val="en-US" w:eastAsia="zh-CN" w:bidi="ar-SA"/>
              </w:rPr>
            </w:pPr>
            <w:r>
              <w:rPr>
                <w:rFonts w:hint="eastAsia" w:ascii="Times New Roman" w:hAnsi="Times New Roman" w:eastAsia="宋体" w:cs="Times New Roman"/>
                <w:b/>
                <w:bCs/>
                <w:color w:val="auto"/>
                <w:kern w:val="0"/>
                <w:sz w:val="24"/>
                <w:szCs w:val="24"/>
                <w:u w:val="none" w:color="auto"/>
                <w:lang w:val="en-US" w:eastAsia="zh-CN" w:bidi="ar-SA"/>
              </w:rPr>
              <w:t>表</w:t>
            </w:r>
            <w:r>
              <w:rPr>
                <w:rFonts w:hint="default" w:ascii="Times New Roman" w:hAnsi="Times New Roman" w:eastAsia="宋体" w:cs="Times New Roman"/>
                <w:b/>
                <w:bCs/>
                <w:color w:val="auto"/>
                <w:kern w:val="0"/>
                <w:sz w:val="24"/>
                <w:szCs w:val="24"/>
                <w:u w:val="none" w:color="auto"/>
                <w:lang w:val="en-US" w:eastAsia="zh-CN" w:bidi="ar-SA"/>
              </w:rPr>
              <w:t>1-</w:t>
            </w:r>
            <w:r>
              <w:rPr>
                <w:rFonts w:hint="eastAsia" w:cs="Times New Roman"/>
                <w:b/>
                <w:bCs/>
                <w:color w:val="auto"/>
                <w:kern w:val="0"/>
                <w:sz w:val="24"/>
                <w:szCs w:val="24"/>
                <w:u w:val="none" w:color="auto"/>
                <w:lang w:val="en-US" w:eastAsia="zh-CN" w:bidi="ar-SA"/>
              </w:rPr>
              <w:t xml:space="preserve">3  </w:t>
            </w:r>
            <w:r>
              <w:rPr>
                <w:rFonts w:hint="default" w:ascii="Times New Roman" w:hAnsi="Times New Roman" w:eastAsia="宋体" w:cs="Times New Roman"/>
                <w:b/>
                <w:bCs/>
                <w:color w:val="auto"/>
                <w:kern w:val="0"/>
                <w:sz w:val="24"/>
                <w:szCs w:val="24"/>
                <w:u w:val="none" w:color="auto"/>
                <w:lang w:val="en-US" w:eastAsia="zh-CN" w:bidi="ar-SA"/>
              </w:rPr>
              <w:t>项目与《</w:t>
            </w:r>
            <w:r>
              <w:rPr>
                <w:rFonts w:hint="default"/>
                <w:b/>
                <w:bCs/>
                <w:color w:val="auto"/>
                <w:u w:val="none" w:color="auto"/>
              </w:rPr>
              <w:t>湘环评〔2012〕293号</w:t>
            </w:r>
            <w:r>
              <w:rPr>
                <w:rFonts w:hint="default" w:ascii="Times New Roman" w:hAnsi="Times New Roman" w:eastAsia="宋体" w:cs="Times New Roman"/>
                <w:b/>
                <w:bCs/>
                <w:color w:val="auto"/>
                <w:kern w:val="0"/>
                <w:sz w:val="24"/>
                <w:szCs w:val="24"/>
                <w:u w:val="none" w:color="auto"/>
                <w:lang w:val="en-US" w:eastAsia="zh-CN" w:bidi="ar-SA"/>
              </w:rPr>
              <w:t>》符合性分析</w:t>
            </w:r>
          </w:p>
          <w:tbl>
            <w:tblPr>
              <w:tblStyle w:val="3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8"/>
              <w:gridCol w:w="2235"/>
              <w:gridCol w:w="664"/>
            </w:tblGrid>
            <w:tr w14:paraId="4CE4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8" w:type="pct"/>
                  <w:noWrap w:val="0"/>
                  <w:vAlign w:val="center"/>
                </w:tcPr>
                <w:p w14:paraId="18E09E59">
                  <w:pPr>
                    <w:widowControl w:val="0"/>
                    <w:autoSpaceDE/>
                    <w:autoSpaceDN/>
                    <w:adjustRightInd w:val="0"/>
                    <w:snapToGrid w:val="0"/>
                    <w:spacing w:before="0" w:beforeLines="0" w:after="0" w:afterLines="0" w:line="240" w:lineRule="auto"/>
                    <w:ind w:firstLine="0" w:firstLineChars="0"/>
                    <w:jc w:val="center"/>
                    <w:rPr>
                      <w:rFonts w:hint="default" w:ascii="Times New Roman" w:hAnsi="Times New Roman" w:eastAsia="宋体" w:cs="Times New Roman"/>
                      <w:b/>
                      <w:bCs/>
                      <w:color w:val="auto"/>
                      <w:kern w:val="2"/>
                      <w:sz w:val="21"/>
                      <w:szCs w:val="21"/>
                      <w:u w:val="none" w:color="auto"/>
                      <w:lang w:val="en-US" w:eastAsia="zh-CN" w:bidi="ar-SA"/>
                    </w:rPr>
                  </w:pPr>
                  <w:r>
                    <w:rPr>
                      <w:rFonts w:hint="default" w:ascii="Times New Roman" w:hAnsi="Times New Roman" w:eastAsia="宋体" w:cs="Times New Roman"/>
                      <w:b/>
                      <w:bCs/>
                      <w:color w:val="auto"/>
                      <w:kern w:val="2"/>
                      <w:sz w:val="21"/>
                      <w:szCs w:val="21"/>
                      <w:u w:val="none" w:color="auto"/>
                      <w:lang w:val="en-US" w:eastAsia="zh-CN" w:bidi="ar-SA"/>
                    </w:rPr>
                    <w:t>规划环评批复要求</w:t>
                  </w:r>
                </w:p>
              </w:tc>
              <w:tc>
                <w:tcPr>
                  <w:tcW w:w="1728" w:type="pct"/>
                  <w:noWrap w:val="0"/>
                  <w:vAlign w:val="center"/>
                </w:tcPr>
                <w:p w14:paraId="735DB918">
                  <w:pPr>
                    <w:widowControl w:val="0"/>
                    <w:autoSpaceDE/>
                    <w:autoSpaceDN/>
                    <w:adjustRightInd w:val="0"/>
                    <w:snapToGrid w:val="0"/>
                    <w:spacing w:before="0" w:beforeLines="0" w:after="0" w:afterLines="0" w:line="240" w:lineRule="auto"/>
                    <w:ind w:firstLine="0" w:firstLineChars="0"/>
                    <w:jc w:val="center"/>
                    <w:rPr>
                      <w:rFonts w:hint="default" w:ascii="Times New Roman" w:hAnsi="Times New Roman" w:eastAsia="宋体" w:cs="Times New Roman"/>
                      <w:b/>
                      <w:bCs/>
                      <w:color w:val="auto"/>
                      <w:kern w:val="2"/>
                      <w:sz w:val="21"/>
                      <w:szCs w:val="21"/>
                      <w:u w:val="none" w:color="auto"/>
                      <w:lang w:val="en-US" w:eastAsia="zh-CN" w:bidi="ar-SA"/>
                    </w:rPr>
                  </w:pPr>
                  <w:r>
                    <w:rPr>
                      <w:rFonts w:hint="default" w:ascii="Times New Roman" w:hAnsi="Times New Roman" w:eastAsia="宋体" w:cs="Times New Roman"/>
                      <w:b/>
                      <w:bCs/>
                      <w:color w:val="auto"/>
                      <w:kern w:val="2"/>
                      <w:sz w:val="21"/>
                      <w:szCs w:val="21"/>
                      <w:u w:val="none" w:color="auto"/>
                      <w:lang w:val="en-US" w:eastAsia="zh-CN" w:bidi="ar-SA"/>
                    </w:rPr>
                    <w:t>符合性</w:t>
                  </w:r>
                  <w:r>
                    <w:rPr>
                      <w:rFonts w:hint="eastAsia" w:cs="Times New Roman"/>
                      <w:b/>
                      <w:bCs/>
                      <w:color w:val="auto"/>
                      <w:kern w:val="2"/>
                      <w:sz w:val="21"/>
                      <w:szCs w:val="21"/>
                      <w:u w:val="none" w:color="auto"/>
                      <w:lang w:val="en-US" w:eastAsia="zh-CN" w:bidi="ar-SA"/>
                    </w:rPr>
                    <w:t>分析</w:t>
                  </w:r>
                </w:p>
              </w:tc>
              <w:tc>
                <w:tcPr>
                  <w:tcW w:w="513" w:type="pct"/>
                  <w:noWrap w:val="0"/>
                  <w:vAlign w:val="center"/>
                </w:tcPr>
                <w:p w14:paraId="3D2069B3">
                  <w:pPr>
                    <w:widowControl w:val="0"/>
                    <w:autoSpaceDE/>
                    <w:autoSpaceDN/>
                    <w:adjustRightInd w:val="0"/>
                    <w:snapToGrid w:val="0"/>
                    <w:spacing w:before="0" w:beforeLines="0" w:after="0" w:afterLines="0" w:line="240" w:lineRule="auto"/>
                    <w:ind w:firstLine="0" w:firstLineChars="0"/>
                    <w:jc w:val="center"/>
                    <w:rPr>
                      <w:rFonts w:hint="default" w:ascii="Times New Roman" w:hAnsi="Times New Roman" w:eastAsia="宋体" w:cs="Times New Roman"/>
                      <w:b/>
                      <w:bCs/>
                      <w:color w:val="auto"/>
                      <w:kern w:val="2"/>
                      <w:sz w:val="21"/>
                      <w:szCs w:val="21"/>
                      <w:u w:val="none" w:color="auto"/>
                      <w:lang w:val="en-US" w:eastAsia="zh-CN" w:bidi="ar-SA"/>
                    </w:rPr>
                  </w:pPr>
                  <w:r>
                    <w:rPr>
                      <w:rFonts w:hint="default" w:ascii="Times New Roman" w:hAnsi="Times New Roman" w:eastAsia="宋体" w:cs="Times New Roman"/>
                      <w:b/>
                      <w:bCs/>
                      <w:color w:val="auto"/>
                      <w:kern w:val="2"/>
                      <w:sz w:val="21"/>
                      <w:szCs w:val="21"/>
                      <w:u w:val="none" w:color="auto"/>
                      <w:lang w:val="en-US" w:eastAsia="zh-CN" w:bidi="ar-SA"/>
                    </w:rPr>
                    <w:t>分析结果</w:t>
                  </w:r>
                </w:p>
              </w:tc>
            </w:tr>
            <w:tr w14:paraId="015D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8" w:type="pct"/>
                  <w:shd w:val="clear" w:color="auto" w:fill="auto"/>
                  <w:noWrap w:val="0"/>
                  <w:vAlign w:val="center"/>
                </w:tcPr>
                <w:p w14:paraId="1C9ECBCB">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rPr>
                    <w:t>进一步优化规划布局，严格按照功能区划进行开发建设，处理好产业区内部各功能组团及周边农业、居住等各功能组团的关系充分利用自然地形和绿化隔离带使各功能区隔离，确保功能区划明确、产业相对集中、生态环境优良。核心区自北向南依次布置三类、二类、一类工业用地、商业和居住用地（仅用于区域居民安置），规划区西侧靠长江段布设港口用地、铁路等交通用地、仓储用地，在工业用地周围及工业用地用地与居住用地之间、核心区边缘做好绿化隔离。</w:t>
                  </w:r>
                </w:p>
              </w:tc>
              <w:tc>
                <w:tcPr>
                  <w:tcW w:w="1728" w:type="pct"/>
                  <w:shd w:val="clear" w:color="auto" w:fill="auto"/>
                  <w:noWrap w:val="0"/>
                  <w:vAlign w:val="center"/>
                </w:tcPr>
                <w:p w14:paraId="3C4F8CC0">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rPr>
                    <w:t>本项目位于岳阳临港高新技术产业开发区</w:t>
                  </w:r>
                  <w:r>
                    <w:rPr>
                      <w:rFonts w:hint="eastAsia" w:ascii="Times New Roman" w:hAnsi="Times New Roman" w:eastAsia="宋体" w:cs="Times New Roman"/>
                      <w:bCs/>
                      <w:color w:val="auto"/>
                      <w:sz w:val="21"/>
                      <w:szCs w:val="21"/>
                      <w:highlight w:val="none"/>
                      <w:u w:val="none" w:color="auto"/>
                      <w:lang w:val="en-US" w:eastAsia="zh-CN"/>
                    </w:rPr>
                    <w:t>内</w:t>
                  </w:r>
                  <w:r>
                    <w:rPr>
                      <w:rFonts w:hint="default" w:ascii="Times New Roman" w:hAnsi="Times New Roman" w:eastAsia="宋体" w:cs="Times New Roman"/>
                      <w:bCs/>
                      <w:color w:val="auto"/>
                      <w:sz w:val="21"/>
                      <w:szCs w:val="21"/>
                      <w:highlight w:val="none"/>
                      <w:u w:val="none" w:color="auto"/>
                    </w:rPr>
                    <w:t>，</w:t>
                  </w:r>
                  <w:r>
                    <w:rPr>
                      <w:rFonts w:hint="eastAsia" w:ascii="Times New Roman" w:hAnsi="Times New Roman" w:eastAsia="宋体" w:cs="Times New Roman"/>
                      <w:bCs/>
                      <w:color w:val="auto"/>
                      <w:sz w:val="21"/>
                      <w:szCs w:val="21"/>
                      <w:highlight w:val="none"/>
                      <w:u w:val="none" w:color="auto"/>
                      <w:lang w:val="en-US" w:eastAsia="zh-CN"/>
                    </w:rPr>
                    <w:t>属于准入清单中的鼓励类项目</w:t>
                  </w:r>
                  <w:r>
                    <w:rPr>
                      <w:rFonts w:hint="default" w:ascii="Times New Roman" w:hAnsi="Times New Roman" w:eastAsia="宋体" w:cs="Times New Roman"/>
                      <w:bCs/>
                      <w:color w:val="auto"/>
                      <w:sz w:val="21"/>
                      <w:szCs w:val="21"/>
                      <w:highlight w:val="none"/>
                      <w:u w:val="none" w:color="auto"/>
                      <w:lang w:val="en-US" w:eastAsia="zh-CN"/>
                    </w:rPr>
                    <w:t>，</w:t>
                  </w:r>
                  <w:r>
                    <w:rPr>
                      <w:rFonts w:hint="default" w:ascii="Times New Roman" w:hAnsi="Times New Roman" w:eastAsia="宋体" w:cs="Times New Roman"/>
                      <w:bCs/>
                      <w:color w:val="auto"/>
                      <w:sz w:val="21"/>
                      <w:szCs w:val="21"/>
                      <w:highlight w:val="none"/>
                      <w:u w:val="none" w:color="auto"/>
                    </w:rPr>
                    <w:t>符合湖南城陵矶临港产业新区产业核心区总体规划</w:t>
                  </w:r>
                  <w:r>
                    <w:rPr>
                      <w:rFonts w:hint="default" w:ascii="Times New Roman" w:hAnsi="Times New Roman" w:eastAsia="宋体" w:cs="Times New Roman"/>
                      <w:bCs/>
                      <w:color w:val="auto"/>
                      <w:sz w:val="21"/>
                      <w:szCs w:val="21"/>
                      <w:highlight w:val="none"/>
                      <w:u w:val="none" w:color="auto"/>
                      <w:lang w:eastAsia="zh-CN"/>
                    </w:rPr>
                    <w:t>，</w:t>
                  </w:r>
                  <w:r>
                    <w:rPr>
                      <w:rFonts w:hint="default" w:ascii="Times New Roman" w:hAnsi="Times New Roman" w:eastAsia="宋体" w:cs="Times New Roman"/>
                      <w:bCs/>
                      <w:color w:val="auto"/>
                      <w:sz w:val="21"/>
                      <w:szCs w:val="21"/>
                      <w:highlight w:val="none"/>
                      <w:u w:val="none" w:color="auto"/>
                      <w:lang w:val="en-US" w:eastAsia="zh-CN"/>
                    </w:rPr>
                    <w:t>其项目选址</w:t>
                  </w:r>
                  <w:r>
                    <w:rPr>
                      <w:rFonts w:hint="eastAsia" w:ascii="Times New Roman" w:hAnsi="Times New Roman" w:eastAsia="宋体" w:cs="Times New Roman"/>
                      <w:bCs/>
                      <w:color w:val="auto"/>
                      <w:sz w:val="21"/>
                      <w:szCs w:val="21"/>
                      <w:highlight w:val="none"/>
                      <w:u w:val="none" w:color="auto"/>
                    </w:rPr>
                    <w:t>际华高分子材料高科产业园10#工房</w:t>
                  </w:r>
                  <w:r>
                    <w:rPr>
                      <w:rFonts w:hint="eastAsia" w:ascii="Times New Roman" w:hAnsi="Times New Roman" w:eastAsia="宋体" w:cs="Times New Roman"/>
                      <w:bCs/>
                      <w:color w:val="auto"/>
                      <w:sz w:val="21"/>
                      <w:szCs w:val="21"/>
                      <w:highlight w:val="none"/>
                      <w:u w:val="none" w:color="auto"/>
                      <w:lang w:val="en-US" w:eastAsia="zh-CN"/>
                    </w:rPr>
                    <w:t>内，为工业用地，周边无居民，</w:t>
                  </w:r>
                  <w:r>
                    <w:rPr>
                      <w:rFonts w:hint="default" w:ascii="Times New Roman" w:hAnsi="Times New Roman" w:eastAsia="宋体" w:cs="Times New Roman"/>
                      <w:bCs/>
                      <w:color w:val="auto"/>
                      <w:sz w:val="21"/>
                      <w:szCs w:val="21"/>
                      <w:highlight w:val="none"/>
                      <w:u w:val="none" w:color="auto"/>
                      <w:lang w:val="en-US" w:eastAsia="zh-CN"/>
                    </w:rPr>
                    <w:t>符合</w:t>
                  </w:r>
                  <w:r>
                    <w:rPr>
                      <w:rFonts w:hint="eastAsia" w:ascii="Times New Roman" w:hAnsi="Times New Roman" w:eastAsia="宋体" w:cs="Times New Roman"/>
                      <w:bCs/>
                      <w:color w:val="auto"/>
                      <w:sz w:val="21"/>
                      <w:szCs w:val="21"/>
                      <w:highlight w:val="none"/>
                      <w:u w:val="none" w:color="auto"/>
                      <w:lang w:val="en-US" w:eastAsia="zh-CN"/>
                    </w:rPr>
                    <w:t>园区</w:t>
                  </w:r>
                  <w:r>
                    <w:rPr>
                      <w:rFonts w:hint="default" w:ascii="Times New Roman" w:hAnsi="Times New Roman" w:eastAsia="宋体" w:cs="Times New Roman"/>
                      <w:bCs/>
                      <w:color w:val="auto"/>
                      <w:sz w:val="21"/>
                      <w:szCs w:val="21"/>
                      <w:highlight w:val="none"/>
                      <w:u w:val="none" w:color="auto"/>
                      <w:lang w:val="en-US" w:eastAsia="zh-CN"/>
                    </w:rPr>
                    <w:t>规划布局</w:t>
                  </w:r>
                </w:p>
              </w:tc>
              <w:tc>
                <w:tcPr>
                  <w:tcW w:w="513" w:type="pct"/>
                  <w:noWrap w:val="0"/>
                  <w:vAlign w:val="center"/>
                </w:tcPr>
                <w:p w14:paraId="795E4D9E">
                  <w:pPr>
                    <w:widowControl w:val="0"/>
                    <w:autoSpaceDE/>
                    <w:autoSpaceDN/>
                    <w:adjustRightInd w:val="0"/>
                    <w:snapToGrid w:val="0"/>
                    <w:spacing w:before="0" w:beforeLines="0" w:after="0" w:afterLines="0"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符合</w:t>
                  </w:r>
                </w:p>
              </w:tc>
            </w:tr>
            <w:tr w14:paraId="0537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8" w:type="pct"/>
                  <w:shd w:val="clear" w:color="auto" w:fill="auto"/>
                  <w:noWrap w:val="0"/>
                  <w:vAlign w:val="center"/>
                </w:tcPr>
                <w:p w14:paraId="7AEAD26A">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rPr>
                    <w:t>严格执行入区企业准入制度，入区项目选址必须符合总体发展规划、用地规划、环保规划及主导产业定位要求，着重发展高新技术类项目，不得引进国家明令淘汰和禁止发展的能耗物耗高、环境污染严重、不符合产业政策的建设项目；管委会和地方环保行政主管部门必须按照报告书核定的“企业准入条件一览表”做好项目的招商把关，禁止引入铅、锌、铬等重污染冶炼行业、纺织印染、炼油、农药工业、来料加工的海外废金属、塑料、纸张加工等工业进入产业区；限制发展三类工业，区域内三类工业用地仅允许用于涉及三类工业的高新企业引进和发展鼓励类高新技术项目的预留用地。在入园项目前期和建设期，必须严格执行建设项目环境影响评价和“三同时”管理制度，推行清洁生产工艺，确保企业排污浓度、总量满足达标排放和总量控制要求；加强对产业区内现有企业的环境监管，确保符合环评批复和“三同时”管理要求；对区域内已建的部分与核心区产业定位不符的企业应制定淘汰退出计划，逐步退出核心区。</w:t>
                  </w:r>
                </w:p>
              </w:tc>
              <w:tc>
                <w:tcPr>
                  <w:tcW w:w="1728" w:type="pct"/>
                  <w:shd w:val="clear" w:color="auto" w:fill="auto"/>
                  <w:noWrap w:val="0"/>
                  <w:vAlign w:val="center"/>
                </w:tcPr>
                <w:p w14:paraId="7410FB6B">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lang w:val="en-US" w:eastAsia="zh-CN"/>
                    </w:rPr>
                    <w:t>本</w:t>
                  </w:r>
                  <w:r>
                    <w:rPr>
                      <w:rFonts w:hint="default" w:ascii="Times New Roman" w:hAnsi="Times New Roman" w:eastAsia="宋体" w:cs="Times New Roman"/>
                      <w:color w:val="auto"/>
                      <w:sz w:val="21"/>
                      <w:szCs w:val="21"/>
                      <w:u w:val="none" w:color="auto"/>
                      <w:lang w:val="en-US" w:eastAsia="zh-CN"/>
                    </w:rPr>
                    <w:t>项目属于</w:t>
                  </w:r>
                  <w:r>
                    <w:rPr>
                      <w:rFonts w:hint="default" w:ascii="Times New Roman" w:hAnsi="Times New Roman" w:eastAsia="宋体" w:cs="Times New Roman"/>
                      <w:color w:val="auto"/>
                      <w:sz w:val="21"/>
                      <w:szCs w:val="21"/>
                      <w:u w:val="none" w:color="auto"/>
                    </w:rPr>
                    <w:t>非金属废料和碎屑加工处理</w:t>
                  </w:r>
                  <w:r>
                    <w:rPr>
                      <w:rFonts w:hint="eastAsia" w:ascii="Times New Roman" w:hAnsi="Times New Roman" w:eastAsia="宋体" w:cs="Times New Roman"/>
                      <w:color w:val="auto"/>
                      <w:sz w:val="21"/>
                      <w:szCs w:val="21"/>
                      <w:highlight w:val="none"/>
                      <w:u w:val="none" w:color="auto"/>
                      <w:lang w:val="en-US" w:eastAsia="zh-CN"/>
                    </w:rPr>
                    <w:t>，主要通过蒸馏的方式回收NMP废液中的NMP，属于鼓励类中的综合利用资源与再生资源</w:t>
                  </w:r>
                  <w:r>
                    <w:rPr>
                      <w:rFonts w:hint="eastAsia" w:cs="Times New Roman"/>
                      <w:color w:val="auto"/>
                      <w:sz w:val="21"/>
                      <w:szCs w:val="21"/>
                      <w:highlight w:val="none"/>
                      <w:u w:val="none" w:color="auto"/>
                      <w:lang w:val="en-US" w:eastAsia="zh-CN"/>
                    </w:rPr>
                    <w:t>项目</w:t>
                  </w:r>
                  <w:r>
                    <w:rPr>
                      <w:rFonts w:hint="eastAsia" w:ascii="Times New Roman" w:hAnsi="Times New Roman" w:eastAsia="宋体" w:cs="Times New Roman"/>
                      <w:color w:val="auto"/>
                      <w:sz w:val="21"/>
                      <w:szCs w:val="21"/>
                      <w:highlight w:val="none"/>
                      <w:u w:val="none" w:color="auto"/>
                      <w:lang w:val="en-US" w:eastAsia="zh-CN"/>
                    </w:rPr>
                    <w:t>，且不属于高能耗企业</w:t>
                  </w:r>
                  <w:r>
                    <w:rPr>
                      <w:rFonts w:hint="default" w:ascii="Times New Roman" w:hAnsi="Times New Roman" w:eastAsia="宋体" w:cs="Times New Roman"/>
                      <w:bCs/>
                      <w:color w:val="auto"/>
                      <w:sz w:val="21"/>
                      <w:szCs w:val="21"/>
                      <w:highlight w:val="none"/>
                      <w:u w:val="none" w:color="auto"/>
                    </w:rPr>
                    <w:t>。本项目将严格执行建设项目环境影响评价和“三同时”管理制度，推行清洁生产工艺，企业排污浓度、总量满足达标排放和总量控制要求</w:t>
                  </w:r>
                </w:p>
              </w:tc>
              <w:tc>
                <w:tcPr>
                  <w:tcW w:w="513" w:type="pct"/>
                  <w:noWrap w:val="0"/>
                  <w:vAlign w:val="center"/>
                </w:tcPr>
                <w:p w14:paraId="386B69C1">
                  <w:pPr>
                    <w:widowControl w:val="0"/>
                    <w:autoSpaceDE/>
                    <w:autoSpaceDN/>
                    <w:adjustRightInd w:val="0"/>
                    <w:snapToGrid w:val="0"/>
                    <w:spacing w:before="0" w:beforeLines="0" w:after="0" w:afterLines="0" w:line="240" w:lineRule="auto"/>
                    <w:ind w:firstLine="0" w:firstLineChars="0"/>
                    <w:jc w:val="center"/>
                    <w:rPr>
                      <w:rFonts w:hint="default" w:ascii="Times New Roman" w:hAnsi="Times New Roman" w:eastAsia="宋体" w:cs="Times New Roman"/>
                      <w:color w:val="auto"/>
                      <w:kern w:val="2"/>
                      <w:sz w:val="24"/>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符合</w:t>
                  </w:r>
                </w:p>
              </w:tc>
            </w:tr>
            <w:tr w14:paraId="781F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8" w:type="pct"/>
                  <w:shd w:val="clear" w:color="auto" w:fill="auto"/>
                  <w:noWrap w:val="0"/>
                  <w:vAlign w:val="center"/>
                </w:tcPr>
                <w:p w14:paraId="090B955D">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rPr>
                    <w:t>规划区排水实施雨污分流，加快</w:t>
                  </w:r>
                  <w:r>
                    <w:rPr>
                      <w:rFonts w:hint="default" w:ascii="Times New Roman" w:hAnsi="Times New Roman" w:eastAsia="宋体" w:cs="Times New Roman"/>
                      <w:bCs/>
                      <w:color w:val="auto"/>
                      <w:sz w:val="21"/>
                      <w:szCs w:val="21"/>
                      <w:highlight w:val="none"/>
                      <w:u w:val="none" w:color="auto"/>
                      <w:lang w:eastAsia="zh-CN"/>
                    </w:rPr>
                    <w:t>湖南城陵矶临港产业新区污水处理厂</w:t>
                  </w:r>
                  <w:r>
                    <w:rPr>
                      <w:rFonts w:hint="default" w:ascii="Times New Roman" w:hAnsi="Times New Roman" w:eastAsia="宋体" w:cs="Times New Roman"/>
                      <w:bCs/>
                      <w:color w:val="auto"/>
                      <w:sz w:val="21"/>
                      <w:szCs w:val="21"/>
                      <w:highlight w:val="none"/>
                      <w:u w:val="none" w:color="auto"/>
                    </w:rPr>
                    <w:t>及配套管网工程建设进度，截污、排污管网必须与道路建设及区域开发同步进行，确保规划区内污水全面纳入污水处理厂处理。在污水处理厂及配套管网建成前，区域内应全面限制引进水型污染企业，并对已投产企业废水排放严格按《污水综合排放标准》(GB8978-1996)一级标准控制；污水处理厂建成后，企业生产生活废水经预处理达到《污水综合排放标准》(GB8978—1996)三级标准后由管网排入集中污水处理厂深度处理，达到《城镇污水处理厂污染物排放标准》(GB18918-2002)</w:t>
                  </w:r>
                  <w:r>
                    <w:rPr>
                      <w:rFonts w:hint="default" w:ascii="Times New Roman" w:hAnsi="Times New Roman" w:eastAsia="宋体" w:cs="Times New Roman"/>
                      <w:bCs/>
                      <w:color w:val="auto"/>
                      <w:sz w:val="21"/>
                      <w:szCs w:val="21"/>
                      <w:highlight w:val="none"/>
                      <w:u w:val="none" w:color="auto"/>
                      <w:lang w:eastAsia="zh-CN"/>
                    </w:rPr>
                    <w:t>一级A</w:t>
                  </w:r>
                  <w:r>
                    <w:rPr>
                      <w:rFonts w:hint="default" w:ascii="Times New Roman" w:hAnsi="Times New Roman" w:eastAsia="宋体" w:cs="Times New Roman"/>
                      <w:bCs/>
                      <w:color w:val="auto"/>
                      <w:sz w:val="21"/>
                      <w:szCs w:val="21"/>
                      <w:highlight w:val="none"/>
                      <w:u w:val="none" w:color="auto"/>
                    </w:rPr>
                    <w:t>标准后外排长江。</w:t>
                  </w:r>
                </w:p>
              </w:tc>
              <w:tc>
                <w:tcPr>
                  <w:tcW w:w="1728" w:type="pct"/>
                  <w:shd w:val="clear" w:color="auto" w:fill="auto"/>
                  <w:noWrap w:val="0"/>
                  <w:vAlign w:val="center"/>
                </w:tcPr>
                <w:p w14:paraId="6DEF924D">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000000"/>
                      <w:kern w:val="2"/>
                      <w:sz w:val="21"/>
                      <w:szCs w:val="21"/>
                      <w:highlight w:val="none"/>
                      <w:u w:val="none" w:color="auto"/>
                      <w:lang w:val="en-US" w:eastAsia="zh-CN" w:bidi="ar-SA"/>
                    </w:rPr>
                  </w:pPr>
                  <w:r>
                    <w:rPr>
                      <w:rFonts w:hint="eastAsia" w:ascii="Times New Roman" w:hAnsi="Times New Roman" w:eastAsia="宋体" w:cs="Times New Roman"/>
                      <w:bCs/>
                      <w:color w:val="000000"/>
                      <w:sz w:val="21"/>
                      <w:szCs w:val="21"/>
                      <w:highlight w:val="none"/>
                      <w:u w:val="none" w:color="auto"/>
                      <w:lang w:val="en-US" w:eastAsia="zh-CN"/>
                    </w:rPr>
                    <w:t>本项目</w:t>
                  </w:r>
                  <w:r>
                    <w:rPr>
                      <w:rFonts w:hint="default" w:ascii="Times New Roman" w:hAnsi="Times New Roman" w:eastAsia="宋体" w:cs="Times New Roman"/>
                      <w:bCs/>
                      <w:color w:val="000000"/>
                      <w:sz w:val="21"/>
                      <w:szCs w:val="21"/>
                      <w:highlight w:val="none"/>
                      <w:u w:val="none" w:color="auto"/>
                    </w:rPr>
                    <w:t>实施雨污分流，</w:t>
                  </w:r>
                  <w:r>
                    <w:rPr>
                      <w:rFonts w:hint="eastAsia" w:ascii="Times New Roman" w:hAnsi="Times New Roman" w:eastAsia="宋体" w:cs="Times New Roman"/>
                      <w:bCs/>
                      <w:color w:val="000000"/>
                      <w:sz w:val="21"/>
                      <w:szCs w:val="21"/>
                      <w:highlight w:val="none"/>
                      <w:u w:val="none" w:color="auto"/>
                      <w:lang w:val="en-US" w:eastAsia="zh-CN"/>
                    </w:rPr>
                    <w:t>外排废水仅生活污水，</w:t>
                  </w:r>
                  <w:r>
                    <w:rPr>
                      <w:rFonts w:hint="default" w:ascii="Times New Roman" w:hAnsi="Times New Roman" w:eastAsia="宋体" w:cs="Times New Roman"/>
                      <w:sz w:val="21"/>
                      <w:szCs w:val="21"/>
                      <w:highlight w:val="none"/>
                      <w:u w:val="none" w:color="auto"/>
                      <w:lang w:val="en-US" w:eastAsia="zh-CN"/>
                    </w:rPr>
                    <w:t>生活污水</w:t>
                  </w:r>
                  <w:r>
                    <w:rPr>
                      <w:rFonts w:hint="eastAsia" w:ascii="Times New Roman" w:hAnsi="Times New Roman" w:eastAsia="宋体" w:cs="Times New Roman"/>
                      <w:sz w:val="21"/>
                      <w:szCs w:val="21"/>
                      <w:highlight w:val="none"/>
                      <w:u w:val="none" w:color="auto"/>
                      <w:lang w:val="en-US" w:eastAsia="zh-CN"/>
                    </w:rPr>
                    <w:t>通过</w:t>
                  </w:r>
                  <w:r>
                    <w:rPr>
                      <w:rFonts w:hint="default" w:ascii="Times New Roman" w:hAnsi="Times New Roman" w:eastAsia="宋体" w:cs="Times New Roman"/>
                      <w:sz w:val="21"/>
                      <w:szCs w:val="21"/>
                      <w:highlight w:val="none"/>
                      <w:u w:val="none" w:color="auto"/>
                      <w:lang w:val="en-US" w:eastAsia="zh-CN"/>
                    </w:rPr>
                    <w:t>化粪池处理</w:t>
                  </w:r>
                  <w:r>
                    <w:rPr>
                      <w:rFonts w:hint="eastAsia" w:ascii="Times New Roman" w:hAnsi="Times New Roman" w:eastAsia="宋体" w:cs="Times New Roman"/>
                      <w:sz w:val="21"/>
                      <w:szCs w:val="21"/>
                      <w:highlight w:val="none"/>
                      <w:u w:val="none" w:color="auto"/>
                      <w:lang w:val="en-US" w:eastAsia="zh-CN"/>
                    </w:rPr>
                    <w:t>后</w:t>
                  </w:r>
                  <w:r>
                    <w:rPr>
                      <w:rFonts w:hint="default" w:ascii="Times New Roman" w:hAnsi="Times New Roman" w:eastAsia="宋体" w:cs="Times New Roman"/>
                      <w:bCs/>
                      <w:color w:val="000000"/>
                      <w:sz w:val="21"/>
                      <w:szCs w:val="21"/>
                      <w:highlight w:val="none"/>
                      <w:u w:val="none" w:color="auto"/>
                      <w:lang w:val="en-US" w:eastAsia="zh-CN"/>
                    </w:rPr>
                    <w:t>排入岳阳市三峡水环境综合治理有限责任公司临港水质净化厂进一步处理</w:t>
                  </w:r>
                  <w:r>
                    <w:rPr>
                      <w:rFonts w:hint="default" w:ascii="Times New Roman" w:hAnsi="Times New Roman" w:eastAsia="宋体" w:cs="Times New Roman"/>
                      <w:bCs/>
                      <w:color w:val="000000"/>
                      <w:sz w:val="21"/>
                      <w:szCs w:val="21"/>
                      <w:highlight w:val="none"/>
                      <w:u w:val="none" w:color="auto"/>
                    </w:rPr>
                    <w:t>达到《城镇污水处理厂污染物排放标准》(GB18918-2002)一级A标准后外排至象骨港，最终排入长江</w:t>
                  </w:r>
                </w:p>
              </w:tc>
              <w:tc>
                <w:tcPr>
                  <w:tcW w:w="513" w:type="pct"/>
                  <w:noWrap w:val="0"/>
                  <w:vAlign w:val="center"/>
                </w:tcPr>
                <w:p w14:paraId="05B9728B">
                  <w:pPr>
                    <w:widowControl w:val="0"/>
                    <w:autoSpaceDE/>
                    <w:autoSpaceDN/>
                    <w:adjustRightInd w:val="0"/>
                    <w:snapToGrid w:val="0"/>
                    <w:spacing w:before="0" w:beforeLines="0" w:after="0" w:afterLines="0" w:line="240" w:lineRule="auto"/>
                    <w:ind w:firstLine="0" w:firstLineChars="0"/>
                    <w:jc w:val="center"/>
                    <w:rPr>
                      <w:rFonts w:hint="default" w:ascii="Times New Roman" w:hAnsi="Times New Roman" w:eastAsia="宋体" w:cs="Times New Roman"/>
                      <w:color w:val="auto"/>
                      <w:kern w:val="2"/>
                      <w:sz w:val="24"/>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符合</w:t>
                  </w:r>
                </w:p>
              </w:tc>
            </w:tr>
            <w:tr w14:paraId="010F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8" w:type="pct"/>
                  <w:shd w:val="clear" w:color="auto" w:fill="auto"/>
                  <w:noWrap w:val="0"/>
                  <w:vAlign w:val="center"/>
                </w:tcPr>
                <w:p w14:paraId="723C3CF6">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rPr>
                    <w:t>按报告书要求做好产业区大气污染控制措施。核心区依托华能电厂进行集中供热，区域内禁止使用原煤、重油为能源的项目进入，禁止引进SO</w:t>
                  </w:r>
                  <w:r>
                    <w:rPr>
                      <w:rFonts w:hint="default" w:ascii="Times New Roman" w:hAnsi="Times New Roman" w:eastAsia="宋体" w:cs="Times New Roman"/>
                      <w:bCs/>
                      <w:color w:val="auto"/>
                      <w:sz w:val="21"/>
                      <w:szCs w:val="21"/>
                      <w:highlight w:val="none"/>
                      <w:u w:val="none" w:color="auto"/>
                      <w:vertAlign w:val="subscript"/>
                    </w:rPr>
                    <w:t>2</w:t>
                  </w:r>
                  <w:r>
                    <w:rPr>
                      <w:rFonts w:hint="default" w:ascii="Times New Roman" w:hAnsi="Times New Roman" w:eastAsia="宋体" w:cs="Times New Roman"/>
                      <w:bCs/>
                      <w:color w:val="auto"/>
                      <w:sz w:val="21"/>
                      <w:szCs w:val="21"/>
                      <w:highlight w:val="none"/>
                      <w:u w:val="none" w:color="auto"/>
                    </w:rPr>
                    <w:t>、NOx排放量大的行业和项目。加强企业管理，对各企业有工艺废气产出的生产节点，应配置废气收集与处理净化装置，督促正常运行，确保达标排放；加强生产工艺研究与技术改进，采取有效措施，减少工艺废气的无组织排放，入园企业各生产装置排放的废气须经处理达到相应的排放标准；合理优化工业布局，在工业企业之间设置合理的间隔距离，避免相互干扰影响。</w:t>
                  </w:r>
                </w:p>
              </w:tc>
              <w:tc>
                <w:tcPr>
                  <w:tcW w:w="1728" w:type="pct"/>
                  <w:shd w:val="clear" w:color="auto" w:fill="auto"/>
                  <w:noWrap w:val="0"/>
                  <w:vAlign w:val="center"/>
                </w:tcPr>
                <w:p w14:paraId="2C75EEAD">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000000"/>
                      <w:kern w:val="2"/>
                      <w:sz w:val="21"/>
                      <w:szCs w:val="21"/>
                      <w:highlight w:val="none"/>
                      <w:u w:val="none" w:color="auto"/>
                      <w:lang w:val="en-US" w:eastAsia="zh-CN" w:bidi="ar-SA"/>
                    </w:rPr>
                  </w:pPr>
                  <w:r>
                    <w:rPr>
                      <w:rFonts w:hint="default" w:ascii="Times New Roman" w:hAnsi="Times New Roman" w:eastAsia="宋体" w:cs="Times New Roman"/>
                      <w:bCs/>
                      <w:color w:val="000000"/>
                      <w:sz w:val="21"/>
                      <w:szCs w:val="21"/>
                      <w:highlight w:val="none"/>
                      <w:u w:val="none" w:color="auto"/>
                    </w:rPr>
                    <w:t>本项目在生产中</w:t>
                  </w:r>
                  <w:r>
                    <w:rPr>
                      <w:rFonts w:hint="eastAsia" w:ascii="Times New Roman" w:hAnsi="Times New Roman" w:eastAsia="宋体" w:cs="Times New Roman"/>
                      <w:bCs/>
                      <w:color w:val="000000"/>
                      <w:sz w:val="21"/>
                      <w:szCs w:val="21"/>
                      <w:highlight w:val="none"/>
                      <w:u w:val="none" w:color="auto"/>
                      <w:lang w:val="en-US" w:eastAsia="zh-CN"/>
                    </w:rPr>
                    <w:t>仅</w:t>
                  </w:r>
                  <w:r>
                    <w:rPr>
                      <w:rFonts w:hint="default" w:ascii="Times New Roman" w:hAnsi="Times New Roman" w:eastAsia="宋体" w:cs="Times New Roman"/>
                      <w:bCs/>
                      <w:color w:val="000000"/>
                      <w:sz w:val="21"/>
                      <w:szCs w:val="21"/>
                      <w:highlight w:val="none"/>
                      <w:u w:val="none" w:color="auto"/>
                    </w:rPr>
                    <w:t>使用电能，</w:t>
                  </w:r>
                  <w:r>
                    <w:rPr>
                      <w:rFonts w:hint="eastAsia" w:ascii="Times New Roman" w:hAnsi="Times New Roman" w:eastAsia="宋体" w:cs="Times New Roman"/>
                      <w:bCs/>
                      <w:color w:val="000000"/>
                      <w:sz w:val="21"/>
                      <w:szCs w:val="21"/>
                      <w:highlight w:val="none"/>
                      <w:u w:val="none" w:color="auto"/>
                      <w:lang w:val="en-US" w:eastAsia="zh-CN"/>
                    </w:rPr>
                    <w:t>加热</w:t>
                  </w:r>
                  <w:r>
                    <w:rPr>
                      <w:rFonts w:hint="eastAsia" w:cs="Times New Roman"/>
                      <w:bCs/>
                      <w:color w:val="000000"/>
                      <w:sz w:val="21"/>
                      <w:szCs w:val="21"/>
                      <w:highlight w:val="none"/>
                      <w:u w:val="none" w:color="auto"/>
                      <w:lang w:val="en-US" w:eastAsia="zh-CN"/>
                    </w:rPr>
                    <w:t>设施</w:t>
                  </w:r>
                  <w:r>
                    <w:rPr>
                      <w:rFonts w:hint="eastAsia" w:ascii="Times New Roman" w:hAnsi="Times New Roman" w:eastAsia="宋体" w:cs="Times New Roman"/>
                      <w:bCs/>
                      <w:color w:val="000000"/>
                      <w:sz w:val="21"/>
                      <w:szCs w:val="21"/>
                      <w:highlight w:val="none"/>
                      <w:u w:val="none" w:color="auto"/>
                      <w:lang w:val="en-US" w:eastAsia="zh-CN"/>
                    </w:rPr>
                    <w:t>依托园区的供热系统，</w:t>
                  </w:r>
                  <w:r>
                    <w:rPr>
                      <w:rFonts w:hint="default" w:ascii="Times New Roman" w:hAnsi="Times New Roman" w:eastAsia="宋体" w:cs="Times New Roman"/>
                      <w:bCs/>
                      <w:color w:val="000000"/>
                      <w:sz w:val="21"/>
                      <w:szCs w:val="21"/>
                      <w:highlight w:val="none"/>
                      <w:u w:val="none" w:color="auto"/>
                    </w:rPr>
                    <w:t>不产生SO</w:t>
                  </w:r>
                  <w:r>
                    <w:rPr>
                      <w:rFonts w:hint="default" w:ascii="Times New Roman" w:hAnsi="Times New Roman" w:eastAsia="宋体" w:cs="Times New Roman"/>
                      <w:bCs/>
                      <w:color w:val="000000"/>
                      <w:sz w:val="21"/>
                      <w:szCs w:val="21"/>
                      <w:highlight w:val="none"/>
                      <w:u w:val="none" w:color="auto"/>
                      <w:vertAlign w:val="subscript"/>
                    </w:rPr>
                    <w:t>2</w:t>
                  </w:r>
                  <w:r>
                    <w:rPr>
                      <w:rFonts w:hint="default" w:ascii="Times New Roman" w:hAnsi="Times New Roman" w:eastAsia="宋体" w:cs="Times New Roman"/>
                      <w:bCs/>
                      <w:color w:val="000000"/>
                      <w:sz w:val="21"/>
                      <w:szCs w:val="21"/>
                      <w:highlight w:val="none"/>
                      <w:u w:val="none" w:color="auto"/>
                    </w:rPr>
                    <w:t>、NOx；</w:t>
                  </w:r>
                  <w:r>
                    <w:rPr>
                      <w:rFonts w:hint="eastAsia" w:cs="Times New Roman"/>
                      <w:bCs/>
                      <w:color w:val="000000"/>
                      <w:sz w:val="21"/>
                      <w:szCs w:val="21"/>
                      <w:highlight w:val="none"/>
                      <w:u w:val="none" w:color="auto"/>
                      <w:lang w:val="en-US" w:eastAsia="zh-CN"/>
                    </w:rPr>
                    <w:t>本项目废气设置了收集以及处理措施，经预测，有组织</w:t>
                  </w:r>
                  <w:r>
                    <w:rPr>
                      <w:rFonts w:hint="eastAsia" w:ascii="Times New Roman" w:hAnsi="Times New Roman" w:eastAsia="宋体" w:cs="Times New Roman"/>
                      <w:bCs/>
                      <w:color w:val="000000"/>
                      <w:sz w:val="21"/>
                      <w:szCs w:val="21"/>
                      <w:highlight w:val="none"/>
                      <w:u w:val="none" w:color="auto"/>
                      <w:lang w:val="en-US" w:eastAsia="zh-CN"/>
                    </w:rPr>
                    <w:t>排放的VOCs均可达标排放</w:t>
                  </w:r>
                </w:p>
              </w:tc>
              <w:tc>
                <w:tcPr>
                  <w:tcW w:w="513" w:type="pct"/>
                  <w:noWrap w:val="0"/>
                  <w:vAlign w:val="center"/>
                </w:tcPr>
                <w:p w14:paraId="43A2E4AE">
                  <w:pPr>
                    <w:widowControl w:val="0"/>
                    <w:autoSpaceDE/>
                    <w:autoSpaceDN/>
                    <w:adjustRightInd w:val="0"/>
                    <w:snapToGrid w:val="0"/>
                    <w:spacing w:before="0" w:beforeLines="0" w:after="0" w:afterLines="0" w:line="240" w:lineRule="auto"/>
                    <w:ind w:firstLine="0" w:firstLineChars="0"/>
                    <w:jc w:val="center"/>
                    <w:rPr>
                      <w:rFonts w:hint="default" w:ascii="Times New Roman" w:hAnsi="Times New Roman" w:eastAsia="宋体" w:cs="Times New Roman"/>
                      <w:color w:val="auto"/>
                      <w:kern w:val="2"/>
                      <w:sz w:val="24"/>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符合</w:t>
                  </w:r>
                </w:p>
              </w:tc>
            </w:tr>
            <w:tr w14:paraId="717F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8" w:type="pct"/>
                  <w:shd w:val="clear" w:color="auto" w:fill="auto"/>
                  <w:noWrap w:val="0"/>
                  <w:vAlign w:val="center"/>
                </w:tcPr>
                <w:p w14:paraId="16D13DF3">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rPr>
                    <w:t>做好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对工业企业产生固体废物特别是危险固废应按国家有关规定综合</w:t>
                  </w:r>
                  <w:r>
                    <w:rPr>
                      <w:rFonts w:hint="default" w:ascii="Times New Roman" w:hAnsi="Times New Roman" w:eastAsia="宋体" w:cs="Times New Roman"/>
                      <w:bCs/>
                      <w:color w:val="auto"/>
                      <w:sz w:val="21"/>
                      <w:szCs w:val="21"/>
                      <w:highlight w:val="none"/>
                      <w:u w:val="none" w:color="auto"/>
                      <w:lang w:val="en-US" w:eastAsia="zh-CN"/>
                    </w:rPr>
                    <w:t>利用或妥善处置，严防二次污染。</w:t>
                  </w:r>
                </w:p>
              </w:tc>
              <w:tc>
                <w:tcPr>
                  <w:tcW w:w="1728" w:type="pct"/>
                  <w:shd w:val="clear" w:color="auto" w:fill="auto"/>
                  <w:noWrap w:val="0"/>
                  <w:vAlign w:val="center"/>
                </w:tcPr>
                <w:p w14:paraId="43D4540E">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rPr>
                    <w:t>本项目</w:t>
                  </w:r>
                  <w:r>
                    <w:rPr>
                      <w:rFonts w:hint="eastAsia" w:ascii="Times New Roman" w:hAnsi="Times New Roman" w:eastAsia="宋体" w:cs="Times New Roman"/>
                      <w:bCs/>
                      <w:color w:val="auto"/>
                      <w:sz w:val="21"/>
                      <w:szCs w:val="21"/>
                      <w:highlight w:val="none"/>
                      <w:u w:val="none" w:color="auto"/>
                      <w:lang w:val="en-US" w:eastAsia="zh-CN"/>
                    </w:rPr>
                    <w:t>已做好工业固废废物和生活垃圾的分类管理，可妥善处理本项目产生的工业固体废物；本环评已提出建立相关管理台账的要求</w:t>
                  </w:r>
                </w:p>
              </w:tc>
              <w:tc>
                <w:tcPr>
                  <w:tcW w:w="513" w:type="pct"/>
                  <w:noWrap w:val="0"/>
                  <w:vAlign w:val="center"/>
                </w:tcPr>
                <w:p w14:paraId="7A02013B">
                  <w:pPr>
                    <w:widowControl w:val="0"/>
                    <w:autoSpaceDE/>
                    <w:autoSpaceDN/>
                    <w:adjustRightInd w:val="0"/>
                    <w:snapToGrid w:val="0"/>
                    <w:spacing w:before="0" w:beforeLines="0" w:after="0" w:afterLines="0" w:line="240" w:lineRule="auto"/>
                    <w:ind w:firstLine="0" w:firstLineChars="0"/>
                    <w:jc w:val="center"/>
                    <w:rPr>
                      <w:rFonts w:hint="default" w:ascii="Times New Roman" w:hAnsi="Times New Roman" w:eastAsia="宋体" w:cs="Times New Roman"/>
                      <w:color w:val="auto"/>
                      <w:kern w:val="2"/>
                      <w:sz w:val="24"/>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符合</w:t>
                  </w:r>
                </w:p>
              </w:tc>
            </w:tr>
          </w:tbl>
          <w:p w14:paraId="1C9265D8">
            <w:pPr>
              <w:adjustRightInd w:val="0"/>
              <w:snapToGrid w:val="0"/>
              <w:spacing w:before="0" w:beforeLines="0" w:after="0" w:afterLines="0" w:line="360" w:lineRule="auto"/>
              <w:ind w:firstLine="480" w:firstLineChars="200"/>
              <w:jc w:val="left"/>
              <w:rPr>
                <w:rFonts w:hint="default" w:ascii="Times New Roman" w:hAnsi="Times New Roman" w:eastAsia="宋体" w:cs="Times New Roman"/>
                <w:color w:val="auto"/>
                <w:kern w:val="2"/>
                <w:sz w:val="24"/>
                <w:szCs w:val="32"/>
                <w:u w:val="none" w:color="auto"/>
                <w:lang w:val="en-US" w:eastAsia="zh-CN" w:bidi="ar-SA"/>
              </w:rPr>
            </w:pPr>
            <w:r>
              <w:rPr>
                <w:rFonts w:hint="default" w:ascii="Times New Roman" w:hAnsi="Times New Roman" w:eastAsia="宋体" w:cs="Times New Roman"/>
                <w:color w:val="auto"/>
                <w:kern w:val="2"/>
                <w:sz w:val="24"/>
                <w:szCs w:val="32"/>
                <w:u w:val="none" w:color="auto"/>
                <w:lang w:val="en-US" w:eastAsia="zh-CN" w:bidi="ar-SA"/>
              </w:rPr>
              <w:t>综上所述，本项目的建设符合</w:t>
            </w:r>
            <w:r>
              <w:rPr>
                <w:rFonts w:hint="default"/>
                <w:color w:val="auto"/>
                <w:u w:val="none" w:color="auto"/>
              </w:rPr>
              <w:t>《关于湖南城陵矶临港产业新区产业核心区环境影响报告书的批复》（湘环评〔2012〕293号）</w:t>
            </w:r>
            <w:r>
              <w:rPr>
                <w:rFonts w:hint="default" w:ascii="Times New Roman" w:hAnsi="Times New Roman" w:eastAsia="宋体" w:cs="Times New Roman"/>
                <w:color w:val="auto"/>
                <w:kern w:val="2"/>
                <w:sz w:val="24"/>
                <w:szCs w:val="32"/>
                <w:u w:val="none" w:color="auto"/>
                <w:lang w:val="en-US" w:eastAsia="zh-CN" w:bidi="ar-SA"/>
              </w:rPr>
              <w:t>的要求。</w:t>
            </w:r>
          </w:p>
          <w:p w14:paraId="172528D2">
            <w:pPr>
              <w:adjustRightInd w:val="0"/>
              <w:snapToGrid w:val="0"/>
              <w:spacing w:before="0" w:beforeLines="0" w:after="0" w:afterLines="0" w:line="360" w:lineRule="auto"/>
              <w:ind w:firstLine="482" w:firstLineChars="200"/>
              <w:jc w:val="left"/>
              <w:rPr>
                <w:rFonts w:hint="default" w:ascii="Times New Roman" w:hAnsi="Times New Roman" w:eastAsia="宋体" w:cs="Times New Roman"/>
                <w:b/>
                <w:bCs/>
                <w:color w:val="auto"/>
                <w:sz w:val="24"/>
                <w:szCs w:val="24"/>
                <w:highlight w:val="none"/>
                <w:u w:val="none" w:color="auto"/>
              </w:rPr>
            </w:pPr>
            <w:r>
              <w:rPr>
                <w:rFonts w:hint="eastAsia" w:cs="Times New Roman"/>
                <w:b/>
                <w:bCs/>
                <w:color w:val="auto"/>
                <w:kern w:val="2"/>
                <w:sz w:val="24"/>
                <w:szCs w:val="32"/>
                <w:u w:val="none" w:color="auto"/>
                <w:lang w:val="en-US" w:eastAsia="zh-CN" w:bidi="ar-SA"/>
              </w:rPr>
              <w:t>4、</w:t>
            </w:r>
            <w:r>
              <w:rPr>
                <w:rFonts w:hint="default" w:ascii="Times New Roman" w:hAnsi="Times New Roman" w:eastAsia="宋体" w:cs="Times New Roman"/>
                <w:b/>
                <w:bCs/>
                <w:color w:val="auto"/>
                <w:sz w:val="24"/>
                <w:szCs w:val="24"/>
                <w:highlight w:val="none"/>
                <w:u w:val="none" w:color="auto"/>
              </w:rPr>
              <w:t>与《</w:t>
            </w:r>
            <w:r>
              <w:rPr>
                <w:rFonts w:hint="default" w:ascii="Times New Roman" w:hAnsi="Times New Roman" w:eastAsia="宋体" w:cs="Times New Roman"/>
                <w:b/>
                <w:bCs/>
                <w:color w:val="auto"/>
                <w:sz w:val="24"/>
                <w:szCs w:val="24"/>
                <w:highlight w:val="none"/>
                <w:u w:val="none" w:color="auto"/>
                <w:lang w:val="zh-CN"/>
              </w:rPr>
              <w:t>岳阳临港高新技术产业开发区环境影响跟踪评价报告书》</w:t>
            </w:r>
            <w:r>
              <w:rPr>
                <w:rFonts w:hint="default" w:ascii="Times New Roman" w:hAnsi="Times New Roman" w:eastAsia="宋体" w:cs="Times New Roman"/>
                <w:b/>
                <w:bCs/>
                <w:color w:val="auto"/>
                <w:sz w:val="24"/>
                <w:szCs w:val="24"/>
                <w:highlight w:val="none"/>
                <w:u w:val="none" w:color="auto"/>
              </w:rPr>
              <w:t>及其批复</w:t>
            </w:r>
            <w:r>
              <w:rPr>
                <w:rFonts w:hint="default" w:ascii="Times New Roman" w:hAnsi="Times New Roman" w:eastAsia="宋体" w:cs="Times New Roman"/>
                <w:b/>
                <w:bCs/>
                <w:color w:val="auto"/>
                <w:sz w:val="24"/>
                <w:szCs w:val="24"/>
                <w:highlight w:val="none"/>
                <w:u w:val="none" w:color="auto"/>
                <w:lang w:val="zh-CN"/>
              </w:rPr>
              <w:t>（湘环评函〔20</w:t>
            </w:r>
            <w:r>
              <w:rPr>
                <w:rFonts w:hint="default" w:ascii="Times New Roman" w:hAnsi="Times New Roman" w:eastAsia="宋体" w:cs="Times New Roman"/>
                <w:b/>
                <w:bCs/>
                <w:color w:val="auto"/>
                <w:sz w:val="24"/>
                <w:szCs w:val="24"/>
                <w:highlight w:val="none"/>
                <w:u w:val="none" w:color="auto"/>
                <w:lang w:val="zh-CN" w:eastAsia="zh-CN"/>
              </w:rPr>
              <w:t>21</w:t>
            </w:r>
            <w:r>
              <w:rPr>
                <w:rFonts w:hint="default" w:ascii="Times New Roman" w:hAnsi="Times New Roman" w:eastAsia="宋体" w:cs="Times New Roman"/>
                <w:b/>
                <w:bCs/>
                <w:color w:val="auto"/>
                <w:sz w:val="24"/>
                <w:szCs w:val="24"/>
                <w:highlight w:val="none"/>
                <w:u w:val="none" w:color="auto"/>
                <w:lang w:val="zh-CN"/>
              </w:rPr>
              <w:t>〕33号）</w:t>
            </w:r>
            <w:r>
              <w:rPr>
                <w:rFonts w:hint="default" w:ascii="Times New Roman" w:hAnsi="Times New Roman" w:eastAsia="宋体" w:cs="Times New Roman"/>
                <w:b/>
                <w:bCs/>
                <w:color w:val="auto"/>
                <w:sz w:val="24"/>
                <w:szCs w:val="24"/>
                <w:highlight w:val="none"/>
                <w:u w:val="none" w:color="auto"/>
              </w:rPr>
              <w:t>符合性分析</w:t>
            </w:r>
          </w:p>
          <w:p w14:paraId="3E5F147B">
            <w:pPr>
              <w:widowControl w:val="0"/>
              <w:adjustRightInd w:val="0"/>
              <w:snapToGrid w:val="0"/>
              <w:spacing w:before="0" w:beforeLines="0" w:after="0" w:afterLines="0" w:line="240" w:lineRule="auto"/>
              <w:ind w:firstLine="482" w:firstLineChars="200"/>
              <w:jc w:val="left"/>
              <w:rPr>
                <w:rFonts w:hint="default" w:ascii="Times New Roman" w:hAnsi="Times New Roman" w:eastAsia="宋体" w:cs="Times New Roman"/>
                <w:b/>
                <w:bCs/>
                <w:color w:val="auto"/>
                <w:kern w:val="0"/>
                <w:sz w:val="24"/>
                <w:szCs w:val="24"/>
                <w:u w:val="none" w:color="auto"/>
                <w:lang w:val="en-US" w:eastAsia="zh-CN" w:bidi="ar-SA"/>
              </w:rPr>
            </w:pPr>
            <w:r>
              <w:rPr>
                <w:rFonts w:hint="eastAsia" w:ascii="Times New Roman" w:hAnsi="Times New Roman" w:eastAsia="宋体" w:cs="Times New Roman"/>
                <w:b/>
                <w:bCs/>
                <w:color w:val="auto"/>
                <w:kern w:val="0"/>
                <w:sz w:val="24"/>
                <w:szCs w:val="24"/>
                <w:u w:val="none" w:color="auto"/>
                <w:lang w:val="en-US" w:eastAsia="zh-CN" w:bidi="ar-SA"/>
              </w:rPr>
              <w:t>表</w:t>
            </w:r>
            <w:r>
              <w:rPr>
                <w:rFonts w:hint="default" w:ascii="Times New Roman" w:hAnsi="Times New Roman" w:eastAsia="宋体" w:cs="Times New Roman"/>
                <w:b/>
                <w:bCs/>
                <w:color w:val="auto"/>
                <w:kern w:val="0"/>
                <w:sz w:val="24"/>
                <w:szCs w:val="24"/>
                <w:u w:val="none" w:color="auto"/>
                <w:lang w:val="en-US" w:eastAsia="zh-CN" w:bidi="ar-SA"/>
              </w:rPr>
              <w:t>1-</w:t>
            </w:r>
            <w:r>
              <w:rPr>
                <w:rFonts w:hint="eastAsia" w:cs="Times New Roman"/>
                <w:b/>
                <w:bCs/>
                <w:color w:val="auto"/>
                <w:kern w:val="0"/>
                <w:sz w:val="24"/>
                <w:szCs w:val="24"/>
                <w:u w:val="none" w:color="auto"/>
                <w:lang w:val="en-US" w:eastAsia="zh-CN" w:bidi="ar-SA"/>
              </w:rPr>
              <w:t xml:space="preserve">4  </w:t>
            </w:r>
            <w:r>
              <w:rPr>
                <w:rFonts w:hint="default" w:ascii="Times New Roman" w:hAnsi="Times New Roman" w:eastAsia="宋体" w:cs="Times New Roman"/>
                <w:b/>
                <w:bCs/>
                <w:color w:val="auto"/>
                <w:kern w:val="0"/>
                <w:sz w:val="24"/>
                <w:szCs w:val="24"/>
                <w:u w:val="none" w:color="auto"/>
                <w:lang w:val="en-US" w:eastAsia="zh-CN" w:bidi="ar-SA"/>
              </w:rPr>
              <w:t>项目与《</w:t>
            </w:r>
            <w:r>
              <w:rPr>
                <w:rFonts w:hint="default" w:ascii="Times New Roman" w:hAnsi="Times New Roman" w:eastAsia="宋体" w:cs="Times New Roman"/>
                <w:b/>
                <w:bCs/>
                <w:color w:val="auto"/>
                <w:sz w:val="24"/>
                <w:szCs w:val="24"/>
                <w:highlight w:val="none"/>
                <w:u w:val="none" w:color="auto"/>
                <w:lang w:val="zh-CN"/>
              </w:rPr>
              <w:t>湘环评函〔20</w:t>
            </w:r>
            <w:r>
              <w:rPr>
                <w:rFonts w:hint="default" w:ascii="Times New Roman" w:hAnsi="Times New Roman" w:eastAsia="宋体" w:cs="Times New Roman"/>
                <w:b/>
                <w:bCs/>
                <w:color w:val="auto"/>
                <w:sz w:val="24"/>
                <w:szCs w:val="24"/>
                <w:highlight w:val="none"/>
                <w:u w:val="none" w:color="auto"/>
                <w:lang w:val="zh-CN" w:eastAsia="zh-CN"/>
              </w:rPr>
              <w:t>21</w:t>
            </w:r>
            <w:r>
              <w:rPr>
                <w:rFonts w:hint="default" w:ascii="Times New Roman" w:hAnsi="Times New Roman" w:eastAsia="宋体" w:cs="Times New Roman"/>
                <w:b/>
                <w:bCs/>
                <w:color w:val="auto"/>
                <w:sz w:val="24"/>
                <w:szCs w:val="24"/>
                <w:highlight w:val="none"/>
                <w:u w:val="none" w:color="auto"/>
                <w:lang w:val="zh-CN"/>
              </w:rPr>
              <w:t>〕33号</w:t>
            </w:r>
            <w:r>
              <w:rPr>
                <w:rFonts w:hint="default" w:ascii="Times New Roman" w:hAnsi="Times New Roman" w:eastAsia="宋体" w:cs="Times New Roman"/>
                <w:b/>
                <w:bCs/>
                <w:color w:val="auto"/>
                <w:kern w:val="0"/>
                <w:sz w:val="24"/>
                <w:szCs w:val="24"/>
                <w:u w:val="none" w:color="auto"/>
                <w:lang w:val="en-US" w:eastAsia="zh-CN" w:bidi="ar-SA"/>
              </w:rPr>
              <w:t>》符合性分析</w:t>
            </w:r>
          </w:p>
          <w:tbl>
            <w:tblPr>
              <w:tblStyle w:val="3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8"/>
              <w:gridCol w:w="2235"/>
              <w:gridCol w:w="664"/>
            </w:tblGrid>
            <w:tr w14:paraId="5CF9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58" w:type="pct"/>
                  <w:noWrap w:val="0"/>
                  <w:vAlign w:val="center"/>
                </w:tcPr>
                <w:p w14:paraId="2298C79B">
                  <w:pPr>
                    <w:widowControl w:val="0"/>
                    <w:autoSpaceDE/>
                    <w:autoSpaceDN/>
                    <w:adjustRightInd w:val="0"/>
                    <w:snapToGrid w:val="0"/>
                    <w:spacing w:before="0" w:beforeLines="0" w:after="0" w:afterLines="0" w:line="240" w:lineRule="auto"/>
                    <w:ind w:firstLine="0" w:firstLineChars="0"/>
                    <w:jc w:val="center"/>
                    <w:rPr>
                      <w:rFonts w:hint="default" w:ascii="Times New Roman" w:hAnsi="Times New Roman" w:eastAsia="宋体" w:cs="Times New Roman"/>
                      <w:b/>
                      <w:bCs/>
                      <w:color w:val="auto"/>
                      <w:kern w:val="2"/>
                      <w:sz w:val="21"/>
                      <w:szCs w:val="21"/>
                      <w:u w:val="none" w:color="auto"/>
                      <w:lang w:val="en-US" w:eastAsia="zh-CN" w:bidi="ar-SA"/>
                    </w:rPr>
                  </w:pPr>
                  <w:r>
                    <w:rPr>
                      <w:rFonts w:hint="default" w:ascii="Times New Roman" w:hAnsi="Times New Roman" w:eastAsia="宋体" w:cs="Times New Roman"/>
                      <w:b/>
                      <w:bCs/>
                      <w:color w:val="auto"/>
                      <w:kern w:val="2"/>
                      <w:sz w:val="21"/>
                      <w:szCs w:val="21"/>
                      <w:u w:val="none" w:color="auto"/>
                      <w:lang w:val="en-US" w:eastAsia="zh-CN" w:bidi="ar-SA"/>
                    </w:rPr>
                    <w:t>规划环评批复要求</w:t>
                  </w:r>
                </w:p>
              </w:tc>
              <w:tc>
                <w:tcPr>
                  <w:tcW w:w="1728" w:type="pct"/>
                  <w:noWrap w:val="0"/>
                  <w:vAlign w:val="center"/>
                </w:tcPr>
                <w:p w14:paraId="7B560958">
                  <w:pPr>
                    <w:widowControl w:val="0"/>
                    <w:autoSpaceDE/>
                    <w:autoSpaceDN/>
                    <w:adjustRightInd w:val="0"/>
                    <w:snapToGrid w:val="0"/>
                    <w:spacing w:before="0" w:beforeLines="0" w:after="0" w:afterLines="0" w:line="240" w:lineRule="auto"/>
                    <w:ind w:firstLine="0" w:firstLineChars="0"/>
                    <w:jc w:val="center"/>
                    <w:rPr>
                      <w:rFonts w:hint="default" w:ascii="Times New Roman" w:hAnsi="Times New Roman" w:eastAsia="宋体" w:cs="Times New Roman"/>
                      <w:b/>
                      <w:bCs/>
                      <w:color w:val="auto"/>
                      <w:kern w:val="2"/>
                      <w:sz w:val="21"/>
                      <w:szCs w:val="21"/>
                      <w:u w:val="none" w:color="auto"/>
                      <w:lang w:val="en-US" w:eastAsia="zh-CN" w:bidi="ar-SA"/>
                    </w:rPr>
                  </w:pPr>
                  <w:r>
                    <w:rPr>
                      <w:rFonts w:hint="default" w:ascii="Times New Roman" w:hAnsi="Times New Roman" w:eastAsia="宋体" w:cs="Times New Roman"/>
                      <w:b/>
                      <w:bCs/>
                      <w:color w:val="auto"/>
                      <w:kern w:val="2"/>
                      <w:sz w:val="21"/>
                      <w:szCs w:val="21"/>
                      <w:u w:val="none" w:color="auto"/>
                      <w:lang w:val="en-US" w:eastAsia="zh-CN" w:bidi="ar-SA"/>
                    </w:rPr>
                    <w:t>符合性</w:t>
                  </w:r>
                  <w:r>
                    <w:rPr>
                      <w:rFonts w:hint="eastAsia" w:cs="Times New Roman"/>
                      <w:b/>
                      <w:bCs/>
                      <w:color w:val="auto"/>
                      <w:kern w:val="2"/>
                      <w:sz w:val="21"/>
                      <w:szCs w:val="21"/>
                      <w:u w:val="none" w:color="auto"/>
                      <w:lang w:val="en-US" w:eastAsia="zh-CN" w:bidi="ar-SA"/>
                    </w:rPr>
                    <w:t>分析</w:t>
                  </w:r>
                </w:p>
              </w:tc>
              <w:tc>
                <w:tcPr>
                  <w:tcW w:w="513" w:type="pct"/>
                  <w:noWrap w:val="0"/>
                  <w:vAlign w:val="center"/>
                </w:tcPr>
                <w:p w14:paraId="677CAD16">
                  <w:pPr>
                    <w:widowControl w:val="0"/>
                    <w:autoSpaceDE/>
                    <w:autoSpaceDN/>
                    <w:adjustRightInd w:val="0"/>
                    <w:snapToGrid w:val="0"/>
                    <w:spacing w:before="0" w:beforeLines="0" w:after="0" w:afterLines="0" w:line="240" w:lineRule="auto"/>
                    <w:ind w:firstLine="0" w:firstLineChars="0"/>
                    <w:jc w:val="center"/>
                    <w:rPr>
                      <w:rFonts w:hint="default" w:ascii="Times New Roman" w:hAnsi="Times New Roman" w:eastAsia="宋体" w:cs="Times New Roman"/>
                      <w:b/>
                      <w:bCs/>
                      <w:color w:val="auto"/>
                      <w:kern w:val="2"/>
                      <w:sz w:val="21"/>
                      <w:szCs w:val="21"/>
                      <w:u w:val="none" w:color="auto"/>
                      <w:lang w:val="en-US" w:eastAsia="zh-CN" w:bidi="ar-SA"/>
                    </w:rPr>
                  </w:pPr>
                  <w:r>
                    <w:rPr>
                      <w:rFonts w:hint="default" w:ascii="Times New Roman" w:hAnsi="Times New Roman" w:eastAsia="宋体" w:cs="Times New Roman"/>
                      <w:b/>
                      <w:bCs/>
                      <w:color w:val="auto"/>
                      <w:kern w:val="2"/>
                      <w:sz w:val="21"/>
                      <w:szCs w:val="21"/>
                      <w:u w:val="none" w:color="auto"/>
                      <w:lang w:val="en-US" w:eastAsia="zh-CN" w:bidi="ar-SA"/>
                    </w:rPr>
                    <w:t>分析结果</w:t>
                  </w:r>
                </w:p>
              </w:tc>
            </w:tr>
            <w:tr w14:paraId="2C80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58" w:type="pct"/>
                  <w:shd w:val="clear" w:color="auto" w:fill="auto"/>
                  <w:noWrap w:val="0"/>
                  <w:vAlign w:val="center"/>
                </w:tcPr>
                <w:p w14:paraId="4BD2811E">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000000"/>
                      <w:kern w:val="2"/>
                      <w:sz w:val="21"/>
                      <w:szCs w:val="21"/>
                      <w:highlight w:val="none"/>
                      <w:u w:val="none" w:color="auto"/>
                      <w:lang w:val="en-US" w:eastAsia="zh-CN" w:bidi="ar-SA"/>
                    </w:rPr>
                  </w:pPr>
                  <w:r>
                    <w:rPr>
                      <w:rFonts w:hint="default" w:ascii="Times New Roman" w:hAnsi="Times New Roman" w:eastAsia="宋体" w:cs="Times New Roman"/>
                      <w:bCs/>
                      <w:color w:val="000000"/>
                      <w:sz w:val="21"/>
                      <w:szCs w:val="21"/>
                      <w:highlight w:val="none"/>
                      <w:u w:val="none" w:color="auto"/>
                    </w:rPr>
                    <w:t>按程序做好园区规划调整。对位于临江1km范围内的企业，应在规定期限内完成关闭退出、搬迁改造工作。临近凌泊湖小区、亚泰花园等居住区的工业企业应强化污染防治设施的治理效果，并按《报告书》要求，设置一定距离的绿化隔离带，最大程度地避免对邻近居住区的不良环境影响；后续引进企业，应合理引导企业布局，确保各行业企业在其相应的规划产业片区内发展，严禁跨红线布局。</w:t>
                  </w:r>
                </w:p>
              </w:tc>
              <w:tc>
                <w:tcPr>
                  <w:tcW w:w="1728" w:type="pct"/>
                  <w:shd w:val="clear" w:color="auto" w:fill="auto"/>
                  <w:noWrap w:val="0"/>
                  <w:vAlign w:val="center"/>
                </w:tcPr>
                <w:p w14:paraId="57027FC8">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000000"/>
                      <w:kern w:val="2"/>
                      <w:sz w:val="21"/>
                      <w:szCs w:val="21"/>
                      <w:highlight w:val="none"/>
                      <w:u w:val="none" w:color="auto"/>
                      <w:lang w:val="en-US" w:eastAsia="zh-CN" w:bidi="ar-SA"/>
                    </w:rPr>
                  </w:pPr>
                  <w:r>
                    <w:rPr>
                      <w:rFonts w:hint="default" w:ascii="Times New Roman" w:hAnsi="Times New Roman" w:eastAsia="宋体" w:cs="Times New Roman"/>
                      <w:bCs/>
                      <w:color w:val="000000"/>
                      <w:sz w:val="21"/>
                      <w:szCs w:val="21"/>
                      <w:highlight w:val="none"/>
                      <w:u w:val="none" w:color="auto"/>
                    </w:rPr>
                    <w:t>本项目</w:t>
                  </w:r>
                  <w:r>
                    <w:rPr>
                      <w:rFonts w:hint="default" w:ascii="Times New Roman" w:hAnsi="Times New Roman" w:eastAsia="宋体" w:cs="Times New Roman"/>
                      <w:bCs/>
                      <w:color w:val="000000"/>
                      <w:sz w:val="21"/>
                      <w:szCs w:val="21"/>
                      <w:highlight w:val="none"/>
                      <w:u w:val="none" w:color="auto"/>
                      <w:lang w:val="en-US" w:eastAsia="zh-CN"/>
                    </w:rPr>
                    <w:t>距离长</w:t>
                  </w:r>
                  <w:r>
                    <w:rPr>
                      <w:rFonts w:hint="default" w:ascii="Times New Roman" w:hAnsi="Times New Roman" w:eastAsia="宋体" w:cs="Times New Roman"/>
                      <w:bCs/>
                      <w:color w:val="000000"/>
                      <w:sz w:val="21"/>
                      <w:szCs w:val="21"/>
                      <w:highlight w:val="none"/>
                      <w:u w:val="none" w:color="auto"/>
                    </w:rPr>
                    <w:t>江</w:t>
                  </w:r>
                  <w:r>
                    <w:rPr>
                      <w:rFonts w:hint="eastAsia" w:ascii="Times New Roman" w:hAnsi="Times New Roman" w:eastAsia="宋体" w:cs="Times New Roman"/>
                      <w:bCs/>
                      <w:color w:val="000000"/>
                      <w:sz w:val="21"/>
                      <w:szCs w:val="21"/>
                      <w:highlight w:val="none"/>
                      <w:u w:val="none" w:color="auto"/>
                      <w:lang w:val="en-US" w:eastAsia="zh-CN"/>
                    </w:rPr>
                    <w:t>1.8</w:t>
                  </w:r>
                  <w:r>
                    <w:rPr>
                      <w:rFonts w:hint="default" w:ascii="Times New Roman" w:hAnsi="Times New Roman" w:eastAsia="宋体" w:cs="Times New Roman"/>
                      <w:bCs/>
                      <w:color w:val="000000"/>
                      <w:sz w:val="21"/>
                      <w:szCs w:val="21"/>
                      <w:highlight w:val="none"/>
                      <w:u w:val="none" w:color="auto"/>
                    </w:rPr>
                    <w:t>km</w:t>
                  </w:r>
                  <w:r>
                    <w:rPr>
                      <w:rFonts w:hint="eastAsia" w:ascii="Times New Roman" w:hAnsi="Times New Roman" w:eastAsia="宋体" w:cs="Times New Roman"/>
                      <w:bCs/>
                      <w:color w:val="000000"/>
                      <w:sz w:val="21"/>
                      <w:szCs w:val="21"/>
                      <w:highlight w:val="none"/>
                      <w:u w:val="none" w:color="auto"/>
                      <w:lang w:eastAsia="zh-CN"/>
                    </w:rPr>
                    <w:t>；</w:t>
                  </w:r>
                  <w:r>
                    <w:rPr>
                      <w:rFonts w:hint="eastAsia" w:ascii="Times New Roman" w:hAnsi="Times New Roman" w:eastAsia="宋体" w:cs="Times New Roman"/>
                      <w:bCs/>
                      <w:color w:val="000000"/>
                      <w:sz w:val="21"/>
                      <w:szCs w:val="21"/>
                      <w:highlight w:val="none"/>
                      <w:u w:val="none" w:color="auto"/>
                      <w:lang w:val="en-US" w:eastAsia="zh-CN"/>
                    </w:rPr>
                    <w:t>500m内的居民点仅有</w:t>
                  </w:r>
                  <w:r>
                    <w:rPr>
                      <w:rFonts w:hint="eastAsia" w:ascii="Times New Roman" w:hAnsi="Times New Roman" w:eastAsia="宋体" w:cs="Times New Roman"/>
                      <w:bCs/>
                      <w:color w:val="000000"/>
                      <w:sz w:val="21"/>
                      <w:szCs w:val="21"/>
                      <w:highlight w:val="none"/>
                      <w:u w:val="none" w:color="auto"/>
                    </w:rPr>
                    <w:t>际华工业园公租房</w:t>
                  </w:r>
                  <w:r>
                    <w:rPr>
                      <w:rFonts w:hint="default" w:ascii="Times New Roman" w:hAnsi="Times New Roman" w:eastAsia="宋体" w:cs="Times New Roman"/>
                      <w:bCs/>
                      <w:color w:val="000000"/>
                      <w:sz w:val="21"/>
                      <w:szCs w:val="21"/>
                      <w:highlight w:val="none"/>
                      <w:u w:val="none" w:color="auto"/>
                      <w:lang w:val="en-US" w:eastAsia="zh-CN"/>
                    </w:rPr>
                    <w:t>，</w:t>
                  </w:r>
                  <w:r>
                    <w:rPr>
                      <w:rFonts w:hint="eastAsia" w:ascii="Times New Roman" w:hAnsi="Times New Roman" w:eastAsia="宋体" w:cs="Times New Roman"/>
                      <w:bCs/>
                      <w:color w:val="000000"/>
                      <w:sz w:val="21"/>
                      <w:szCs w:val="21"/>
                      <w:highlight w:val="none"/>
                      <w:u w:val="none" w:color="auto"/>
                      <w:lang w:val="en-US" w:eastAsia="zh-CN"/>
                    </w:rPr>
                    <w:t>本</w:t>
                  </w:r>
                  <w:r>
                    <w:rPr>
                      <w:rFonts w:hint="default" w:ascii="Times New Roman" w:hAnsi="Times New Roman" w:eastAsia="宋体" w:cs="Times New Roman"/>
                      <w:bCs/>
                      <w:color w:val="000000"/>
                      <w:sz w:val="21"/>
                      <w:szCs w:val="21"/>
                      <w:highlight w:val="none"/>
                      <w:u w:val="none" w:color="auto"/>
                      <w:lang w:eastAsia="zh-CN"/>
                    </w:rPr>
                    <w:t>项目</w:t>
                  </w:r>
                  <w:r>
                    <w:rPr>
                      <w:rFonts w:hint="default" w:ascii="Times New Roman" w:hAnsi="Times New Roman" w:eastAsia="宋体" w:cs="Times New Roman"/>
                      <w:bCs/>
                      <w:color w:val="000000"/>
                      <w:sz w:val="21"/>
                      <w:szCs w:val="21"/>
                      <w:highlight w:val="none"/>
                      <w:u w:val="none" w:color="auto"/>
                      <w:lang w:val="en-US" w:eastAsia="zh-CN"/>
                    </w:rPr>
                    <w:t>所在厂房</w:t>
                  </w:r>
                  <w:r>
                    <w:rPr>
                      <w:rFonts w:hint="eastAsia" w:ascii="Times New Roman" w:hAnsi="Times New Roman" w:eastAsia="宋体" w:cs="Times New Roman"/>
                      <w:bCs/>
                      <w:color w:val="000000"/>
                      <w:sz w:val="21"/>
                      <w:szCs w:val="21"/>
                      <w:highlight w:val="none"/>
                      <w:u w:val="none" w:color="auto"/>
                      <w:lang w:val="en-US" w:eastAsia="zh-CN"/>
                    </w:rPr>
                    <w:t>外</w:t>
                  </w:r>
                  <w:r>
                    <w:rPr>
                      <w:rFonts w:hint="default" w:ascii="Times New Roman" w:hAnsi="Times New Roman" w:eastAsia="宋体" w:cs="Times New Roman"/>
                      <w:bCs/>
                      <w:color w:val="000000"/>
                      <w:sz w:val="21"/>
                      <w:szCs w:val="21"/>
                      <w:highlight w:val="none"/>
                      <w:u w:val="none" w:color="auto"/>
                      <w:lang w:val="en-US" w:eastAsia="zh-CN"/>
                    </w:rPr>
                    <w:t>设置绿化带，项目各污染物采取环评提成相应治理措施后，对</w:t>
                  </w:r>
                  <w:r>
                    <w:rPr>
                      <w:rFonts w:hint="eastAsia" w:ascii="Times New Roman" w:hAnsi="Times New Roman" w:eastAsia="宋体" w:cs="Times New Roman"/>
                      <w:bCs/>
                      <w:color w:val="000000"/>
                      <w:sz w:val="21"/>
                      <w:szCs w:val="21"/>
                      <w:highlight w:val="none"/>
                      <w:u w:val="none" w:color="auto"/>
                      <w:lang w:val="en-US" w:eastAsia="zh-CN"/>
                    </w:rPr>
                    <w:t>居民点</w:t>
                  </w:r>
                  <w:r>
                    <w:rPr>
                      <w:rFonts w:hint="default" w:ascii="Times New Roman" w:hAnsi="Times New Roman" w:eastAsia="宋体" w:cs="Times New Roman"/>
                      <w:bCs/>
                      <w:color w:val="000000"/>
                      <w:sz w:val="21"/>
                      <w:szCs w:val="21"/>
                      <w:highlight w:val="none"/>
                      <w:u w:val="none" w:color="auto"/>
                      <w:lang w:val="en-US" w:eastAsia="zh-CN"/>
                    </w:rPr>
                    <w:t>影响较小</w:t>
                  </w:r>
                  <w:r>
                    <w:rPr>
                      <w:rFonts w:hint="eastAsia" w:ascii="Times New Roman" w:hAnsi="Times New Roman" w:eastAsia="宋体" w:cs="Times New Roman"/>
                      <w:bCs/>
                      <w:color w:val="000000"/>
                      <w:sz w:val="21"/>
                      <w:szCs w:val="21"/>
                      <w:highlight w:val="none"/>
                      <w:u w:val="none" w:color="auto"/>
                      <w:lang w:val="en-US" w:eastAsia="zh-CN"/>
                    </w:rPr>
                    <w:t>；</w:t>
                  </w:r>
                  <w:r>
                    <w:rPr>
                      <w:rFonts w:hint="default" w:ascii="Times New Roman" w:hAnsi="Times New Roman" w:eastAsia="宋体" w:cs="Times New Roman"/>
                      <w:bCs/>
                      <w:color w:val="000000"/>
                      <w:sz w:val="21"/>
                      <w:szCs w:val="21"/>
                      <w:highlight w:val="none"/>
                      <w:u w:val="none" w:color="auto"/>
                      <w:lang w:val="en-US" w:eastAsia="zh-CN"/>
                    </w:rPr>
                    <w:t>项目位于工业用地上，未</w:t>
                  </w:r>
                  <w:r>
                    <w:rPr>
                      <w:rFonts w:hint="default" w:ascii="Times New Roman" w:hAnsi="Times New Roman" w:eastAsia="宋体" w:cs="Times New Roman"/>
                      <w:bCs/>
                      <w:color w:val="000000"/>
                      <w:sz w:val="21"/>
                      <w:szCs w:val="21"/>
                      <w:highlight w:val="none"/>
                      <w:u w:val="none" w:color="auto"/>
                    </w:rPr>
                    <w:t>跨红线布局</w:t>
                  </w:r>
                </w:p>
              </w:tc>
              <w:tc>
                <w:tcPr>
                  <w:tcW w:w="513" w:type="pct"/>
                  <w:noWrap w:val="0"/>
                  <w:vAlign w:val="center"/>
                </w:tcPr>
                <w:p w14:paraId="720A643F">
                  <w:pPr>
                    <w:widowControl w:val="0"/>
                    <w:autoSpaceDE/>
                    <w:autoSpaceDN/>
                    <w:adjustRightInd w:val="0"/>
                    <w:snapToGrid w:val="0"/>
                    <w:spacing w:before="0" w:beforeLines="0" w:after="0" w:afterLines="0"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符合</w:t>
                  </w:r>
                </w:p>
              </w:tc>
            </w:tr>
            <w:tr w14:paraId="0055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58" w:type="pct"/>
                  <w:shd w:val="clear" w:color="auto" w:fill="auto"/>
                  <w:noWrap w:val="0"/>
                  <w:vAlign w:val="center"/>
                </w:tcPr>
                <w:p w14:paraId="1E481649">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rPr>
                    <w:t>进一步严格产业环境准入。岳阳临港新区后续发展与规划调整须符合岳阳临港新区“三线一单”环境准入要求、长江经济带发展负面清单指南(试行)及《报告书》提出的环境准入条件和负面清单要求。对不符合园区用地规划、产业定位的现有企业，按《报告书》建议要求企业强化污染防治措施，且不得在原址新增污染物排放量，同时，做好项目周边用地的控规工作。园区范围新建、改建和扩建“两高”项目应按照《关于加强重点行业建设项目区域削减措施监督管理的通知》要求，依据区域环境质量改善目标,制定配套区域污染物削减方案，采取有效的污染物区域削减措施，腾出足够的环境容量。入园企业应优先考虑使用清洁能源、能耗低、技术工艺先进、清洁生产和环境管理水平高、污染防治技术成熟的企业,须严格执行环境保护“三同时”制度，确保外排污染物满足排污许可证管控要求。</w:t>
                  </w:r>
                </w:p>
              </w:tc>
              <w:tc>
                <w:tcPr>
                  <w:tcW w:w="1728" w:type="pct"/>
                  <w:shd w:val="clear" w:color="auto" w:fill="auto"/>
                  <w:noWrap w:val="0"/>
                  <w:vAlign w:val="center"/>
                </w:tcPr>
                <w:p w14:paraId="2A677FF5">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rPr>
                    <w:t>本项目已严格执行岳阳临港新区生态环境</w:t>
                  </w:r>
                  <w:r>
                    <w:rPr>
                      <w:rFonts w:hint="default" w:ascii="Times New Roman" w:hAnsi="Times New Roman" w:eastAsia="宋体" w:cs="Times New Roman"/>
                      <w:bCs/>
                      <w:color w:val="auto"/>
                      <w:sz w:val="21"/>
                      <w:szCs w:val="21"/>
                      <w:highlight w:val="none"/>
                      <w:u w:val="none" w:color="auto"/>
                      <w:lang w:val="en-US" w:eastAsia="zh-CN"/>
                    </w:rPr>
                    <w:t>分区</w:t>
                  </w:r>
                  <w:r>
                    <w:rPr>
                      <w:rFonts w:hint="default" w:ascii="Times New Roman" w:hAnsi="Times New Roman" w:eastAsia="宋体" w:cs="Times New Roman"/>
                      <w:bCs/>
                      <w:color w:val="auto"/>
                      <w:sz w:val="21"/>
                      <w:szCs w:val="21"/>
                      <w:highlight w:val="none"/>
                      <w:u w:val="none" w:color="auto"/>
                    </w:rPr>
                    <w:t>管控</w:t>
                  </w:r>
                  <w:r>
                    <w:rPr>
                      <w:rFonts w:hint="eastAsia" w:ascii="Times New Roman" w:hAnsi="Times New Roman" w:eastAsia="宋体" w:cs="Times New Roman"/>
                      <w:bCs/>
                      <w:color w:val="auto"/>
                      <w:sz w:val="21"/>
                      <w:szCs w:val="21"/>
                      <w:highlight w:val="none"/>
                      <w:u w:val="none" w:color="auto"/>
                      <w:lang w:val="en-US" w:eastAsia="zh-CN"/>
                    </w:rPr>
                    <w:t>要求</w:t>
                  </w:r>
                  <w:r>
                    <w:rPr>
                      <w:rFonts w:hint="default" w:ascii="Times New Roman" w:hAnsi="Times New Roman" w:eastAsia="宋体" w:cs="Times New Roman"/>
                      <w:bCs/>
                      <w:color w:val="auto"/>
                      <w:sz w:val="21"/>
                      <w:szCs w:val="21"/>
                      <w:highlight w:val="none"/>
                      <w:u w:val="none" w:color="auto"/>
                    </w:rPr>
                    <w:t>、长江经济带发展负面清单指南(试行)及《报告书》提出的环境准入条件和负面清单要求。符合园区用地规划及产业定位，本项目不属于两高项目，项目生产能耗低，环评完成后按要求办理排污许可证，并满足其管控要求</w:t>
                  </w:r>
                </w:p>
              </w:tc>
              <w:tc>
                <w:tcPr>
                  <w:tcW w:w="513" w:type="pct"/>
                  <w:noWrap w:val="0"/>
                  <w:vAlign w:val="center"/>
                </w:tcPr>
                <w:p w14:paraId="4599723E">
                  <w:pPr>
                    <w:widowControl w:val="0"/>
                    <w:autoSpaceDE/>
                    <w:autoSpaceDN/>
                    <w:adjustRightInd w:val="0"/>
                    <w:snapToGrid w:val="0"/>
                    <w:spacing w:before="0" w:beforeLines="0" w:after="0" w:afterLines="0" w:line="240" w:lineRule="auto"/>
                    <w:ind w:firstLine="0" w:firstLineChars="0"/>
                    <w:jc w:val="center"/>
                    <w:rPr>
                      <w:rFonts w:hint="default" w:ascii="Times New Roman" w:hAnsi="Times New Roman" w:eastAsia="宋体" w:cs="Times New Roman"/>
                      <w:color w:val="auto"/>
                      <w:kern w:val="2"/>
                      <w:sz w:val="24"/>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符合</w:t>
                  </w:r>
                </w:p>
              </w:tc>
            </w:tr>
            <w:tr w14:paraId="6E68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58" w:type="pct"/>
                  <w:shd w:val="clear" w:color="auto" w:fill="auto"/>
                  <w:noWrap w:val="0"/>
                  <w:vAlign w:val="center"/>
                </w:tcPr>
                <w:p w14:paraId="64306AC6">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rPr>
                    <w:t>进一步落实园区污染管控措施。岳阳临港新区应按开发进度完善区域雨污分流和污污分流系统、污水收集管网及集中污水处理设施建设，确保园区废水应收尽收，全部送至</w:t>
                  </w:r>
                  <w:r>
                    <w:rPr>
                      <w:rFonts w:hint="default" w:ascii="Times New Roman" w:hAnsi="Times New Roman" w:eastAsia="宋体" w:cs="Times New Roman"/>
                      <w:bCs/>
                      <w:color w:val="auto"/>
                      <w:sz w:val="21"/>
                      <w:szCs w:val="21"/>
                      <w:highlight w:val="none"/>
                      <w:u w:val="none" w:color="auto"/>
                      <w:lang w:eastAsia="zh-CN"/>
                    </w:rPr>
                    <w:t>湖南城陵矶临港产业新区污水处理厂</w:t>
                  </w:r>
                  <w:r>
                    <w:rPr>
                      <w:rFonts w:hint="default" w:ascii="Times New Roman" w:hAnsi="Times New Roman" w:eastAsia="宋体" w:cs="Times New Roman"/>
                      <w:bCs/>
                      <w:color w:val="auto"/>
                      <w:sz w:val="21"/>
                      <w:szCs w:val="21"/>
                      <w:highlight w:val="none"/>
                      <w:u w:val="none" w:color="auto"/>
                    </w:rPr>
                    <w:t>深度处理。加强污水处理设施日常运营维护，确保可长期稳定运行。鉴于白杨湖现阶段存在总磷超标现象</w:t>
                  </w:r>
                  <w:r>
                    <w:rPr>
                      <w:rFonts w:hint="eastAsia" w:cs="Times New Roman"/>
                      <w:bCs/>
                      <w:color w:val="auto"/>
                      <w:sz w:val="21"/>
                      <w:szCs w:val="21"/>
                      <w:highlight w:val="none"/>
                      <w:u w:val="none" w:color="auto"/>
                      <w:lang w:eastAsia="zh-CN"/>
                    </w:rPr>
                    <w:t>，</w:t>
                  </w:r>
                  <w:r>
                    <w:rPr>
                      <w:rFonts w:hint="default" w:ascii="Times New Roman" w:hAnsi="Times New Roman" w:eastAsia="宋体" w:cs="Times New Roman"/>
                      <w:bCs/>
                      <w:color w:val="auto"/>
                      <w:sz w:val="21"/>
                      <w:szCs w:val="21"/>
                      <w:highlight w:val="none"/>
                      <w:u w:val="none" w:color="auto"/>
                    </w:rPr>
                    <w:t>地方应按要求加快开展白杨湖综合环境整治与生态修复工作,配套污水管网在未完成对接区域，不得新增水污染排放的建设项目。优化能源结构，推广清洁能源。加强园区大气污染防治，加大对区内重点排污企业废气治理措施运行情况及废气无组织排放的监管，确保大气污染物达标排放，对治理设施不能有效运行的企业，采取停产措施。做好工业固体废物和生活垃圾的分类收集、转运、综合利用和无害化处理，建立完善的固废管理体系。对危险废物应严格按照国家有关规定综合利用或妥善处置，对危险废物产生企业和经营单位，应强化日常环境监管。园区须严格落实排污许可制度和污染物排放总量控制，重点抓好企业环保手续的完善，全面落实高新区内现有企业污染物特别排放限值控制要求，采取有效措施减少污染物排放总量，确保实现区域环境质量改善目标，促进园区发展与生态环境保护相协调。</w:t>
                  </w:r>
                </w:p>
              </w:tc>
              <w:tc>
                <w:tcPr>
                  <w:tcW w:w="1728" w:type="pct"/>
                  <w:shd w:val="clear" w:color="auto" w:fill="auto"/>
                  <w:noWrap w:val="0"/>
                  <w:vAlign w:val="center"/>
                </w:tcPr>
                <w:p w14:paraId="37BC0FA9">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eastAsia" w:ascii="Times New Roman" w:hAnsi="Times New Roman" w:eastAsia="宋体" w:cs="Times New Roman"/>
                      <w:bCs/>
                      <w:color w:val="000000"/>
                      <w:sz w:val="21"/>
                      <w:szCs w:val="21"/>
                      <w:highlight w:val="none"/>
                      <w:u w:val="none" w:color="auto"/>
                      <w:lang w:val="en-US" w:eastAsia="zh-CN"/>
                    </w:rPr>
                    <w:t>本项目</w:t>
                  </w:r>
                  <w:r>
                    <w:rPr>
                      <w:rFonts w:hint="default" w:ascii="Times New Roman" w:hAnsi="Times New Roman" w:eastAsia="宋体" w:cs="Times New Roman"/>
                      <w:bCs/>
                      <w:color w:val="000000"/>
                      <w:sz w:val="21"/>
                      <w:szCs w:val="21"/>
                      <w:highlight w:val="none"/>
                      <w:u w:val="none" w:color="auto"/>
                    </w:rPr>
                    <w:t>实施雨污分流，</w:t>
                  </w:r>
                  <w:r>
                    <w:rPr>
                      <w:rFonts w:hint="eastAsia" w:ascii="Times New Roman" w:hAnsi="Times New Roman" w:eastAsia="宋体" w:cs="Times New Roman"/>
                      <w:bCs/>
                      <w:color w:val="000000"/>
                      <w:sz w:val="21"/>
                      <w:szCs w:val="21"/>
                      <w:highlight w:val="none"/>
                      <w:u w:val="none" w:color="auto"/>
                      <w:lang w:val="en-US" w:eastAsia="zh-CN"/>
                    </w:rPr>
                    <w:t>外排废水仅生活污水，</w:t>
                  </w:r>
                  <w:r>
                    <w:rPr>
                      <w:rFonts w:hint="default" w:ascii="Times New Roman" w:hAnsi="Times New Roman" w:eastAsia="宋体" w:cs="Times New Roman"/>
                      <w:sz w:val="21"/>
                      <w:szCs w:val="21"/>
                      <w:highlight w:val="none"/>
                      <w:u w:val="none" w:color="auto"/>
                      <w:lang w:val="en-US" w:eastAsia="zh-CN"/>
                    </w:rPr>
                    <w:t>生活污水</w:t>
                  </w:r>
                  <w:r>
                    <w:rPr>
                      <w:rFonts w:hint="eastAsia" w:ascii="Times New Roman" w:hAnsi="Times New Roman" w:eastAsia="宋体" w:cs="Times New Roman"/>
                      <w:sz w:val="21"/>
                      <w:szCs w:val="21"/>
                      <w:highlight w:val="none"/>
                      <w:u w:val="none" w:color="auto"/>
                      <w:lang w:val="en-US" w:eastAsia="zh-CN"/>
                    </w:rPr>
                    <w:t>通过</w:t>
                  </w:r>
                  <w:r>
                    <w:rPr>
                      <w:rFonts w:hint="default" w:ascii="Times New Roman" w:hAnsi="Times New Roman" w:eastAsia="宋体" w:cs="Times New Roman"/>
                      <w:sz w:val="21"/>
                      <w:szCs w:val="21"/>
                      <w:highlight w:val="none"/>
                      <w:u w:val="none" w:color="auto"/>
                      <w:lang w:val="en-US" w:eastAsia="zh-CN"/>
                    </w:rPr>
                    <w:t>化粪池处理</w:t>
                  </w:r>
                  <w:r>
                    <w:rPr>
                      <w:rFonts w:hint="eastAsia" w:ascii="Times New Roman" w:hAnsi="Times New Roman" w:eastAsia="宋体" w:cs="Times New Roman"/>
                      <w:sz w:val="21"/>
                      <w:szCs w:val="21"/>
                      <w:highlight w:val="none"/>
                      <w:u w:val="none" w:color="auto"/>
                      <w:lang w:val="en-US" w:eastAsia="zh-CN"/>
                    </w:rPr>
                    <w:t>后</w:t>
                  </w:r>
                  <w:r>
                    <w:rPr>
                      <w:rFonts w:hint="default" w:ascii="Times New Roman" w:hAnsi="Times New Roman" w:eastAsia="宋体" w:cs="Times New Roman"/>
                      <w:bCs/>
                      <w:color w:val="000000"/>
                      <w:sz w:val="21"/>
                      <w:szCs w:val="21"/>
                      <w:highlight w:val="none"/>
                      <w:u w:val="none" w:color="auto"/>
                      <w:lang w:val="en-US" w:eastAsia="zh-CN"/>
                    </w:rPr>
                    <w:t>排入岳阳市三峡水环境综合治理有限责任公司临港水质净化厂进一步处理</w:t>
                  </w:r>
                  <w:r>
                    <w:rPr>
                      <w:rFonts w:hint="default" w:ascii="Times New Roman" w:hAnsi="Times New Roman" w:eastAsia="宋体" w:cs="Times New Roman"/>
                      <w:bCs/>
                      <w:color w:val="000000"/>
                      <w:sz w:val="21"/>
                      <w:szCs w:val="21"/>
                      <w:highlight w:val="none"/>
                      <w:u w:val="none" w:color="auto"/>
                    </w:rPr>
                    <w:t>达到《城镇污水处理厂污染物排放标准》(GB18918-2002)一级A标准后外排至象骨港，最终排入长江</w:t>
                  </w:r>
                  <w:r>
                    <w:rPr>
                      <w:rFonts w:hint="eastAsia" w:ascii="Times New Roman" w:hAnsi="Times New Roman" w:eastAsia="宋体" w:cs="Times New Roman"/>
                      <w:bCs/>
                      <w:color w:val="auto"/>
                      <w:sz w:val="21"/>
                      <w:szCs w:val="21"/>
                      <w:highlight w:val="none"/>
                      <w:u w:val="none" w:color="auto"/>
                      <w:lang w:eastAsia="zh-CN"/>
                    </w:rPr>
                    <w:t>；</w:t>
                  </w:r>
                  <w:r>
                    <w:rPr>
                      <w:rFonts w:hint="default" w:ascii="Times New Roman" w:hAnsi="Times New Roman" w:eastAsia="宋体" w:cs="Times New Roman"/>
                      <w:bCs/>
                      <w:color w:val="auto"/>
                      <w:sz w:val="21"/>
                      <w:szCs w:val="21"/>
                      <w:highlight w:val="none"/>
                      <w:u w:val="none" w:color="auto"/>
                    </w:rPr>
                    <w:t>项目废气经采取措施后均可达标排放</w:t>
                  </w:r>
                  <w:r>
                    <w:rPr>
                      <w:rFonts w:hint="eastAsia" w:ascii="Times New Roman" w:hAnsi="Times New Roman" w:eastAsia="宋体" w:cs="Times New Roman"/>
                      <w:bCs/>
                      <w:color w:val="auto"/>
                      <w:sz w:val="21"/>
                      <w:szCs w:val="21"/>
                      <w:highlight w:val="none"/>
                      <w:u w:val="none" w:color="auto"/>
                      <w:lang w:eastAsia="zh-CN"/>
                    </w:rPr>
                    <w:t>；</w:t>
                  </w:r>
                  <w:r>
                    <w:rPr>
                      <w:rFonts w:hint="default" w:ascii="Times New Roman" w:hAnsi="Times New Roman" w:eastAsia="宋体" w:cs="Times New Roman"/>
                      <w:bCs/>
                      <w:color w:val="auto"/>
                      <w:sz w:val="21"/>
                      <w:szCs w:val="21"/>
                      <w:highlight w:val="none"/>
                      <w:u w:val="none" w:color="auto"/>
                    </w:rPr>
                    <w:t>项目固体废物及危险废物均可得到有效处置，</w:t>
                  </w:r>
                  <w:r>
                    <w:rPr>
                      <w:rFonts w:hint="eastAsia" w:ascii="Times New Roman" w:hAnsi="Times New Roman" w:eastAsia="宋体" w:cs="Times New Roman"/>
                      <w:bCs/>
                      <w:color w:val="auto"/>
                      <w:sz w:val="21"/>
                      <w:szCs w:val="21"/>
                      <w:highlight w:val="none"/>
                      <w:u w:val="none" w:color="auto"/>
                      <w:lang w:val="en-US" w:eastAsia="zh-CN"/>
                    </w:rPr>
                    <w:t>对</w:t>
                  </w:r>
                  <w:r>
                    <w:rPr>
                      <w:rFonts w:hint="default" w:ascii="Times New Roman" w:hAnsi="Times New Roman" w:eastAsia="宋体" w:cs="Times New Roman"/>
                      <w:bCs/>
                      <w:color w:val="auto"/>
                      <w:sz w:val="21"/>
                      <w:szCs w:val="21"/>
                      <w:highlight w:val="none"/>
                      <w:u w:val="none" w:color="auto"/>
                    </w:rPr>
                    <w:t>周边环境影响较小</w:t>
                  </w:r>
                </w:p>
              </w:tc>
              <w:tc>
                <w:tcPr>
                  <w:tcW w:w="513" w:type="pct"/>
                  <w:noWrap w:val="0"/>
                  <w:vAlign w:val="center"/>
                </w:tcPr>
                <w:p w14:paraId="6E795D7A">
                  <w:pPr>
                    <w:widowControl w:val="0"/>
                    <w:autoSpaceDE/>
                    <w:autoSpaceDN/>
                    <w:adjustRightInd w:val="0"/>
                    <w:snapToGrid w:val="0"/>
                    <w:spacing w:before="0" w:beforeLines="0" w:after="0" w:afterLines="0" w:line="240" w:lineRule="auto"/>
                    <w:ind w:firstLine="0" w:firstLineChars="0"/>
                    <w:jc w:val="center"/>
                    <w:rPr>
                      <w:rFonts w:hint="default" w:ascii="Times New Roman" w:hAnsi="Times New Roman" w:eastAsia="宋体" w:cs="Times New Roman"/>
                      <w:color w:val="auto"/>
                      <w:kern w:val="2"/>
                      <w:sz w:val="24"/>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符合</w:t>
                  </w:r>
                </w:p>
              </w:tc>
            </w:tr>
            <w:tr w14:paraId="0DAE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58" w:type="pct"/>
                  <w:shd w:val="clear" w:color="auto" w:fill="auto"/>
                  <w:noWrap w:val="0"/>
                  <w:vAlign w:val="center"/>
                </w:tcPr>
                <w:p w14:paraId="64D5BF2C">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rPr>
                    <w:t>完善园区环境监测体系。岳阳临港新区应严格落实跟踪评价提出的监测方案，鉴于其周边分布有湖南东洞庭湖国家级自然保护区、长江监利段四大家鱼国家级水产种质资源保护区、湖北长江新螺段白饔豚国家级自然保护区、湖南云溪白泥湖国家湿地公园、东洞庭湖江豚自然保护区等生态环境敏感点，应结合临港新区规划的功能分区、产业布局、重点企业分布、特征污染物的排放种类和状况等，建立健全区域环境空气、地表水、地下水、土壤等环境要素的监控体系，并按《报告书》提出的要求，对相应点位（断面）开展主要污染物及重金属跟踪监测。加强对临港新区重点排放单位、环保投诉较多企业的监督性监测。</w:t>
                  </w:r>
                </w:p>
              </w:tc>
              <w:tc>
                <w:tcPr>
                  <w:tcW w:w="1728" w:type="pct"/>
                  <w:shd w:val="clear" w:color="auto" w:fill="auto"/>
                  <w:noWrap w:val="0"/>
                  <w:vAlign w:val="center"/>
                </w:tcPr>
                <w:p w14:paraId="7C32EFA3">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eastAsia" w:ascii="Times New Roman" w:hAnsi="Times New Roman" w:eastAsia="宋体" w:cs="Times New Roman"/>
                      <w:bCs/>
                      <w:color w:val="auto"/>
                      <w:sz w:val="21"/>
                      <w:szCs w:val="21"/>
                      <w:highlight w:val="none"/>
                      <w:u w:val="none" w:color="auto"/>
                      <w:lang w:val="en-US" w:eastAsia="zh-CN"/>
                    </w:rPr>
                    <w:t>本环评已提出污染物监测方案，</w:t>
                  </w:r>
                  <w:r>
                    <w:rPr>
                      <w:rFonts w:hint="default" w:ascii="Times New Roman" w:hAnsi="Times New Roman" w:eastAsia="宋体" w:cs="Times New Roman"/>
                      <w:bCs/>
                      <w:color w:val="auto"/>
                      <w:sz w:val="21"/>
                      <w:szCs w:val="21"/>
                      <w:highlight w:val="none"/>
                      <w:u w:val="none" w:color="auto"/>
                    </w:rPr>
                    <w:t>本项目运营后，将按</w:t>
                  </w:r>
                  <w:r>
                    <w:rPr>
                      <w:rFonts w:hint="eastAsia" w:ascii="Times New Roman" w:hAnsi="Times New Roman" w:eastAsia="宋体" w:cs="Times New Roman"/>
                      <w:bCs/>
                      <w:color w:val="auto"/>
                      <w:sz w:val="21"/>
                      <w:szCs w:val="21"/>
                      <w:highlight w:val="none"/>
                      <w:u w:val="none" w:color="auto"/>
                      <w:lang w:val="en-US" w:eastAsia="zh-CN"/>
                    </w:rPr>
                    <w:t>要求</w:t>
                  </w:r>
                  <w:r>
                    <w:rPr>
                      <w:rFonts w:hint="default" w:ascii="Times New Roman" w:hAnsi="Times New Roman" w:eastAsia="宋体" w:cs="Times New Roman"/>
                      <w:bCs/>
                      <w:color w:val="auto"/>
                      <w:sz w:val="21"/>
                      <w:szCs w:val="21"/>
                      <w:highlight w:val="none"/>
                      <w:u w:val="none" w:color="auto"/>
                    </w:rPr>
                    <w:t>落实</w:t>
                  </w:r>
                  <w:r>
                    <w:rPr>
                      <w:rFonts w:hint="eastAsia" w:ascii="Times New Roman" w:hAnsi="Times New Roman" w:eastAsia="宋体" w:cs="Times New Roman"/>
                      <w:bCs/>
                      <w:color w:val="auto"/>
                      <w:sz w:val="21"/>
                      <w:szCs w:val="21"/>
                      <w:highlight w:val="none"/>
                      <w:u w:val="none" w:color="auto"/>
                      <w:lang w:val="en-US" w:eastAsia="zh-CN"/>
                    </w:rPr>
                    <w:t>污染物的</w:t>
                  </w:r>
                  <w:r>
                    <w:rPr>
                      <w:rFonts w:hint="default" w:ascii="Times New Roman" w:hAnsi="Times New Roman" w:eastAsia="宋体" w:cs="Times New Roman"/>
                      <w:bCs/>
                      <w:color w:val="auto"/>
                      <w:sz w:val="21"/>
                      <w:szCs w:val="21"/>
                      <w:highlight w:val="none"/>
                      <w:u w:val="none" w:color="auto"/>
                    </w:rPr>
                    <w:t>监测</w:t>
                  </w:r>
                </w:p>
              </w:tc>
              <w:tc>
                <w:tcPr>
                  <w:tcW w:w="513" w:type="pct"/>
                  <w:noWrap w:val="0"/>
                  <w:vAlign w:val="center"/>
                </w:tcPr>
                <w:p w14:paraId="5449A3CA">
                  <w:pPr>
                    <w:widowControl w:val="0"/>
                    <w:autoSpaceDE/>
                    <w:autoSpaceDN/>
                    <w:adjustRightInd w:val="0"/>
                    <w:snapToGrid w:val="0"/>
                    <w:spacing w:before="0" w:beforeLines="0" w:after="0" w:afterLines="0" w:line="240" w:lineRule="auto"/>
                    <w:ind w:firstLine="0" w:firstLineChars="0"/>
                    <w:jc w:val="center"/>
                    <w:rPr>
                      <w:rFonts w:hint="default" w:ascii="Times New Roman" w:hAnsi="Times New Roman" w:eastAsia="宋体" w:cs="Times New Roman"/>
                      <w:color w:val="auto"/>
                      <w:kern w:val="2"/>
                      <w:sz w:val="24"/>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符合</w:t>
                  </w:r>
                </w:p>
              </w:tc>
            </w:tr>
            <w:tr w14:paraId="58AD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58" w:type="pct"/>
                  <w:shd w:val="clear" w:color="auto" w:fill="auto"/>
                  <w:noWrap w:val="0"/>
                  <w:vAlign w:val="center"/>
                </w:tcPr>
                <w:p w14:paraId="4AA14C1B">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rPr>
                    <w:t>健全园区环境风险防控体系。加强岳阳临港新区重要环境风险源管控，加强园区危险化学品储运的环境风险管理，严格落实应急响应联动机制，确保区域环境安全。</w:t>
                  </w:r>
                </w:p>
              </w:tc>
              <w:tc>
                <w:tcPr>
                  <w:tcW w:w="1728" w:type="pct"/>
                  <w:shd w:val="clear" w:color="auto" w:fill="auto"/>
                  <w:noWrap w:val="0"/>
                  <w:vAlign w:val="center"/>
                </w:tcPr>
                <w:p w14:paraId="36573656">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eastAsia"/>
                      <w:sz w:val="21"/>
                      <w:szCs w:val="21"/>
                      <w:u w:val="none"/>
                    </w:rPr>
                    <w:t>本</w:t>
                  </w:r>
                  <w:r>
                    <w:rPr>
                      <w:rFonts w:hint="eastAsia"/>
                      <w:sz w:val="21"/>
                      <w:szCs w:val="21"/>
                      <w:u w:val="none"/>
                      <w:lang w:val="en-US" w:eastAsia="zh-CN"/>
                    </w:rPr>
                    <w:t>环评已提出环境风险事故防范措施，并要求企业按照</w:t>
                  </w:r>
                  <w:r>
                    <w:rPr>
                      <w:rFonts w:hint="eastAsia"/>
                      <w:sz w:val="21"/>
                      <w:szCs w:val="21"/>
                      <w:u w:val="none"/>
                    </w:rPr>
                    <w:t>《湖南省突发环境事件应急预案管理办法（修订版）》</w:t>
                  </w:r>
                  <w:r>
                    <w:rPr>
                      <w:rFonts w:hint="eastAsia"/>
                      <w:sz w:val="21"/>
                      <w:szCs w:val="21"/>
                      <w:u w:val="none"/>
                      <w:lang w:eastAsia="zh-CN"/>
                    </w:rPr>
                    <w:t>（</w:t>
                  </w:r>
                  <w:r>
                    <w:rPr>
                      <w:rFonts w:hint="eastAsia"/>
                      <w:sz w:val="21"/>
                      <w:szCs w:val="21"/>
                      <w:u w:val="none"/>
                    </w:rPr>
                    <w:t>湘环发〔2024〕49号</w:t>
                  </w:r>
                  <w:r>
                    <w:rPr>
                      <w:rFonts w:hint="eastAsia"/>
                      <w:sz w:val="21"/>
                      <w:szCs w:val="21"/>
                      <w:u w:val="none"/>
                      <w:lang w:eastAsia="zh-CN"/>
                    </w:rPr>
                    <w:t>）</w:t>
                  </w:r>
                  <w:r>
                    <w:rPr>
                      <w:rFonts w:hint="eastAsia"/>
                      <w:sz w:val="21"/>
                      <w:szCs w:val="21"/>
                      <w:u w:val="none"/>
                      <w:lang w:val="en-US" w:eastAsia="zh-CN"/>
                    </w:rPr>
                    <w:t>开展应急预案相关工作</w:t>
                  </w:r>
                </w:p>
              </w:tc>
              <w:tc>
                <w:tcPr>
                  <w:tcW w:w="513" w:type="pct"/>
                  <w:noWrap w:val="0"/>
                  <w:vAlign w:val="center"/>
                </w:tcPr>
                <w:p w14:paraId="1CC51A45">
                  <w:pPr>
                    <w:widowControl w:val="0"/>
                    <w:autoSpaceDE/>
                    <w:autoSpaceDN/>
                    <w:adjustRightInd w:val="0"/>
                    <w:snapToGrid w:val="0"/>
                    <w:spacing w:before="0" w:beforeLines="0" w:after="0" w:afterLines="0" w:line="240" w:lineRule="auto"/>
                    <w:ind w:firstLine="0" w:firstLineChars="0"/>
                    <w:jc w:val="center"/>
                    <w:rPr>
                      <w:rFonts w:hint="default" w:ascii="Times New Roman" w:hAnsi="Times New Roman" w:eastAsia="宋体" w:cs="Times New Roman"/>
                      <w:color w:val="auto"/>
                      <w:kern w:val="2"/>
                      <w:sz w:val="24"/>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符合</w:t>
                  </w:r>
                </w:p>
              </w:tc>
            </w:tr>
            <w:tr w14:paraId="0EAC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153BE6B4">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rPr>
                    <w:t>加强对环境敏感点的保护。严格做好控规，杜绝在规划的工业用地上新增环境敏感目标、建设居民区。做好商业用地、居住用地周边的规划控制，在下一轮规划调整中应从提升指导性、可操作性的角度出发推动产业集中布局、降低环境影响，严格控制气型污染企业入驻，加强对现有企业的污染防治措施。按要求做好功能区及具体项目用地周边规划控制，岳阳临港新区应根据开发规划统筹制定拆迁安置方案，落实移民生产生活安置措施，防止移民再次安置和次生环境问题。</w:t>
                  </w:r>
                </w:p>
              </w:tc>
              <w:tc>
                <w:tcPr>
                  <w:tcW w:w="0" w:type="auto"/>
                  <w:shd w:val="clear" w:color="auto" w:fill="auto"/>
                  <w:vAlign w:val="center"/>
                </w:tcPr>
                <w:p w14:paraId="6EB2300B">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rPr>
                    <w:t>项目运营期将按要求落实各项污染防治措施，各类污染物经合理处理处置，废水、废气、噪声做到达标排放</w:t>
                  </w:r>
                </w:p>
              </w:tc>
              <w:tc>
                <w:tcPr>
                  <w:tcW w:w="0" w:type="auto"/>
                  <w:vAlign w:val="center"/>
                </w:tcPr>
                <w:p w14:paraId="1C7D72CF">
                  <w:pPr>
                    <w:widowControl w:val="0"/>
                    <w:autoSpaceDE/>
                    <w:autoSpaceDN/>
                    <w:adjustRightInd w:val="0"/>
                    <w:snapToGrid w:val="0"/>
                    <w:spacing w:before="0" w:beforeLines="0" w:after="0" w:afterLines="0" w:line="240" w:lineRule="auto"/>
                    <w:ind w:firstLine="0" w:firstLineChars="0"/>
                    <w:jc w:val="center"/>
                    <w:rPr>
                      <w:rFonts w:hint="default" w:ascii="Times New Roman" w:hAnsi="Times New Roman" w:eastAsia="宋体" w:cs="Times New Roman"/>
                      <w:color w:val="auto"/>
                      <w:kern w:val="2"/>
                      <w:sz w:val="24"/>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符合</w:t>
                  </w:r>
                </w:p>
              </w:tc>
            </w:tr>
            <w:tr w14:paraId="2023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D853F66">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000000"/>
                      <w:kern w:val="2"/>
                      <w:sz w:val="21"/>
                      <w:szCs w:val="21"/>
                      <w:highlight w:val="none"/>
                      <w:u w:val="none" w:color="auto"/>
                      <w:lang w:val="en-US" w:eastAsia="zh-CN" w:bidi="ar-SA"/>
                    </w:rPr>
                  </w:pPr>
                  <w:r>
                    <w:rPr>
                      <w:rFonts w:hint="default" w:ascii="Times New Roman" w:hAnsi="Times New Roman" w:eastAsia="宋体" w:cs="Times New Roman"/>
                      <w:bCs/>
                      <w:color w:val="000000"/>
                      <w:sz w:val="21"/>
                      <w:szCs w:val="21"/>
                      <w:highlight w:val="none"/>
                      <w:u w:val="none" w:color="auto"/>
                    </w:rPr>
                    <w:t>做好园区后续开发过程中生态环境保护和水土保持。尽可能保留自然水体,施工期对土石方开挖、堆存及回填要实施围挡、护坡等措施，裸露地及时恢复植被，防止后续开发建设中的扬尘污染和水土流失。</w:t>
                  </w:r>
                </w:p>
              </w:tc>
              <w:tc>
                <w:tcPr>
                  <w:tcW w:w="0" w:type="auto"/>
                  <w:shd w:val="clear" w:color="auto" w:fill="auto"/>
                  <w:vAlign w:val="center"/>
                </w:tcPr>
                <w:p w14:paraId="4EF90992">
                  <w:pPr>
                    <w:adjustRightInd w:val="0"/>
                    <w:snapToGrid w:val="0"/>
                    <w:spacing w:before="0" w:beforeLines="0" w:after="0" w:afterLines="0" w:line="240" w:lineRule="auto"/>
                    <w:ind w:firstLine="0" w:firstLineChars="0"/>
                    <w:jc w:val="center"/>
                    <w:rPr>
                      <w:rFonts w:hint="default" w:ascii="Times New Roman" w:hAnsi="Times New Roman" w:eastAsia="宋体" w:cs="Times New Roman"/>
                      <w:bCs/>
                      <w:color w:val="000000"/>
                      <w:kern w:val="2"/>
                      <w:sz w:val="21"/>
                      <w:szCs w:val="21"/>
                      <w:highlight w:val="none"/>
                      <w:u w:val="none" w:color="auto"/>
                      <w:lang w:val="en-US" w:eastAsia="zh-CN" w:bidi="ar-SA"/>
                    </w:rPr>
                  </w:pPr>
                  <w:r>
                    <w:rPr>
                      <w:rFonts w:hint="default" w:ascii="Times New Roman" w:hAnsi="Times New Roman" w:eastAsia="宋体" w:cs="Times New Roman"/>
                      <w:bCs/>
                      <w:color w:val="000000"/>
                      <w:sz w:val="21"/>
                      <w:szCs w:val="21"/>
                      <w:highlight w:val="none"/>
                      <w:u w:val="none" w:color="auto"/>
                      <w:lang w:eastAsia="zh-CN"/>
                    </w:rPr>
                    <w:t>本项目</w:t>
                  </w:r>
                  <w:r>
                    <w:rPr>
                      <w:rFonts w:hint="default" w:ascii="Times New Roman" w:hAnsi="Times New Roman" w:eastAsia="宋体" w:cs="Times New Roman"/>
                      <w:bCs/>
                      <w:color w:val="000000"/>
                      <w:sz w:val="21"/>
                      <w:szCs w:val="21"/>
                      <w:highlight w:val="none"/>
                      <w:u w:val="none" w:color="auto"/>
                      <w:lang w:val="en-US" w:eastAsia="zh-CN"/>
                    </w:rPr>
                    <w:t>位于园区厂房内，施工过程仅设备安装，不涉及地表土壤破坏</w:t>
                  </w:r>
                </w:p>
              </w:tc>
              <w:tc>
                <w:tcPr>
                  <w:tcW w:w="0" w:type="auto"/>
                  <w:vAlign w:val="center"/>
                </w:tcPr>
                <w:p w14:paraId="46EA0720">
                  <w:pPr>
                    <w:widowControl w:val="0"/>
                    <w:autoSpaceDE/>
                    <w:autoSpaceDN/>
                    <w:adjustRightInd w:val="0"/>
                    <w:snapToGrid w:val="0"/>
                    <w:spacing w:before="0" w:beforeLines="0" w:after="0" w:afterLines="0" w:line="240" w:lineRule="auto"/>
                    <w:ind w:firstLine="0" w:firstLineChars="0"/>
                    <w:jc w:val="center"/>
                    <w:rPr>
                      <w:rFonts w:hint="default" w:ascii="Times New Roman" w:hAnsi="Times New Roman" w:eastAsia="宋体" w:cs="Times New Roman"/>
                      <w:color w:val="auto"/>
                      <w:kern w:val="2"/>
                      <w:sz w:val="24"/>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符合</w:t>
                  </w:r>
                </w:p>
              </w:tc>
            </w:tr>
          </w:tbl>
          <w:p w14:paraId="52F9062C">
            <w:pPr>
              <w:adjustRightInd w:val="0"/>
              <w:snapToGrid w:val="0"/>
              <w:spacing w:before="0" w:beforeLines="0" w:after="0" w:afterLines="0" w:line="360" w:lineRule="auto"/>
              <w:ind w:firstLine="480" w:firstLineChars="200"/>
              <w:jc w:val="left"/>
              <w:rPr>
                <w:rFonts w:hint="default" w:ascii="Times New Roman" w:hAnsi="Times New Roman" w:eastAsia="宋体" w:cs="Times New Roman"/>
                <w:b/>
                <w:bCs/>
                <w:color w:val="auto"/>
                <w:sz w:val="24"/>
                <w:szCs w:val="24"/>
                <w:highlight w:val="none"/>
                <w:u w:val="none" w:color="auto"/>
                <w:lang w:val="en-US" w:eastAsia="zh-CN"/>
              </w:rPr>
            </w:pPr>
            <w:r>
              <w:rPr>
                <w:rFonts w:hint="default" w:ascii="Times New Roman" w:hAnsi="Times New Roman" w:eastAsia="宋体" w:cs="Times New Roman"/>
                <w:b w:val="0"/>
                <w:bCs w:val="0"/>
                <w:color w:val="auto"/>
                <w:kern w:val="2"/>
                <w:sz w:val="24"/>
                <w:szCs w:val="32"/>
                <w:u w:val="none" w:color="auto"/>
                <w:lang w:val="en-US" w:eastAsia="zh-CN" w:bidi="ar-SA"/>
              </w:rPr>
              <w:t>综上所述，本项目的建设符合</w:t>
            </w:r>
            <w:r>
              <w:rPr>
                <w:rFonts w:hint="default" w:ascii="Times New Roman" w:hAnsi="Times New Roman" w:eastAsia="宋体" w:cs="Times New Roman"/>
                <w:b w:val="0"/>
                <w:bCs w:val="0"/>
                <w:color w:val="auto"/>
                <w:sz w:val="24"/>
                <w:szCs w:val="24"/>
                <w:highlight w:val="none"/>
                <w:u w:val="none" w:color="auto"/>
              </w:rPr>
              <w:t>《</w:t>
            </w:r>
            <w:r>
              <w:rPr>
                <w:rFonts w:hint="default" w:ascii="Times New Roman" w:hAnsi="Times New Roman" w:eastAsia="宋体" w:cs="Times New Roman"/>
                <w:b w:val="0"/>
                <w:bCs w:val="0"/>
                <w:color w:val="auto"/>
                <w:sz w:val="24"/>
                <w:szCs w:val="24"/>
                <w:highlight w:val="none"/>
                <w:u w:val="none" w:color="auto"/>
                <w:lang w:val="zh-CN"/>
              </w:rPr>
              <w:t>岳阳临港高新技术产业开发区环境影响跟踪评价报告书》</w:t>
            </w:r>
            <w:r>
              <w:rPr>
                <w:rFonts w:hint="default" w:ascii="Times New Roman" w:hAnsi="Times New Roman" w:eastAsia="宋体" w:cs="Times New Roman"/>
                <w:b w:val="0"/>
                <w:bCs w:val="0"/>
                <w:color w:val="auto"/>
                <w:sz w:val="24"/>
                <w:szCs w:val="24"/>
                <w:highlight w:val="none"/>
                <w:u w:val="none" w:color="auto"/>
              </w:rPr>
              <w:t>及其批复</w:t>
            </w:r>
            <w:r>
              <w:rPr>
                <w:rFonts w:hint="default" w:ascii="Times New Roman" w:hAnsi="Times New Roman" w:eastAsia="宋体" w:cs="Times New Roman"/>
                <w:b w:val="0"/>
                <w:bCs w:val="0"/>
                <w:color w:val="auto"/>
                <w:sz w:val="24"/>
                <w:szCs w:val="24"/>
                <w:highlight w:val="none"/>
                <w:u w:val="none" w:color="auto"/>
                <w:lang w:val="zh-CN"/>
              </w:rPr>
              <w:t>（湘环评函〔20</w:t>
            </w:r>
            <w:r>
              <w:rPr>
                <w:rFonts w:hint="default" w:ascii="Times New Roman" w:hAnsi="Times New Roman" w:eastAsia="宋体" w:cs="Times New Roman"/>
                <w:b w:val="0"/>
                <w:bCs w:val="0"/>
                <w:color w:val="auto"/>
                <w:sz w:val="24"/>
                <w:szCs w:val="24"/>
                <w:highlight w:val="none"/>
                <w:u w:val="none" w:color="auto"/>
                <w:lang w:val="zh-CN" w:eastAsia="zh-CN"/>
              </w:rPr>
              <w:t>21</w:t>
            </w:r>
            <w:r>
              <w:rPr>
                <w:rFonts w:hint="default" w:ascii="Times New Roman" w:hAnsi="Times New Roman" w:eastAsia="宋体" w:cs="Times New Roman"/>
                <w:b w:val="0"/>
                <w:bCs w:val="0"/>
                <w:color w:val="auto"/>
                <w:sz w:val="24"/>
                <w:szCs w:val="24"/>
                <w:highlight w:val="none"/>
                <w:u w:val="none" w:color="auto"/>
                <w:lang w:val="zh-CN"/>
              </w:rPr>
              <w:t>〕33号）</w:t>
            </w:r>
            <w:r>
              <w:rPr>
                <w:rFonts w:hint="default" w:ascii="Times New Roman" w:hAnsi="Times New Roman" w:eastAsia="宋体" w:cs="Times New Roman"/>
                <w:b w:val="0"/>
                <w:bCs w:val="0"/>
                <w:color w:val="auto"/>
                <w:kern w:val="2"/>
                <w:sz w:val="24"/>
                <w:szCs w:val="32"/>
                <w:u w:val="none" w:color="auto"/>
                <w:lang w:val="en-US" w:eastAsia="zh-CN" w:bidi="ar-SA"/>
              </w:rPr>
              <w:t>的要求。</w:t>
            </w:r>
          </w:p>
        </w:tc>
      </w:tr>
      <w:tr w14:paraId="775A5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172" w:type="dxa"/>
            <w:vAlign w:val="center"/>
          </w:tcPr>
          <w:p w14:paraId="16767B84">
            <w:pPr>
              <w:autoSpaceDE w:val="0"/>
              <w:autoSpaceDN w:val="0"/>
              <w:adjustRightInd w:val="0"/>
              <w:snapToGrid w:val="0"/>
              <w:jc w:val="center"/>
              <w:rPr>
                <w:kern w:val="0"/>
              </w:rPr>
            </w:pPr>
            <w:r>
              <w:rPr>
                <w:kern w:val="0"/>
              </w:rPr>
              <w:t>其他符合性分析</w:t>
            </w:r>
          </w:p>
        </w:tc>
        <w:tc>
          <w:tcPr>
            <w:tcW w:w="6698" w:type="dxa"/>
            <w:gridSpan w:val="3"/>
            <w:vAlign w:val="center"/>
          </w:tcPr>
          <w:p w14:paraId="1DAF8BE5">
            <w:pPr>
              <w:pStyle w:val="3"/>
              <w:rPr>
                <w:rFonts w:ascii="Times New Roman" w:hAnsi="Times New Roman"/>
                <w:szCs w:val="24"/>
                <w:u w:val="none"/>
              </w:rPr>
            </w:pPr>
            <w:r>
              <w:rPr>
                <w:rFonts w:hint="eastAsia" w:ascii="Times New Roman" w:hAnsi="Times New Roman"/>
                <w:szCs w:val="24"/>
                <w:u w:val="none"/>
                <w:lang w:val="en-US" w:eastAsia="zh-CN"/>
              </w:rPr>
              <w:t>1、</w:t>
            </w:r>
            <w:r>
              <w:rPr>
                <w:rFonts w:hint="eastAsia" w:ascii="Times New Roman" w:hAnsi="Times New Roman"/>
                <w:szCs w:val="24"/>
                <w:u w:val="none"/>
              </w:rPr>
              <w:t>产业政策相符性分析</w:t>
            </w:r>
          </w:p>
          <w:p w14:paraId="314A870D">
            <w:pPr>
              <w:pStyle w:val="26"/>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本项目为</w:t>
            </w:r>
            <w:r>
              <w:rPr>
                <w:rFonts w:hint="eastAsia"/>
                <w:color w:val="auto"/>
              </w:rPr>
              <w:t>非金属废料和碎屑加工处理</w:t>
            </w:r>
            <w:r>
              <w:rPr>
                <w:rFonts w:hint="eastAsia" w:ascii="Times New Roman" w:hAnsi="Times New Roman" w:cs="Times New Roman"/>
                <w:color w:val="auto"/>
                <w:kern w:val="0"/>
                <w:sz w:val="24"/>
                <w:szCs w:val="24"/>
                <w:lang w:val="en-US" w:eastAsia="zh-CN" w:bidi="ar-SA"/>
              </w:rPr>
              <w:t>项目</w:t>
            </w:r>
            <w:r>
              <w:rPr>
                <w:rFonts w:hint="default" w:ascii="Times New Roman" w:hAnsi="Times New Roman" w:cs="Times New Roman"/>
                <w:color w:val="auto"/>
                <w:sz w:val="24"/>
                <w:szCs w:val="24"/>
              </w:rPr>
              <w:t>，属于《产业结构调整指导目录</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2024年本</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鼓励类中“四十二 环境保护与资源节约综合利用”中的</w:t>
            </w:r>
            <w:r>
              <w:rPr>
                <w:rFonts w:hint="eastAsia" w:ascii="Times New Roman" w:hAnsi="Times New Roman"/>
                <w:color w:val="auto"/>
                <w:szCs w:val="24"/>
              </w:rPr>
              <w:t>“三废”综合利用与治理技术</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项目工艺及所用设备无目录中规定的淘汰类</w:t>
            </w:r>
            <w:r>
              <w:rPr>
                <w:rFonts w:hint="eastAsia" w:ascii="Times New Roman" w:hAnsi="Times New Roman" w:cs="Times New Roman"/>
                <w:color w:val="auto"/>
                <w:sz w:val="24"/>
                <w:szCs w:val="24"/>
                <w:lang w:eastAsia="zh-CN"/>
              </w:rPr>
              <w:t>、限制类</w:t>
            </w:r>
            <w:r>
              <w:rPr>
                <w:rFonts w:hint="default" w:ascii="Times New Roman" w:hAnsi="Times New Roman" w:cs="Times New Roman"/>
                <w:color w:val="auto"/>
                <w:sz w:val="24"/>
                <w:szCs w:val="24"/>
              </w:rPr>
              <w:t>工艺装备</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本项目已在</w:t>
            </w:r>
            <w:r>
              <w:rPr>
                <w:rFonts w:hint="eastAsia"/>
              </w:rPr>
              <w:t>岳阳市发展和改革委员会</w:t>
            </w:r>
            <w:r>
              <w:rPr>
                <w:rFonts w:hint="eastAsia"/>
                <w:lang w:val="en-US" w:eastAsia="zh-CN"/>
              </w:rPr>
              <w:t>进行了备案，备案号</w:t>
            </w:r>
            <w:r>
              <w:rPr>
                <w:rFonts w:hint="default" w:ascii="Times New Roman" w:hAnsi="Times New Roman" w:cs="Times New Roman"/>
                <w:lang w:val="en-US" w:eastAsia="zh-CN"/>
              </w:rPr>
              <w:t>为：</w:t>
            </w:r>
            <w:r>
              <w:rPr>
                <w:rFonts w:hint="default" w:ascii="Times New Roman" w:hAnsi="Times New Roman" w:cs="Times New Roman"/>
                <w:color w:val="auto"/>
              </w:rPr>
              <w:t>2505-430600-04-05-762224</w:t>
            </w:r>
            <w:r>
              <w:rPr>
                <w:rFonts w:hint="default" w:ascii="Times New Roman" w:hAnsi="Times New Roman" w:cs="Times New Roman"/>
                <w:color w:val="auto"/>
                <w:sz w:val="24"/>
                <w:szCs w:val="24"/>
              </w:rPr>
              <w:t>。</w:t>
            </w:r>
          </w:p>
          <w:p w14:paraId="3439D906">
            <w:pPr>
              <w:pStyle w:val="26"/>
              <w:widowControl w:val="0"/>
              <w:adjustRightInd w:val="0"/>
              <w:snapToGrid w:val="0"/>
              <w:spacing w:before="0" w:beforeAutospacing="0" w:after="0" w:afterAutospacing="0" w:line="360" w:lineRule="auto"/>
              <w:ind w:firstLine="480" w:firstLineChars="200"/>
              <w:jc w:val="both"/>
              <w:rPr>
                <w:rFonts w:hint="eastAsia" w:ascii="Times New Roman" w:hAnsi="Times New Roman" w:eastAsia="宋体"/>
                <w:color w:val="auto"/>
                <w:u w:val="none"/>
                <w:lang w:val="en-US" w:eastAsia="zh-CN"/>
              </w:rPr>
            </w:pPr>
            <w:r>
              <w:rPr>
                <w:rFonts w:hint="eastAsia" w:ascii="Times New Roman" w:hAnsi="Times New Roman"/>
                <w:color w:val="auto"/>
                <w:u w:val="none"/>
                <w:lang w:val="en-US" w:eastAsia="zh-CN"/>
              </w:rPr>
              <w:t>根据《</w:t>
            </w:r>
            <w:r>
              <w:rPr>
                <w:rFonts w:hint="default" w:ascii="Times New Roman" w:hAnsi="Times New Roman" w:eastAsia="宋体" w:cs="Times New Roman"/>
                <w:color w:val="auto"/>
                <w:sz w:val="24"/>
                <w:szCs w:val="24"/>
              </w:rPr>
              <w:t>市场准入负面清单（</w:t>
            </w:r>
            <w:r>
              <w:rPr>
                <w:rFonts w:hint="default" w:ascii="Times New Roman" w:hAnsi="Times New Roman" w:cs="Times New Roman"/>
                <w:color w:val="auto"/>
                <w:sz w:val="24"/>
                <w:szCs w:val="24"/>
                <w:lang w:val="en-US" w:eastAsia="zh-CN"/>
              </w:rPr>
              <w:t>202</w:t>
            </w:r>
            <w:r>
              <w:rPr>
                <w:rFonts w:hint="eastAsia"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rPr>
              <w:t>版）</w:t>
            </w:r>
            <w:r>
              <w:rPr>
                <w:rFonts w:hint="default" w:ascii="Times New Roman" w:hAnsi="Times New Roman" w:cs="Times New Roman"/>
                <w:color w:val="auto"/>
                <w:u w:val="none"/>
                <w:lang w:val="en-US" w:eastAsia="zh-CN"/>
              </w:rPr>
              <w:t>》，</w:t>
            </w:r>
            <w:r>
              <w:rPr>
                <w:rFonts w:ascii="Times New Roman" w:hAnsi="Times New Roman" w:cs="Times New Roman"/>
                <w:color w:val="auto"/>
                <w:u w:val="none"/>
              </w:rPr>
              <w:t>本项目属于</w:t>
            </w:r>
            <w:r>
              <w:rPr>
                <w:rFonts w:hint="eastAsia"/>
                <w:color w:val="auto"/>
              </w:rPr>
              <w:t>非金属废料和碎屑加工处理</w:t>
            </w:r>
            <w:r>
              <w:rPr>
                <w:rFonts w:hint="eastAsia" w:ascii="Times New Roman" w:hAnsi="Times New Roman" w:cs="Times New Roman"/>
                <w:color w:val="auto"/>
                <w:kern w:val="0"/>
                <w:sz w:val="24"/>
                <w:szCs w:val="24"/>
                <w:lang w:val="en-US" w:eastAsia="zh-CN" w:bidi="ar-SA"/>
              </w:rPr>
              <w:t>项目</w:t>
            </w:r>
            <w:r>
              <w:rPr>
                <w:rFonts w:hint="default" w:ascii="Times New Roman" w:hAnsi="Times New Roman" w:cs="Times New Roman"/>
                <w:color w:val="auto"/>
                <w:u w:val="none"/>
                <w:lang w:val="en-US" w:eastAsia="zh-CN"/>
              </w:rPr>
              <w:t>，不属于其禁止类项目</w:t>
            </w:r>
            <w:r>
              <w:rPr>
                <w:rFonts w:hint="default" w:ascii="Times New Roman" w:hAnsi="Times New Roman" w:cs="Times New Roman"/>
                <w:lang w:eastAsia="zh-CN"/>
              </w:rPr>
              <w:t>。</w:t>
            </w:r>
          </w:p>
          <w:p w14:paraId="56FB6634">
            <w:pPr>
              <w:pStyle w:val="26"/>
              <w:widowControl w:val="0"/>
              <w:adjustRightInd w:val="0"/>
              <w:snapToGrid w:val="0"/>
              <w:spacing w:before="0" w:beforeAutospacing="0" w:after="0" w:afterAutospacing="0" w:line="360" w:lineRule="auto"/>
              <w:ind w:firstLine="480" w:firstLineChars="200"/>
              <w:jc w:val="both"/>
              <w:rPr>
                <w:rFonts w:hint="default" w:ascii="Times New Roman" w:hAnsi="Times New Roman" w:cs="Times New Roman"/>
                <w:color w:val="auto"/>
                <w:sz w:val="24"/>
                <w:szCs w:val="24"/>
              </w:rPr>
            </w:pPr>
            <w:r>
              <w:rPr>
                <w:rFonts w:ascii="Times New Roman" w:hAnsi="Times New Roman"/>
                <w:color w:val="auto"/>
                <w:u w:val="none"/>
              </w:rPr>
              <w:t>因此，本项目</w:t>
            </w:r>
            <w:r>
              <w:rPr>
                <w:color w:val="auto"/>
                <w:u w:val="none"/>
              </w:rPr>
              <w:t>符合国家产业政策。</w:t>
            </w:r>
          </w:p>
          <w:p w14:paraId="62941A90">
            <w:pPr>
              <w:spacing w:line="360" w:lineRule="auto"/>
              <w:rPr>
                <w:b/>
              </w:rPr>
            </w:pPr>
            <w:r>
              <w:rPr>
                <w:rFonts w:hint="eastAsia"/>
                <w:b/>
                <w:lang w:val="en-US" w:eastAsia="zh-CN"/>
              </w:rPr>
              <w:t>2</w:t>
            </w:r>
            <w:r>
              <w:rPr>
                <w:rFonts w:hint="eastAsia"/>
                <w:b/>
                <w:lang w:eastAsia="zh-CN"/>
              </w:rPr>
              <w:t>、</w:t>
            </w:r>
            <w:r>
              <w:rPr>
                <w:b/>
              </w:rPr>
              <w:t>项目与</w:t>
            </w:r>
            <w:r>
              <w:rPr>
                <w:rFonts w:hint="eastAsia"/>
                <w:b/>
              </w:rPr>
              <w:t>生态环境分区管控的符合性分析</w:t>
            </w:r>
          </w:p>
          <w:p w14:paraId="7D617F29">
            <w:pPr>
              <w:spacing w:line="360" w:lineRule="auto"/>
              <w:ind w:firstLine="480"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32"/>
                <w:highlight w:val="none"/>
              </w:rPr>
              <w:t>（1）生态保护红线符合性分析</w:t>
            </w:r>
          </w:p>
          <w:p w14:paraId="0D35FC25">
            <w:pPr>
              <w:spacing w:line="360" w:lineRule="auto"/>
              <w:ind w:firstLine="480" w:firstLineChars="200"/>
              <w:rPr>
                <w:rFonts w:hint="default" w:ascii="Times New Roman" w:hAnsi="Times New Roman" w:eastAsia="宋体" w:cs="Times New Roman"/>
                <w:color w:val="000000"/>
                <w:sz w:val="24"/>
                <w:szCs w:val="32"/>
                <w:highlight w:val="none"/>
              </w:rPr>
            </w:pPr>
            <w:r>
              <w:rPr>
                <w:rFonts w:hint="default" w:ascii="Times New Roman" w:hAnsi="Times New Roman" w:eastAsia="宋体" w:cs="Times New Roman"/>
                <w:color w:val="auto"/>
                <w:sz w:val="24"/>
                <w:szCs w:val="32"/>
                <w:highlight w:val="none"/>
              </w:rPr>
              <w:t>本项</w:t>
            </w:r>
            <w:r>
              <w:rPr>
                <w:rFonts w:hint="default" w:ascii="Times New Roman" w:hAnsi="Times New Roman" w:eastAsia="宋体" w:cs="Times New Roman"/>
                <w:color w:val="000000"/>
                <w:sz w:val="24"/>
                <w:szCs w:val="32"/>
                <w:highlight w:val="none"/>
              </w:rPr>
              <w:t>目位于</w:t>
            </w:r>
            <w:r>
              <w:rPr>
                <w:rFonts w:hint="default" w:ascii="Times New Roman" w:hAnsi="Times New Roman" w:eastAsia="宋体" w:cs="Times New Roman"/>
                <w:color w:val="000000"/>
                <w:szCs w:val="32"/>
                <w:highlight w:val="none"/>
              </w:rPr>
              <w:t>中国（湖南）自由贸易试验区岳阳片区长江大道际华高分子材料高科产业园10#工房</w:t>
            </w:r>
            <w:r>
              <w:rPr>
                <w:rFonts w:hint="default" w:ascii="Times New Roman" w:hAnsi="Times New Roman" w:eastAsia="宋体" w:cs="Times New Roman"/>
                <w:color w:val="000000"/>
                <w:sz w:val="24"/>
                <w:szCs w:val="24"/>
                <w:highlight w:val="none"/>
                <w:u w:val="none"/>
                <w:lang w:val="en-US" w:eastAsia="zh-CN"/>
              </w:rPr>
              <w:t>，</w:t>
            </w:r>
            <w:r>
              <w:rPr>
                <w:rFonts w:hint="default" w:ascii="Times New Roman" w:hAnsi="Times New Roman" w:eastAsia="宋体" w:cs="Times New Roman"/>
                <w:color w:val="000000"/>
                <w:sz w:val="24"/>
                <w:szCs w:val="32"/>
                <w:highlight w:val="none"/>
              </w:rPr>
              <w:t>不在生态保护红线范围内，符合生态红线管理要求。</w:t>
            </w:r>
          </w:p>
          <w:p w14:paraId="5CF8D367">
            <w:pPr>
              <w:spacing w:line="360" w:lineRule="auto"/>
              <w:ind w:firstLine="480" w:firstLineChars="200"/>
              <w:rPr>
                <w:rFonts w:hint="default" w:ascii="Times New Roman" w:hAnsi="Times New Roman" w:eastAsia="宋体" w:cs="Times New Roman"/>
                <w:color w:val="auto"/>
                <w:sz w:val="24"/>
                <w:szCs w:val="32"/>
                <w:highlight w:val="none"/>
              </w:rPr>
            </w:pPr>
            <w:r>
              <w:rPr>
                <w:rFonts w:hint="default" w:ascii="Times New Roman" w:hAnsi="Times New Roman" w:eastAsia="宋体" w:cs="Times New Roman"/>
                <w:color w:val="000000"/>
                <w:sz w:val="24"/>
                <w:szCs w:val="32"/>
                <w:highlight w:val="none"/>
              </w:rPr>
              <w:t>（2）资</w:t>
            </w:r>
            <w:r>
              <w:rPr>
                <w:rFonts w:hint="default" w:ascii="Times New Roman" w:hAnsi="Times New Roman" w:eastAsia="宋体" w:cs="Times New Roman"/>
                <w:color w:val="auto"/>
                <w:sz w:val="24"/>
                <w:szCs w:val="32"/>
                <w:highlight w:val="none"/>
              </w:rPr>
              <w:t>源利用上线</w:t>
            </w:r>
          </w:p>
          <w:p w14:paraId="09F4F5B3">
            <w:pPr>
              <w:pStyle w:val="107"/>
              <w:snapToGrid/>
              <w:spacing w:line="360" w:lineRule="auto"/>
              <w:ind w:firstLine="480" w:firstLineChars="200"/>
              <w:jc w:val="left"/>
              <w:rPr>
                <w:rFonts w:eastAsia="宋体"/>
                <w:color w:val="auto"/>
                <w:u w:val="none"/>
                <w:lang w:val="zh-CN"/>
              </w:rPr>
            </w:pPr>
            <w:r>
              <w:rPr>
                <w:rFonts w:hint="eastAsia" w:eastAsia="宋体"/>
                <w:color w:val="auto"/>
                <w:u w:val="none"/>
                <w:lang w:val="zh-CN"/>
              </w:rPr>
              <w:t>本项目不属于高耗能、高污染型企业，营运期使用的能源主要为电能及水资源等。</w:t>
            </w:r>
            <w:r>
              <w:rPr>
                <w:rFonts w:hint="eastAsia" w:eastAsia="宋体"/>
                <w:color w:val="auto"/>
                <w:u w:val="none"/>
                <w:lang w:val="en-US" w:eastAsia="zh-CN"/>
              </w:rPr>
              <w:t>本项目</w:t>
            </w:r>
            <w:r>
              <w:rPr>
                <w:rFonts w:hint="eastAsia" w:eastAsia="宋体"/>
                <w:color w:val="auto"/>
                <w:u w:val="none"/>
                <w:lang w:val="zh-CN"/>
              </w:rPr>
              <w:t>用电</w:t>
            </w:r>
            <w:r>
              <w:rPr>
                <w:rFonts w:hint="eastAsia" w:eastAsia="宋体"/>
                <w:color w:val="auto"/>
                <w:u w:val="none"/>
              </w:rPr>
              <w:t>均</w:t>
            </w:r>
            <w:r>
              <w:rPr>
                <w:rFonts w:hint="eastAsia" w:eastAsia="宋体"/>
                <w:color w:val="auto"/>
                <w:u w:val="none"/>
                <w:lang w:val="zh-CN"/>
              </w:rPr>
              <w:t>来自所在区域内已有</w:t>
            </w:r>
            <w:r>
              <w:rPr>
                <w:rFonts w:hint="eastAsia" w:eastAsia="宋体"/>
                <w:color w:val="auto"/>
                <w:u w:val="none"/>
              </w:rPr>
              <w:t>的</w:t>
            </w:r>
            <w:r>
              <w:rPr>
                <w:rFonts w:hint="eastAsia" w:eastAsia="宋体"/>
                <w:color w:val="auto"/>
                <w:u w:val="none"/>
                <w:lang w:val="zh-CN"/>
              </w:rPr>
              <w:t>电网，</w:t>
            </w:r>
            <w:r>
              <w:rPr>
                <w:rFonts w:hint="eastAsia" w:eastAsia="宋体"/>
                <w:color w:val="auto"/>
                <w:u w:val="none"/>
              </w:rPr>
              <w:t>区域电网</w:t>
            </w:r>
            <w:r>
              <w:rPr>
                <w:rFonts w:hint="eastAsia" w:eastAsia="宋体"/>
                <w:color w:val="auto"/>
                <w:u w:val="none"/>
                <w:lang w:val="zh-CN"/>
              </w:rPr>
              <w:t>电量充足，能够为项目的用电提供保障；</w:t>
            </w:r>
            <w:r>
              <w:rPr>
                <w:rFonts w:hint="eastAsia" w:eastAsia="宋体"/>
                <w:color w:val="auto"/>
                <w:u w:val="none"/>
                <w:lang w:val="en-US" w:eastAsia="zh-CN"/>
              </w:rPr>
              <w:t>本项目用水均来自</w:t>
            </w:r>
            <w:r>
              <w:rPr>
                <w:rFonts w:hint="eastAsia" w:eastAsia="宋体"/>
                <w:color w:val="auto"/>
                <w:u w:val="none"/>
                <w:lang w:val="zh-CN"/>
              </w:rPr>
              <w:t>来自</w:t>
            </w:r>
            <w:r>
              <w:rPr>
                <w:rFonts w:hint="eastAsia" w:eastAsia="宋体"/>
                <w:color w:val="auto"/>
                <w:u w:val="none"/>
                <w:lang w:val="en-US" w:eastAsia="zh-CN"/>
              </w:rPr>
              <w:t>市政水网</w:t>
            </w:r>
            <w:r>
              <w:rPr>
                <w:rFonts w:hint="eastAsia" w:eastAsia="宋体"/>
                <w:color w:val="auto"/>
                <w:u w:val="none"/>
                <w:lang w:val="zh-CN"/>
              </w:rPr>
              <w:t>，</w:t>
            </w:r>
            <w:r>
              <w:rPr>
                <w:rFonts w:hint="eastAsia" w:eastAsia="宋体"/>
                <w:color w:val="auto"/>
                <w:u w:val="none"/>
                <w:lang w:val="en-US" w:eastAsia="zh-CN"/>
              </w:rPr>
              <w:t>项目生产用水可循环使用，提高了水能源利用率，减少了水能源的使用</w:t>
            </w:r>
            <w:r>
              <w:rPr>
                <w:rFonts w:hint="eastAsia" w:eastAsia="宋体"/>
                <w:color w:val="auto"/>
                <w:u w:val="none"/>
                <w:lang w:val="zh-CN"/>
              </w:rPr>
              <w:t>。</w:t>
            </w:r>
          </w:p>
          <w:p w14:paraId="29333E44">
            <w:pPr>
              <w:spacing w:line="360" w:lineRule="auto"/>
              <w:ind w:firstLine="480" w:firstLineChars="200"/>
              <w:rPr>
                <w:rFonts w:hint="default" w:ascii="Times New Roman" w:hAnsi="Times New Roman" w:eastAsia="宋体" w:cs="Times New Roman"/>
                <w:color w:val="auto"/>
                <w:sz w:val="24"/>
                <w:szCs w:val="32"/>
                <w:highlight w:val="none"/>
                <w:lang w:val="en-US" w:eastAsia="zh-CN"/>
              </w:rPr>
            </w:pPr>
            <w:r>
              <w:rPr>
                <w:rFonts w:hint="eastAsia" w:eastAsia="宋体"/>
                <w:color w:val="auto"/>
                <w:u w:val="none"/>
              </w:rPr>
              <w:t>综上所述，</w:t>
            </w:r>
            <w:r>
              <w:rPr>
                <w:rFonts w:hint="eastAsia" w:eastAsia="宋体"/>
                <w:color w:val="auto"/>
                <w:u w:val="none"/>
                <w:lang w:val="en-US" w:eastAsia="zh-CN"/>
              </w:rPr>
              <w:t>本项目</w:t>
            </w:r>
            <w:r>
              <w:rPr>
                <w:rFonts w:hint="eastAsia" w:eastAsia="宋体"/>
                <w:color w:val="auto"/>
                <w:u w:val="none"/>
                <w:lang w:val="zh-CN"/>
              </w:rPr>
              <w:t>的电能及水资源等资源的利用不会突破区域的资源利用上线。</w:t>
            </w:r>
          </w:p>
          <w:p w14:paraId="738838C6">
            <w:pPr>
              <w:spacing w:line="360" w:lineRule="auto"/>
              <w:ind w:firstLine="480" w:firstLineChars="200"/>
              <w:rPr>
                <w:rFonts w:hint="default" w:ascii="Times New Roman" w:hAnsi="Times New Roman" w:eastAsia="宋体" w:cs="Times New Roman"/>
                <w:color w:val="auto"/>
                <w:sz w:val="24"/>
                <w:szCs w:val="32"/>
                <w:highlight w:val="none"/>
              </w:rPr>
            </w:pPr>
            <w:r>
              <w:rPr>
                <w:rFonts w:hint="default" w:ascii="Times New Roman" w:hAnsi="Times New Roman" w:eastAsia="宋体" w:cs="Times New Roman"/>
                <w:color w:val="auto"/>
                <w:sz w:val="24"/>
                <w:szCs w:val="32"/>
                <w:highlight w:val="none"/>
              </w:rPr>
              <w:t>（3）环境质量底线</w:t>
            </w:r>
          </w:p>
          <w:p w14:paraId="0162FD3A">
            <w:pPr>
              <w:pStyle w:val="107"/>
              <w:snapToGrid/>
              <w:spacing w:line="360" w:lineRule="auto"/>
              <w:ind w:firstLine="480" w:firstLineChars="200"/>
              <w:rPr>
                <w:rFonts w:eastAsia="宋体"/>
                <w:color w:val="auto"/>
                <w:u w:val="none"/>
              </w:rPr>
            </w:pPr>
            <w:r>
              <w:rPr>
                <w:rFonts w:hint="eastAsia" w:eastAsia="宋体"/>
                <w:color w:val="auto"/>
                <w:u w:val="none"/>
              </w:rPr>
              <w:t>根据环境现状调查，项目所在区域属于环境空气质量达标区</w:t>
            </w:r>
            <w:r>
              <w:rPr>
                <w:rFonts w:hint="eastAsia" w:eastAsia="宋体"/>
                <w:color w:val="auto"/>
                <w:u w:val="none"/>
                <w:lang w:val="en-US" w:eastAsia="zh-CN"/>
              </w:rPr>
              <w:t>；</w:t>
            </w:r>
            <w:r>
              <w:rPr>
                <w:rFonts w:hint="eastAsia" w:eastAsia="宋体"/>
                <w:color w:val="auto"/>
                <w:u w:val="none"/>
              </w:rPr>
              <w:t>项目附近地表水</w:t>
            </w:r>
            <w:r>
              <w:rPr>
                <w:rFonts w:hint="eastAsia" w:eastAsia="宋体"/>
                <w:color w:val="auto"/>
                <w:u w:val="none"/>
                <w:lang w:val="en-US" w:eastAsia="zh-CN"/>
              </w:rPr>
              <w:t>长江</w:t>
            </w:r>
            <w:r>
              <w:rPr>
                <w:rFonts w:hint="eastAsia" w:eastAsia="宋体"/>
                <w:color w:val="auto"/>
                <w:u w:val="none"/>
              </w:rPr>
              <w:t>水质符合《地表水环境质量标准》（GB3838-2002）表1的</w:t>
            </w:r>
            <w:r>
              <w:rPr>
                <w:rFonts w:hint="eastAsia"/>
                <w:szCs w:val="21"/>
                <w:u w:val="none"/>
                <w:lang w:bidi="en-US"/>
              </w:rPr>
              <w:t>III</w:t>
            </w:r>
            <w:r>
              <w:rPr>
                <w:rFonts w:hint="eastAsia" w:eastAsia="宋体"/>
                <w:color w:val="auto"/>
                <w:u w:val="none"/>
              </w:rPr>
              <w:t>类标准</w:t>
            </w:r>
            <w:r>
              <w:rPr>
                <w:rFonts w:hint="eastAsia" w:eastAsia="宋体"/>
                <w:color w:val="auto"/>
                <w:u w:val="none"/>
                <w:lang w:eastAsia="zh-CN"/>
              </w:rPr>
              <w:t>；</w:t>
            </w:r>
            <w:r>
              <w:rPr>
                <w:rFonts w:hint="eastAsia" w:eastAsia="宋体"/>
                <w:color w:val="auto"/>
                <w:u w:val="none"/>
              </w:rPr>
              <w:t>项目建设区域昼间、夜间声环境</w:t>
            </w:r>
            <w:r>
              <w:rPr>
                <w:rFonts w:hint="eastAsia" w:eastAsia="宋体"/>
                <w:color w:val="auto"/>
                <w:u w:val="none"/>
                <w:lang w:val="en-US" w:eastAsia="zh-CN"/>
              </w:rPr>
              <w:t>执行</w:t>
            </w:r>
            <w:r>
              <w:rPr>
                <w:rFonts w:hint="eastAsia" w:eastAsia="宋体"/>
                <w:color w:val="auto"/>
                <w:u w:val="none"/>
              </w:rPr>
              <w:t>《声环境质量标准》（GB3096-2008）中</w:t>
            </w:r>
            <w:r>
              <w:rPr>
                <w:rFonts w:hint="eastAsia" w:eastAsia="宋体"/>
                <w:color w:val="auto"/>
                <w:u w:val="none"/>
                <w:lang w:val="en-US" w:eastAsia="zh-CN"/>
              </w:rPr>
              <w:t>3</w:t>
            </w:r>
            <w:r>
              <w:rPr>
                <w:rFonts w:hint="eastAsia" w:eastAsia="宋体"/>
                <w:color w:val="auto"/>
                <w:u w:val="none"/>
              </w:rPr>
              <w:t>类标准，区域声环境质量现状良好。</w:t>
            </w:r>
          </w:p>
          <w:p w14:paraId="17BA30BC">
            <w:pPr>
              <w:pStyle w:val="107"/>
              <w:snapToGrid/>
              <w:spacing w:line="360" w:lineRule="auto"/>
              <w:ind w:firstLine="480" w:firstLineChars="200"/>
              <w:rPr>
                <w:rFonts w:eastAsia="宋体"/>
                <w:color w:val="auto"/>
                <w:u w:val="none"/>
              </w:rPr>
            </w:pPr>
            <w:r>
              <w:rPr>
                <w:rFonts w:hint="eastAsia" w:eastAsia="宋体"/>
                <w:color w:val="auto"/>
                <w:u w:val="none"/>
                <w:lang w:val="en-US" w:eastAsia="zh-CN"/>
              </w:rPr>
              <w:t>本项目</w:t>
            </w:r>
            <w:r>
              <w:rPr>
                <w:rFonts w:hint="eastAsia" w:eastAsia="宋体"/>
                <w:color w:val="auto"/>
                <w:u w:val="none"/>
              </w:rPr>
              <w:t>外排废水仅生活污水，生活污水通过化粪池处理后排入岳阳市三峡水环境综合治理有限责任公司临港水质净化厂</w:t>
            </w:r>
            <w:r>
              <w:rPr>
                <w:rFonts w:hint="eastAsia" w:eastAsia="宋体"/>
                <w:color w:val="auto"/>
                <w:u w:val="none"/>
                <w:lang w:val="en-US" w:eastAsia="zh-CN"/>
              </w:rPr>
              <w:t>处理，</w:t>
            </w:r>
            <w:r>
              <w:rPr>
                <w:rFonts w:hint="eastAsia" w:eastAsia="宋体"/>
                <w:color w:val="auto"/>
                <w:u w:val="none"/>
              </w:rPr>
              <w:t>不会对区域地表水造成影响；</w:t>
            </w:r>
            <w:r>
              <w:rPr>
                <w:rFonts w:hint="eastAsia" w:eastAsia="宋体"/>
                <w:color w:val="auto"/>
                <w:u w:val="none"/>
                <w:lang w:val="en-US" w:eastAsia="zh-CN"/>
              </w:rPr>
              <w:t>本项目废气污染物主要为VOCs</w:t>
            </w:r>
            <w:r>
              <w:rPr>
                <w:rFonts w:hint="eastAsia" w:eastAsia="宋体"/>
                <w:color w:val="auto"/>
                <w:u w:val="none"/>
              </w:rPr>
              <w:t>，经处理后均可达标排放，对区域环境空气质量影响较小，不会改变其空气质量现状；噪声经基础减振、厂房隔声、距离衰减以及周边绿化带等措施治理后，对建设区域声环境影响较小。</w:t>
            </w:r>
          </w:p>
          <w:p w14:paraId="52E9733D">
            <w:pPr>
              <w:pStyle w:val="107"/>
              <w:snapToGrid/>
              <w:spacing w:line="360" w:lineRule="auto"/>
              <w:ind w:firstLine="480" w:firstLineChars="200"/>
              <w:jc w:val="left"/>
              <w:rPr>
                <w:rFonts w:eastAsia="宋体"/>
                <w:color w:val="auto"/>
                <w:u w:val="none"/>
                <w:lang w:val="zh-CN"/>
              </w:rPr>
            </w:pPr>
            <w:r>
              <w:rPr>
                <w:rFonts w:hint="eastAsia" w:eastAsia="宋体"/>
                <w:color w:val="auto"/>
                <w:u w:val="none"/>
              </w:rPr>
              <w:t>综上所述，项目建设不会改变区域环境功能类别，能够守住建设区域的环境质量底线。</w:t>
            </w:r>
          </w:p>
          <w:p w14:paraId="742C48CE">
            <w:pPr>
              <w:pStyle w:val="30"/>
              <w:spacing w:after="0" w:line="360" w:lineRule="auto"/>
              <w:ind w:firstLine="480" w:firstLineChars="200"/>
              <w:jc w:val="left"/>
              <w:rPr>
                <w:u w:val="none"/>
              </w:rPr>
            </w:pPr>
            <w:r>
              <w:rPr>
                <w:rFonts w:hint="eastAsia"/>
                <w:u w:val="none"/>
              </w:rPr>
              <w:t>（4）环境管控单元生态环境准入清单</w:t>
            </w:r>
          </w:p>
          <w:p w14:paraId="0FF8CF1B">
            <w:pPr>
              <w:spacing w:line="360" w:lineRule="auto"/>
              <w:ind w:firstLine="480" w:firstLineChars="200"/>
              <w:jc w:val="left"/>
              <w:rPr>
                <w:rFonts w:hint="default"/>
                <w:u w:val="none"/>
                <w:lang w:val="en-US" w:eastAsia="zh-CN"/>
              </w:rPr>
            </w:pPr>
            <w:r>
              <w:rPr>
                <w:rFonts w:hint="default" w:ascii="Times New Roman" w:hAnsi="Times New Roman" w:eastAsia="宋体" w:cs="Times New Roman"/>
                <w:color w:val="auto"/>
                <w:sz w:val="24"/>
                <w:szCs w:val="24"/>
                <w:highlight w:val="none"/>
                <w:u w:val="none" w:color="auto"/>
              </w:rPr>
              <w:t>本项目位于</w:t>
            </w:r>
            <w:r>
              <w:rPr>
                <w:rFonts w:hint="default" w:ascii="Times New Roman" w:hAnsi="Times New Roman" w:eastAsia="宋体" w:cs="Times New Roman"/>
                <w:color w:val="auto"/>
                <w:sz w:val="24"/>
                <w:szCs w:val="32"/>
                <w:highlight w:val="none"/>
              </w:rPr>
              <w:t>岳阳临港高新技术产业开发区</w:t>
            </w:r>
            <w:r>
              <w:rPr>
                <w:rFonts w:hint="default" w:ascii="Times New Roman" w:hAnsi="Times New Roman" w:eastAsia="宋体" w:cs="Times New Roman"/>
                <w:color w:val="auto"/>
                <w:sz w:val="24"/>
                <w:szCs w:val="24"/>
                <w:highlight w:val="none"/>
                <w:u w:val="none" w:color="auto"/>
              </w:rPr>
              <w:t>内。</w:t>
            </w:r>
            <w:r>
              <w:rPr>
                <w:rFonts w:hint="default" w:ascii="Times New Roman" w:hAnsi="Times New Roman" w:eastAsia="宋体" w:cs="Times New Roman"/>
                <w:color w:val="000000"/>
                <w:kern w:val="0"/>
                <w:sz w:val="24"/>
                <w:szCs w:val="24"/>
                <w:u w:val="none"/>
                <w:lang w:val="en-US" w:eastAsia="zh-CN"/>
              </w:rPr>
              <w:t>根据《</w:t>
            </w:r>
            <w:r>
              <w:rPr>
                <w:rFonts w:hint="default" w:ascii="Times New Roman" w:hAnsi="Times New Roman" w:eastAsia="宋体" w:cs="Times New Roman"/>
                <w:color w:val="000000"/>
                <w:kern w:val="0"/>
                <w:sz w:val="24"/>
              </w:rPr>
              <w:t>湖南省生态环境分区管控总体管控要求暨省级以上产业园区生态环境准入清单</w:t>
            </w:r>
            <w:r>
              <w:rPr>
                <w:rFonts w:hint="default" w:ascii="Times New Roman" w:hAnsi="Times New Roman" w:eastAsia="宋体" w:cs="Times New Roman"/>
                <w:color w:val="000000"/>
                <w:kern w:val="0"/>
                <w:sz w:val="24"/>
                <w:szCs w:val="24"/>
                <w:u w:val="none"/>
                <w:lang w:val="en-US" w:eastAsia="zh-CN"/>
              </w:rPr>
              <w:t>》（湘环函〔2024〕26号），本项目与项目所在地生态环境准入清单的符合性分析分别见表</w:t>
            </w:r>
            <w:r>
              <w:rPr>
                <w:rFonts w:hint="default" w:ascii="Times New Roman" w:hAnsi="Times New Roman" w:eastAsia="宋体" w:cs="Times New Roman"/>
                <w:color w:val="auto"/>
                <w:sz w:val="24"/>
                <w:szCs w:val="24"/>
                <w:highlight w:val="none"/>
                <w:u w:val="none" w:color="auto"/>
              </w:rPr>
              <w:t>1-</w:t>
            </w:r>
            <w:r>
              <w:rPr>
                <w:rFonts w:hint="eastAsia" w:ascii="Times New Roman" w:hAnsi="Times New Roman" w:eastAsia="宋体" w:cs="Times New Roman"/>
                <w:color w:val="auto"/>
                <w:sz w:val="24"/>
                <w:szCs w:val="24"/>
                <w:highlight w:val="none"/>
                <w:u w:val="none" w:color="auto"/>
                <w:lang w:val="en-US" w:eastAsia="zh-CN"/>
              </w:rPr>
              <w:t>5</w:t>
            </w:r>
            <w:r>
              <w:rPr>
                <w:rFonts w:hint="default" w:ascii="Times New Roman" w:hAnsi="Times New Roman" w:eastAsia="宋体" w:cs="Times New Roman"/>
                <w:color w:val="auto"/>
                <w:sz w:val="24"/>
                <w:szCs w:val="24"/>
                <w:highlight w:val="none"/>
                <w:u w:val="none" w:color="auto"/>
              </w:rPr>
              <w:t>。</w:t>
            </w:r>
          </w:p>
          <w:p w14:paraId="5FF04EA8">
            <w:pPr>
              <w:spacing w:line="240" w:lineRule="auto"/>
              <w:jc w:val="center"/>
              <w:rPr>
                <w:u w:val="none"/>
              </w:rPr>
            </w:pPr>
            <w:r>
              <w:rPr>
                <w:b/>
                <w:bCs/>
                <w:u w:val="none"/>
              </w:rPr>
              <w:t>表1-</w:t>
            </w:r>
            <w:r>
              <w:rPr>
                <w:rFonts w:hint="eastAsia"/>
                <w:b/>
                <w:bCs/>
                <w:u w:val="none"/>
                <w:lang w:val="en-US" w:eastAsia="zh-CN"/>
              </w:rPr>
              <w:t>5</w:t>
            </w:r>
            <w:r>
              <w:rPr>
                <w:b/>
                <w:bCs/>
                <w:u w:val="none"/>
              </w:rPr>
              <w:t xml:space="preserve">  </w:t>
            </w:r>
            <w:r>
              <w:rPr>
                <w:rFonts w:hint="eastAsia"/>
                <w:b/>
                <w:bCs/>
                <w:u w:val="none"/>
                <w:lang w:val="en-US" w:eastAsia="zh-CN"/>
              </w:rPr>
              <w:t>生态环境准入清单符合</w:t>
            </w:r>
            <w:r>
              <w:rPr>
                <w:rFonts w:hint="eastAsia"/>
                <w:b/>
                <w:bCs/>
                <w:u w:val="none"/>
              </w:rPr>
              <w:t>性分析</w:t>
            </w:r>
          </w:p>
          <w:tbl>
            <w:tblPr>
              <w:tblStyle w:val="31"/>
              <w:tblW w:w="4999" w:type="pct"/>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3316"/>
              <w:gridCol w:w="2028"/>
            </w:tblGrid>
            <w:tr w14:paraId="00FB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871" w:type="pct"/>
                  <w:vAlign w:val="center"/>
                </w:tcPr>
                <w:p w14:paraId="1A352535">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管控类别</w:t>
                  </w:r>
                </w:p>
              </w:tc>
              <w:tc>
                <w:tcPr>
                  <w:tcW w:w="2561" w:type="pct"/>
                  <w:vAlign w:val="center"/>
                </w:tcPr>
                <w:p w14:paraId="00DA86B4">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管控要求</w:t>
                  </w:r>
                </w:p>
              </w:tc>
              <w:tc>
                <w:tcPr>
                  <w:tcW w:w="1566" w:type="pct"/>
                  <w:vAlign w:val="center"/>
                </w:tcPr>
                <w:p w14:paraId="1E1135C7">
                  <w:pPr>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符合性</w:t>
                  </w:r>
                </w:p>
              </w:tc>
            </w:tr>
            <w:tr w14:paraId="4B7C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pct"/>
                  <w:shd w:val="clear" w:color="auto" w:fill="auto"/>
                  <w:vAlign w:val="center"/>
                </w:tcPr>
                <w:p w14:paraId="53AA2BA0">
                  <w:pPr>
                    <w:jc w:val="center"/>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rPr>
                    <w:t>空间布局约束</w:t>
                  </w:r>
                </w:p>
              </w:tc>
              <w:tc>
                <w:tcPr>
                  <w:tcW w:w="2561" w:type="pct"/>
                  <w:shd w:val="clear" w:color="auto" w:fill="auto"/>
                  <w:vAlign w:val="center"/>
                </w:tcPr>
                <w:p w14:paraId="00F7B310">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lang w:eastAsia="zh-CN"/>
                    </w:rPr>
                    <w:t>（</w:t>
                  </w:r>
                  <w:r>
                    <w:rPr>
                      <w:rFonts w:hint="default" w:ascii="Times New Roman" w:hAnsi="Times New Roman" w:eastAsia="宋体" w:cs="Times New Roman"/>
                      <w:sz w:val="21"/>
                      <w:szCs w:val="21"/>
                      <w:highlight w:val="none"/>
                      <w:u w:val="none" w:color="auto"/>
                      <w:lang w:val="en-US" w:eastAsia="zh-CN"/>
                    </w:rPr>
                    <w:t>1.1</w:t>
                  </w:r>
                  <w:r>
                    <w:rPr>
                      <w:rFonts w:hint="default" w:ascii="Times New Roman" w:hAnsi="Times New Roman" w:eastAsia="宋体" w:cs="Times New Roman"/>
                      <w:sz w:val="21"/>
                      <w:szCs w:val="21"/>
                      <w:highlight w:val="none"/>
                      <w:u w:val="none" w:color="auto"/>
                      <w:lang w:eastAsia="zh-CN"/>
                    </w:rPr>
                    <w:t>）</w:t>
                  </w:r>
                  <w:r>
                    <w:rPr>
                      <w:rFonts w:hint="default" w:ascii="Times New Roman" w:hAnsi="Times New Roman" w:eastAsia="宋体" w:cs="Times New Roman"/>
                      <w:sz w:val="21"/>
                      <w:szCs w:val="21"/>
                      <w:highlight w:val="none"/>
                      <w:u w:val="none" w:color="auto"/>
                    </w:rPr>
                    <w:t>对位于临江1km范围内的企业，应在规定期限内完成关闭退出、搬迁改造工作。临近居住区的工业企业应强化污染防治设施的治理效果</w:t>
                  </w:r>
                </w:p>
                <w:p w14:paraId="74B432C0">
                  <w:pPr>
                    <w:jc w:val="left"/>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lang w:eastAsia="zh-CN"/>
                    </w:rPr>
                    <w:t>（</w:t>
                  </w:r>
                  <w:r>
                    <w:rPr>
                      <w:rFonts w:hint="default" w:ascii="Times New Roman" w:hAnsi="Times New Roman" w:eastAsia="宋体" w:cs="Times New Roman"/>
                      <w:sz w:val="21"/>
                      <w:szCs w:val="21"/>
                      <w:highlight w:val="none"/>
                      <w:u w:val="none" w:color="auto"/>
                      <w:lang w:val="en-US" w:eastAsia="zh-CN"/>
                    </w:rPr>
                    <w:t>1.2</w:t>
                  </w:r>
                  <w:r>
                    <w:rPr>
                      <w:rFonts w:hint="default" w:ascii="Times New Roman" w:hAnsi="Times New Roman" w:eastAsia="宋体" w:cs="Times New Roman"/>
                      <w:sz w:val="21"/>
                      <w:szCs w:val="21"/>
                      <w:highlight w:val="none"/>
                      <w:u w:val="none" w:color="auto"/>
                      <w:lang w:eastAsia="zh-CN"/>
                    </w:rPr>
                    <w:t>）</w:t>
                  </w:r>
                  <w:r>
                    <w:rPr>
                      <w:rFonts w:hint="default" w:ascii="Times New Roman" w:hAnsi="Times New Roman" w:eastAsia="宋体" w:cs="Times New Roman"/>
                      <w:sz w:val="21"/>
                      <w:szCs w:val="21"/>
                      <w:highlight w:val="none"/>
                      <w:u w:val="none" w:color="auto"/>
                    </w:rPr>
                    <w:t>区域内三类工业用地仅允许用于高新技术产业引进和发展鼓励类高新技术项目的预留用地。</w:t>
                  </w:r>
                </w:p>
              </w:tc>
              <w:tc>
                <w:tcPr>
                  <w:tcW w:w="1566" w:type="pct"/>
                  <w:shd w:val="clear" w:color="auto" w:fill="auto"/>
                  <w:vAlign w:val="center"/>
                </w:tcPr>
                <w:p w14:paraId="43A66DE1">
                  <w:pPr>
                    <w:jc w:val="left"/>
                    <w:rPr>
                      <w:rFonts w:hint="default" w:ascii="Times New Roman" w:hAnsi="Times New Roman" w:eastAsia="宋体" w:cs="Times New Roman"/>
                      <w:sz w:val="21"/>
                      <w:szCs w:val="21"/>
                      <w:highlight w:val="none"/>
                      <w:u w:val="none" w:color="auto"/>
                      <w:lang w:eastAsia="zh-CN"/>
                    </w:rPr>
                  </w:pPr>
                  <w:r>
                    <w:rPr>
                      <w:rFonts w:hint="eastAsia" w:ascii="Times New Roman" w:hAnsi="Times New Roman" w:eastAsia="宋体" w:cs="Times New Roman"/>
                      <w:sz w:val="21"/>
                      <w:szCs w:val="21"/>
                      <w:highlight w:val="none"/>
                      <w:u w:val="none" w:color="auto"/>
                      <w:lang w:val="en-US" w:eastAsia="zh-CN"/>
                    </w:rPr>
                    <w:t>（1.1）</w:t>
                  </w:r>
                  <w:r>
                    <w:rPr>
                      <w:rFonts w:hint="default" w:ascii="Times New Roman" w:hAnsi="Times New Roman" w:eastAsia="宋体" w:cs="Times New Roman"/>
                      <w:sz w:val="21"/>
                      <w:szCs w:val="21"/>
                      <w:highlight w:val="none"/>
                      <w:u w:val="none" w:color="auto"/>
                      <w:lang w:val="en-US" w:eastAsia="zh-CN"/>
                    </w:rPr>
                    <w:t>本项目不在</w:t>
                  </w:r>
                  <w:r>
                    <w:rPr>
                      <w:rFonts w:hint="default" w:ascii="Times New Roman" w:hAnsi="Times New Roman" w:eastAsia="宋体" w:cs="Times New Roman"/>
                      <w:sz w:val="21"/>
                      <w:szCs w:val="21"/>
                      <w:highlight w:val="none"/>
                      <w:u w:val="none" w:color="auto"/>
                    </w:rPr>
                    <w:t>临江1km范围内</w:t>
                  </w:r>
                  <w:r>
                    <w:rPr>
                      <w:rFonts w:hint="default" w:ascii="Times New Roman" w:hAnsi="Times New Roman" w:eastAsia="宋体" w:cs="Times New Roman"/>
                      <w:sz w:val="21"/>
                      <w:szCs w:val="21"/>
                      <w:highlight w:val="none"/>
                      <w:u w:val="none" w:color="auto"/>
                      <w:lang w:eastAsia="zh-CN"/>
                    </w:rPr>
                    <w:t>；</w:t>
                  </w:r>
                </w:p>
                <w:p w14:paraId="1FC3AFC2">
                  <w:pPr>
                    <w:jc w:val="left"/>
                    <w:rPr>
                      <w:rFonts w:hint="default" w:ascii="Times New Roman" w:hAnsi="Times New Roman" w:eastAsia="宋体" w:cs="Times New Roman"/>
                      <w:kern w:val="2"/>
                      <w:sz w:val="21"/>
                      <w:szCs w:val="21"/>
                      <w:highlight w:val="none"/>
                      <w:u w:val="none" w:color="auto"/>
                      <w:lang w:val="en-US" w:eastAsia="zh-CN" w:bidi="ar-SA"/>
                    </w:rPr>
                  </w:pPr>
                  <w:r>
                    <w:rPr>
                      <w:rFonts w:hint="eastAsia" w:ascii="Times New Roman" w:hAnsi="Times New Roman" w:eastAsia="宋体" w:cs="Times New Roman"/>
                      <w:sz w:val="21"/>
                      <w:szCs w:val="21"/>
                      <w:highlight w:val="none"/>
                      <w:u w:val="none" w:color="auto"/>
                      <w:lang w:eastAsia="zh-CN"/>
                    </w:rPr>
                    <w:t>（</w:t>
                  </w:r>
                  <w:r>
                    <w:rPr>
                      <w:rFonts w:hint="eastAsia" w:ascii="Times New Roman" w:hAnsi="Times New Roman" w:eastAsia="宋体" w:cs="Times New Roman"/>
                      <w:sz w:val="21"/>
                      <w:szCs w:val="21"/>
                      <w:highlight w:val="none"/>
                      <w:u w:val="none" w:color="auto"/>
                      <w:lang w:val="en-US" w:eastAsia="zh-CN"/>
                    </w:rPr>
                    <w:t>1.2</w:t>
                  </w:r>
                  <w:r>
                    <w:rPr>
                      <w:rFonts w:hint="eastAsia" w:ascii="Times New Roman" w:hAnsi="Times New Roman" w:eastAsia="宋体" w:cs="Times New Roman"/>
                      <w:sz w:val="21"/>
                      <w:szCs w:val="21"/>
                      <w:highlight w:val="none"/>
                      <w:u w:val="none" w:color="auto"/>
                      <w:lang w:eastAsia="zh-CN"/>
                    </w:rPr>
                    <w:t>）</w:t>
                  </w:r>
                  <w:r>
                    <w:rPr>
                      <w:rFonts w:hint="default" w:ascii="Times New Roman" w:hAnsi="Times New Roman" w:eastAsia="宋体" w:cs="Times New Roman"/>
                      <w:sz w:val="21"/>
                      <w:szCs w:val="21"/>
                      <w:highlight w:val="none"/>
                      <w:u w:val="none" w:color="auto"/>
                      <w:lang w:val="en-US" w:eastAsia="zh-CN"/>
                    </w:rPr>
                    <w:t>本项目不在三类用地</w:t>
                  </w:r>
                  <w:r>
                    <w:rPr>
                      <w:rFonts w:hint="default" w:ascii="Times New Roman" w:hAnsi="Times New Roman" w:eastAsia="宋体" w:cs="Times New Roman"/>
                      <w:sz w:val="21"/>
                      <w:szCs w:val="21"/>
                      <w:highlight w:val="none"/>
                      <w:u w:val="none" w:color="auto"/>
                    </w:rPr>
                    <w:t>。</w:t>
                  </w:r>
                </w:p>
              </w:tc>
            </w:tr>
            <w:tr w14:paraId="1063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pct"/>
                  <w:shd w:val="clear" w:color="auto" w:fill="auto"/>
                  <w:vAlign w:val="center"/>
                </w:tcPr>
                <w:p w14:paraId="3EC5B8D0">
                  <w:pPr>
                    <w:jc w:val="center"/>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rPr>
                    <w:t>污染物排放管控</w:t>
                  </w:r>
                </w:p>
              </w:tc>
              <w:tc>
                <w:tcPr>
                  <w:tcW w:w="2561" w:type="pct"/>
                  <w:shd w:val="clear" w:color="auto" w:fill="auto"/>
                  <w:vAlign w:val="center"/>
                </w:tcPr>
                <w:p w14:paraId="2D8EDAC9">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(2.1)废水</w:t>
                  </w:r>
                </w:p>
                <w:p w14:paraId="097B879E">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(2.1.1)高新区各区块排水实施雨污分流，区块内污水纳入湖南城陵矶临港产业新区污水处理厂处理，达标后排入象骨港，最终排入长江。高新区各区块雨水经雨水管网排至白杨湖、松杨湖、芭蕉湖和象骨港。</w:t>
                  </w:r>
                </w:p>
                <w:p w14:paraId="4F6E9FDA">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(2.1.2)推进重点行业氨磷排放总量控制，强化监管，推动重点行业企业安装在线监控装置并稳定运行。</w:t>
                  </w:r>
                </w:p>
                <w:p w14:paraId="29B0547F">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(2.2)废气</w:t>
                  </w:r>
                </w:p>
                <w:p w14:paraId="04B92D17">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(2.2.1)对各企业有工艺废气产出的生产节点，应配置废气收集与处理净化装置并确保正常运行、达标排放</w:t>
                  </w:r>
                  <w:r>
                    <w:rPr>
                      <w:rFonts w:hint="default" w:ascii="Times New Roman" w:hAnsi="Times New Roman" w:eastAsia="宋体" w:cs="Times New Roman"/>
                      <w:sz w:val="21"/>
                      <w:szCs w:val="21"/>
                      <w:highlight w:val="none"/>
                      <w:u w:val="none" w:color="auto"/>
                      <w:lang w:eastAsia="zh-CN"/>
                    </w:rPr>
                    <w:t>；</w:t>
                  </w:r>
                  <w:r>
                    <w:rPr>
                      <w:rFonts w:hint="default" w:ascii="Times New Roman" w:hAnsi="Times New Roman" w:eastAsia="宋体" w:cs="Times New Roman"/>
                      <w:sz w:val="21"/>
                      <w:szCs w:val="21"/>
                      <w:highlight w:val="none"/>
                      <w:u w:val="none" w:color="auto"/>
                    </w:rPr>
                    <w:t>加强生产工艺研究与技术改进，采取有效措施，减少工艺废气的无组织排放，入园企业各生产装置排放的废气须经处理达到相应排放标准。</w:t>
                  </w:r>
                </w:p>
                <w:p w14:paraId="1C55222B">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(2.2.2)加快推进工业涂装、包装印刷等行业企业VOCs治理,根据企业原辅材料使用、污染</w:t>
                  </w:r>
                  <w:r>
                    <w:rPr>
                      <w:rFonts w:hint="default" w:ascii="Times New Roman" w:hAnsi="Times New Roman" w:eastAsia="宋体" w:cs="Times New Roman"/>
                      <w:color w:val="000000"/>
                      <w:sz w:val="21"/>
                      <w:szCs w:val="21"/>
                      <w:highlight w:val="none"/>
                      <w:u w:val="none" w:color="auto"/>
                    </w:rPr>
                    <w:t>排放控制设施,无组织排放收集措施处置装置运行效果等方面，建立涉VOCs企业</w:t>
                  </w:r>
                  <w:r>
                    <w:rPr>
                      <w:rFonts w:hint="default" w:ascii="Times New Roman" w:hAnsi="Times New Roman" w:eastAsia="宋体" w:cs="Times New Roman"/>
                      <w:sz w:val="21"/>
                      <w:szCs w:val="21"/>
                      <w:highlight w:val="none"/>
                      <w:u w:val="none" w:color="auto"/>
                    </w:rPr>
                    <w:t>绩效分级管理机制。</w:t>
                  </w:r>
                </w:p>
                <w:p w14:paraId="7680225E">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(2.3)高新区内相关行业污染物排放满足《湖南省生态环中境厅关于执行污染物特别排放限值(第一批)的公告》中的要求。</w:t>
                  </w:r>
                </w:p>
                <w:p w14:paraId="65885372">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(2.4)固体废弃物</w:t>
                  </w:r>
                </w:p>
                <w:p w14:paraId="0DA815BF">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(2.4.1)做好高新区工业固体废物和生活垃圾的分类收集、转运，综合利用和无害化处理，建立统一的固废收集、贮存、运输、综合利用和安全处置的运营管理体系。</w:t>
                  </w:r>
                </w:p>
                <w:p w14:paraId="2C013359">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(2.4.2)入园企业应推行使用清洁能源,采用能耗低、先进的工艺技术和污染防治技术,推行清洁生产审核,减少固体废物产生量</w:t>
                  </w:r>
                </w:p>
                <w:p w14:paraId="60111804">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加强固体废物的资源化进程，提高综合利用率。</w:t>
                  </w:r>
                </w:p>
                <w:p w14:paraId="4D20E742">
                  <w:pPr>
                    <w:jc w:val="left"/>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rPr>
                    <w:t>(2.4.3)规范固体废物处理措施，对工业企业产生的固体废物特别是危险废物应按国家有关规定综合利用或妥善处置，严防二次污染。</w:t>
                  </w:r>
                </w:p>
              </w:tc>
              <w:tc>
                <w:tcPr>
                  <w:tcW w:w="1566" w:type="pct"/>
                  <w:shd w:val="clear" w:color="auto" w:fill="auto"/>
                  <w:vAlign w:val="center"/>
                </w:tcPr>
                <w:p w14:paraId="39C4B7BC">
                  <w:pPr>
                    <w:jc w:val="left"/>
                    <w:rPr>
                      <w:rFonts w:hint="default"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（2.1）</w:t>
                  </w:r>
                  <w:r>
                    <w:rPr>
                      <w:rFonts w:hint="default" w:ascii="Times New Roman" w:hAnsi="Times New Roman" w:eastAsia="宋体" w:cs="Times New Roman"/>
                      <w:sz w:val="21"/>
                      <w:szCs w:val="21"/>
                      <w:highlight w:val="none"/>
                      <w:u w:val="none" w:color="auto"/>
                      <w:lang w:val="en-US" w:eastAsia="zh-CN"/>
                    </w:rPr>
                    <w:t>本项目</w:t>
                  </w:r>
                  <w:r>
                    <w:rPr>
                      <w:rFonts w:hint="eastAsia" w:ascii="Times New Roman" w:hAnsi="Times New Roman" w:eastAsia="宋体" w:cs="Times New Roman"/>
                      <w:sz w:val="21"/>
                      <w:szCs w:val="21"/>
                      <w:highlight w:val="none"/>
                      <w:u w:val="none" w:color="auto"/>
                      <w:lang w:val="en-US" w:eastAsia="zh-CN"/>
                    </w:rPr>
                    <w:t>无生产废水产生</w:t>
                  </w:r>
                  <w:r>
                    <w:rPr>
                      <w:rFonts w:hint="default" w:ascii="Times New Roman" w:hAnsi="Times New Roman" w:eastAsia="宋体" w:cs="Times New Roman"/>
                      <w:sz w:val="21"/>
                      <w:szCs w:val="21"/>
                      <w:highlight w:val="none"/>
                      <w:u w:val="none" w:color="auto"/>
                      <w:lang w:eastAsia="zh-CN"/>
                    </w:rPr>
                    <w:t>，</w:t>
                  </w:r>
                  <w:r>
                    <w:rPr>
                      <w:rFonts w:hint="default" w:ascii="Times New Roman" w:hAnsi="Times New Roman" w:eastAsia="宋体" w:cs="Times New Roman"/>
                      <w:sz w:val="21"/>
                      <w:szCs w:val="21"/>
                      <w:highlight w:val="none"/>
                      <w:u w:val="none" w:color="auto"/>
                      <w:lang w:val="en-US" w:eastAsia="zh-CN"/>
                    </w:rPr>
                    <w:t>生活污水</w:t>
                  </w:r>
                  <w:r>
                    <w:rPr>
                      <w:rFonts w:hint="eastAsia" w:ascii="Times New Roman" w:hAnsi="Times New Roman" w:eastAsia="宋体" w:cs="Times New Roman"/>
                      <w:sz w:val="21"/>
                      <w:szCs w:val="21"/>
                      <w:highlight w:val="none"/>
                      <w:u w:val="none" w:color="auto"/>
                      <w:lang w:val="en-US" w:eastAsia="zh-CN"/>
                    </w:rPr>
                    <w:t>经</w:t>
                  </w:r>
                  <w:r>
                    <w:rPr>
                      <w:rFonts w:hint="default" w:ascii="Times New Roman" w:hAnsi="Times New Roman" w:eastAsia="宋体" w:cs="Times New Roman"/>
                      <w:sz w:val="21"/>
                      <w:szCs w:val="21"/>
                      <w:highlight w:val="none"/>
                      <w:u w:val="none" w:color="auto"/>
                      <w:lang w:val="en-US" w:eastAsia="zh-CN"/>
                    </w:rPr>
                    <w:t>化粪池处理</w:t>
                  </w:r>
                  <w:r>
                    <w:rPr>
                      <w:rFonts w:hint="default" w:ascii="Times New Roman" w:hAnsi="Times New Roman" w:eastAsia="宋体" w:cs="Times New Roman"/>
                      <w:bCs/>
                      <w:color w:val="000000"/>
                      <w:sz w:val="21"/>
                      <w:szCs w:val="21"/>
                      <w:highlight w:val="none"/>
                      <w:u w:val="none" w:color="auto"/>
                      <w:lang w:val="en-US" w:eastAsia="zh-CN"/>
                    </w:rPr>
                    <w:t>后排入岳阳市三峡水环境综合治理有限责任公司临港水质净化厂进一步处理</w:t>
                  </w:r>
                  <w:r>
                    <w:rPr>
                      <w:rFonts w:hint="eastAsia" w:ascii="Times New Roman" w:hAnsi="Times New Roman" w:eastAsia="宋体" w:cs="Times New Roman"/>
                      <w:sz w:val="21"/>
                      <w:szCs w:val="21"/>
                      <w:highlight w:val="none"/>
                      <w:u w:val="none" w:color="auto"/>
                      <w:lang w:val="en-US" w:eastAsia="zh-CN"/>
                    </w:rPr>
                    <w:t>；</w:t>
                  </w:r>
                  <w:r>
                    <w:rPr>
                      <w:rFonts w:hint="default" w:ascii="Times New Roman" w:hAnsi="Times New Roman" w:eastAsia="宋体" w:cs="Times New Roman"/>
                      <w:sz w:val="21"/>
                      <w:szCs w:val="21"/>
                      <w:highlight w:val="none"/>
                      <w:u w:val="none" w:color="auto"/>
                      <w:lang w:val="en-US" w:eastAsia="zh-CN"/>
                    </w:rPr>
                    <w:t>雨水经雨水管网排至白杨湖</w:t>
                  </w:r>
                  <w:r>
                    <w:rPr>
                      <w:rFonts w:hint="eastAsia" w:ascii="Times New Roman" w:hAnsi="Times New Roman" w:eastAsia="宋体" w:cs="Times New Roman"/>
                      <w:sz w:val="21"/>
                      <w:szCs w:val="21"/>
                      <w:highlight w:val="none"/>
                      <w:u w:val="none" w:color="auto"/>
                      <w:lang w:val="en-US" w:eastAsia="zh-CN"/>
                    </w:rPr>
                    <w:t>；</w:t>
                  </w:r>
                </w:p>
                <w:p w14:paraId="7C3B5E4C">
                  <w:pPr>
                    <w:jc w:val="left"/>
                    <w:rPr>
                      <w:rFonts w:hint="default"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eastAsia="zh-CN"/>
                    </w:rPr>
                    <w:t>（</w:t>
                  </w:r>
                  <w:r>
                    <w:rPr>
                      <w:rFonts w:hint="eastAsia" w:ascii="Times New Roman" w:hAnsi="Times New Roman" w:eastAsia="宋体" w:cs="Times New Roman"/>
                      <w:sz w:val="21"/>
                      <w:szCs w:val="21"/>
                      <w:highlight w:val="none"/>
                      <w:u w:val="none" w:color="auto"/>
                      <w:lang w:val="en-US" w:eastAsia="zh-CN"/>
                    </w:rPr>
                    <w:t>2.2</w:t>
                  </w:r>
                  <w:r>
                    <w:rPr>
                      <w:rFonts w:hint="eastAsia" w:ascii="Times New Roman" w:hAnsi="Times New Roman" w:eastAsia="宋体" w:cs="Times New Roman"/>
                      <w:sz w:val="21"/>
                      <w:szCs w:val="21"/>
                      <w:highlight w:val="none"/>
                      <w:u w:val="none" w:color="auto"/>
                      <w:lang w:eastAsia="zh-CN"/>
                    </w:rPr>
                    <w:t>）</w:t>
                  </w:r>
                  <w:r>
                    <w:rPr>
                      <w:rFonts w:hint="default" w:ascii="Times New Roman" w:hAnsi="Times New Roman" w:eastAsia="宋体" w:cs="Times New Roman"/>
                      <w:sz w:val="21"/>
                      <w:szCs w:val="21"/>
                      <w:highlight w:val="none"/>
                      <w:u w:val="none" w:color="auto"/>
                    </w:rPr>
                    <w:t>本项目在生产中使用电能，不产生SO</w:t>
                  </w:r>
                  <w:r>
                    <w:rPr>
                      <w:rFonts w:hint="default" w:ascii="Times New Roman" w:hAnsi="Times New Roman" w:eastAsia="宋体" w:cs="Times New Roman"/>
                      <w:sz w:val="21"/>
                      <w:szCs w:val="21"/>
                      <w:highlight w:val="none"/>
                      <w:u w:val="none" w:color="auto"/>
                      <w:vertAlign w:val="subscript"/>
                    </w:rPr>
                    <w:t>2</w:t>
                  </w:r>
                  <w:r>
                    <w:rPr>
                      <w:rFonts w:hint="default" w:ascii="Times New Roman" w:hAnsi="Times New Roman" w:eastAsia="宋体" w:cs="Times New Roman"/>
                      <w:sz w:val="21"/>
                      <w:szCs w:val="21"/>
                      <w:highlight w:val="none"/>
                      <w:u w:val="none" w:color="auto"/>
                    </w:rPr>
                    <w:t>、NOx；</w:t>
                  </w:r>
                  <w:r>
                    <w:rPr>
                      <w:rFonts w:hint="eastAsia" w:cs="Times New Roman"/>
                      <w:bCs/>
                      <w:color w:val="000000"/>
                      <w:sz w:val="21"/>
                      <w:szCs w:val="21"/>
                      <w:highlight w:val="none"/>
                      <w:u w:val="none" w:color="auto"/>
                      <w:lang w:val="en-US" w:eastAsia="zh-CN"/>
                    </w:rPr>
                    <w:t>本项目废气设置了收集以及处理措施，经预测，有组织</w:t>
                  </w:r>
                  <w:r>
                    <w:rPr>
                      <w:rFonts w:hint="eastAsia" w:ascii="Times New Roman" w:hAnsi="Times New Roman" w:eastAsia="宋体" w:cs="Times New Roman"/>
                      <w:bCs/>
                      <w:color w:val="000000"/>
                      <w:sz w:val="21"/>
                      <w:szCs w:val="21"/>
                      <w:highlight w:val="none"/>
                      <w:u w:val="none" w:color="auto"/>
                      <w:lang w:val="en-US" w:eastAsia="zh-CN"/>
                    </w:rPr>
                    <w:t>排放的VOCs均可达标排放</w:t>
                  </w:r>
                  <w:r>
                    <w:rPr>
                      <w:rFonts w:hint="eastAsia" w:ascii="Times New Roman" w:hAnsi="Times New Roman" w:eastAsia="宋体" w:cs="Times New Roman"/>
                      <w:b w:val="0"/>
                      <w:bCs w:val="0"/>
                      <w:color w:val="auto"/>
                      <w:sz w:val="21"/>
                      <w:szCs w:val="21"/>
                      <w:highlight w:val="none"/>
                      <w:u w:val="none" w:color="auto"/>
                      <w:lang w:eastAsia="zh-CN"/>
                    </w:rPr>
                    <w:t>；</w:t>
                  </w:r>
                </w:p>
                <w:p w14:paraId="213999F2">
                  <w:pPr>
                    <w:jc w:val="left"/>
                    <w:rPr>
                      <w:rFonts w:hint="default" w:ascii="Times New Roman" w:hAnsi="Times New Roman" w:eastAsia="宋体" w:cs="Times New Roman"/>
                      <w:kern w:val="2"/>
                      <w:sz w:val="21"/>
                      <w:szCs w:val="21"/>
                      <w:highlight w:val="none"/>
                      <w:u w:val="none" w:color="auto"/>
                      <w:lang w:val="en-US" w:eastAsia="zh-CN" w:bidi="ar-SA"/>
                    </w:rPr>
                  </w:pPr>
                  <w:r>
                    <w:rPr>
                      <w:rFonts w:hint="eastAsia" w:ascii="Times New Roman" w:hAnsi="Times New Roman" w:eastAsia="宋体" w:cs="Times New Roman"/>
                      <w:sz w:val="21"/>
                      <w:szCs w:val="21"/>
                      <w:highlight w:val="none"/>
                      <w:u w:val="none" w:color="auto"/>
                      <w:lang w:eastAsia="zh-CN"/>
                    </w:rPr>
                    <w:t>（</w:t>
                  </w:r>
                  <w:r>
                    <w:rPr>
                      <w:rFonts w:hint="eastAsia" w:ascii="Times New Roman" w:hAnsi="Times New Roman" w:eastAsia="宋体" w:cs="Times New Roman"/>
                      <w:sz w:val="21"/>
                      <w:szCs w:val="21"/>
                      <w:highlight w:val="none"/>
                      <w:u w:val="none" w:color="auto"/>
                      <w:lang w:val="en-US" w:eastAsia="zh-CN"/>
                    </w:rPr>
                    <w:t>2.3</w:t>
                  </w:r>
                  <w:r>
                    <w:rPr>
                      <w:rFonts w:hint="eastAsia" w:ascii="Times New Roman" w:hAnsi="Times New Roman" w:eastAsia="宋体" w:cs="Times New Roman"/>
                      <w:sz w:val="21"/>
                      <w:szCs w:val="21"/>
                      <w:highlight w:val="none"/>
                      <w:u w:val="none" w:color="auto"/>
                      <w:lang w:eastAsia="zh-CN"/>
                    </w:rPr>
                    <w:t>）</w:t>
                  </w:r>
                  <w:r>
                    <w:rPr>
                      <w:rFonts w:hint="default" w:ascii="Times New Roman" w:hAnsi="Times New Roman" w:eastAsia="宋体" w:cs="Times New Roman"/>
                      <w:sz w:val="21"/>
                      <w:szCs w:val="21"/>
                      <w:highlight w:val="none"/>
                      <w:u w:val="none" w:color="auto"/>
                    </w:rPr>
                    <w:t>项目一般固体废物优先综合利用。项目生产过程中产生危险废物，交有资质单位处理。经上述处理后，项目产生的固废均能得到妥善处理处置。</w:t>
                  </w:r>
                </w:p>
              </w:tc>
            </w:tr>
            <w:tr w14:paraId="2184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pct"/>
                  <w:shd w:val="clear" w:color="auto" w:fill="auto"/>
                  <w:vAlign w:val="center"/>
                </w:tcPr>
                <w:p w14:paraId="0A78CE3D">
                  <w:pPr>
                    <w:jc w:val="center"/>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rPr>
                    <w:t>环境风险防控</w:t>
                  </w:r>
                </w:p>
              </w:tc>
              <w:tc>
                <w:tcPr>
                  <w:tcW w:w="2561" w:type="pct"/>
                  <w:shd w:val="clear" w:color="auto" w:fill="auto"/>
                  <w:vAlign w:val="center"/>
                </w:tcPr>
                <w:p w14:paraId="55AC38A3">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(3.1)高新区各区块应建立健全环境风险防控体系，落实《湖南城陵矶新港区核心区突发环境事件应急预案》的相关要求，防环境风险事故发生，提高应急处置能力。</w:t>
                  </w:r>
                </w:p>
                <w:p w14:paraId="49072C48">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(3.2)高新区应建立健全重污染天气预警和应急机制，针对不同的减排对象进行分类控制，最大限度降低重污染天气造成的危害，保障环境安全和公众身体健康。</w:t>
                  </w:r>
                </w:p>
                <w:p w14:paraId="2E0BBDBF">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(3.3)高新区内可能发生突发环境事件的污染物排放企业，生产、储存、运输、使用危险化学品的企业，产生、收集、贮存危险废物的企业应当编制和实施环境应急预案:鼓励其他企业制定单独的环境应急预案，或在突发事件应急预案中制定环境应急预案专章，并备案。</w:t>
                  </w:r>
                </w:p>
                <w:p w14:paraId="0ADC7F3D">
                  <w:pPr>
                    <w:jc w:val="left"/>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rPr>
                    <w:t>(3.4)建设用地土壤风险防控</w:t>
                  </w:r>
                  <w:r>
                    <w:rPr>
                      <w:rFonts w:hint="default" w:ascii="Times New Roman" w:hAnsi="Times New Roman" w:eastAsia="宋体" w:cs="Times New Roman"/>
                      <w:sz w:val="21"/>
                      <w:szCs w:val="21"/>
                      <w:highlight w:val="none"/>
                      <w:u w:val="none" w:color="auto"/>
                      <w:lang w:eastAsia="zh-CN"/>
                    </w:rPr>
                    <w:t>：</w:t>
                  </w:r>
                  <w:r>
                    <w:rPr>
                      <w:rFonts w:hint="default" w:ascii="Times New Roman" w:hAnsi="Times New Roman" w:eastAsia="宋体" w:cs="Times New Roman"/>
                      <w:sz w:val="21"/>
                      <w:szCs w:val="21"/>
                      <w:highlight w:val="none"/>
                      <w:u w:val="none" w:color="auto"/>
                    </w:rPr>
                    <w:t>严格土壤污染重点监管单位和沿江化工企业搬迁腾退用地土壤污染风险管控。以用途变更为“住两公”的地块为重点，依法开展土壤污染状况调查和风险评估。对纳入建设用地土壤污染风险管控和修复名录内的地块，移出名录前，不得核发建设工程规划许可证。对列入优先监管清单的地块，开展土壤污染调查和风险评估，按要求采取风险防控措施。</w:t>
                  </w:r>
                </w:p>
              </w:tc>
              <w:tc>
                <w:tcPr>
                  <w:tcW w:w="1566" w:type="pct"/>
                  <w:shd w:val="clear" w:color="auto" w:fill="auto"/>
                  <w:vAlign w:val="center"/>
                </w:tcPr>
                <w:p w14:paraId="12ECE542">
                  <w:pPr>
                    <w:jc w:val="left"/>
                    <w:rPr>
                      <w:rFonts w:hint="eastAsia"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（3.1）、（3.2）、（3.4）不涉及；</w:t>
                  </w:r>
                </w:p>
                <w:p w14:paraId="37B4398E">
                  <w:pPr>
                    <w:jc w:val="left"/>
                    <w:rPr>
                      <w:rFonts w:hint="default" w:ascii="Times New Roman" w:hAnsi="Times New Roman" w:eastAsia="宋体" w:cs="Times New Roman"/>
                      <w:kern w:val="2"/>
                      <w:sz w:val="21"/>
                      <w:szCs w:val="21"/>
                      <w:highlight w:val="none"/>
                      <w:u w:val="none" w:color="auto"/>
                      <w:lang w:val="en-US" w:eastAsia="zh-CN" w:bidi="ar-SA"/>
                    </w:rPr>
                  </w:pPr>
                  <w:r>
                    <w:rPr>
                      <w:rFonts w:hint="eastAsia" w:ascii="Times New Roman" w:hAnsi="Times New Roman" w:eastAsia="宋体" w:cs="Times New Roman"/>
                      <w:sz w:val="21"/>
                      <w:szCs w:val="21"/>
                      <w:highlight w:val="none"/>
                      <w:u w:val="none" w:color="auto"/>
                      <w:lang w:val="en-US" w:eastAsia="zh-CN"/>
                    </w:rPr>
                    <w:t>（3.3）</w:t>
                  </w:r>
                  <w:r>
                    <w:rPr>
                      <w:rFonts w:hint="eastAsia"/>
                      <w:sz w:val="21"/>
                      <w:szCs w:val="21"/>
                      <w:u w:val="none"/>
                    </w:rPr>
                    <w:t>本</w:t>
                  </w:r>
                  <w:r>
                    <w:rPr>
                      <w:rFonts w:hint="eastAsia"/>
                      <w:sz w:val="21"/>
                      <w:szCs w:val="21"/>
                      <w:u w:val="none"/>
                      <w:lang w:val="en-US" w:eastAsia="zh-CN"/>
                    </w:rPr>
                    <w:t>环评已提出环境风险事故防范措施，并要求企业按照</w:t>
                  </w:r>
                  <w:r>
                    <w:rPr>
                      <w:rFonts w:hint="eastAsia"/>
                      <w:sz w:val="21"/>
                      <w:szCs w:val="21"/>
                      <w:u w:val="none"/>
                    </w:rPr>
                    <w:t>《湖南省突发环境事件应急预案管理办法（修订版）》</w:t>
                  </w:r>
                  <w:r>
                    <w:rPr>
                      <w:rFonts w:hint="eastAsia"/>
                      <w:sz w:val="21"/>
                      <w:szCs w:val="21"/>
                      <w:u w:val="none"/>
                      <w:lang w:eastAsia="zh-CN"/>
                    </w:rPr>
                    <w:t>（</w:t>
                  </w:r>
                  <w:r>
                    <w:rPr>
                      <w:rFonts w:hint="eastAsia"/>
                      <w:sz w:val="21"/>
                      <w:szCs w:val="21"/>
                      <w:u w:val="none"/>
                    </w:rPr>
                    <w:t>湘环发〔2024〕49号</w:t>
                  </w:r>
                  <w:r>
                    <w:rPr>
                      <w:rFonts w:hint="eastAsia"/>
                      <w:sz w:val="21"/>
                      <w:szCs w:val="21"/>
                      <w:u w:val="none"/>
                      <w:lang w:eastAsia="zh-CN"/>
                    </w:rPr>
                    <w:t>）</w:t>
                  </w:r>
                  <w:r>
                    <w:rPr>
                      <w:rFonts w:hint="eastAsia"/>
                      <w:sz w:val="21"/>
                      <w:szCs w:val="21"/>
                      <w:u w:val="none"/>
                      <w:lang w:val="en-US" w:eastAsia="zh-CN"/>
                    </w:rPr>
                    <w:t>开展应急预案相关工作</w:t>
                  </w:r>
                </w:p>
              </w:tc>
            </w:tr>
            <w:tr w14:paraId="1214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pct"/>
                  <w:shd w:val="clear" w:color="auto" w:fill="auto"/>
                  <w:vAlign w:val="center"/>
                </w:tcPr>
                <w:p w14:paraId="474C106C">
                  <w:pPr>
                    <w:jc w:val="center"/>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rPr>
                    <w:t>资源开发效率要求</w:t>
                  </w:r>
                </w:p>
              </w:tc>
              <w:tc>
                <w:tcPr>
                  <w:tcW w:w="2561" w:type="pct"/>
                  <w:shd w:val="clear" w:color="auto" w:fill="auto"/>
                  <w:vAlign w:val="center"/>
                </w:tcPr>
                <w:p w14:paraId="21B32A81">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(4.1)能源</w:t>
                  </w:r>
                </w:p>
                <w:p w14:paraId="60E03647">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(4.1.1)高新区依托华能电厂进行集中供热，禁止使用原煤、重油为能源的项目进入。(4.1.2)高新区区域内能源消费主要为电力、天然气、蒸汽，无煤炭消费，2025年区域年综合能耗消费量预测当量值为 97800吨标煤。2025 年区域单位 GDP 能耗预测值为 0.22吨标煤/万元，消耗增量当量值控制在 464100 吨标煤。(4.1.3)禁燃区范围内不得新建、改建、扩建燃煤锅炉及高污染燃料燃用设施。</w:t>
                  </w:r>
                </w:p>
                <w:p w14:paraId="16B58CD7">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(4.2)水资源</w:t>
                  </w:r>
                </w:p>
                <w:p w14:paraId="4334E7C5">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(4.2.1)强化生产用水管理，大力推广高效冷却、循环用水等节水工艺和技术，支持企业开展节水技术改造。</w:t>
                  </w:r>
                </w:p>
                <w:p w14:paraId="5DA85CA3">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(4.2.2)积极推行水循环梯级利用,推动现有企业和高新区开展绿色高质量省级和循环化改造，促进企业间串联用水、分质用水,一水多用和循环利用</w:t>
                  </w:r>
                </w:p>
                <w:p w14:paraId="296FE2B9">
                  <w:pPr>
                    <w:jc w:val="left"/>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(4.2.3)2025年，高新区指标应符合相应行政区域的管控要求，云溪区用水总量2.30亿立方米，万元地区生产总值用水量比2020年下降6.68%，万元工业增加值用水量比2020年下降2.12%。</w:t>
                  </w:r>
                </w:p>
                <w:p w14:paraId="121DC0EC">
                  <w:pPr>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highlight w:val="none"/>
                      <w:u w:val="none" w:color="auto"/>
                    </w:rPr>
                    <w:t>(4.3)土地资源:在详细规划编制、用地预审与选址、用地报批、土地出让、规划许可、竣工验收等环节，全面推行工业项目建设用地引导指标和工业项目供地负面清单管理。省级园区工业用地固定资产投入强度达到260万元/亩，工业用地地均税收达到13 万元/亩。</w:t>
                  </w:r>
                </w:p>
              </w:tc>
              <w:tc>
                <w:tcPr>
                  <w:tcW w:w="1566" w:type="pct"/>
                  <w:shd w:val="clear" w:color="auto" w:fill="auto"/>
                  <w:vAlign w:val="center"/>
                </w:tcPr>
                <w:p w14:paraId="6609738F">
                  <w:pPr>
                    <w:jc w:val="left"/>
                    <w:rPr>
                      <w:rFonts w:hint="eastAsia"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eastAsia="zh-CN"/>
                    </w:rPr>
                    <w:t>（</w:t>
                  </w:r>
                  <w:r>
                    <w:rPr>
                      <w:rFonts w:hint="eastAsia" w:ascii="Times New Roman" w:hAnsi="Times New Roman" w:eastAsia="宋体" w:cs="Times New Roman"/>
                      <w:sz w:val="21"/>
                      <w:szCs w:val="21"/>
                      <w:highlight w:val="none"/>
                      <w:u w:val="none" w:color="auto"/>
                      <w:lang w:val="en-US" w:eastAsia="zh-CN"/>
                    </w:rPr>
                    <w:t>4.1</w:t>
                  </w:r>
                  <w:r>
                    <w:rPr>
                      <w:rFonts w:hint="eastAsia" w:ascii="Times New Roman" w:hAnsi="Times New Roman" w:eastAsia="宋体" w:cs="Times New Roman"/>
                      <w:sz w:val="21"/>
                      <w:szCs w:val="21"/>
                      <w:highlight w:val="none"/>
                      <w:u w:val="none" w:color="auto"/>
                      <w:lang w:eastAsia="zh-CN"/>
                    </w:rPr>
                    <w:t>）</w:t>
                  </w:r>
                  <w:r>
                    <w:rPr>
                      <w:rFonts w:hint="eastAsia" w:ascii="Times New Roman" w:hAnsi="Times New Roman" w:eastAsia="宋体" w:cs="Times New Roman"/>
                      <w:sz w:val="21"/>
                      <w:szCs w:val="21"/>
                      <w:highlight w:val="none"/>
                      <w:u w:val="none" w:color="auto"/>
                      <w:lang w:val="en-US" w:eastAsia="zh-CN"/>
                    </w:rPr>
                    <w:t>本项目仅使用电能，加热</w:t>
                  </w:r>
                  <w:r>
                    <w:rPr>
                      <w:rFonts w:hint="eastAsia" w:cs="Times New Roman"/>
                      <w:sz w:val="21"/>
                      <w:szCs w:val="21"/>
                      <w:highlight w:val="none"/>
                      <w:u w:val="none" w:color="auto"/>
                      <w:lang w:val="en-US" w:eastAsia="zh-CN"/>
                    </w:rPr>
                    <w:t>设施</w:t>
                  </w:r>
                  <w:r>
                    <w:rPr>
                      <w:rFonts w:hint="eastAsia" w:ascii="Times New Roman" w:hAnsi="Times New Roman" w:eastAsia="宋体" w:cs="Times New Roman"/>
                      <w:sz w:val="21"/>
                      <w:szCs w:val="21"/>
                      <w:highlight w:val="none"/>
                      <w:u w:val="none" w:color="auto"/>
                      <w:lang w:val="en-US" w:eastAsia="zh-CN"/>
                    </w:rPr>
                    <w:t>依托园区的供热系统；</w:t>
                  </w:r>
                </w:p>
                <w:p w14:paraId="6F916F1E">
                  <w:pPr>
                    <w:jc w:val="left"/>
                    <w:rPr>
                      <w:rFonts w:hint="eastAsia"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（4.2）本项目生产用水均循环使用，加强了对水的利用效率；</w:t>
                  </w:r>
                </w:p>
                <w:p w14:paraId="23E69A3E">
                  <w:pPr>
                    <w:jc w:val="left"/>
                    <w:rPr>
                      <w:rFonts w:hint="default" w:ascii="Times New Roman" w:hAnsi="Times New Roman" w:eastAsia="宋体" w:cs="Times New Roman"/>
                      <w:kern w:val="2"/>
                      <w:sz w:val="21"/>
                      <w:szCs w:val="21"/>
                      <w:highlight w:val="none"/>
                      <w:u w:val="none" w:color="auto"/>
                      <w:lang w:val="en-US" w:eastAsia="zh-CN" w:bidi="ar-SA"/>
                    </w:rPr>
                  </w:pPr>
                  <w:r>
                    <w:rPr>
                      <w:rFonts w:hint="eastAsia" w:ascii="Times New Roman" w:hAnsi="Times New Roman" w:eastAsia="宋体" w:cs="Times New Roman"/>
                      <w:sz w:val="21"/>
                      <w:szCs w:val="21"/>
                      <w:highlight w:val="none"/>
                      <w:u w:val="none" w:color="auto"/>
                      <w:lang w:val="en-US" w:eastAsia="zh-CN"/>
                    </w:rPr>
                    <w:t>（4.3）本项目占地面积4054m</w:t>
                  </w:r>
                  <w:r>
                    <w:rPr>
                      <w:rFonts w:hint="eastAsia" w:ascii="Times New Roman" w:hAnsi="Times New Roman" w:eastAsia="宋体" w:cs="Times New Roman"/>
                      <w:sz w:val="21"/>
                      <w:szCs w:val="21"/>
                      <w:highlight w:val="none"/>
                      <w:u w:val="none" w:color="auto"/>
                      <w:vertAlign w:val="superscript"/>
                      <w:lang w:val="en-US" w:eastAsia="zh-CN"/>
                    </w:rPr>
                    <w:t>2</w:t>
                  </w:r>
                  <w:r>
                    <w:rPr>
                      <w:rFonts w:hint="eastAsia" w:ascii="Times New Roman" w:hAnsi="Times New Roman" w:eastAsia="宋体" w:cs="Times New Roman"/>
                      <w:sz w:val="21"/>
                      <w:szCs w:val="21"/>
                      <w:highlight w:val="none"/>
                      <w:u w:val="none" w:color="auto"/>
                      <w:lang w:val="en-US" w:eastAsia="zh-CN"/>
                    </w:rPr>
                    <w:t>（约6亩），投资额为5000万，因此</w:t>
                  </w:r>
                  <w:r>
                    <w:rPr>
                      <w:rFonts w:hint="default" w:ascii="Times New Roman" w:hAnsi="Times New Roman" w:eastAsia="宋体" w:cs="Times New Roman"/>
                      <w:sz w:val="21"/>
                      <w:szCs w:val="21"/>
                      <w:highlight w:val="none"/>
                      <w:u w:val="none" w:color="auto"/>
                    </w:rPr>
                    <w:t>固定资产投入强度</w:t>
                  </w:r>
                  <w:r>
                    <w:rPr>
                      <w:rFonts w:hint="eastAsia" w:ascii="Times New Roman" w:hAnsi="Times New Roman" w:eastAsia="宋体" w:cs="Times New Roman"/>
                      <w:sz w:val="21"/>
                      <w:szCs w:val="21"/>
                      <w:highlight w:val="none"/>
                      <w:u w:val="none" w:color="auto"/>
                      <w:lang w:val="en-US" w:eastAsia="zh-CN"/>
                    </w:rPr>
                    <w:t>为833万元/亩</w:t>
                  </w:r>
                  <w:r>
                    <w:rPr>
                      <w:rFonts w:hint="eastAsia" w:cs="Times New Roman"/>
                      <w:sz w:val="21"/>
                      <w:szCs w:val="21"/>
                      <w:highlight w:val="none"/>
                      <w:u w:val="none" w:color="auto"/>
                      <w:lang w:val="en-US" w:eastAsia="zh-CN"/>
                    </w:rPr>
                    <w:t>。</w:t>
                  </w:r>
                </w:p>
              </w:tc>
            </w:tr>
          </w:tbl>
          <w:p w14:paraId="481F6AE1">
            <w:pPr>
              <w:autoSpaceDE w:val="0"/>
              <w:autoSpaceDN w:val="0"/>
              <w:adjustRightInd w:val="0"/>
              <w:snapToGrid w:val="0"/>
              <w:spacing w:line="360" w:lineRule="auto"/>
              <w:ind w:firstLine="480" w:firstLineChars="200"/>
              <w:rPr>
                <w:rFonts w:hint="eastAsia" w:hAnsi="宋体"/>
              </w:rPr>
            </w:pPr>
            <w:r>
              <w:rPr>
                <w:u w:val="none"/>
              </w:rPr>
              <w:t>综上所述，本项目</w:t>
            </w:r>
            <w:r>
              <w:rPr>
                <w:rFonts w:hint="eastAsia"/>
                <w:u w:val="none"/>
              </w:rPr>
              <w:t>建设符合</w:t>
            </w:r>
            <w:r>
              <w:rPr>
                <w:rFonts w:hint="default" w:ascii="Times New Roman" w:hAnsi="Times New Roman" w:eastAsia="宋体" w:cs="Times New Roman"/>
                <w:color w:val="000000"/>
                <w:kern w:val="0"/>
                <w:sz w:val="24"/>
                <w:szCs w:val="24"/>
                <w:u w:val="none"/>
                <w:lang w:val="en-US" w:eastAsia="zh-CN"/>
              </w:rPr>
              <w:t>《</w:t>
            </w:r>
            <w:r>
              <w:rPr>
                <w:rFonts w:hint="default" w:ascii="Times New Roman" w:hAnsi="Times New Roman" w:eastAsia="宋体" w:cs="Times New Roman"/>
                <w:color w:val="000000"/>
                <w:kern w:val="0"/>
                <w:sz w:val="24"/>
              </w:rPr>
              <w:t>湖南省生态环境分区管控总体管控要求暨省级以上产业园区生态环境准入清单</w:t>
            </w:r>
            <w:r>
              <w:rPr>
                <w:rFonts w:hint="default" w:ascii="Times New Roman" w:hAnsi="Times New Roman" w:eastAsia="宋体" w:cs="Times New Roman"/>
                <w:color w:val="000000"/>
                <w:kern w:val="0"/>
                <w:sz w:val="24"/>
                <w:szCs w:val="24"/>
                <w:u w:val="none"/>
                <w:lang w:val="en-US" w:eastAsia="zh-CN"/>
              </w:rPr>
              <w:t>》（湘环函〔2024〕26号）</w:t>
            </w:r>
            <w:r>
              <w:rPr>
                <w:rFonts w:hint="eastAsia"/>
                <w:color w:val="auto"/>
                <w:sz w:val="24"/>
                <w:szCs w:val="24"/>
                <w:lang w:val="en-US" w:eastAsia="zh-CN"/>
              </w:rPr>
              <w:t>中相关</w:t>
            </w:r>
            <w:r>
              <w:rPr>
                <w:rFonts w:hint="eastAsia" w:hAnsi="宋体"/>
                <w:u w:val="none"/>
              </w:rPr>
              <w:t>要求</w:t>
            </w:r>
            <w:r>
              <w:rPr>
                <w:rFonts w:hint="eastAsia" w:hAnsi="宋体"/>
              </w:rPr>
              <w:t>。</w:t>
            </w:r>
          </w:p>
          <w:p w14:paraId="1B8FBBEE">
            <w:pPr>
              <w:numPr>
                <w:ilvl w:val="0"/>
                <w:numId w:val="2"/>
              </w:numPr>
              <w:autoSpaceDE w:val="0"/>
              <w:autoSpaceDN w:val="0"/>
              <w:adjustRightInd w:val="0"/>
              <w:snapToGrid w:val="0"/>
              <w:spacing w:line="360" w:lineRule="auto"/>
              <w:rPr>
                <w:rFonts w:hint="eastAsia"/>
                <w:b/>
                <w:kern w:val="0"/>
                <w:szCs w:val="20"/>
                <w:u w:val="none"/>
              </w:rPr>
            </w:pPr>
            <w:r>
              <w:rPr>
                <w:rFonts w:hint="eastAsia"/>
                <w:b/>
                <w:kern w:val="0"/>
                <w:szCs w:val="20"/>
                <w:u w:val="none"/>
              </w:rPr>
              <w:t>与《中华人民共和国长江保护法》符合性分析</w:t>
            </w:r>
          </w:p>
          <w:p w14:paraId="5286BD34">
            <w:pPr>
              <w:widowControl w:val="0"/>
              <w:numPr>
                <w:ilvl w:val="0"/>
                <w:numId w:val="0"/>
              </w:numPr>
              <w:autoSpaceDE w:val="0"/>
              <w:autoSpaceDN w:val="0"/>
              <w:adjustRightInd w:val="0"/>
              <w:snapToGrid w:val="0"/>
              <w:spacing w:line="360" w:lineRule="auto"/>
              <w:jc w:val="center"/>
              <w:rPr>
                <w:rFonts w:hint="eastAsia" w:eastAsia="宋体"/>
                <w:b/>
                <w:kern w:val="0"/>
                <w:szCs w:val="24"/>
                <w:u w:val="none" w:color="auto"/>
              </w:rPr>
            </w:pPr>
            <w:r>
              <w:rPr>
                <w:rFonts w:hint="default" w:ascii="Times New Roman" w:hAnsi="Times New Roman" w:eastAsia="宋体" w:cs="Times New Roman"/>
                <w:b/>
                <w:color w:val="auto"/>
                <w:sz w:val="24"/>
                <w:szCs w:val="24"/>
                <w:highlight w:val="none"/>
                <w:u w:val="none" w:color="auto"/>
              </w:rPr>
              <w:t>表1-</w:t>
            </w:r>
            <w:r>
              <w:rPr>
                <w:rFonts w:hint="eastAsia" w:ascii="Times New Roman" w:hAnsi="Times New Roman" w:eastAsia="宋体" w:cs="Times New Roman"/>
                <w:b/>
                <w:color w:val="auto"/>
                <w:sz w:val="24"/>
                <w:szCs w:val="24"/>
                <w:highlight w:val="none"/>
                <w:u w:val="none" w:color="auto"/>
                <w:lang w:val="en-US" w:eastAsia="zh-CN"/>
              </w:rPr>
              <w:t>6</w:t>
            </w:r>
            <w:r>
              <w:rPr>
                <w:rFonts w:hint="default" w:ascii="Times New Roman" w:hAnsi="Times New Roman" w:eastAsia="宋体" w:cs="Times New Roman"/>
                <w:b/>
                <w:color w:val="auto"/>
                <w:sz w:val="24"/>
                <w:szCs w:val="24"/>
                <w:highlight w:val="none"/>
                <w:u w:val="none" w:color="auto"/>
              </w:rPr>
              <w:t xml:space="preserve">  </w:t>
            </w:r>
            <w:r>
              <w:rPr>
                <w:rFonts w:hint="default" w:ascii="Times New Roman" w:hAnsi="Times New Roman" w:eastAsia="宋体" w:cs="Times New Roman"/>
                <w:b/>
                <w:bCs/>
                <w:color w:val="auto"/>
                <w:sz w:val="24"/>
                <w:szCs w:val="24"/>
                <w:highlight w:val="none"/>
                <w:u w:val="none" w:color="auto"/>
              </w:rPr>
              <w:t>与</w:t>
            </w:r>
            <w:r>
              <w:rPr>
                <w:rFonts w:hint="default" w:ascii="Times New Roman" w:hAnsi="Times New Roman" w:eastAsia="宋体" w:cs="Times New Roman"/>
                <w:b/>
                <w:bCs/>
                <w:color w:val="auto"/>
                <w:spacing w:val="0"/>
                <w:sz w:val="24"/>
                <w:szCs w:val="24"/>
                <w:highlight w:val="none"/>
                <w:u w:val="none" w:color="auto"/>
                <w:lang w:eastAsia="zh-CN"/>
              </w:rPr>
              <w:t>《</w:t>
            </w:r>
            <w:r>
              <w:rPr>
                <w:rFonts w:hint="default" w:ascii="Times New Roman" w:hAnsi="Times New Roman" w:eastAsia="宋体" w:cs="Times New Roman"/>
                <w:b/>
                <w:bCs/>
                <w:color w:val="auto"/>
                <w:spacing w:val="0"/>
                <w:sz w:val="24"/>
                <w:szCs w:val="24"/>
                <w:highlight w:val="none"/>
                <w:u w:val="none" w:color="auto"/>
                <w:lang w:val="en-US" w:eastAsia="zh-CN"/>
              </w:rPr>
              <w:t>中华人民共和国长江保护法</w:t>
            </w:r>
            <w:r>
              <w:rPr>
                <w:rFonts w:hint="default" w:ascii="Times New Roman" w:hAnsi="Times New Roman" w:eastAsia="宋体" w:cs="Times New Roman"/>
                <w:b/>
                <w:bCs/>
                <w:color w:val="auto"/>
                <w:spacing w:val="0"/>
                <w:sz w:val="24"/>
                <w:szCs w:val="24"/>
                <w:highlight w:val="none"/>
                <w:u w:val="none" w:color="auto"/>
                <w:lang w:eastAsia="zh-CN"/>
              </w:rPr>
              <w:t>》</w:t>
            </w:r>
            <w:r>
              <w:rPr>
                <w:rFonts w:hint="default" w:ascii="Times New Roman" w:hAnsi="Times New Roman" w:eastAsia="宋体" w:cs="Times New Roman"/>
                <w:b/>
                <w:bCs/>
                <w:color w:val="auto"/>
                <w:sz w:val="24"/>
                <w:szCs w:val="24"/>
                <w:highlight w:val="none"/>
                <w:u w:val="none" w:color="auto"/>
              </w:rPr>
              <w:t>的符合性分析</w:t>
            </w:r>
            <w:r>
              <w:rPr>
                <w:rFonts w:hint="eastAsia" w:ascii="Times New Roman" w:hAnsi="Times New Roman" w:eastAsia="宋体" w:cs="Times New Roman"/>
                <w:b/>
                <w:bCs/>
                <w:color w:val="auto"/>
                <w:sz w:val="24"/>
                <w:szCs w:val="24"/>
                <w:highlight w:val="none"/>
                <w:u w:val="none" w:color="auto"/>
                <w:lang w:val="en-US" w:eastAsia="zh-CN"/>
              </w:rPr>
              <w:t>一览表</w:t>
            </w:r>
          </w:p>
          <w:tbl>
            <w:tblPr>
              <w:tblStyle w:val="31"/>
              <w:tblW w:w="4996" w:type="pct"/>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955"/>
              <w:gridCol w:w="2121"/>
              <w:gridCol w:w="677"/>
            </w:tblGrid>
            <w:tr w14:paraId="1300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tcBorders>
                    <w:tl2br w:val="nil"/>
                    <w:tr2bl w:val="nil"/>
                  </w:tcBorders>
                  <w:noWrap w:val="0"/>
                  <w:vAlign w:val="center"/>
                </w:tcPr>
                <w:p w14:paraId="047BD1A7">
                  <w:pPr>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条款</w:t>
                  </w:r>
                </w:p>
              </w:tc>
              <w:tc>
                <w:tcPr>
                  <w:tcW w:w="2284" w:type="pct"/>
                  <w:tcBorders>
                    <w:tl2br w:val="nil"/>
                    <w:tr2bl w:val="nil"/>
                  </w:tcBorders>
                  <w:noWrap w:val="0"/>
                  <w:vAlign w:val="center"/>
                </w:tcPr>
                <w:p w14:paraId="5AC7CEFE">
                  <w:pPr>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lang w:eastAsia="zh-CN"/>
                    </w:rPr>
                    <w:t>规划</w:t>
                  </w:r>
                  <w:r>
                    <w:rPr>
                      <w:rFonts w:hint="default" w:ascii="Times New Roman" w:hAnsi="Times New Roman" w:eastAsia="宋体" w:cs="Times New Roman"/>
                      <w:b/>
                      <w:bCs/>
                      <w:color w:val="auto"/>
                      <w:sz w:val="21"/>
                      <w:szCs w:val="21"/>
                      <w:highlight w:val="none"/>
                      <w:u w:val="none" w:color="auto"/>
                    </w:rPr>
                    <w:t>要求</w:t>
                  </w:r>
                </w:p>
              </w:tc>
              <w:tc>
                <w:tcPr>
                  <w:tcW w:w="1639" w:type="pct"/>
                  <w:tcBorders>
                    <w:tl2br w:val="nil"/>
                    <w:tr2bl w:val="nil"/>
                  </w:tcBorders>
                  <w:noWrap w:val="0"/>
                  <w:vAlign w:val="center"/>
                </w:tcPr>
                <w:p w14:paraId="57DC12A3">
                  <w:pPr>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本项目情况</w:t>
                  </w:r>
                </w:p>
              </w:tc>
              <w:tc>
                <w:tcPr>
                  <w:tcW w:w="523" w:type="pct"/>
                  <w:tcBorders>
                    <w:tl2br w:val="nil"/>
                    <w:tr2bl w:val="nil"/>
                  </w:tcBorders>
                  <w:noWrap w:val="0"/>
                  <w:vAlign w:val="center"/>
                </w:tcPr>
                <w:p w14:paraId="1AD6DAFF">
                  <w:pPr>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符合情况</w:t>
                  </w:r>
                </w:p>
              </w:tc>
            </w:tr>
            <w:tr w14:paraId="03ED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tcBorders>
                    <w:tl2br w:val="nil"/>
                    <w:tr2bl w:val="nil"/>
                  </w:tcBorders>
                  <w:noWrap w:val="0"/>
                  <w:vAlign w:val="center"/>
                </w:tcPr>
                <w:p w14:paraId="5CC8C265">
                  <w:pPr>
                    <w:jc w:val="center"/>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lang w:eastAsia="zh-CN"/>
                    </w:rPr>
                    <w:t>第二十六条</w:t>
                  </w:r>
                </w:p>
              </w:tc>
              <w:tc>
                <w:tcPr>
                  <w:tcW w:w="2284" w:type="pct"/>
                  <w:tcBorders>
                    <w:tl2br w:val="nil"/>
                    <w:tr2bl w:val="nil"/>
                  </w:tcBorders>
                  <w:noWrap w:val="0"/>
                  <w:vAlign w:val="center"/>
                </w:tcPr>
                <w:p w14:paraId="3179800C">
                  <w:pPr>
                    <w:jc w:val="left"/>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lang w:eastAsia="zh-CN"/>
                    </w:rPr>
                    <w:t>禁止在长江干支流岸线一公里范围内新建、扩建化工园区和化工项目。</w:t>
                  </w:r>
                </w:p>
                <w:p w14:paraId="424255C2">
                  <w:pPr>
                    <w:jc w:val="left"/>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lang w:eastAsia="zh-CN"/>
                    </w:rPr>
                    <w:t>禁止在长江干流岸线三公里范围内和重要支流岸线一公里范围内新建、改建、扩建尾矿库；但是以提升安全、生态环境保护水平为目的的改建除外。</w:t>
                  </w:r>
                </w:p>
              </w:tc>
              <w:tc>
                <w:tcPr>
                  <w:tcW w:w="1639" w:type="pct"/>
                  <w:tcBorders>
                    <w:tl2br w:val="nil"/>
                    <w:tr2bl w:val="nil"/>
                  </w:tcBorders>
                  <w:noWrap w:val="0"/>
                  <w:vAlign w:val="center"/>
                </w:tcPr>
                <w:p w14:paraId="109D6184">
                  <w:pPr>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本项目</w:t>
                  </w:r>
                  <w:r>
                    <w:rPr>
                      <w:rFonts w:hint="eastAsia" w:ascii="Times New Roman" w:hAnsi="Times New Roman" w:eastAsia="宋体" w:cs="Times New Roman"/>
                      <w:b w:val="0"/>
                      <w:bCs w:val="0"/>
                      <w:color w:val="auto"/>
                      <w:sz w:val="21"/>
                      <w:szCs w:val="21"/>
                      <w:highlight w:val="none"/>
                      <w:u w:val="none" w:color="auto"/>
                      <w:lang w:val="en-US" w:eastAsia="zh-CN"/>
                    </w:rPr>
                    <w:t>为</w:t>
                  </w:r>
                  <w:r>
                    <w:rPr>
                      <w:rFonts w:hint="eastAsia" w:ascii="Times New Roman" w:hAnsi="Times New Roman" w:eastAsia="宋体" w:cs="Times New Roman"/>
                      <w:color w:val="auto"/>
                      <w:sz w:val="21"/>
                      <w:szCs w:val="21"/>
                      <w:highlight w:val="none"/>
                      <w:u w:val="none" w:color="auto"/>
                    </w:rPr>
                    <w:t>非金属废料和碎屑加工处理</w:t>
                  </w:r>
                  <w:r>
                    <w:rPr>
                      <w:rFonts w:hint="eastAsia" w:ascii="Times New Roman" w:hAnsi="Times New Roman" w:eastAsia="宋体" w:cs="Times New Roman"/>
                      <w:color w:val="auto"/>
                      <w:sz w:val="21"/>
                      <w:szCs w:val="21"/>
                      <w:highlight w:val="none"/>
                      <w:u w:val="none" w:color="auto"/>
                      <w:lang w:val="en-US" w:eastAsia="zh-CN"/>
                    </w:rPr>
                    <w:t>项目，非化工、尾矿库等项目</w:t>
                  </w:r>
                  <w:r>
                    <w:rPr>
                      <w:rFonts w:hint="eastAsia" w:cs="Times New Roman"/>
                      <w:color w:val="auto"/>
                      <w:sz w:val="21"/>
                      <w:szCs w:val="21"/>
                      <w:highlight w:val="none"/>
                      <w:u w:val="none" w:color="auto"/>
                      <w:lang w:val="en-US" w:eastAsia="zh-CN"/>
                    </w:rPr>
                    <w:t>；项目不位于</w:t>
                  </w:r>
                  <w:r>
                    <w:rPr>
                      <w:rFonts w:hint="default" w:ascii="Times New Roman" w:hAnsi="Times New Roman" w:eastAsia="宋体" w:cs="Times New Roman"/>
                      <w:b w:val="0"/>
                      <w:bCs w:val="0"/>
                      <w:color w:val="auto"/>
                      <w:sz w:val="21"/>
                      <w:szCs w:val="21"/>
                      <w:highlight w:val="none"/>
                      <w:u w:val="none" w:color="auto"/>
                      <w:lang w:eastAsia="zh-CN"/>
                    </w:rPr>
                    <w:t>在长江干支流岸线一公里范围内</w:t>
                  </w:r>
                </w:p>
              </w:tc>
              <w:tc>
                <w:tcPr>
                  <w:tcW w:w="523" w:type="pct"/>
                  <w:tcBorders>
                    <w:tl2br w:val="nil"/>
                    <w:tr2bl w:val="nil"/>
                  </w:tcBorders>
                  <w:noWrap w:val="0"/>
                  <w:vAlign w:val="center"/>
                </w:tcPr>
                <w:p w14:paraId="46A69502">
                  <w:pPr>
                    <w:jc w:val="center"/>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lang w:eastAsia="zh-CN"/>
                    </w:rPr>
                    <w:t>符合</w:t>
                  </w:r>
                </w:p>
              </w:tc>
            </w:tr>
            <w:tr w14:paraId="2C6F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tcBorders>
                    <w:tl2br w:val="nil"/>
                    <w:tr2bl w:val="nil"/>
                  </w:tcBorders>
                  <w:noWrap w:val="0"/>
                  <w:vAlign w:val="center"/>
                </w:tcPr>
                <w:p w14:paraId="5C3F7BDC">
                  <w:pPr>
                    <w:jc w:val="center"/>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lang w:eastAsia="zh-CN"/>
                    </w:rPr>
                    <w:t>第四十九条</w:t>
                  </w:r>
                </w:p>
              </w:tc>
              <w:tc>
                <w:tcPr>
                  <w:tcW w:w="2284" w:type="pct"/>
                  <w:tcBorders>
                    <w:tl2br w:val="nil"/>
                    <w:tr2bl w:val="nil"/>
                  </w:tcBorders>
                  <w:noWrap w:val="0"/>
                  <w:vAlign w:val="center"/>
                </w:tcPr>
                <w:p w14:paraId="7455810F">
                  <w:pPr>
                    <w:jc w:val="left"/>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lang w:eastAsia="zh-CN"/>
                    </w:rPr>
                    <w:t>禁止在长江流域河湖管理范围内倾倒、填埋、堆放、弃置、处理固体废物。长江流域县级以上地方人民政府应当加强对固体废物非法转移和倾倒的联防联控。</w:t>
                  </w:r>
                </w:p>
              </w:tc>
              <w:tc>
                <w:tcPr>
                  <w:tcW w:w="1639" w:type="pct"/>
                  <w:tcBorders>
                    <w:tl2br w:val="nil"/>
                    <w:tr2bl w:val="nil"/>
                  </w:tcBorders>
                  <w:noWrap w:val="0"/>
                  <w:vAlign w:val="center"/>
                </w:tcPr>
                <w:p w14:paraId="46932FC1">
                  <w:pPr>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Cs/>
                      <w:color w:val="auto"/>
                      <w:sz w:val="21"/>
                      <w:szCs w:val="21"/>
                      <w:highlight w:val="none"/>
                      <w:u w:val="none" w:color="auto"/>
                    </w:rPr>
                    <w:t>本项目</w:t>
                  </w:r>
                  <w:r>
                    <w:rPr>
                      <w:rFonts w:hint="eastAsia" w:ascii="Times New Roman" w:hAnsi="Times New Roman" w:eastAsia="宋体" w:cs="Times New Roman"/>
                      <w:bCs/>
                      <w:color w:val="auto"/>
                      <w:sz w:val="21"/>
                      <w:szCs w:val="21"/>
                      <w:highlight w:val="none"/>
                      <w:u w:val="none" w:color="auto"/>
                      <w:lang w:val="en-US" w:eastAsia="zh-CN"/>
                    </w:rPr>
                    <w:t>已做好工业固</w:t>
                  </w:r>
                  <w:r>
                    <w:rPr>
                      <w:rFonts w:hint="eastAsia" w:cs="Times New Roman"/>
                      <w:bCs/>
                      <w:color w:val="auto"/>
                      <w:sz w:val="21"/>
                      <w:szCs w:val="21"/>
                      <w:highlight w:val="none"/>
                      <w:u w:val="none" w:color="auto"/>
                      <w:lang w:val="en-US" w:eastAsia="zh-CN"/>
                    </w:rPr>
                    <w:t>体</w:t>
                  </w:r>
                  <w:r>
                    <w:rPr>
                      <w:rFonts w:hint="eastAsia" w:ascii="Times New Roman" w:hAnsi="Times New Roman" w:eastAsia="宋体" w:cs="Times New Roman"/>
                      <w:bCs/>
                      <w:color w:val="auto"/>
                      <w:sz w:val="21"/>
                      <w:szCs w:val="21"/>
                      <w:highlight w:val="none"/>
                      <w:u w:val="none" w:color="auto"/>
                      <w:lang w:val="en-US" w:eastAsia="zh-CN"/>
                    </w:rPr>
                    <w:t>废物和生活垃圾的分类</w:t>
                  </w:r>
                  <w:r>
                    <w:rPr>
                      <w:rFonts w:hint="eastAsia" w:cs="Times New Roman"/>
                      <w:bCs/>
                      <w:color w:val="auto"/>
                      <w:sz w:val="21"/>
                      <w:szCs w:val="21"/>
                      <w:highlight w:val="none"/>
                      <w:u w:val="none" w:color="auto"/>
                      <w:lang w:val="en-US" w:eastAsia="zh-CN"/>
                    </w:rPr>
                    <w:t>收集处置</w:t>
                  </w:r>
                  <w:r>
                    <w:rPr>
                      <w:rFonts w:hint="eastAsia" w:ascii="Times New Roman" w:hAnsi="Times New Roman" w:eastAsia="宋体" w:cs="Times New Roman"/>
                      <w:bCs/>
                      <w:color w:val="auto"/>
                      <w:sz w:val="21"/>
                      <w:szCs w:val="21"/>
                      <w:highlight w:val="none"/>
                      <w:u w:val="none" w:color="auto"/>
                      <w:lang w:val="en-US" w:eastAsia="zh-CN"/>
                    </w:rPr>
                    <w:t>，可妥善处理本项目产生的工业固体废物</w:t>
                  </w:r>
                </w:p>
              </w:tc>
              <w:tc>
                <w:tcPr>
                  <w:tcW w:w="523" w:type="pct"/>
                  <w:tcBorders>
                    <w:tl2br w:val="nil"/>
                    <w:tr2bl w:val="nil"/>
                  </w:tcBorders>
                  <w:noWrap w:val="0"/>
                  <w:vAlign w:val="center"/>
                </w:tcPr>
                <w:p w14:paraId="34E650E7">
                  <w:pPr>
                    <w:jc w:val="center"/>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lang w:eastAsia="zh-CN"/>
                    </w:rPr>
                    <w:t>符合</w:t>
                  </w:r>
                </w:p>
              </w:tc>
            </w:tr>
          </w:tbl>
          <w:p w14:paraId="1A12FF47">
            <w:pPr>
              <w:numPr>
                <w:ilvl w:val="0"/>
                <w:numId w:val="2"/>
              </w:numPr>
              <w:autoSpaceDE w:val="0"/>
              <w:autoSpaceDN w:val="0"/>
              <w:adjustRightInd w:val="0"/>
              <w:snapToGrid w:val="0"/>
              <w:spacing w:line="360" w:lineRule="auto"/>
              <w:rPr>
                <w:rFonts w:hint="eastAsia"/>
                <w:b/>
                <w:bCs/>
                <w:kern w:val="0"/>
                <w:szCs w:val="20"/>
                <w:u w:val="none" w:color="auto"/>
              </w:rPr>
            </w:pPr>
            <w:r>
              <w:rPr>
                <w:rFonts w:hint="default" w:ascii="Times New Roman" w:hAnsi="Times New Roman" w:eastAsia="宋体" w:cs="Times New Roman"/>
                <w:b/>
                <w:bCs/>
                <w:color w:val="000000"/>
                <w:sz w:val="24"/>
                <w:szCs w:val="24"/>
                <w:u w:val="none" w:color="auto"/>
                <w:lang w:val="en-US" w:eastAsia="zh-CN"/>
              </w:rPr>
              <w:t>与《长江经济带发展负面清单指南（试行，2022年版）》</w:t>
            </w:r>
            <w:r>
              <w:rPr>
                <w:rFonts w:hint="eastAsia" w:ascii="Times New Roman" w:hAnsi="Times New Roman" w:eastAsia="宋体" w:cs="Times New Roman"/>
                <w:b/>
                <w:bCs/>
                <w:color w:val="000000"/>
                <w:sz w:val="24"/>
                <w:szCs w:val="24"/>
                <w:u w:val="none" w:color="auto"/>
                <w:lang w:val="en-US" w:eastAsia="zh-CN"/>
              </w:rPr>
              <w:t>符合性分析</w:t>
            </w:r>
          </w:p>
          <w:p w14:paraId="00162B42">
            <w:pPr>
              <w:widowControl w:val="0"/>
              <w:numPr>
                <w:ilvl w:val="0"/>
                <w:numId w:val="0"/>
              </w:numPr>
              <w:autoSpaceDE w:val="0"/>
              <w:autoSpaceDN w:val="0"/>
              <w:adjustRightInd w:val="0"/>
              <w:snapToGrid w:val="0"/>
              <w:spacing w:line="240" w:lineRule="auto"/>
              <w:jc w:val="center"/>
              <w:rPr>
                <w:rFonts w:hint="eastAsia" w:eastAsia="宋体"/>
                <w:b/>
                <w:bCs/>
                <w:kern w:val="0"/>
                <w:szCs w:val="24"/>
                <w:u w:val="none" w:color="auto"/>
              </w:rPr>
            </w:pPr>
            <w:r>
              <w:rPr>
                <w:rFonts w:hint="default" w:ascii="Times New Roman" w:hAnsi="Times New Roman" w:eastAsia="宋体" w:cs="Times New Roman"/>
                <w:b/>
                <w:bCs/>
                <w:color w:val="auto"/>
                <w:sz w:val="24"/>
                <w:szCs w:val="24"/>
                <w:highlight w:val="none"/>
                <w:u w:val="none" w:color="auto"/>
              </w:rPr>
              <w:t>表1-</w:t>
            </w:r>
            <w:r>
              <w:rPr>
                <w:rFonts w:hint="eastAsia" w:ascii="Times New Roman" w:hAnsi="Times New Roman" w:eastAsia="宋体" w:cs="Times New Roman"/>
                <w:b/>
                <w:bCs/>
                <w:color w:val="auto"/>
                <w:sz w:val="24"/>
                <w:szCs w:val="24"/>
                <w:highlight w:val="none"/>
                <w:u w:val="none" w:color="auto"/>
                <w:lang w:val="en-US" w:eastAsia="zh-CN"/>
              </w:rPr>
              <w:t>7</w:t>
            </w:r>
            <w:r>
              <w:rPr>
                <w:rFonts w:hint="default" w:ascii="Times New Roman" w:hAnsi="Times New Roman" w:eastAsia="宋体" w:cs="Times New Roman"/>
                <w:b/>
                <w:bCs/>
                <w:color w:val="auto"/>
                <w:sz w:val="24"/>
                <w:szCs w:val="24"/>
                <w:highlight w:val="none"/>
                <w:u w:val="none" w:color="auto"/>
              </w:rPr>
              <w:t xml:space="preserve">  与</w:t>
            </w:r>
            <w:r>
              <w:rPr>
                <w:rFonts w:hint="default" w:ascii="Times New Roman" w:hAnsi="Times New Roman" w:eastAsia="宋体" w:cs="Times New Roman"/>
                <w:b/>
                <w:bCs/>
                <w:color w:val="auto"/>
                <w:spacing w:val="0"/>
                <w:sz w:val="24"/>
                <w:szCs w:val="24"/>
                <w:highlight w:val="none"/>
                <w:u w:val="none" w:color="auto"/>
                <w:lang w:eastAsia="zh-CN"/>
              </w:rPr>
              <w:t>《</w:t>
            </w:r>
            <w:r>
              <w:rPr>
                <w:rFonts w:hint="default" w:ascii="Times New Roman" w:hAnsi="Times New Roman" w:eastAsia="宋体" w:cs="Times New Roman"/>
                <w:b/>
                <w:bCs/>
                <w:color w:val="000000"/>
                <w:sz w:val="24"/>
                <w:szCs w:val="24"/>
                <w:u w:val="none" w:color="auto"/>
                <w:lang w:val="en-US" w:eastAsia="zh-CN"/>
              </w:rPr>
              <w:t>长江经济带发展负面清单指南（试行，2022年版）</w:t>
            </w:r>
            <w:r>
              <w:rPr>
                <w:rFonts w:hint="default" w:ascii="Times New Roman" w:hAnsi="Times New Roman" w:eastAsia="宋体" w:cs="Times New Roman"/>
                <w:b/>
                <w:bCs/>
                <w:color w:val="auto"/>
                <w:spacing w:val="0"/>
                <w:sz w:val="24"/>
                <w:szCs w:val="24"/>
                <w:highlight w:val="none"/>
                <w:u w:val="none" w:color="auto"/>
                <w:lang w:eastAsia="zh-CN"/>
              </w:rPr>
              <w:t>》</w:t>
            </w:r>
            <w:r>
              <w:rPr>
                <w:rFonts w:hint="default" w:ascii="Times New Roman" w:hAnsi="Times New Roman" w:eastAsia="宋体" w:cs="Times New Roman"/>
                <w:b/>
                <w:bCs/>
                <w:color w:val="auto"/>
                <w:sz w:val="24"/>
                <w:szCs w:val="24"/>
                <w:highlight w:val="none"/>
                <w:u w:val="none" w:color="auto"/>
              </w:rPr>
              <w:t>的符合性分析</w:t>
            </w:r>
            <w:r>
              <w:rPr>
                <w:rFonts w:hint="eastAsia" w:ascii="Times New Roman" w:hAnsi="Times New Roman" w:eastAsia="宋体" w:cs="Times New Roman"/>
                <w:b/>
                <w:bCs/>
                <w:color w:val="auto"/>
                <w:sz w:val="24"/>
                <w:szCs w:val="24"/>
                <w:highlight w:val="none"/>
                <w:u w:val="none" w:color="auto"/>
                <w:lang w:val="en-US" w:eastAsia="zh-CN"/>
              </w:rPr>
              <w:t>一览表</w:t>
            </w:r>
          </w:p>
          <w:tbl>
            <w:tblPr>
              <w:tblStyle w:val="31"/>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3051"/>
              <w:gridCol w:w="2016"/>
              <w:gridCol w:w="658"/>
            </w:tblGrid>
            <w:tr w14:paraId="24B7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38" w:type="dxa"/>
                  <w:noWrap w:val="0"/>
                  <w:vAlign w:val="center"/>
                </w:tcPr>
                <w:p w14:paraId="1FA958D8">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lang w:eastAsia="zh-CN"/>
                    </w:rPr>
                  </w:pPr>
                  <w:r>
                    <w:rPr>
                      <w:rFonts w:hint="default" w:ascii="Times New Roman" w:hAnsi="Times New Roman" w:eastAsia="宋体" w:cs="Times New Roman"/>
                      <w:b w:val="0"/>
                      <w:bCs w:val="0"/>
                      <w:color w:val="000000"/>
                      <w:sz w:val="21"/>
                      <w:szCs w:val="21"/>
                      <w:highlight w:val="none"/>
                      <w:u w:val="none" w:color="auto"/>
                      <w:lang w:eastAsia="zh-CN"/>
                    </w:rPr>
                    <w:t>序号</w:t>
                  </w:r>
                </w:p>
              </w:tc>
              <w:tc>
                <w:tcPr>
                  <w:tcW w:w="3051" w:type="dxa"/>
                  <w:noWrap w:val="0"/>
                  <w:vAlign w:val="center"/>
                </w:tcPr>
                <w:p w14:paraId="652F813F">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lang w:eastAsia="zh-CN"/>
                    </w:rPr>
                  </w:pPr>
                  <w:r>
                    <w:rPr>
                      <w:rFonts w:hint="default" w:ascii="Times New Roman" w:hAnsi="Times New Roman" w:eastAsia="宋体" w:cs="Times New Roman"/>
                      <w:b w:val="0"/>
                      <w:bCs w:val="0"/>
                      <w:color w:val="000000"/>
                      <w:sz w:val="21"/>
                      <w:szCs w:val="21"/>
                      <w:highlight w:val="none"/>
                      <w:u w:val="none" w:color="auto"/>
                      <w:lang w:eastAsia="zh-CN"/>
                    </w:rPr>
                    <w:t>指南要求</w:t>
                  </w:r>
                </w:p>
              </w:tc>
              <w:tc>
                <w:tcPr>
                  <w:tcW w:w="2016" w:type="dxa"/>
                  <w:noWrap w:val="0"/>
                  <w:vAlign w:val="center"/>
                </w:tcPr>
                <w:p w14:paraId="4D4729D2">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rPr>
                  </w:pPr>
                  <w:r>
                    <w:rPr>
                      <w:rFonts w:hint="default" w:ascii="Times New Roman" w:hAnsi="Times New Roman" w:eastAsia="宋体" w:cs="Times New Roman"/>
                      <w:b w:val="0"/>
                      <w:bCs w:val="0"/>
                      <w:color w:val="000000"/>
                      <w:sz w:val="21"/>
                      <w:szCs w:val="21"/>
                      <w:highlight w:val="none"/>
                      <w:u w:val="none" w:color="auto"/>
                    </w:rPr>
                    <w:t>本项目情况</w:t>
                  </w:r>
                </w:p>
              </w:tc>
              <w:tc>
                <w:tcPr>
                  <w:tcW w:w="658" w:type="dxa"/>
                  <w:noWrap w:val="0"/>
                  <w:vAlign w:val="center"/>
                </w:tcPr>
                <w:p w14:paraId="09FB5EEA">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lang w:val="en-US" w:eastAsia="zh-CN"/>
                    </w:rPr>
                  </w:pPr>
                  <w:r>
                    <w:rPr>
                      <w:rFonts w:hint="eastAsia" w:ascii="Times New Roman" w:hAnsi="Times New Roman" w:eastAsia="宋体" w:cs="Times New Roman"/>
                      <w:b w:val="0"/>
                      <w:bCs w:val="0"/>
                      <w:color w:val="000000"/>
                      <w:sz w:val="21"/>
                      <w:szCs w:val="21"/>
                      <w:highlight w:val="none"/>
                      <w:u w:val="none" w:color="auto"/>
                      <w:lang w:val="en-US" w:eastAsia="zh-CN"/>
                    </w:rPr>
                    <w:t>符合情况</w:t>
                  </w:r>
                </w:p>
              </w:tc>
            </w:tr>
            <w:tr w14:paraId="427E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738" w:type="dxa"/>
                  <w:noWrap w:val="0"/>
                  <w:vAlign w:val="center"/>
                </w:tcPr>
                <w:p w14:paraId="72A9365D">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lang w:eastAsia="zh-CN"/>
                    </w:rPr>
                  </w:pPr>
                  <w:r>
                    <w:rPr>
                      <w:rFonts w:hint="default" w:ascii="Times New Roman" w:hAnsi="Times New Roman" w:eastAsia="宋体" w:cs="Times New Roman"/>
                      <w:b w:val="0"/>
                      <w:bCs w:val="0"/>
                      <w:color w:val="000000"/>
                      <w:sz w:val="21"/>
                      <w:szCs w:val="21"/>
                      <w:highlight w:val="none"/>
                      <w:u w:val="none" w:color="auto"/>
                      <w:lang w:val="en-US" w:eastAsia="zh-CN"/>
                    </w:rPr>
                    <w:t>1</w:t>
                  </w:r>
                </w:p>
              </w:tc>
              <w:tc>
                <w:tcPr>
                  <w:tcW w:w="3051" w:type="dxa"/>
                  <w:noWrap w:val="0"/>
                  <w:vAlign w:val="center"/>
                </w:tcPr>
                <w:p w14:paraId="2B81F14A">
                  <w:pPr>
                    <w:pageBreakBefore w:val="0"/>
                    <w:widowControl/>
                    <w:shd w:val="clear" w:color="auto" w:fill="auto"/>
                    <w:bidi w:val="0"/>
                    <w:snapToGrid w:val="0"/>
                    <w:jc w:val="center"/>
                    <w:rPr>
                      <w:rFonts w:hint="default" w:ascii="Times New Roman" w:hAnsi="Times New Roman" w:eastAsia="宋体" w:cs="Times New Roman"/>
                      <w:b w:val="0"/>
                      <w:bCs w:val="0"/>
                      <w:color w:val="000000"/>
                      <w:sz w:val="21"/>
                      <w:szCs w:val="21"/>
                      <w:highlight w:val="none"/>
                      <w:u w:val="none" w:color="auto"/>
                    </w:rPr>
                  </w:pPr>
                  <w:r>
                    <w:rPr>
                      <w:rFonts w:hint="default" w:ascii="Times New Roman" w:hAnsi="Times New Roman" w:eastAsia="宋体" w:cs="Times New Roman"/>
                      <w:b w:val="0"/>
                      <w:bCs w:val="0"/>
                      <w:color w:val="000000"/>
                      <w:sz w:val="21"/>
                      <w:szCs w:val="21"/>
                      <w:highlight w:val="none"/>
                      <w:u w:val="none" w:color="auto"/>
                    </w:rPr>
                    <w:t>禁止在自然保护区核心区；缓冲区的岸线和河段范围内</w:t>
                  </w:r>
                  <w:r>
                    <w:rPr>
                      <w:rFonts w:hint="default" w:ascii="Times New Roman" w:hAnsi="Times New Roman" w:eastAsia="宋体" w:cs="Times New Roman"/>
                      <w:b w:val="0"/>
                      <w:bCs w:val="0"/>
                      <w:color w:val="000000"/>
                      <w:sz w:val="21"/>
                      <w:szCs w:val="21"/>
                      <w:highlight w:val="none"/>
                      <w:u w:val="none" w:color="auto"/>
                      <w:lang w:eastAsia="zh-CN"/>
                    </w:rPr>
                    <w:t>投</w:t>
                  </w:r>
                  <w:r>
                    <w:rPr>
                      <w:rFonts w:hint="default" w:ascii="Times New Roman" w:hAnsi="Times New Roman" w:eastAsia="宋体" w:cs="Times New Roman"/>
                      <w:b w:val="0"/>
                      <w:bCs w:val="0"/>
                      <w:color w:val="000000"/>
                      <w:sz w:val="21"/>
                      <w:szCs w:val="21"/>
                      <w:highlight w:val="none"/>
                      <w:u w:val="none" w:color="auto"/>
                    </w:rPr>
                    <w:t>资</w:t>
                  </w:r>
                  <w:r>
                    <w:rPr>
                      <w:rFonts w:hint="default" w:ascii="Times New Roman" w:hAnsi="Times New Roman" w:eastAsia="宋体" w:cs="Times New Roman"/>
                      <w:b w:val="0"/>
                      <w:bCs w:val="0"/>
                      <w:color w:val="000000"/>
                      <w:sz w:val="21"/>
                      <w:szCs w:val="21"/>
                      <w:highlight w:val="none"/>
                      <w:u w:val="none" w:color="auto"/>
                      <w:lang w:eastAsia="zh-CN"/>
                    </w:rPr>
                    <w:t>建设</w:t>
                  </w:r>
                  <w:r>
                    <w:rPr>
                      <w:rFonts w:hint="default" w:ascii="Times New Roman" w:hAnsi="Times New Roman" w:eastAsia="宋体" w:cs="Times New Roman"/>
                      <w:b w:val="0"/>
                      <w:bCs w:val="0"/>
                      <w:color w:val="000000"/>
                      <w:sz w:val="21"/>
                      <w:szCs w:val="21"/>
                      <w:highlight w:val="none"/>
                      <w:u w:val="none" w:color="auto"/>
                    </w:rPr>
                    <w:t>旅游</w:t>
                  </w:r>
                  <w:r>
                    <w:rPr>
                      <w:rFonts w:hint="default" w:ascii="Times New Roman" w:hAnsi="Times New Roman" w:eastAsia="宋体" w:cs="Times New Roman"/>
                      <w:b w:val="0"/>
                      <w:bCs w:val="0"/>
                      <w:color w:val="000000"/>
                      <w:sz w:val="21"/>
                      <w:szCs w:val="21"/>
                      <w:highlight w:val="none"/>
                      <w:u w:val="none" w:color="auto"/>
                      <w:lang w:eastAsia="zh-CN"/>
                    </w:rPr>
                    <w:t>和生产经营项目。禁止在风景名胜区核心景区的岸线和河段范围内投资建设与风景名胜资源保护无关的项目。</w:t>
                  </w:r>
                </w:p>
              </w:tc>
              <w:tc>
                <w:tcPr>
                  <w:tcW w:w="2016" w:type="dxa"/>
                  <w:vMerge w:val="restart"/>
                  <w:noWrap w:val="0"/>
                  <w:vAlign w:val="center"/>
                </w:tcPr>
                <w:p w14:paraId="1E5D4156">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Times New Roman" w:hAnsi="Times New Roman" w:eastAsia="宋体" w:cs="Times New Roman"/>
                      <w:b w:val="0"/>
                      <w:bCs w:val="0"/>
                      <w:color w:val="000000"/>
                      <w:sz w:val="21"/>
                      <w:szCs w:val="21"/>
                      <w:highlight w:val="none"/>
                      <w:u w:val="none" w:color="auto"/>
                    </w:rPr>
                    <w:t>本项目</w:t>
                  </w:r>
                  <w:r>
                    <w:rPr>
                      <w:rFonts w:hint="eastAsia" w:ascii="Times New Roman" w:hAnsi="Times New Roman" w:eastAsia="宋体" w:cs="Times New Roman"/>
                      <w:b w:val="0"/>
                      <w:bCs w:val="0"/>
                      <w:color w:val="000000"/>
                      <w:sz w:val="21"/>
                      <w:szCs w:val="21"/>
                      <w:highlight w:val="none"/>
                      <w:u w:val="none" w:color="auto"/>
                      <w:lang w:val="en-US" w:eastAsia="zh-CN"/>
                    </w:rPr>
                    <w:t>位于</w:t>
                  </w:r>
                  <w:r>
                    <w:rPr>
                      <w:rFonts w:hint="default" w:ascii="Times New Roman" w:hAnsi="Times New Roman" w:eastAsia="宋体" w:cs="Times New Roman"/>
                      <w:b w:val="0"/>
                      <w:bCs w:val="0"/>
                      <w:color w:val="000000"/>
                      <w:sz w:val="21"/>
                      <w:szCs w:val="21"/>
                      <w:highlight w:val="none"/>
                      <w:u w:val="none" w:color="auto"/>
                      <w:lang w:eastAsia="zh-CN"/>
                    </w:rPr>
                    <w:t>湖南岳阳城陵矶新港区</w:t>
                  </w:r>
                  <w:r>
                    <w:rPr>
                      <w:rFonts w:hint="eastAsia" w:cs="Times New Roman"/>
                      <w:b w:val="0"/>
                      <w:bCs w:val="0"/>
                      <w:color w:val="000000"/>
                      <w:sz w:val="21"/>
                      <w:szCs w:val="21"/>
                      <w:highlight w:val="none"/>
                      <w:u w:val="none" w:color="auto"/>
                      <w:lang w:val="en-US" w:eastAsia="zh-CN"/>
                    </w:rPr>
                    <w:t>内</w:t>
                  </w:r>
                  <w:r>
                    <w:rPr>
                      <w:rFonts w:hint="default" w:ascii="Times New Roman" w:hAnsi="Times New Roman" w:eastAsia="宋体" w:cs="Times New Roman"/>
                      <w:b w:val="0"/>
                      <w:bCs w:val="0"/>
                      <w:color w:val="000000"/>
                      <w:sz w:val="21"/>
                      <w:szCs w:val="21"/>
                      <w:highlight w:val="none"/>
                      <w:u w:val="none" w:color="auto"/>
                    </w:rPr>
                    <w:t>，</w:t>
                  </w:r>
                  <w:r>
                    <w:rPr>
                      <w:rFonts w:hint="default" w:ascii="Times New Roman" w:hAnsi="Times New Roman" w:eastAsia="宋体" w:cs="Times New Roman"/>
                      <w:b w:val="0"/>
                      <w:bCs w:val="0"/>
                      <w:color w:val="000000"/>
                      <w:sz w:val="21"/>
                      <w:szCs w:val="21"/>
                      <w:highlight w:val="none"/>
                      <w:u w:val="none" w:color="auto"/>
                      <w:lang w:eastAsia="zh-CN"/>
                    </w:rPr>
                    <w:t>不涉及自然保护区、风景名胜区、饮用水源一级保护区及二级保护区</w:t>
                  </w:r>
                </w:p>
              </w:tc>
              <w:tc>
                <w:tcPr>
                  <w:tcW w:w="658" w:type="dxa"/>
                  <w:noWrap w:val="0"/>
                  <w:vAlign w:val="center"/>
                </w:tcPr>
                <w:p w14:paraId="62C638AC">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rPr>
                  </w:pPr>
                  <w:r>
                    <w:rPr>
                      <w:rFonts w:hint="default" w:ascii="Times New Roman" w:hAnsi="Times New Roman" w:eastAsia="宋体" w:cs="Times New Roman"/>
                      <w:b w:val="0"/>
                      <w:bCs w:val="0"/>
                      <w:color w:val="000000"/>
                      <w:sz w:val="21"/>
                      <w:szCs w:val="21"/>
                      <w:highlight w:val="none"/>
                      <w:u w:val="none" w:color="auto"/>
                    </w:rPr>
                    <w:t>符合</w:t>
                  </w:r>
                </w:p>
              </w:tc>
            </w:tr>
            <w:tr w14:paraId="6DB6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38" w:type="dxa"/>
                  <w:noWrap w:val="0"/>
                  <w:vAlign w:val="center"/>
                </w:tcPr>
                <w:p w14:paraId="32B837C0">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lang w:eastAsia="zh-CN"/>
                    </w:rPr>
                  </w:pPr>
                  <w:r>
                    <w:rPr>
                      <w:rFonts w:hint="default" w:ascii="Times New Roman" w:hAnsi="Times New Roman" w:eastAsia="宋体" w:cs="Times New Roman"/>
                      <w:b w:val="0"/>
                      <w:bCs w:val="0"/>
                      <w:color w:val="000000"/>
                      <w:sz w:val="21"/>
                      <w:szCs w:val="21"/>
                      <w:highlight w:val="none"/>
                      <w:u w:val="none" w:color="auto"/>
                      <w:lang w:val="en-US" w:eastAsia="zh-CN"/>
                    </w:rPr>
                    <w:t>2</w:t>
                  </w:r>
                </w:p>
              </w:tc>
              <w:tc>
                <w:tcPr>
                  <w:tcW w:w="3051" w:type="dxa"/>
                  <w:noWrap w:val="0"/>
                  <w:vAlign w:val="center"/>
                </w:tcPr>
                <w:p w14:paraId="32CFD8C0">
                  <w:pPr>
                    <w:pageBreakBefore w:val="0"/>
                    <w:widowControl/>
                    <w:shd w:val="clear" w:color="auto" w:fill="auto"/>
                    <w:bidi w:val="0"/>
                    <w:snapToGrid w:val="0"/>
                    <w:jc w:val="center"/>
                    <w:rPr>
                      <w:rFonts w:hint="default" w:ascii="Times New Roman" w:hAnsi="Times New Roman" w:eastAsia="宋体" w:cs="Times New Roman"/>
                      <w:b w:val="0"/>
                      <w:bCs w:val="0"/>
                      <w:color w:val="000000"/>
                      <w:sz w:val="21"/>
                      <w:szCs w:val="21"/>
                      <w:highlight w:val="none"/>
                      <w:u w:val="none" w:color="auto"/>
                    </w:rPr>
                  </w:pPr>
                  <w:r>
                    <w:rPr>
                      <w:rFonts w:hint="default" w:ascii="Times New Roman" w:hAnsi="Times New Roman" w:eastAsia="宋体" w:cs="Times New Roman"/>
                      <w:b w:val="0"/>
                      <w:bCs w:val="0"/>
                      <w:color w:val="000000"/>
                      <w:sz w:val="21"/>
                      <w:szCs w:val="21"/>
                      <w:highlight w:val="none"/>
                      <w:u w:val="none" w:color="auto"/>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2016" w:type="dxa"/>
                  <w:vMerge w:val="continue"/>
                  <w:noWrap w:val="0"/>
                  <w:vAlign w:val="center"/>
                </w:tcPr>
                <w:p w14:paraId="336F15B7">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lang w:val="en-US" w:eastAsia="zh-CN"/>
                    </w:rPr>
                  </w:pPr>
                </w:p>
              </w:tc>
              <w:tc>
                <w:tcPr>
                  <w:tcW w:w="658" w:type="dxa"/>
                  <w:noWrap w:val="0"/>
                  <w:vAlign w:val="center"/>
                </w:tcPr>
                <w:p w14:paraId="56C7C87C">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rPr>
                  </w:pPr>
                  <w:r>
                    <w:rPr>
                      <w:rFonts w:hint="default" w:ascii="Times New Roman" w:hAnsi="Times New Roman" w:eastAsia="宋体" w:cs="Times New Roman"/>
                      <w:b w:val="0"/>
                      <w:bCs w:val="0"/>
                      <w:color w:val="000000"/>
                      <w:sz w:val="21"/>
                      <w:szCs w:val="21"/>
                      <w:highlight w:val="none"/>
                      <w:u w:val="none" w:color="auto"/>
                    </w:rPr>
                    <w:t>符合</w:t>
                  </w:r>
                </w:p>
              </w:tc>
            </w:tr>
            <w:tr w14:paraId="5E36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38" w:type="dxa"/>
                  <w:noWrap w:val="0"/>
                  <w:vAlign w:val="center"/>
                </w:tcPr>
                <w:p w14:paraId="26FC98DC">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Times New Roman" w:hAnsi="Times New Roman" w:eastAsia="宋体" w:cs="Times New Roman"/>
                      <w:b w:val="0"/>
                      <w:bCs w:val="0"/>
                      <w:color w:val="000000"/>
                      <w:sz w:val="21"/>
                      <w:szCs w:val="21"/>
                      <w:highlight w:val="none"/>
                      <w:u w:val="none" w:color="auto"/>
                      <w:lang w:val="en-US" w:eastAsia="zh-CN"/>
                    </w:rPr>
                    <w:t>3</w:t>
                  </w:r>
                </w:p>
              </w:tc>
              <w:tc>
                <w:tcPr>
                  <w:tcW w:w="3051" w:type="dxa"/>
                  <w:noWrap w:val="0"/>
                  <w:vAlign w:val="center"/>
                </w:tcPr>
                <w:p w14:paraId="77E8388A">
                  <w:pPr>
                    <w:pageBreakBefore w:val="0"/>
                    <w:widowControl/>
                    <w:shd w:val="clear" w:color="auto" w:fill="auto"/>
                    <w:bidi w:val="0"/>
                    <w:snapToGrid w:val="0"/>
                    <w:jc w:val="center"/>
                    <w:rPr>
                      <w:rFonts w:hint="default" w:ascii="Times New Roman" w:hAnsi="Times New Roman" w:eastAsia="宋体" w:cs="Times New Roman"/>
                      <w:b w:val="0"/>
                      <w:bCs w:val="0"/>
                      <w:color w:val="000000"/>
                      <w:sz w:val="21"/>
                      <w:szCs w:val="21"/>
                      <w:highlight w:val="none"/>
                      <w:u w:val="none" w:color="auto"/>
                      <w:lang w:eastAsia="zh-CN"/>
                    </w:rPr>
                  </w:pPr>
                  <w:r>
                    <w:rPr>
                      <w:rFonts w:hint="default" w:ascii="Times New Roman" w:hAnsi="Times New Roman" w:eastAsia="宋体" w:cs="Times New Roman"/>
                      <w:b w:val="0"/>
                      <w:bCs w:val="0"/>
                      <w:color w:val="000000"/>
                      <w:sz w:val="21"/>
                      <w:szCs w:val="21"/>
                      <w:highlight w:val="none"/>
                      <w:u w:val="none" w:color="auto"/>
                      <w:lang w:eastAsia="zh-CN"/>
                    </w:rPr>
                    <w:t>禁止未经许可在长江支流及湖泊新设、改设或扩大排污口。</w:t>
                  </w:r>
                </w:p>
              </w:tc>
              <w:tc>
                <w:tcPr>
                  <w:tcW w:w="2016" w:type="dxa"/>
                  <w:noWrap w:val="0"/>
                  <w:vAlign w:val="center"/>
                </w:tcPr>
                <w:p w14:paraId="3E7C9A49">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本项目</w:t>
                  </w:r>
                  <w:r>
                    <w:rPr>
                      <w:rFonts w:hint="eastAsia" w:ascii="Times New Roman" w:hAnsi="Times New Roman" w:eastAsia="宋体" w:cs="Times New Roman"/>
                      <w:sz w:val="21"/>
                      <w:szCs w:val="21"/>
                      <w:highlight w:val="none"/>
                      <w:u w:val="none" w:color="auto"/>
                      <w:lang w:val="en-US" w:eastAsia="zh-CN"/>
                    </w:rPr>
                    <w:t>无生产废水产生</w:t>
                  </w:r>
                  <w:r>
                    <w:rPr>
                      <w:rFonts w:hint="default" w:ascii="Times New Roman" w:hAnsi="Times New Roman" w:eastAsia="宋体" w:cs="Times New Roman"/>
                      <w:sz w:val="21"/>
                      <w:szCs w:val="21"/>
                      <w:highlight w:val="none"/>
                      <w:u w:val="none" w:color="auto"/>
                      <w:lang w:eastAsia="zh-CN"/>
                    </w:rPr>
                    <w:t>，</w:t>
                  </w:r>
                  <w:r>
                    <w:rPr>
                      <w:rFonts w:hint="default" w:ascii="Times New Roman" w:hAnsi="Times New Roman" w:eastAsia="宋体" w:cs="Times New Roman"/>
                      <w:sz w:val="21"/>
                      <w:szCs w:val="21"/>
                      <w:highlight w:val="none"/>
                      <w:u w:val="none" w:color="auto"/>
                      <w:lang w:val="en-US" w:eastAsia="zh-CN"/>
                    </w:rPr>
                    <w:t>生活污水</w:t>
                  </w:r>
                  <w:r>
                    <w:rPr>
                      <w:rFonts w:hint="eastAsia" w:ascii="Times New Roman" w:hAnsi="Times New Roman" w:eastAsia="宋体" w:cs="Times New Roman"/>
                      <w:sz w:val="21"/>
                      <w:szCs w:val="21"/>
                      <w:highlight w:val="none"/>
                      <w:u w:val="none" w:color="auto"/>
                      <w:lang w:val="en-US" w:eastAsia="zh-CN"/>
                    </w:rPr>
                    <w:t>经</w:t>
                  </w:r>
                  <w:r>
                    <w:rPr>
                      <w:rFonts w:hint="default" w:ascii="Times New Roman" w:hAnsi="Times New Roman" w:eastAsia="宋体" w:cs="Times New Roman"/>
                      <w:sz w:val="21"/>
                      <w:szCs w:val="21"/>
                      <w:highlight w:val="none"/>
                      <w:u w:val="none" w:color="auto"/>
                      <w:lang w:val="en-US" w:eastAsia="zh-CN"/>
                    </w:rPr>
                    <w:t>化粪池处理</w:t>
                  </w:r>
                  <w:r>
                    <w:rPr>
                      <w:rFonts w:hint="default" w:ascii="Times New Roman" w:hAnsi="Times New Roman" w:eastAsia="宋体" w:cs="Times New Roman"/>
                      <w:bCs/>
                      <w:color w:val="000000"/>
                      <w:sz w:val="21"/>
                      <w:szCs w:val="21"/>
                      <w:highlight w:val="none"/>
                      <w:u w:val="none" w:color="auto"/>
                      <w:lang w:val="en-US" w:eastAsia="zh-CN"/>
                    </w:rPr>
                    <w:t>后排入岳阳市三峡水环境综合治理有限责任公司临港水质净化厂进一步处理</w:t>
                  </w:r>
                </w:p>
              </w:tc>
              <w:tc>
                <w:tcPr>
                  <w:tcW w:w="658" w:type="dxa"/>
                  <w:noWrap w:val="0"/>
                  <w:vAlign w:val="center"/>
                </w:tcPr>
                <w:p w14:paraId="7B82FDE0">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rPr>
                  </w:pPr>
                  <w:r>
                    <w:rPr>
                      <w:rFonts w:hint="default" w:ascii="Times New Roman" w:hAnsi="Times New Roman" w:eastAsia="宋体" w:cs="Times New Roman"/>
                      <w:b w:val="0"/>
                      <w:bCs w:val="0"/>
                      <w:color w:val="000000"/>
                      <w:sz w:val="21"/>
                      <w:szCs w:val="21"/>
                      <w:highlight w:val="none"/>
                      <w:u w:val="none" w:color="auto"/>
                    </w:rPr>
                    <w:t>符合</w:t>
                  </w:r>
                </w:p>
              </w:tc>
            </w:tr>
            <w:tr w14:paraId="6AC1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38" w:type="dxa"/>
                  <w:noWrap w:val="0"/>
                  <w:vAlign w:val="center"/>
                </w:tcPr>
                <w:p w14:paraId="0BAF9DFD">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Times New Roman" w:hAnsi="Times New Roman" w:eastAsia="宋体" w:cs="Times New Roman"/>
                      <w:b w:val="0"/>
                      <w:bCs w:val="0"/>
                      <w:color w:val="000000"/>
                      <w:sz w:val="21"/>
                      <w:szCs w:val="21"/>
                      <w:highlight w:val="none"/>
                      <w:u w:val="none" w:color="auto"/>
                      <w:lang w:val="en-US" w:eastAsia="zh-CN"/>
                    </w:rPr>
                    <w:t>4</w:t>
                  </w:r>
                </w:p>
              </w:tc>
              <w:tc>
                <w:tcPr>
                  <w:tcW w:w="3051" w:type="dxa"/>
                  <w:noWrap w:val="0"/>
                  <w:vAlign w:val="center"/>
                </w:tcPr>
                <w:p w14:paraId="198E05FE">
                  <w:pPr>
                    <w:pageBreakBefore w:val="0"/>
                    <w:widowControl/>
                    <w:shd w:val="clear" w:color="auto" w:fill="auto"/>
                    <w:bidi w:val="0"/>
                    <w:snapToGrid w:val="0"/>
                    <w:jc w:val="center"/>
                    <w:rPr>
                      <w:rFonts w:hint="default" w:ascii="Times New Roman" w:hAnsi="Times New Roman" w:eastAsia="宋体" w:cs="Times New Roman"/>
                      <w:b w:val="0"/>
                      <w:bCs w:val="0"/>
                      <w:color w:val="000000"/>
                      <w:sz w:val="21"/>
                      <w:szCs w:val="21"/>
                      <w:highlight w:val="none"/>
                      <w:u w:val="none" w:color="auto"/>
                    </w:rPr>
                  </w:pPr>
                  <w:r>
                    <w:rPr>
                      <w:rFonts w:hint="default" w:ascii="Times New Roman" w:hAnsi="Times New Roman" w:eastAsia="宋体" w:cs="Times New Roman"/>
                      <w:b w:val="0"/>
                      <w:bCs w:val="0"/>
                      <w:color w:val="000000"/>
                      <w:sz w:val="21"/>
                      <w:szCs w:val="21"/>
                      <w:highlight w:val="none"/>
                      <w:u w:val="none" w:color="auto"/>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2016" w:type="dxa"/>
                  <w:noWrap w:val="0"/>
                  <w:vAlign w:val="center"/>
                </w:tcPr>
                <w:p w14:paraId="678E1EB8">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本项目</w:t>
                  </w:r>
                  <w:r>
                    <w:rPr>
                      <w:rFonts w:hint="eastAsia" w:ascii="Times New Roman" w:hAnsi="Times New Roman" w:eastAsia="宋体" w:cs="Times New Roman"/>
                      <w:b w:val="0"/>
                      <w:bCs w:val="0"/>
                      <w:color w:val="auto"/>
                      <w:sz w:val="21"/>
                      <w:szCs w:val="21"/>
                      <w:highlight w:val="none"/>
                      <w:u w:val="none" w:color="auto"/>
                      <w:lang w:val="en-US" w:eastAsia="zh-CN"/>
                    </w:rPr>
                    <w:t>为</w:t>
                  </w:r>
                  <w:r>
                    <w:rPr>
                      <w:rFonts w:hint="eastAsia" w:ascii="Times New Roman" w:hAnsi="Times New Roman" w:eastAsia="宋体" w:cs="Times New Roman"/>
                      <w:color w:val="auto"/>
                      <w:sz w:val="21"/>
                      <w:szCs w:val="21"/>
                      <w:highlight w:val="none"/>
                      <w:u w:val="none" w:color="auto"/>
                    </w:rPr>
                    <w:t>非金属废料和碎屑加工处理</w:t>
                  </w:r>
                  <w:r>
                    <w:rPr>
                      <w:rFonts w:hint="eastAsia" w:ascii="Times New Roman" w:hAnsi="Times New Roman" w:eastAsia="宋体" w:cs="Times New Roman"/>
                      <w:color w:val="auto"/>
                      <w:sz w:val="21"/>
                      <w:szCs w:val="21"/>
                      <w:highlight w:val="none"/>
                      <w:u w:val="none" w:color="auto"/>
                      <w:lang w:val="en-US" w:eastAsia="zh-CN"/>
                    </w:rPr>
                    <w:t>项目，非化工、尾矿库等项目</w:t>
                  </w:r>
                </w:p>
              </w:tc>
              <w:tc>
                <w:tcPr>
                  <w:tcW w:w="658" w:type="dxa"/>
                  <w:noWrap w:val="0"/>
                  <w:vAlign w:val="center"/>
                </w:tcPr>
                <w:p w14:paraId="66D81D35">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rPr>
                  </w:pPr>
                  <w:r>
                    <w:rPr>
                      <w:rFonts w:hint="default" w:ascii="Times New Roman" w:hAnsi="Times New Roman" w:eastAsia="宋体" w:cs="Times New Roman"/>
                      <w:b w:val="0"/>
                      <w:bCs w:val="0"/>
                      <w:color w:val="000000"/>
                      <w:sz w:val="21"/>
                      <w:szCs w:val="21"/>
                      <w:highlight w:val="none"/>
                      <w:u w:val="none" w:color="auto"/>
                    </w:rPr>
                    <w:t>符合</w:t>
                  </w:r>
                </w:p>
              </w:tc>
            </w:tr>
            <w:tr w14:paraId="5A1C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38" w:type="dxa"/>
                  <w:noWrap w:val="0"/>
                  <w:vAlign w:val="center"/>
                </w:tcPr>
                <w:p w14:paraId="39F795D0">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Times New Roman" w:hAnsi="Times New Roman" w:eastAsia="宋体" w:cs="Times New Roman"/>
                      <w:b w:val="0"/>
                      <w:bCs w:val="0"/>
                      <w:color w:val="000000"/>
                      <w:sz w:val="21"/>
                      <w:szCs w:val="21"/>
                      <w:highlight w:val="none"/>
                      <w:u w:val="none" w:color="auto"/>
                      <w:lang w:val="en-US" w:eastAsia="zh-CN"/>
                    </w:rPr>
                    <w:t>5</w:t>
                  </w:r>
                </w:p>
              </w:tc>
              <w:tc>
                <w:tcPr>
                  <w:tcW w:w="3051" w:type="dxa"/>
                  <w:noWrap w:val="0"/>
                  <w:vAlign w:val="center"/>
                </w:tcPr>
                <w:p w14:paraId="56619875">
                  <w:pPr>
                    <w:pageBreakBefore w:val="0"/>
                    <w:widowControl/>
                    <w:shd w:val="clear" w:color="auto" w:fill="auto"/>
                    <w:bidi w:val="0"/>
                    <w:snapToGrid w:val="0"/>
                    <w:jc w:val="center"/>
                    <w:rPr>
                      <w:rFonts w:hint="default" w:ascii="Times New Roman" w:hAnsi="Times New Roman" w:eastAsia="宋体" w:cs="Times New Roman"/>
                      <w:b w:val="0"/>
                      <w:bCs w:val="0"/>
                      <w:color w:val="000000"/>
                      <w:sz w:val="21"/>
                      <w:szCs w:val="21"/>
                      <w:highlight w:val="none"/>
                      <w:u w:val="none" w:color="auto"/>
                      <w:lang w:eastAsia="zh-CN"/>
                    </w:rPr>
                  </w:pPr>
                  <w:r>
                    <w:rPr>
                      <w:rFonts w:hint="default" w:ascii="Times New Roman" w:hAnsi="Times New Roman" w:eastAsia="宋体" w:cs="Times New Roman"/>
                      <w:b w:val="0"/>
                      <w:bCs w:val="0"/>
                      <w:color w:val="000000"/>
                      <w:sz w:val="21"/>
                      <w:szCs w:val="21"/>
                      <w:highlight w:val="none"/>
                      <w:u w:val="none" w:color="auto"/>
                      <w:lang w:eastAsia="zh-CN"/>
                    </w:rPr>
                    <w:t>禁止在合规园区外新建、扩建钢铁、石化、化工、焦化、建材、有色、制浆造纸等高污染项目。</w:t>
                  </w:r>
                </w:p>
              </w:tc>
              <w:tc>
                <w:tcPr>
                  <w:tcW w:w="2016" w:type="dxa"/>
                  <w:noWrap w:val="0"/>
                  <w:vAlign w:val="center"/>
                </w:tcPr>
                <w:p w14:paraId="4B79088F">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本项目位于</w:t>
                  </w:r>
                  <w:r>
                    <w:rPr>
                      <w:rFonts w:hint="default" w:ascii="Times New Roman" w:hAnsi="Times New Roman" w:eastAsia="宋体" w:cs="Times New Roman"/>
                      <w:b w:val="0"/>
                      <w:bCs w:val="0"/>
                      <w:color w:val="auto"/>
                      <w:sz w:val="21"/>
                      <w:szCs w:val="21"/>
                      <w:highlight w:val="none"/>
                      <w:u w:val="none" w:color="auto"/>
                    </w:rPr>
                    <w:t>湖南城陵矶临港产业新区</w:t>
                  </w:r>
                  <w:r>
                    <w:rPr>
                      <w:rFonts w:hint="default" w:ascii="Times New Roman" w:hAnsi="Times New Roman" w:eastAsia="宋体" w:cs="Times New Roman"/>
                      <w:b w:val="0"/>
                      <w:bCs w:val="0"/>
                      <w:color w:val="auto"/>
                      <w:sz w:val="21"/>
                      <w:szCs w:val="21"/>
                      <w:highlight w:val="none"/>
                      <w:u w:val="none" w:color="auto"/>
                      <w:lang w:eastAsia="zh-CN"/>
                    </w:rPr>
                    <w:t>内</w:t>
                  </w:r>
                  <w:r>
                    <w:rPr>
                      <w:rFonts w:hint="default" w:ascii="Times New Roman" w:hAnsi="Times New Roman" w:eastAsia="宋体" w:cs="Times New Roman"/>
                      <w:b w:val="0"/>
                      <w:bCs w:val="0"/>
                      <w:color w:val="000000"/>
                      <w:sz w:val="21"/>
                      <w:szCs w:val="21"/>
                      <w:highlight w:val="none"/>
                      <w:u w:val="none" w:color="auto"/>
                      <w:lang w:val="en-US" w:eastAsia="zh-CN"/>
                    </w:rPr>
                    <w:t>，不属于钢铁、石化、化工、焦化、建材、有色、制浆造纸等高污染行业</w:t>
                  </w:r>
                </w:p>
              </w:tc>
              <w:tc>
                <w:tcPr>
                  <w:tcW w:w="658" w:type="dxa"/>
                  <w:noWrap w:val="0"/>
                  <w:vAlign w:val="center"/>
                </w:tcPr>
                <w:p w14:paraId="79221B8E">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rPr>
                  </w:pPr>
                  <w:r>
                    <w:rPr>
                      <w:rFonts w:hint="default" w:ascii="Times New Roman" w:hAnsi="Times New Roman" w:eastAsia="宋体" w:cs="Times New Roman"/>
                      <w:b w:val="0"/>
                      <w:bCs w:val="0"/>
                      <w:color w:val="000000"/>
                      <w:sz w:val="21"/>
                      <w:szCs w:val="21"/>
                      <w:highlight w:val="none"/>
                      <w:u w:val="none" w:color="auto"/>
                    </w:rPr>
                    <w:t>符合</w:t>
                  </w:r>
                </w:p>
              </w:tc>
            </w:tr>
            <w:tr w14:paraId="7C83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38" w:type="dxa"/>
                  <w:noWrap w:val="0"/>
                  <w:vAlign w:val="center"/>
                </w:tcPr>
                <w:p w14:paraId="0FCCB3A6">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Times New Roman" w:hAnsi="Times New Roman" w:eastAsia="宋体" w:cs="Times New Roman"/>
                      <w:b w:val="0"/>
                      <w:bCs w:val="0"/>
                      <w:color w:val="000000"/>
                      <w:sz w:val="21"/>
                      <w:szCs w:val="21"/>
                      <w:highlight w:val="none"/>
                      <w:u w:val="none" w:color="auto"/>
                      <w:lang w:val="en-US" w:eastAsia="zh-CN"/>
                    </w:rPr>
                    <w:t>6</w:t>
                  </w:r>
                </w:p>
              </w:tc>
              <w:tc>
                <w:tcPr>
                  <w:tcW w:w="3051" w:type="dxa"/>
                  <w:noWrap w:val="0"/>
                  <w:vAlign w:val="center"/>
                </w:tcPr>
                <w:p w14:paraId="0C65BA19">
                  <w:pPr>
                    <w:pageBreakBefore w:val="0"/>
                    <w:widowControl/>
                    <w:shd w:val="clear" w:color="auto" w:fill="auto"/>
                    <w:bidi w:val="0"/>
                    <w:snapToGrid w:val="0"/>
                    <w:jc w:val="center"/>
                    <w:rPr>
                      <w:rFonts w:hint="default" w:ascii="Times New Roman" w:hAnsi="Times New Roman" w:eastAsia="宋体" w:cs="Times New Roman"/>
                      <w:b w:val="0"/>
                      <w:bCs w:val="0"/>
                      <w:color w:val="000000"/>
                      <w:sz w:val="21"/>
                      <w:szCs w:val="21"/>
                      <w:highlight w:val="none"/>
                      <w:u w:val="none" w:color="auto"/>
                    </w:rPr>
                  </w:pPr>
                  <w:r>
                    <w:rPr>
                      <w:rFonts w:hint="default" w:ascii="Times New Roman" w:hAnsi="Times New Roman" w:eastAsia="宋体" w:cs="Times New Roman"/>
                      <w:b w:val="0"/>
                      <w:bCs w:val="0"/>
                      <w:color w:val="000000"/>
                      <w:sz w:val="21"/>
                      <w:szCs w:val="21"/>
                      <w:highlight w:val="none"/>
                      <w:u w:val="none" w:color="auto"/>
                    </w:rPr>
                    <w:t>禁止新建、扩建不符合国家石化、现代煤化工等产业布局规划的项目。</w:t>
                  </w:r>
                </w:p>
              </w:tc>
              <w:tc>
                <w:tcPr>
                  <w:tcW w:w="2016" w:type="dxa"/>
                  <w:noWrap w:val="0"/>
                  <w:vAlign w:val="center"/>
                </w:tcPr>
                <w:p w14:paraId="7F697078">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Times New Roman" w:hAnsi="Times New Roman" w:eastAsia="宋体" w:cs="Times New Roman"/>
                      <w:b w:val="0"/>
                      <w:bCs w:val="0"/>
                      <w:color w:val="000000"/>
                      <w:sz w:val="21"/>
                      <w:szCs w:val="21"/>
                      <w:highlight w:val="none"/>
                      <w:u w:val="none" w:color="auto"/>
                      <w:lang w:val="en-US" w:eastAsia="zh-CN"/>
                    </w:rPr>
                    <w:t>本项目不属于石化、现代煤化工行业</w:t>
                  </w:r>
                </w:p>
              </w:tc>
              <w:tc>
                <w:tcPr>
                  <w:tcW w:w="658" w:type="dxa"/>
                  <w:noWrap w:val="0"/>
                  <w:vAlign w:val="center"/>
                </w:tcPr>
                <w:p w14:paraId="792E3F30">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rPr>
                  </w:pPr>
                  <w:r>
                    <w:rPr>
                      <w:rFonts w:hint="default" w:ascii="Times New Roman" w:hAnsi="Times New Roman" w:eastAsia="宋体" w:cs="Times New Roman"/>
                      <w:b w:val="0"/>
                      <w:bCs w:val="0"/>
                      <w:color w:val="000000"/>
                      <w:sz w:val="21"/>
                      <w:szCs w:val="21"/>
                      <w:highlight w:val="none"/>
                      <w:u w:val="none" w:color="auto"/>
                    </w:rPr>
                    <w:t>符合</w:t>
                  </w:r>
                </w:p>
              </w:tc>
            </w:tr>
            <w:tr w14:paraId="7D22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38" w:type="dxa"/>
                  <w:noWrap w:val="0"/>
                  <w:vAlign w:val="center"/>
                </w:tcPr>
                <w:p w14:paraId="44FE71B5">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Times New Roman" w:hAnsi="Times New Roman" w:eastAsia="宋体" w:cs="Times New Roman"/>
                      <w:b w:val="0"/>
                      <w:bCs w:val="0"/>
                      <w:color w:val="000000"/>
                      <w:sz w:val="21"/>
                      <w:szCs w:val="21"/>
                      <w:highlight w:val="none"/>
                      <w:u w:val="none" w:color="auto"/>
                      <w:lang w:val="en-US" w:eastAsia="zh-CN"/>
                    </w:rPr>
                    <w:t>7</w:t>
                  </w:r>
                </w:p>
              </w:tc>
              <w:tc>
                <w:tcPr>
                  <w:tcW w:w="3051" w:type="dxa"/>
                  <w:noWrap w:val="0"/>
                  <w:vAlign w:val="center"/>
                </w:tcPr>
                <w:p w14:paraId="7E417A51">
                  <w:pPr>
                    <w:pageBreakBefore w:val="0"/>
                    <w:widowControl/>
                    <w:shd w:val="clear" w:color="auto" w:fill="auto"/>
                    <w:bidi w:val="0"/>
                    <w:snapToGrid w:val="0"/>
                    <w:jc w:val="center"/>
                    <w:rPr>
                      <w:rFonts w:hint="default" w:ascii="Times New Roman" w:hAnsi="Times New Roman" w:eastAsia="宋体" w:cs="Times New Roman"/>
                      <w:b w:val="0"/>
                      <w:bCs w:val="0"/>
                      <w:color w:val="000000"/>
                      <w:sz w:val="21"/>
                      <w:szCs w:val="21"/>
                      <w:highlight w:val="none"/>
                      <w:u w:val="none" w:color="auto"/>
                    </w:rPr>
                  </w:pPr>
                  <w:r>
                    <w:rPr>
                      <w:rFonts w:hint="default" w:ascii="Times New Roman" w:hAnsi="Times New Roman" w:eastAsia="宋体" w:cs="Times New Roman"/>
                      <w:b w:val="0"/>
                      <w:bCs w:val="0"/>
                      <w:color w:val="000000"/>
                      <w:sz w:val="21"/>
                      <w:szCs w:val="21"/>
                      <w:u w:val="none" w:color="auto"/>
                    </w:rPr>
                    <w:t>禁止新建、扩建法律法规和相关政策明令禁止的落后产能项目。禁止新建、扩建不符合要求的高耗能高排放项目。</w:t>
                  </w:r>
                </w:p>
              </w:tc>
              <w:tc>
                <w:tcPr>
                  <w:tcW w:w="2016" w:type="dxa"/>
                  <w:noWrap w:val="0"/>
                  <w:vAlign w:val="center"/>
                </w:tcPr>
                <w:p w14:paraId="5877B620">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Times New Roman" w:hAnsi="Times New Roman" w:eastAsia="宋体" w:cs="Times New Roman"/>
                      <w:b w:val="0"/>
                      <w:bCs w:val="0"/>
                      <w:color w:val="000000"/>
                      <w:sz w:val="21"/>
                      <w:szCs w:val="21"/>
                      <w:highlight w:val="none"/>
                      <w:u w:val="none" w:color="auto"/>
                      <w:lang w:val="en-US" w:eastAsia="zh-CN"/>
                    </w:rPr>
                    <w:t>本项目不属于高耗能高排放及落后产能项目</w:t>
                  </w:r>
                </w:p>
              </w:tc>
              <w:tc>
                <w:tcPr>
                  <w:tcW w:w="658" w:type="dxa"/>
                  <w:noWrap w:val="0"/>
                  <w:vAlign w:val="center"/>
                </w:tcPr>
                <w:p w14:paraId="1C22CEC1">
                  <w:pPr>
                    <w:pageBreakBefore w:val="0"/>
                    <w:shd w:val="clear" w:color="auto" w:fill="auto"/>
                    <w:bidi w:val="0"/>
                    <w:adjustRightInd w:val="0"/>
                    <w:snapToGrid w:val="0"/>
                    <w:jc w:val="center"/>
                    <w:rPr>
                      <w:rFonts w:hint="default" w:ascii="Times New Roman" w:hAnsi="Times New Roman" w:eastAsia="宋体" w:cs="Times New Roman"/>
                      <w:b w:val="0"/>
                      <w:bCs w:val="0"/>
                      <w:color w:val="000000"/>
                      <w:sz w:val="21"/>
                      <w:szCs w:val="21"/>
                      <w:highlight w:val="none"/>
                      <w:u w:val="none" w:color="auto"/>
                    </w:rPr>
                  </w:pPr>
                  <w:r>
                    <w:rPr>
                      <w:rFonts w:hint="default" w:ascii="Times New Roman" w:hAnsi="Times New Roman" w:eastAsia="宋体" w:cs="Times New Roman"/>
                      <w:b w:val="0"/>
                      <w:bCs w:val="0"/>
                      <w:color w:val="000000"/>
                      <w:sz w:val="21"/>
                      <w:szCs w:val="21"/>
                      <w:highlight w:val="none"/>
                      <w:u w:val="none" w:color="auto"/>
                    </w:rPr>
                    <w:t>符合</w:t>
                  </w:r>
                </w:p>
              </w:tc>
            </w:tr>
          </w:tbl>
          <w:p w14:paraId="4B500F0D">
            <w:pPr>
              <w:widowControl w:val="0"/>
              <w:numPr>
                <w:ilvl w:val="0"/>
                <w:numId w:val="0"/>
              </w:numPr>
              <w:autoSpaceDE w:val="0"/>
              <w:autoSpaceDN w:val="0"/>
              <w:adjustRightInd w:val="0"/>
              <w:snapToGrid w:val="0"/>
              <w:spacing w:line="360" w:lineRule="auto"/>
              <w:jc w:val="both"/>
              <w:rPr>
                <w:rFonts w:hint="eastAsia"/>
                <w:b/>
                <w:kern w:val="0"/>
                <w:szCs w:val="20"/>
                <w:u w:val="none"/>
              </w:rPr>
            </w:pPr>
          </w:p>
          <w:p w14:paraId="4B638F89">
            <w:pPr>
              <w:numPr>
                <w:ilvl w:val="0"/>
                <w:numId w:val="2"/>
              </w:numPr>
              <w:autoSpaceDE w:val="0"/>
              <w:autoSpaceDN w:val="0"/>
              <w:adjustRightInd w:val="0"/>
              <w:snapToGrid w:val="0"/>
              <w:spacing w:line="360" w:lineRule="auto"/>
              <w:rPr>
                <w:rFonts w:hint="eastAsia"/>
                <w:b/>
                <w:kern w:val="0"/>
                <w:szCs w:val="20"/>
                <w:u w:val="none"/>
              </w:rPr>
            </w:pPr>
            <w:r>
              <w:rPr>
                <w:rFonts w:hint="eastAsia"/>
                <w:b/>
                <w:kern w:val="0"/>
                <w:szCs w:val="20"/>
                <w:u w:val="none"/>
              </w:rPr>
              <w:t>与《挥发性有机物无组织排放控制标准》（GB37822-2019）符合性分析</w:t>
            </w:r>
          </w:p>
          <w:p w14:paraId="52C9DD58">
            <w:pPr>
              <w:numPr>
                <w:ilvl w:val="-1"/>
                <w:numId w:val="0"/>
              </w:numPr>
              <w:autoSpaceDE w:val="0"/>
              <w:autoSpaceDN w:val="0"/>
              <w:adjustRightInd w:val="0"/>
              <w:snapToGrid w:val="0"/>
              <w:spacing w:line="360" w:lineRule="auto"/>
              <w:ind w:firstLine="480" w:firstLineChars="200"/>
              <w:rPr>
                <w:rFonts w:hint="eastAsia" w:cs="Times New Roman"/>
                <w:b w:val="0"/>
                <w:color w:val="auto"/>
                <w:kern w:val="2"/>
                <w:szCs w:val="24"/>
                <w:u w:val="none"/>
                <w:lang w:val="en-US" w:eastAsia="zh-CN"/>
              </w:rPr>
            </w:pPr>
            <w:r>
              <w:rPr>
                <w:rFonts w:hint="eastAsia" w:cs="Times New Roman"/>
                <w:b w:val="0"/>
                <w:color w:val="auto"/>
                <w:kern w:val="2"/>
                <w:szCs w:val="24"/>
                <w:u w:val="none"/>
                <w:lang w:val="en-US" w:eastAsia="zh-CN"/>
              </w:rPr>
              <w:t>本项目</w:t>
            </w:r>
            <w:r>
              <w:rPr>
                <w:rFonts w:hint="eastAsia"/>
                <w:color w:val="auto"/>
                <w:u w:val="none"/>
              </w:rPr>
              <w:t>与《挥发性有机物无组织排放控制标准》（GB37822-2019）符合性分析</w:t>
            </w:r>
            <w:r>
              <w:rPr>
                <w:rFonts w:hint="eastAsia"/>
                <w:color w:val="auto"/>
                <w:u w:val="none"/>
                <w:lang w:val="en-US" w:eastAsia="zh-CN"/>
              </w:rPr>
              <w:t>详见下表。</w:t>
            </w:r>
          </w:p>
          <w:p w14:paraId="1F29CC47">
            <w:pPr>
              <w:numPr>
                <w:ilvl w:val="-1"/>
                <w:numId w:val="0"/>
              </w:numPr>
              <w:autoSpaceDE w:val="0"/>
              <w:autoSpaceDN w:val="0"/>
              <w:adjustRightInd w:val="0"/>
              <w:snapToGrid w:val="0"/>
              <w:spacing w:line="360" w:lineRule="auto"/>
              <w:ind w:firstLine="0" w:firstLineChars="0"/>
              <w:jc w:val="center"/>
              <w:rPr>
                <w:rFonts w:hint="eastAsia"/>
                <w:b w:val="0"/>
                <w:bCs/>
                <w:kern w:val="0"/>
                <w:szCs w:val="20"/>
                <w:u w:val="none"/>
                <w:lang w:val="en-US" w:eastAsia="zh-CN"/>
              </w:rPr>
            </w:pPr>
            <w:r>
              <w:rPr>
                <w:b/>
                <w:bCs/>
                <w:u w:val="none"/>
              </w:rPr>
              <w:t>表1-</w:t>
            </w:r>
            <w:r>
              <w:rPr>
                <w:rFonts w:hint="eastAsia"/>
                <w:b/>
                <w:bCs/>
                <w:u w:val="none"/>
                <w:lang w:val="en-US" w:eastAsia="zh-CN"/>
              </w:rPr>
              <w:t>8</w:t>
            </w:r>
            <w:r>
              <w:rPr>
                <w:b/>
                <w:bCs/>
                <w:u w:val="none"/>
              </w:rPr>
              <w:t xml:space="preserve">  </w:t>
            </w:r>
            <w:r>
              <w:rPr>
                <w:rFonts w:hint="eastAsia"/>
                <w:b/>
                <w:bCs/>
                <w:u w:val="none"/>
              </w:rPr>
              <w:t>《挥发性有机物无组织排放控制标准》</w:t>
            </w:r>
            <w:r>
              <w:rPr>
                <w:rFonts w:hint="eastAsia"/>
                <w:b/>
                <w:bCs/>
                <w:u w:val="none"/>
                <w:lang w:val="en-US" w:eastAsia="zh-CN"/>
              </w:rPr>
              <w:t>符合</w:t>
            </w:r>
            <w:r>
              <w:rPr>
                <w:rFonts w:hint="eastAsia"/>
                <w:b/>
                <w:bCs/>
                <w:u w:val="none"/>
              </w:rPr>
              <w:t>性分析</w:t>
            </w: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6"/>
              <w:gridCol w:w="2000"/>
              <w:gridCol w:w="661"/>
            </w:tblGrid>
            <w:tr w14:paraId="78FA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2" w:type="pct"/>
                  <w:noWrap w:val="0"/>
                  <w:vAlign w:val="center"/>
                </w:tcPr>
                <w:p w14:paraId="0DF52456">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vertAlign w:val="baseline"/>
                      <w:lang w:val="en-US" w:eastAsia="zh-CN" w:bidi="ar-SA"/>
                    </w:rPr>
                  </w:pPr>
                  <w:r>
                    <w:rPr>
                      <w:rFonts w:hint="eastAsia" w:ascii="Times New Roman" w:hAnsi="Times New Roman" w:eastAsia="宋体" w:cs="Times New Roman"/>
                      <w:color w:val="auto"/>
                      <w:spacing w:val="0"/>
                      <w:kern w:val="2"/>
                      <w:sz w:val="21"/>
                      <w:szCs w:val="21"/>
                      <w:vertAlign w:val="baseline"/>
                      <w:lang w:val="en-US" w:eastAsia="zh-CN" w:bidi="ar-SA"/>
                    </w:rPr>
                    <w:t>相关要求</w:t>
                  </w:r>
                </w:p>
              </w:tc>
              <w:tc>
                <w:tcPr>
                  <w:tcW w:w="1546" w:type="pct"/>
                  <w:noWrap w:val="0"/>
                  <w:vAlign w:val="center"/>
                </w:tcPr>
                <w:p w14:paraId="1D4FE51A">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vertAlign w:val="baseline"/>
                      <w:lang w:val="en-US" w:eastAsia="zh-CN" w:bidi="ar-SA"/>
                    </w:rPr>
                  </w:pPr>
                  <w:r>
                    <w:rPr>
                      <w:rFonts w:hint="eastAsia" w:ascii="Times New Roman" w:hAnsi="Times New Roman" w:eastAsia="宋体" w:cs="Times New Roman"/>
                      <w:color w:val="auto"/>
                      <w:spacing w:val="0"/>
                      <w:kern w:val="2"/>
                      <w:sz w:val="21"/>
                      <w:szCs w:val="21"/>
                      <w:vertAlign w:val="baseline"/>
                      <w:lang w:val="en-US" w:eastAsia="zh-CN" w:bidi="ar-SA"/>
                    </w:rPr>
                    <w:t>本项目情况</w:t>
                  </w:r>
                </w:p>
              </w:tc>
              <w:tc>
                <w:tcPr>
                  <w:tcW w:w="511" w:type="pct"/>
                  <w:noWrap w:val="0"/>
                  <w:vAlign w:val="center"/>
                </w:tcPr>
                <w:p w14:paraId="252294EB">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vertAlign w:val="baseline"/>
                      <w:lang w:val="en-US" w:eastAsia="zh-CN" w:bidi="ar-SA"/>
                    </w:rPr>
                  </w:pPr>
                  <w:r>
                    <w:rPr>
                      <w:rFonts w:hint="eastAsia" w:ascii="Times New Roman" w:hAnsi="Times New Roman" w:eastAsia="宋体" w:cs="Times New Roman"/>
                      <w:color w:val="auto"/>
                      <w:spacing w:val="0"/>
                      <w:kern w:val="2"/>
                      <w:sz w:val="21"/>
                      <w:szCs w:val="21"/>
                      <w:vertAlign w:val="baseline"/>
                      <w:lang w:val="en-US" w:eastAsia="zh-CN" w:bidi="ar-SA"/>
                    </w:rPr>
                    <w:t>是否符合</w:t>
                  </w:r>
                </w:p>
              </w:tc>
            </w:tr>
            <w:tr w14:paraId="5E47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2" w:type="pct"/>
                  <w:noWrap w:val="0"/>
                  <w:vAlign w:val="center"/>
                </w:tcPr>
                <w:p w14:paraId="51E6719F">
                  <w:pPr>
                    <w:widowControl/>
                    <w:jc w:val="center"/>
                    <w:rPr>
                      <w:rFonts w:hint="default" w:ascii="Times New Roman" w:hAnsi="Times New Roman" w:eastAsia="宋体" w:cs="Times New Roman"/>
                      <w:color w:val="auto"/>
                      <w:spacing w:val="0"/>
                      <w:kern w:val="2"/>
                      <w:sz w:val="21"/>
                      <w:szCs w:val="21"/>
                      <w:vertAlign w:val="baseline"/>
                      <w:lang w:val="en-US" w:eastAsia="zh-CN" w:bidi="ar-SA"/>
                    </w:rPr>
                  </w:pPr>
                  <w:r>
                    <w:rPr>
                      <w:rFonts w:hint="default" w:ascii="Times New Roman" w:hAnsi="Times New Roman" w:eastAsia="宋体" w:cs="Times New Roman"/>
                      <w:color w:val="000000"/>
                      <w:kern w:val="0"/>
                      <w:sz w:val="21"/>
                      <w:szCs w:val="21"/>
                      <w:lang w:val="en-US" w:eastAsia="zh-CN" w:bidi="ar"/>
                    </w:rPr>
                    <w:t>VOCs</w:t>
                  </w:r>
                  <w:r>
                    <w:rPr>
                      <w:rFonts w:hint="eastAsia" w:ascii="宋体" w:hAnsi="宋体" w:eastAsia="宋体" w:cs="宋体"/>
                      <w:color w:val="000000"/>
                      <w:kern w:val="0"/>
                      <w:sz w:val="21"/>
                      <w:szCs w:val="21"/>
                      <w:lang w:val="en-US" w:eastAsia="zh-CN" w:bidi="ar"/>
                    </w:rPr>
                    <w:t>物料应储存于密闭的容器、包装袋、储罐、储库、料仓中。盛装</w:t>
                  </w:r>
                  <w:r>
                    <w:rPr>
                      <w:rFonts w:hint="default" w:ascii="Times New Roman" w:hAnsi="Times New Roman" w:eastAsia="宋体" w:cs="Times New Roman"/>
                      <w:color w:val="000000"/>
                      <w:kern w:val="0"/>
                      <w:sz w:val="21"/>
                      <w:szCs w:val="21"/>
                      <w:lang w:val="en-US" w:eastAsia="zh-CN" w:bidi="ar"/>
                    </w:rPr>
                    <w:t>VOCs</w:t>
                  </w:r>
                  <w:r>
                    <w:rPr>
                      <w:rFonts w:hint="eastAsia" w:ascii="宋体" w:hAnsi="宋体" w:eastAsia="宋体" w:cs="宋体"/>
                      <w:color w:val="000000"/>
                      <w:kern w:val="0"/>
                      <w:sz w:val="21"/>
                      <w:szCs w:val="21"/>
                      <w:lang w:val="en-US" w:eastAsia="zh-CN" w:bidi="ar"/>
                    </w:rPr>
                    <w:t>物料的容器或包装袋应存放于室内，或存放于设置有雨棚、遮阳和防渗设施的专用场地。盛装</w:t>
                  </w:r>
                  <w:r>
                    <w:rPr>
                      <w:rFonts w:hint="default" w:ascii="Times New Roman" w:hAnsi="Times New Roman" w:eastAsia="宋体" w:cs="Times New Roman"/>
                      <w:color w:val="000000"/>
                      <w:kern w:val="0"/>
                      <w:sz w:val="21"/>
                      <w:szCs w:val="21"/>
                      <w:lang w:val="en-US" w:eastAsia="zh-CN" w:bidi="ar"/>
                    </w:rPr>
                    <w:t>VOCs</w:t>
                  </w:r>
                  <w:r>
                    <w:rPr>
                      <w:rFonts w:hint="eastAsia" w:ascii="宋体" w:hAnsi="宋体" w:eastAsia="宋体" w:cs="宋体"/>
                      <w:color w:val="000000"/>
                      <w:kern w:val="0"/>
                      <w:sz w:val="21"/>
                      <w:szCs w:val="21"/>
                      <w:lang w:val="en-US" w:eastAsia="zh-CN" w:bidi="ar"/>
                    </w:rPr>
                    <w:t>物料的容器或包装袋在非取用状态时应加盖、封口，保持密闭。</w:t>
                  </w:r>
                </w:p>
              </w:tc>
              <w:tc>
                <w:tcPr>
                  <w:tcW w:w="1546" w:type="pct"/>
                  <w:noWrap w:val="0"/>
                  <w:vAlign w:val="center"/>
                </w:tcPr>
                <w:p w14:paraId="394E8BD6">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vertAlign w:val="baseline"/>
                      <w:lang w:val="en-US" w:eastAsia="zh-CN" w:bidi="ar-SA"/>
                    </w:rPr>
                  </w:pPr>
                  <w:r>
                    <w:rPr>
                      <w:rFonts w:hint="eastAsia" w:ascii="Times New Roman" w:hAnsi="Times New Roman" w:eastAsia="宋体" w:cs="Times New Roman"/>
                      <w:color w:val="auto"/>
                      <w:spacing w:val="0"/>
                      <w:kern w:val="2"/>
                      <w:sz w:val="21"/>
                      <w:szCs w:val="21"/>
                      <w:vertAlign w:val="baseline"/>
                      <w:lang w:val="en-US" w:eastAsia="zh-CN" w:bidi="ar-SA"/>
                    </w:rPr>
                    <w:t>本项目原料均采用桶装，未使用时均密闭；成品均储存在成品罐中，也为密闭设施；储罐区以及来料区均在室内；使用后的原料桶均会加盖处理</w:t>
                  </w:r>
                </w:p>
              </w:tc>
              <w:tc>
                <w:tcPr>
                  <w:tcW w:w="511" w:type="pct"/>
                  <w:noWrap w:val="0"/>
                  <w:vAlign w:val="center"/>
                </w:tcPr>
                <w:p w14:paraId="56AC3D85">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pacing w:val="0"/>
                      <w:kern w:val="2"/>
                      <w:sz w:val="21"/>
                      <w:szCs w:val="21"/>
                      <w:vertAlign w:val="baseline"/>
                      <w:lang w:val="en-US" w:eastAsia="zh-CN" w:bidi="ar-SA"/>
                    </w:rPr>
                  </w:pPr>
                  <w:r>
                    <w:rPr>
                      <w:rFonts w:hint="eastAsia" w:ascii="Times New Roman" w:hAnsi="Times New Roman" w:eastAsia="宋体" w:cs="Times New Roman"/>
                      <w:color w:val="auto"/>
                      <w:spacing w:val="0"/>
                      <w:kern w:val="2"/>
                      <w:sz w:val="21"/>
                      <w:szCs w:val="21"/>
                      <w:vertAlign w:val="baseline"/>
                      <w:lang w:val="en-US" w:eastAsia="zh-CN" w:bidi="ar-SA"/>
                    </w:rPr>
                    <w:t>符合</w:t>
                  </w:r>
                </w:p>
              </w:tc>
            </w:tr>
            <w:tr w14:paraId="4E25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2" w:type="pct"/>
                  <w:noWrap w:val="0"/>
                  <w:vAlign w:val="center"/>
                </w:tcPr>
                <w:p w14:paraId="47EB3B83">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vertAlign w:val="baseline"/>
                      <w:lang w:val="en-US" w:eastAsia="zh-CN" w:bidi="ar-SA"/>
                    </w:rPr>
                  </w:pPr>
                  <w:r>
                    <w:rPr>
                      <w:rFonts w:hint="default" w:ascii="Times New Roman" w:hAnsi="Times New Roman" w:eastAsia="宋体" w:cs="Times New Roman"/>
                      <w:color w:val="auto"/>
                      <w:spacing w:val="0"/>
                      <w:kern w:val="2"/>
                      <w:sz w:val="21"/>
                      <w:szCs w:val="21"/>
                      <w:vertAlign w:val="baseline"/>
                      <w:lang w:val="en-US" w:eastAsia="zh-CN" w:bidi="ar-SA"/>
                    </w:rPr>
                    <w:t>液态VOCs物料应采用密闭管道输送方式或采用高位槽</w:t>
                  </w:r>
                  <w:r>
                    <w:rPr>
                      <w:rFonts w:hint="eastAsia" w:ascii="Times New Roman" w:hAnsi="Times New Roman" w:eastAsia="宋体" w:cs="Times New Roman"/>
                      <w:color w:val="auto"/>
                      <w:spacing w:val="0"/>
                      <w:kern w:val="2"/>
                      <w:sz w:val="21"/>
                      <w:szCs w:val="21"/>
                      <w:vertAlign w:val="baseline"/>
                      <w:lang w:val="en-US" w:eastAsia="zh-CN" w:bidi="ar-SA"/>
                    </w:rPr>
                    <w:t>（</w:t>
                  </w:r>
                  <w:r>
                    <w:rPr>
                      <w:rFonts w:hint="default" w:ascii="Times New Roman" w:hAnsi="Times New Roman" w:eastAsia="宋体" w:cs="Times New Roman"/>
                      <w:color w:val="auto"/>
                      <w:spacing w:val="0"/>
                      <w:kern w:val="2"/>
                      <w:sz w:val="21"/>
                      <w:szCs w:val="21"/>
                      <w:vertAlign w:val="baseline"/>
                      <w:lang w:val="en-US" w:eastAsia="zh-CN" w:bidi="ar-SA"/>
                    </w:rPr>
                    <w:t>罐</w:t>
                  </w:r>
                  <w:r>
                    <w:rPr>
                      <w:rFonts w:hint="eastAsia" w:ascii="Times New Roman" w:hAnsi="Times New Roman" w:eastAsia="宋体" w:cs="Times New Roman"/>
                      <w:color w:val="auto"/>
                      <w:spacing w:val="0"/>
                      <w:kern w:val="2"/>
                      <w:sz w:val="21"/>
                      <w:szCs w:val="21"/>
                      <w:vertAlign w:val="baseline"/>
                      <w:lang w:val="en-US" w:eastAsia="zh-CN" w:bidi="ar-SA"/>
                    </w:rPr>
                    <w:t>）</w:t>
                  </w:r>
                  <w:r>
                    <w:rPr>
                      <w:rFonts w:hint="default" w:ascii="Times New Roman" w:hAnsi="Times New Roman" w:eastAsia="宋体" w:cs="Times New Roman"/>
                      <w:color w:val="auto"/>
                      <w:spacing w:val="0"/>
                      <w:kern w:val="2"/>
                      <w:sz w:val="21"/>
                      <w:szCs w:val="21"/>
                      <w:vertAlign w:val="baseline"/>
                      <w:lang w:val="en-US" w:eastAsia="zh-CN" w:bidi="ar-SA"/>
                    </w:rPr>
                    <w:t>、桶泵等给料方式密闭投加。无法密闭投加的，应在密闭空间内操作，或进行局部气体收集，废气应排至VOCs废气收集处理系统。</w:t>
                  </w:r>
                </w:p>
              </w:tc>
              <w:tc>
                <w:tcPr>
                  <w:tcW w:w="1546" w:type="pct"/>
                  <w:vMerge w:val="restart"/>
                  <w:noWrap w:val="0"/>
                  <w:vAlign w:val="center"/>
                </w:tcPr>
                <w:p w14:paraId="166A62D0">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vertAlign w:val="baseline"/>
                      <w:lang w:val="en-US" w:eastAsia="zh-CN" w:bidi="ar-SA"/>
                    </w:rPr>
                  </w:pPr>
                  <w:r>
                    <w:rPr>
                      <w:rFonts w:hint="eastAsia" w:ascii="Times New Roman" w:hAnsi="Times New Roman" w:eastAsia="宋体" w:cs="Times New Roman"/>
                      <w:color w:val="auto"/>
                      <w:spacing w:val="0"/>
                      <w:kern w:val="2"/>
                      <w:sz w:val="21"/>
                      <w:szCs w:val="21"/>
                      <w:vertAlign w:val="baseline"/>
                      <w:lang w:val="en-US" w:eastAsia="zh-CN" w:bidi="ar-SA"/>
                    </w:rPr>
                    <w:t>本项目生产过程均在密闭设备中进行，产生的</w:t>
                  </w:r>
                  <w:r>
                    <w:rPr>
                      <w:rFonts w:hint="eastAsia" w:cs="Times New Roman"/>
                      <w:color w:val="auto"/>
                      <w:spacing w:val="0"/>
                      <w:kern w:val="2"/>
                      <w:sz w:val="21"/>
                      <w:szCs w:val="21"/>
                      <w:vertAlign w:val="baseline"/>
                      <w:lang w:val="en-US" w:eastAsia="zh-CN" w:bidi="ar-SA"/>
                    </w:rPr>
                    <w:t>废气通过密闭管道排至废气处理设施处理</w:t>
                  </w:r>
                </w:p>
              </w:tc>
              <w:tc>
                <w:tcPr>
                  <w:tcW w:w="511" w:type="pct"/>
                  <w:noWrap w:val="0"/>
                  <w:vAlign w:val="center"/>
                </w:tcPr>
                <w:p w14:paraId="30FAD5CC">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vertAlign w:val="baseline"/>
                      <w:lang w:val="en-US" w:eastAsia="zh-CN" w:bidi="ar-SA"/>
                    </w:rPr>
                  </w:pPr>
                  <w:r>
                    <w:rPr>
                      <w:rFonts w:hint="eastAsia" w:ascii="Times New Roman" w:hAnsi="Times New Roman" w:eastAsia="宋体" w:cs="Times New Roman"/>
                      <w:color w:val="auto"/>
                      <w:spacing w:val="0"/>
                      <w:kern w:val="2"/>
                      <w:sz w:val="21"/>
                      <w:szCs w:val="21"/>
                      <w:vertAlign w:val="baseline"/>
                      <w:lang w:val="en-US" w:eastAsia="zh-CN" w:bidi="ar-SA"/>
                    </w:rPr>
                    <w:t>符合</w:t>
                  </w:r>
                </w:p>
              </w:tc>
            </w:tr>
            <w:tr w14:paraId="7883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2" w:type="pct"/>
                  <w:noWrap w:val="0"/>
                  <w:vAlign w:val="center"/>
                </w:tcPr>
                <w:p w14:paraId="76B5A032">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vertAlign w:val="baseline"/>
                      <w:lang w:val="en-US" w:eastAsia="zh-CN" w:bidi="ar-SA"/>
                    </w:rPr>
                  </w:pPr>
                  <w:r>
                    <w:rPr>
                      <w:rFonts w:hint="default" w:ascii="Times New Roman" w:hAnsi="Times New Roman" w:eastAsia="宋体" w:cs="Times New Roman"/>
                      <w:color w:val="auto"/>
                      <w:spacing w:val="0"/>
                      <w:kern w:val="2"/>
                      <w:sz w:val="21"/>
                      <w:szCs w:val="21"/>
                      <w:vertAlign w:val="baseline"/>
                      <w:lang w:val="en-US" w:eastAsia="zh-CN" w:bidi="ar-SA"/>
                    </w:rPr>
                    <w:t>VOCs质量占比大于等于10%的含VOCs产品，其使用过程应采用密闭设备或在密闭空间内操作，废气应排至VOCs废气收集处理系统</w:t>
                  </w:r>
                  <w:r>
                    <w:rPr>
                      <w:rFonts w:hint="eastAsia" w:ascii="Times New Roman" w:hAnsi="Times New Roman" w:eastAsia="宋体" w:cs="Times New Roman"/>
                      <w:color w:val="auto"/>
                      <w:spacing w:val="0"/>
                      <w:kern w:val="2"/>
                      <w:sz w:val="21"/>
                      <w:szCs w:val="21"/>
                      <w:vertAlign w:val="baseline"/>
                      <w:lang w:val="en-US" w:eastAsia="zh-CN" w:bidi="ar-SA"/>
                    </w:rPr>
                    <w:t>；</w:t>
                  </w:r>
                  <w:r>
                    <w:rPr>
                      <w:rFonts w:hint="default" w:ascii="Times New Roman" w:hAnsi="Times New Roman" w:eastAsia="宋体" w:cs="Times New Roman"/>
                      <w:color w:val="auto"/>
                      <w:spacing w:val="0"/>
                      <w:kern w:val="2"/>
                      <w:sz w:val="21"/>
                      <w:szCs w:val="21"/>
                      <w:vertAlign w:val="baseline"/>
                      <w:lang w:val="en-US" w:eastAsia="zh-CN" w:bidi="ar-SA"/>
                    </w:rPr>
                    <w:t>无法密闭的，应采取局部气体收集措施，废气应排至VOCs废气收集处理系统。</w:t>
                  </w:r>
                </w:p>
              </w:tc>
              <w:tc>
                <w:tcPr>
                  <w:tcW w:w="1546" w:type="pct"/>
                  <w:vMerge w:val="continue"/>
                  <w:noWrap w:val="0"/>
                  <w:vAlign w:val="center"/>
                </w:tcPr>
                <w:p w14:paraId="01BC92D8">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vertAlign w:val="baseline"/>
                      <w:lang w:val="en-US" w:eastAsia="zh-CN" w:bidi="ar-SA"/>
                    </w:rPr>
                  </w:pPr>
                </w:p>
              </w:tc>
              <w:tc>
                <w:tcPr>
                  <w:tcW w:w="511" w:type="pct"/>
                  <w:noWrap w:val="0"/>
                  <w:vAlign w:val="center"/>
                </w:tcPr>
                <w:p w14:paraId="66959357">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pacing w:val="0"/>
                      <w:kern w:val="2"/>
                      <w:sz w:val="21"/>
                      <w:szCs w:val="21"/>
                      <w:vertAlign w:val="baseline"/>
                      <w:lang w:val="en-US" w:eastAsia="zh-CN" w:bidi="ar-SA"/>
                    </w:rPr>
                  </w:pPr>
                  <w:r>
                    <w:rPr>
                      <w:rFonts w:hint="eastAsia" w:ascii="Times New Roman" w:hAnsi="Times New Roman" w:eastAsia="宋体" w:cs="Times New Roman"/>
                      <w:color w:val="auto"/>
                      <w:spacing w:val="0"/>
                      <w:kern w:val="2"/>
                      <w:sz w:val="21"/>
                      <w:szCs w:val="21"/>
                      <w:vertAlign w:val="baseline"/>
                      <w:lang w:val="en-US" w:eastAsia="zh-CN" w:bidi="ar-SA"/>
                    </w:rPr>
                    <w:t>符合</w:t>
                  </w:r>
                </w:p>
              </w:tc>
            </w:tr>
          </w:tbl>
          <w:p w14:paraId="5A8E44A9">
            <w:pPr>
              <w:numPr>
                <w:ilvl w:val="0"/>
                <w:numId w:val="2"/>
              </w:numPr>
              <w:autoSpaceDE w:val="0"/>
              <w:autoSpaceDN w:val="0"/>
              <w:adjustRightInd w:val="0"/>
              <w:snapToGrid w:val="0"/>
              <w:spacing w:line="360" w:lineRule="auto"/>
              <w:rPr>
                <w:b/>
                <w:kern w:val="0"/>
                <w:szCs w:val="20"/>
                <w:u w:val="none"/>
              </w:rPr>
            </w:pPr>
            <w:r>
              <w:rPr>
                <w:rFonts w:hint="eastAsia"/>
                <w:b/>
                <w:kern w:val="0"/>
                <w:szCs w:val="20"/>
                <w:u w:val="none"/>
              </w:rPr>
              <w:t>《重点行业挥发性有机物综合治理方案》相符性分析</w:t>
            </w:r>
          </w:p>
          <w:p w14:paraId="491806A0">
            <w:pPr>
              <w:autoSpaceDE w:val="0"/>
              <w:autoSpaceDN w:val="0"/>
              <w:adjustRightInd w:val="0"/>
              <w:snapToGrid w:val="0"/>
              <w:spacing w:line="360" w:lineRule="auto"/>
              <w:ind w:firstLine="480" w:firstLineChars="200"/>
              <w:rPr>
                <w:rFonts w:hint="eastAsia"/>
                <w:kern w:val="0"/>
                <w:u w:val="none"/>
                <w:lang w:eastAsia="zh-CN"/>
              </w:rPr>
            </w:pPr>
            <w:r>
              <w:rPr>
                <w:rFonts w:hint="eastAsia"/>
                <w:kern w:val="0"/>
                <w:u w:val="none"/>
              </w:rPr>
              <w:t>根据《重点行业挥发性有机物综合治理方案》</w:t>
            </w:r>
            <w:r>
              <w:rPr>
                <w:rFonts w:hint="eastAsia"/>
                <w:kern w:val="0"/>
                <w:u w:val="none"/>
                <w:lang w:val="en-US" w:eastAsia="zh-CN"/>
              </w:rPr>
              <w:t>可知</w:t>
            </w:r>
            <w:r>
              <w:rPr>
                <w:rFonts w:hint="eastAsia"/>
                <w:kern w:val="0"/>
                <w:u w:val="none"/>
                <w:lang w:eastAsia="zh-CN"/>
              </w:rPr>
              <w:t>：</w:t>
            </w:r>
          </w:p>
          <w:p w14:paraId="33B44DE4">
            <w:pPr>
              <w:autoSpaceDE w:val="0"/>
              <w:autoSpaceDN w:val="0"/>
              <w:adjustRightInd w:val="0"/>
              <w:snapToGrid w:val="0"/>
              <w:spacing w:line="360" w:lineRule="auto"/>
              <w:ind w:firstLine="480" w:firstLineChars="200"/>
              <w:rPr>
                <w:rFonts w:hint="eastAsia"/>
                <w:kern w:val="0"/>
                <w:u w:val="none"/>
              </w:rPr>
            </w:pPr>
            <w:r>
              <w:rPr>
                <w:rFonts w:hint="eastAsia"/>
                <w:kern w:val="0"/>
                <w:u w:val="none"/>
                <w:lang w:eastAsia="zh-CN"/>
              </w:rPr>
              <w:t>“</w:t>
            </w:r>
            <w:r>
              <w:rPr>
                <w:rFonts w:hint="eastAsia"/>
                <w:kern w:val="0"/>
                <w:u w:val="none"/>
              </w:rPr>
              <w:t>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p w14:paraId="60B5CC0B">
            <w:pPr>
              <w:pStyle w:val="12"/>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eastAsia"/>
                <w:kern w:val="0"/>
                <w:sz w:val="24"/>
                <w:szCs w:val="24"/>
                <w:u w:val="none"/>
              </w:rPr>
            </w:pPr>
            <w:r>
              <w:rPr>
                <w:rFonts w:hint="eastAsia"/>
                <w:kern w:val="0"/>
                <w:sz w:val="24"/>
                <w:szCs w:val="24"/>
                <w:u w:val="none"/>
              </w:rPr>
              <w:t>加强设备与场所密闭管理。含VOCs物料应储存于密闭容器、包装袋，高效密封储罐，封闭式储库、料仓等。含VOCs物料转移和输送，应采用密闭管道或密闭容器、罐车等。高VOCs含量废水（废水液面上方100毫米处VOCs检测浓度超过200ppm，其中，重点区域超过100ppm，以碳计）的集输、储存和处理过程，应加盖密闭。含VOCs物料生产和使用过程，应采取有效收集措施或在密闭空间中操作。</w:t>
            </w:r>
          </w:p>
          <w:p w14:paraId="69E87595">
            <w:pPr>
              <w:pStyle w:val="12"/>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eastAsia" w:ascii="Times New Roman" w:hAnsi="Times New Roman" w:eastAsia="宋体" w:cs="Times New Roman"/>
                <w:kern w:val="0"/>
                <w:sz w:val="24"/>
                <w:szCs w:val="24"/>
                <w:u w:val="none"/>
                <w:lang w:val="en-US" w:eastAsia="zh-CN" w:bidi="ar-SA"/>
              </w:rPr>
            </w:pPr>
            <w:r>
              <w:rPr>
                <w:rFonts w:hint="default" w:ascii="Times New Roman" w:hAnsi="Times New Roman" w:cs="Times New Roman"/>
                <w:color w:val="auto"/>
                <w:sz w:val="24"/>
                <w:szCs w:val="24"/>
                <w:u w:val="single"/>
                <w:lang w:val="en-GB"/>
              </w:rPr>
              <w:t>推进建设适宜高效的治污设施。企业新建治污设施或对现有治污设施实施改造，应依据排放废气的浓度、组分、风量，温度、湿度、压力，以及生产工况等，合理选择治理技术。鼓励企业采用多种技术的组合工艺，提高VOCs治理效率。低浓度、大风量废气，宜采用沸石转轮吸附、活性炭吸附、减风增浓等浓缩技术，提高VOCs浓度后净化处理；高浓度废气，优先进行溶剂回收，难以回收的，宜采用高温焚烧、催化燃烧等技术。油气（溶剂）回收宜采用冷凝+吸附、吸附+吸收、膜分离+吸附等技术。低温等离子、光催化、光氧化技术主要适用于恶臭异味等治理；生物法主要适用于低浓度VOCs废气治理和恶臭异味治理。非水溶性的VOCs废气禁止采用水或水溶液喷淋吸收处理。采用一次性活性炭吸附技术的，应定期更换活性炭，废旧活性炭应再生或处理处置。有条件的工业园区和产业集群等，推广集中喷涂、溶剂集中回收、活性炭集中再生等，加强资源共享，提高VOCs治理效率</w:t>
            </w:r>
            <w:r>
              <w:rPr>
                <w:rFonts w:hint="eastAsia" w:cs="Times New Roman"/>
                <w:kern w:val="0"/>
                <w:sz w:val="24"/>
                <w:szCs w:val="24"/>
                <w:u w:val="none"/>
                <w:lang w:val="en-US" w:eastAsia="zh-CN" w:bidi="ar-SA"/>
              </w:rPr>
              <w:t>”</w:t>
            </w:r>
          </w:p>
          <w:p w14:paraId="435C2ED8">
            <w:pPr>
              <w:autoSpaceDE w:val="0"/>
              <w:autoSpaceDN w:val="0"/>
              <w:adjustRightInd w:val="0"/>
              <w:snapToGrid w:val="0"/>
              <w:spacing w:line="360" w:lineRule="auto"/>
              <w:ind w:firstLine="480" w:firstLineChars="200"/>
              <w:rPr>
                <w:kern w:val="0"/>
                <w:szCs w:val="20"/>
                <w:u w:val="none"/>
              </w:rPr>
            </w:pPr>
            <w:r>
              <w:rPr>
                <w:rFonts w:hint="eastAsia"/>
                <w:color w:val="auto"/>
                <w:u w:val="none"/>
              </w:rPr>
              <w:t>本项目</w:t>
            </w:r>
            <w:r>
              <w:rPr>
                <w:rFonts w:hint="eastAsia"/>
                <w:color w:val="auto"/>
                <w:u w:val="none"/>
                <w:lang w:val="en-US" w:eastAsia="zh-CN"/>
              </w:rPr>
              <w:t>原料、成品储存均在密闭的桶以及储罐内，</w:t>
            </w:r>
            <w:r>
              <w:rPr>
                <w:rFonts w:hint="eastAsia"/>
                <w:color w:val="auto"/>
                <w:u w:val="none"/>
              </w:rPr>
              <w:t>生产过程均在密闭设备中进行，</w:t>
            </w:r>
            <w:r>
              <w:rPr>
                <w:rFonts w:hint="eastAsia"/>
                <w:color w:val="auto"/>
                <w:u w:val="none"/>
                <w:lang w:val="en-US" w:eastAsia="zh-CN"/>
              </w:rPr>
              <w:t>产生的废气经密闭管道排至二级活性炭吸附装置处理后排放，符合方案中的技术要求。</w:t>
            </w:r>
            <w:r>
              <w:rPr>
                <w:rFonts w:hint="eastAsia" w:cs="Times New Roman"/>
                <w:b w:val="0"/>
                <w:color w:val="auto"/>
                <w:kern w:val="2"/>
                <w:szCs w:val="24"/>
                <w:u w:val="none"/>
                <w:lang w:val="en-US" w:eastAsia="zh-CN"/>
              </w:rPr>
              <w:t>因此，本项目</w:t>
            </w:r>
            <w:r>
              <w:rPr>
                <w:rFonts w:hint="eastAsia" w:ascii="Times New Roman" w:hAnsi="Times New Roman" w:cs="Times New Roman"/>
                <w:b w:val="0"/>
                <w:color w:val="auto"/>
                <w:kern w:val="2"/>
                <w:szCs w:val="24"/>
                <w:u w:val="none"/>
                <w:lang w:val="en-US" w:eastAsia="zh-CN"/>
              </w:rPr>
              <w:t>符合</w:t>
            </w:r>
            <w:r>
              <w:rPr>
                <w:rFonts w:hint="eastAsia"/>
                <w:kern w:val="0"/>
                <w:u w:val="none"/>
              </w:rPr>
              <w:t>《重点行业挥发性有机物综合治理方案》相关要求</w:t>
            </w:r>
            <w:r>
              <w:rPr>
                <w:rFonts w:hint="eastAsia"/>
                <w:kern w:val="0"/>
                <w:u w:val="none"/>
                <w:lang w:eastAsia="zh-CN"/>
              </w:rPr>
              <w:t>。</w:t>
            </w:r>
          </w:p>
          <w:p w14:paraId="02AC4242">
            <w:pPr>
              <w:tabs>
                <w:tab w:val="left" w:pos="8820"/>
                <w:tab w:val="left" w:pos="9000"/>
              </w:tabs>
              <w:spacing w:line="360" w:lineRule="auto"/>
              <w:rPr>
                <w:b/>
                <w:kern w:val="0"/>
                <w:szCs w:val="20"/>
                <w:u w:val="none"/>
              </w:rPr>
            </w:pPr>
            <w:r>
              <w:rPr>
                <w:rFonts w:hint="eastAsia" w:hAnsi="宋体"/>
                <w:lang w:val="en-US" w:eastAsia="zh-CN"/>
              </w:rPr>
              <w:t>7</w:t>
            </w:r>
            <w:r>
              <w:rPr>
                <w:rFonts w:hint="eastAsia"/>
                <w:b/>
                <w:kern w:val="0"/>
                <w:szCs w:val="20"/>
                <w:u w:val="none"/>
                <w:lang w:val="en-US" w:eastAsia="zh-CN"/>
              </w:rPr>
              <w:t>、</w:t>
            </w:r>
            <w:r>
              <w:rPr>
                <w:rFonts w:hint="eastAsia"/>
                <w:b/>
                <w:kern w:val="0"/>
                <w:szCs w:val="20"/>
                <w:u w:val="none"/>
              </w:rPr>
              <w:t>与《挥发性有机物（</w:t>
            </w:r>
            <w:r>
              <w:rPr>
                <w:b/>
                <w:kern w:val="0"/>
                <w:u w:val="none"/>
              </w:rPr>
              <w:t>VOCs</w:t>
            </w:r>
            <w:r>
              <w:rPr>
                <w:rFonts w:hint="eastAsia"/>
                <w:b/>
                <w:kern w:val="0"/>
                <w:szCs w:val="20"/>
                <w:u w:val="none"/>
              </w:rPr>
              <w:t>）污染防治技术政策》相符性分析</w:t>
            </w:r>
          </w:p>
          <w:p w14:paraId="046A54CE">
            <w:pPr>
              <w:tabs>
                <w:tab w:val="left" w:pos="8820"/>
                <w:tab w:val="left" w:pos="9000"/>
              </w:tabs>
              <w:spacing w:line="360" w:lineRule="auto"/>
              <w:ind w:firstLine="480" w:firstLineChars="200"/>
              <w:rPr>
                <w:rFonts w:hint="eastAsia"/>
                <w:kern w:val="0"/>
                <w:szCs w:val="20"/>
                <w:u w:val="none"/>
              </w:rPr>
            </w:pPr>
            <w:r>
              <w:rPr>
                <w:rFonts w:hint="eastAsia"/>
                <w:kern w:val="0"/>
                <w:szCs w:val="20"/>
                <w:u w:val="none"/>
              </w:rPr>
              <w:t>本项目采取的挥发性有机物污染防治措施与《挥发性有机物VOCs污染防治技术政策》（环境保护部 公告2013年第31号）的相符性分析详见下表。</w:t>
            </w:r>
          </w:p>
          <w:p w14:paraId="3C5DDC9C">
            <w:pPr>
              <w:numPr>
                <w:ilvl w:val="-1"/>
                <w:numId w:val="0"/>
              </w:numPr>
              <w:autoSpaceDE w:val="0"/>
              <w:autoSpaceDN w:val="0"/>
              <w:adjustRightInd w:val="0"/>
              <w:snapToGrid w:val="0"/>
              <w:spacing w:line="240" w:lineRule="auto"/>
              <w:ind w:firstLine="0" w:firstLineChars="0"/>
              <w:jc w:val="center"/>
              <w:rPr>
                <w:rFonts w:hint="eastAsia"/>
                <w:b/>
                <w:bCs/>
                <w:u w:val="none"/>
              </w:rPr>
            </w:pPr>
            <w:r>
              <w:rPr>
                <w:b/>
                <w:bCs/>
                <w:u w:val="none"/>
              </w:rPr>
              <w:t>表1-</w:t>
            </w:r>
            <w:r>
              <w:rPr>
                <w:rFonts w:hint="eastAsia"/>
                <w:b/>
                <w:bCs/>
                <w:u w:val="none"/>
                <w:lang w:val="en-US" w:eastAsia="zh-CN"/>
              </w:rPr>
              <w:t>9</w:t>
            </w:r>
            <w:r>
              <w:rPr>
                <w:b/>
                <w:bCs/>
                <w:u w:val="none"/>
              </w:rPr>
              <w:t xml:space="preserve">  </w:t>
            </w:r>
            <w:r>
              <w:rPr>
                <w:rFonts w:hint="eastAsia"/>
                <w:b/>
                <w:bCs/>
                <w:u w:val="none"/>
              </w:rPr>
              <w:t>《挥发性有机物（VOCs）污染防治技术政策》</w:t>
            </w:r>
            <w:r>
              <w:rPr>
                <w:rFonts w:hint="eastAsia"/>
                <w:b/>
                <w:bCs/>
                <w:u w:val="none"/>
                <w:lang w:val="en-US" w:eastAsia="zh-CN"/>
              </w:rPr>
              <w:t>符合</w:t>
            </w:r>
            <w:r>
              <w:rPr>
                <w:rFonts w:hint="eastAsia"/>
                <w:b/>
                <w:bCs/>
                <w:u w:val="none"/>
              </w:rPr>
              <w:t>性分析</w:t>
            </w:r>
          </w:p>
          <w:tbl>
            <w:tblPr>
              <w:tblStyle w:val="3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2922"/>
              <w:gridCol w:w="2174"/>
              <w:gridCol w:w="639"/>
            </w:tblGrid>
            <w:tr w14:paraId="3CCC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6" w:type="pct"/>
                  <w:tcBorders>
                    <w:tl2br w:val="nil"/>
                    <w:tr2bl w:val="nil"/>
                  </w:tcBorders>
                  <w:noWrap w:val="0"/>
                  <w:tcMar>
                    <w:left w:w="28" w:type="dxa"/>
                    <w:right w:w="28" w:type="dxa"/>
                  </w:tcMar>
                  <w:vAlign w:val="center"/>
                </w:tcPr>
                <w:p w14:paraId="6E54C5E6">
                  <w:pPr>
                    <w:widowControl/>
                    <w:jc w:val="center"/>
                    <w:rPr>
                      <w:b/>
                      <w:color w:val="auto"/>
                      <w:sz w:val="21"/>
                      <w:szCs w:val="21"/>
                      <w:u w:val="none" w:color="auto"/>
                    </w:rPr>
                  </w:pPr>
                  <w:r>
                    <w:rPr>
                      <w:b/>
                      <w:color w:val="auto"/>
                      <w:sz w:val="21"/>
                      <w:szCs w:val="21"/>
                      <w:u w:val="none" w:color="auto"/>
                    </w:rPr>
                    <w:t>条款</w:t>
                  </w:r>
                </w:p>
              </w:tc>
              <w:tc>
                <w:tcPr>
                  <w:tcW w:w="2258" w:type="pct"/>
                  <w:tcBorders>
                    <w:tl2br w:val="nil"/>
                    <w:tr2bl w:val="nil"/>
                  </w:tcBorders>
                  <w:noWrap w:val="0"/>
                  <w:tcMar>
                    <w:left w:w="28" w:type="dxa"/>
                    <w:right w:w="28" w:type="dxa"/>
                  </w:tcMar>
                  <w:vAlign w:val="center"/>
                </w:tcPr>
                <w:p w14:paraId="6E052C87">
                  <w:pPr>
                    <w:widowControl/>
                    <w:jc w:val="center"/>
                    <w:rPr>
                      <w:b/>
                      <w:color w:val="auto"/>
                      <w:sz w:val="21"/>
                      <w:szCs w:val="21"/>
                      <w:u w:val="none" w:color="auto"/>
                    </w:rPr>
                  </w:pPr>
                  <w:r>
                    <w:rPr>
                      <w:b/>
                      <w:color w:val="auto"/>
                      <w:sz w:val="21"/>
                      <w:szCs w:val="21"/>
                      <w:u w:val="none" w:color="auto"/>
                    </w:rPr>
                    <w:t>技术要求</w:t>
                  </w:r>
                </w:p>
              </w:tc>
              <w:tc>
                <w:tcPr>
                  <w:tcW w:w="1680" w:type="pct"/>
                  <w:tcBorders>
                    <w:tl2br w:val="nil"/>
                    <w:tr2bl w:val="nil"/>
                  </w:tcBorders>
                  <w:noWrap w:val="0"/>
                  <w:tcMar>
                    <w:left w:w="28" w:type="dxa"/>
                    <w:right w:w="28" w:type="dxa"/>
                  </w:tcMar>
                  <w:vAlign w:val="center"/>
                </w:tcPr>
                <w:p w14:paraId="232AE0FA">
                  <w:pPr>
                    <w:widowControl/>
                    <w:jc w:val="center"/>
                    <w:rPr>
                      <w:b/>
                      <w:color w:val="auto"/>
                      <w:sz w:val="21"/>
                      <w:szCs w:val="21"/>
                      <w:u w:val="none" w:color="auto"/>
                    </w:rPr>
                  </w:pPr>
                  <w:r>
                    <w:rPr>
                      <w:b/>
                      <w:color w:val="auto"/>
                      <w:sz w:val="21"/>
                      <w:szCs w:val="21"/>
                      <w:u w:val="none" w:color="auto"/>
                    </w:rPr>
                    <w:t>本项目情况</w:t>
                  </w:r>
                </w:p>
              </w:tc>
              <w:tc>
                <w:tcPr>
                  <w:tcW w:w="494" w:type="pct"/>
                  <w:tcBorders>
                    <w:tl2br w:val="nil"/>
                    <w:tr2bl w:val="nil"/>
                  </w:tcBorders>
                  <w:noWrap w:val="0"/>
                  <w:tcMar>
                    <w:left w:w="28" w:type="dxa"/>
                    <w:right w:w="28" w:type="dxa"/>
                  </w:tcMar>
                  <w:vAlign w:val="center"/>
                </w:tcPr>
                <w:p w14:paraId="5A2BCF90">
                  <w:pPr>
                    <w:widowControl/>
                    <w:jc w:val="center"/>
                    <w:rPr>
                      <w:b/>
                      <w:color w:val="auto"/>
                      <w:sz w:val="21"/>
                      <w:szCs w:val="21"/>
                      <w:u w:val="none" w:color="auto"/>
                    </w:rPr>
                  </w:pPr>
                  <w:r>
                    <w:rPr>
                      <w:b/>
                      <w:color w:val="auto"/>
                      <w:sz w:val="21"/>
                      <w:szCs w:val="21"/>
                      <w:u w:val="none" w:color="auto"/>
                    </w:rPr>
                    <w:t>相符性</w:t>
                  </w:r>
                </w:p>
              </w:tc>
            </w:tr>
            <w:tr w14:paraId="438B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6" w:type="pct"/>
                  <w:tcBorders>
                    <w:tl2br w:val="nil"/>
                    <w:tr2bl w:val="nil"/>
                  </w:tcBorders>
                  <w:noWrap w:val="0"/>
                  <w:tcMar>
                    <w:left w:w="28" w:type="dxa"/>
                    <w:right w:w="28" w:type="dxa"/>
                  </w:tcMar>
                  <w:vAlign w:val="center"/>
                </w:tcPr>
                <w:p w14:paraId="37A8795B">
                  <w:pPr>
                    <w:widowControl/>
                    <w:jc w:val="center"/>
                    <w:rPr>
                      <w:color w:val="auto"/>
                      <w:sz w:val="21"/>
                      <w:szCs w:val="21"/>
                      <w:u w:val="none" w:color="auto"/>
                    </w:rPr>
                  </w:pPr>
                  <w:r>
                    <w:rPr>
                      <w:color w:val="auto"/>
                      <w:sz w:val="21"/>
                      <w:szCs w:val="21"/>
                      <w:u w:val="none" w:color="auto"/>
                    </w:rPr>
                    <w:t>一、</w:t>
                  </w:r>
                </w:p>
                <w:p w14:paraId="0DF2EB4E">
                  <w:pPr>
                    <w:widowControl/>
                    <w:jc w:val="center"/>
                    <w:rPr>
                      <w:color w:val="auto"/>
                      <w:sz w:val="21"/>
                      <w:szCs w:val="21"/>
                      <w:u w:val="none" w:color="auto"/>
                    </w:rPr>
                  </w:pPr>
                  <w:r>
                    <w:rPr>
                      <w:color w:val="auto"/>
                      <w:sz w:val="21"/>
                      <w:szCs w:val="21"/>
                      <w:u w:val="none" w:color="auto"/>
                    </w:rPr>
                    <w:t>总则</w:t>
                  </w:r>
                </w:p>
              </w:tc>
              <w:tc>
                <w:tcPr>
                  <w:tcW w:w="2258" w:type="pct"/>
                  <w:tcBorders>
                    <w:tl2br w:val="nil"/>
                    <w:tr2bl w:val="nil"/>
                  </w:tcBorders>
                  <w:noWrap w:val="0"/>
                  <w:tcMar>
                    <w:left w:w="28" w:type="dxa"/>
                    <w:right w:w="28" w:type="dxa"/>
                  </w:tcMar>
                  <w:vAlign w:val="center"/>
                </w:tcPr>
                <w:p w14:paraId="036A0D8D">
                  <w:pPr>
                    <w:widowControl/>
                    <w:jc w:val="center"/>
                    <w:rPr>
                      <w:color w:val="auto"/>
                      <w:sz w:val="21"/>
                      <w:szCs w:val="21"/>
                      <w:u w:val="none" w:color="auto"/>
                    </w:rPr>
                  </w:pPr>
                  <w:r>
                    <w:rPr>
                      <w:color w:val="auto"/>
                      <w:sz w:val="21"/>
                      <w:szCs w:val="21"/>
                      <w:u w:val="none" w:color="auto"/>
                    </w:rPr>
                    <w:t>（四）VOCs污染防治应遵循源头和过程控制与末端治理</w:t>
                  </w:r>
                  <w:r>
                    <w:rPr>
                      <w:rFonts w:hint="eastAsia"/>
                      <w:color w:val="auto"/>
                      <w:sz w:val="21"/>
                      <w:szCs w:val="21"/>
                      <w:u w:val="none" w:color="auto"/>
                      <w:lang w:eastAsia="zh-CN"/>
                    </w:rPr>
                    <w:t>相结合</w:t>
                  </w:r>
                  <w:r>
                    <w:rPr>
                      <w:color w:val="auto"/>
                      <w:sz w:val="21"/>
                      <w:szCs w:val="21"/>
                      <w:u w:val="none" w:color="auto"/>
                    </w:rPr>
                    <w:t>的综合防治原则。在工业生产中采用清洁生产技术，严格控制含VOCs原料与产品在生产和储运过程中的VOCs排放，鼓励对资源和能源的回收利用；鼓励在生产和生活中使用不含VOCs的替代产品或低VOCs含量的产品。</w:t>
                  </w:r>
                </w:p>
              </w:tc>
              <w:tc>
                <w:tcPr>
                  <w:tcW w:w="1680" w:type="pct"/>
                  <w:vMerge w:val="restart"/>
                  <w:tcBorders>
                    <w:tl2br w:val="nil"/>
                    <w:tr2bl w:val="nil"/>
                  </w:tcBorders>
                  <w:noWrap w:val="0"/>
                  <w:tcMar>
                    <w:left w:w="28" w:type="dxa"/>
                    <w:right w:w="28" w:type="dxa"/>
                  </w:tcMar>
                  <w:vAlign w:val="center"/>
                </w:tcPr>
                <w:p w14:paraId="0BBCFCE1">
                  <w:pPr>
                    <w:widowControl/>
                    <w:jc w:val="center"/>
                    <w:rPr>
                      <w:color w:val="auto"/>
                      <w:sz w:val="21"/>
                      <w:szCs w:val="21"/>
                      <w:u w:val="none" w:color="auto"/>
                    </w:rPr>
                  </w:pPr>
                  <w:r>
                    <w:rPr>
                      <w:rFonts w:hint="eastAsia"/>
                      <w:color w:val="auto"/>
                      <w:sz w:val="21"/>
                      <w:szCs w:val="21"/>
                      <w:u w:color="auto"/>
                    </w:rPr>
                    <w:t>本项目原料、成品储存均在密闭的桶以及储罐内，生产过程均在密闭设备中进行，产生的废气经密闭管道排至二级活性炭吸附装置处理后排放</w:t>
                  </w:r>
                </w:p>
              </w:tc>
              <w:tc>
                <w:tcPr>
                  <w:tcW w:w="494" w:type="pct"/>
                  <w:tcBorders>
                    <w:tl2br w:val="nil"/>
                    <w:tr2bl w:val="nil"/>
                  </w:tcBorders>
                  <w:noWrap w:val="0"/>
                  <w:tcMar>
                    <w:left w:w="28" w:type="dxa"/>
                    <w:right w:w="28" w:type="dxa"/>
                  </w:tcMar>
                  <w:vAlign w:val="center"/>
                </w:tcPr>
                <w:p w14:paraId="2EA956CB">
                  <w:pPr>
                    <w:widowControl/>
                    <w:jc w:val="center"/>
                    <w:rPr>
                      <w:color w:val="auto"/>
                      <w:sz w:val="21"/>
                      <w:szCs w:val="21"/>
                      <w:u w:val="none" w:color="auto"/>
                    </w:rPr>
                  </w:pPr>
                  <w:r>
                    <w:rPr>
                      <w:color w:val="auto"/>
                      <w:sz w:val="21"/>
                      <w:szCs w:val="21"/>
                      <w:u w:val="none" w:color="auto"/>
                    </w:rPr>
                    <w:t>符合</w:t>
                  </w:r>
                </w:p>
              </w:tc>
            </w:tr>
            <w:tr w14:paraId="6A3A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6" w:type="pct"/>
                  <w:tcBorders>
                    <w:tl2br w:val="nil"/>
                    <w:tr2bl w:val="nil"/>
                  </w:tcBorders>
                  <w:noWrap w:val="0"/>
                  <w:tcMar>
                    <w:left w:w="28" w:type="dxa"/>
                    <w:right w:w="28" w:type="dxa"/>
                  </w:tcMar>
                  <w:vAlign w:val="center"/>
                </w:tcPr>
                <w:p w14:paraId="4330B033">
                  <w:pPr>
                    <w:widowControl/>
                    <w:jc w:val="center"/>
                    <w:rPr>
                      <w:color w:val="auto"/>
                      <w:sz w:val="21"/>
                      <w:szCs w:val="21"/>
                      <w:u w:val="none" w:color="auto"/>
                    </w:rPr>
                  </w:pPr>
                  <w:r>
                    <w:rPr>
                      <w:color w:val="auto"/>
                      <w:sz w:val="21"/>
                      <w:szCs w:val="21"/>
                      <w:u w:val="none" w:color="auto"/>
                    </w:rPr>
                    <w:t>二、</w:t>
                  </w:r>
                </w:p>
                <w:p w14:paraId="74AFB112">
                  <w:pPr>
                    <w:widowControl/>
                    <w:jc w:val="center"/>
                    <w:rPr>
                      <w:color w:val="auto"/>
                      <w:sz w:val="21"/>
                      <w:szCs w:val="21"/>
                      <w:u w:val="none" w:color="auto"/>
                    </w:rPr>
                  </w:pPr>
                  <w:r>
                    <w:rPr>
                      <w:color w:val="auto"/>
                      <w:sz w:val="21"/>
                      <w:szCs w:val="21"/>
                      <w:u w:val="none" w:color="auto"/>
                    </w:rPr>
                    <w:t>源头和过程控制</w:t>
                  </w:r>
                </w:p>
              </w:tc>
              <w:tc>
                <w:tcPr>
                  <w:tcW w:w="2258" w:type="pct"/>
                  <w:tcBorders>
                    <w:tl2br w:val="nil"/>
                    <w:tr2bl w:val="nil"/>
                  </w:tcBorders>
                  <w:noWrap w:val="0"/>
                  <w:tcMar>
                    <w:left w:w="28" w:type="dxa"/>
                    <w:right w:w="28" w:type="dxa"/>
                  </w:tcMar>
                  <w:vAlign w:val="center"/>
                </w:tcPr>
                <w:p w14:paraId="0F22A5F3">
                  <w:pPr>
                    <w:widowControl/>
                    <w:jc w:val="center"/>
                    <w:rPr>
                      <w:color w:val="auto"/>
                      <w:sz w:val="21"/>
                      <w:szCs w:val="21"/>
                      <w:u w:val="none" w:color="auto"/>
                    </w:rPr>
                  </w:pPr>
                  <w:r>
                    <w:rPr>
                      <w:color w:val="auto"/>
                      <w:sz w:val="21"/>
                      <w:szCs w:val="21"/>
                      <w:u w:val="none" w:color="auto"/>
                    </w:rPr>
                    <w:t>（十）在涂装、印刷、粘合、工业清洗等含VOCs产品的使用过程中的VOCs污染防治技术措施包括：</w:t>
                  </w:r>
                </w:p>
                <w:p w14:paraId="1F87AF36">
                  <w:pPr>
                    <w:widowControl/>
                    <w:numPr>
                      <w:ilvl w:val="-1"/>
                      <w:numId w:val="0"/>
                    </w:numPr>
                    <w:jc w:val="center"/>
                    <w:rPr>
                      <w:color w:val="auto"/>
                      <w:sz w:val="21"/>
                      <w:szCs w:val="21"/>
                      <w:u w:val="none" w:color="auto"/>
                    </w:rPr>
                  </w:pPr>
                  <w:r>
                    <w:rPr>
                      <w:color w:val="auto"/>
                      <w:sz w:val="21"/>
                      <w:szCs w:val="21"/>
                      <w:u w:val="none" w:color="auto"/>
                    </w:rPr>
                    <w:t>含VOCs产品的使用过程中，应采取废气收集措施，提高废气收集效率，减少废气的无组织排放与散逸，并对收集后的废气进行回收或处理后达标排放。</w:t>
                  </w:r>
                </w:p>
              </w:tc>
              <w:tc>
                <w:tcPr>
                  <w:tcW w:w="1680" w:type="pct"/>
                  <w:vMerge w:val="continue"/>
                  <w:tcBorders>
                    <w:tl2br w:val="nil"/>
                    <w:tr2bl w:val="nil"/>
                  </w:tcBorders>
                  <w:noWrap w:val="0"/>
                  <w:tcMar>
                    <w:left w:w="28" w:type="dxa"/>
                    <w:right w:w="28" w:type="dxa"/>
                  </w:tcMar>
                  <w:vAlign w:val="center"/>
                </w:tcPr>
                <w:p w14:paraId="16717E9C">
                  <w:pPr>
                    <w:widowControl/>
                    <w:jc w:val="center"/>
                    <w:rPr>
                      <w:color w:val="auto"/>
                      <w:sz w:val="21"/>
                      <w:szCs w:val="21"/>
                      <w:u w:val="none" w:color="auto"/>
                    </w:rPr>
                  </w:pPr>
                </w:p>
              </w:tc>
              <w:tc>
                <w:tcPr>
                  <w:tcW w:w="494" w:type="pct"/>
                  <w:tcBorders>
                    <w:tl2br w:val="nil"/>
                    <w:tr2bl w:val="nil"/>
                  </w:tcBorders>
                  <w:noWrap w:val="0"/>
                  <w:tcMar>
                    <w:left w:w="28" w:type="dxa"/>
                    <w:right w:w="28" w:type="dxa"/>
                  </w:tcMar>
                  <w:vAlign w:val="center"/>
                </w:tcPr>
                <w:p w14:paraId="7300152D">
                  <w:pPr>
                    <w:widowControl/>
                    <w:jc w:val="center"/>
                    <w:rPr>
                      <w:color w:val="auto"/>
                      <w:sz w:val="21"/>
                      <w:szCs w:val="21"/>
                      <w:u w:val="none" w:color="auto"/>
                    </w:rPr>
                  </w:pPr>
                  <w:r>
                    <w:rPr>
                      <w:color w:val="auto"/>
                      <w:sz w:val="21"/>
                      <w:szCs w:val="21"/>
                      <w:u w:val="none" w:color="auto"/>
                    </w:rPr>
                    <w:t>符合</w:t>
                  </w:r>
                </w:p>
              </w:tc>
            </w:tr>
            <w:tr w14:paraId="44A7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6" w:type="pct"/>
                  <w:vMerge w:val="restart"/>
                  <w:tcBorders>
                    <w:tl2br w:val="nil"/>
                    <w:tr2bl w:val="nil"/>
                  </w:tcBorders>
                  <w:noWrap w:val="0"/>
                  <w:tcMar>
                    <w:left w:w="28" w:type="dxa"/>
                    <w:right w:w="28" w:type="dxa"/>
                  </w:tcMar>
                  <w:vAlign w:val="center"/>
                </w:tcPr>
                <w:p w14:paraId="05486088">
                  <w:pPr>
                    <w:widowControl/>
                    <w:jc w:val="center"/>
                    <w:rPr>
                      <w:color w:val="auto"/>
                      <w:sz w:val="21"/>
                      <w:szCs w:val="21"/>
                      <w:u w:val="none" w:color="auto"/>
                    </w:rPr>
                  </w:pPr>
                  <w:r>
                    <w:rPr>
                      <w:color w:val="auto"/>
                      <w:sz w:val="21"/>
                      <w:szCs w:val="21"/>
                      <w:u w:val="none" w:color="auto"/>
                    </w:rPr>
                    <w:t>三、</w:t>
                  </w:r>
                </w:p>
                <w:p w14:paraId="781C81AD">
                  <w:pPr>
                    <w:widowControl/>
                    <w:jc w:val="center"/>
                    <w:rPr>
                      <w:color w:val="auto"/>
                      <w:sz w:val="21"/>
                      <w:szCs w:val="21"/>
                      <w:u w:val="none" w:color="auto"/>
                    </w:rPr>
                  </w:pPr>
                  <w:r>
                    <w:rPr>
                      <w:color w:val="auto"/>
                      <w:sz w:val="21"/>
                      <w:szCs w:val="21"/>
                      <w:u w:val="none" w:color="auto"/>
                    </w:rPr>
                    <w:t>末端治理与综合利用</w:t>
                  </w:r>
                </w:p>
              </w:tc>
              <w:tc>
                <w:tcPr>
                  <w:tcW w:w="2258" w:type="pct"/>
                  <w:tcBorders>
                    <w:tl2br w:val="nil"/>
                    <w:tr2bl w:val="nil"/>
                  </w:tcBorders>
                  <w:noWrap w:val="0"/>
                  <w:tcMar>
                    <w:left w:w="28" w:type="dxa"/>
                    <w:right w:w="28" w:type="dxa"/>
                  </w:tcMar>
                  <w:vAlign w:val="center"/>
                </w:tcPr>
                <w:p w14:paraId="0B0DCA27">
                  <w:pPr>
                    <w:widowControl/>
                    <w:jc w:val="center"/>
                    <w:rPr>
                      <w:color w:val="auto"/>
                      <w:sz w:val="21"/>
                      <w:szCs w:val="21"/>
                      <w:u w:val="none" w:color="auto"/>
                    </w:rPr>
                  </w:pPr>
                  <w:r>
                    <w:rPr>
                      <w:color w:val="auto"/>
                      <w:sz w:val="21"/>
                      <w:szCs w:val="21"/>
                      <w:u w:val="none" w:color="auto"/>
                    </w:rPr>
                    <w:t>（十二）在工业生产过程中鼓励VOCs的回收利用，并优先鼓励在生产系统内回用。</w:t>
                  </w:r>
                </w:p>
              </w:tc>
              <w:tc>
                <w:tcPr>
                  <w:tcW w:w="1680" w:type="pct"/>
                  <w:vMerge w:val="continue"/>
                  <w:tcBorders>
                    <w:tl2br w:val="nil"/>
                    <w:tr2bl w:val="nil"/>
                  </w:tcBorders>
                  <w:noWrap w:val="0"/>
                  <w:tcMar>
                    <w:left w:w="28" w:type="dxa"/>
                    <w:right w:w="28" w:type="dxa"/>
                  </w:tcMar>
                  <w:vAlign w:val="center"/>
                </w:tcPr>
                <w:p w14:paraId="7894924C">
                  <w:pPr>
                    <w:widowControl/>
                    <w:jc w:val="center"/>
                    <w:rPr>
                      <w:color w:val="auto"/>
                      <w:sz w:val="21"/>
                      <w:szCs w:val="21"/>
                      <w:u w:val="none" w:color="auto"/>
                    </w:rPr>
                  </w:pPr>
                </w:p>
              </w:tc>
              <w:tc>
                <w:tcPr>
                  <w:tcW w:w="494" w:type="pct"/>
                  <w:tcBorders>
                    <w:tl2br w:val="nil"/>
                    <w:tr2bl w:val="nil"/>
                  </w:tcBorders>
                  <w:noWrap w:val="0"/>
                  <w:tcMar>
                    <w:left w:w="28" w:type="dxa"/>
                    <w:right w:w="28" w:type="dxa"/>
                  </w:tcMar>
                  <w:vAlign w:val="center"/>
                </w:tcPr>
                <w:p w14:paraId="49E64BCF">
                  <w:pPr>
                    <w:widowControl/>
                    <w:jc w:val="center"/>
                    <w:rPr>
                      <w:color w:val="auto"/>
                      <w:sz w:val="21"/>
                      <w:szCs w:val="21"/>
                      <w:u w:val="none" w:color="auto"/>
                    </w:rPr>
                  </w:pPr>
                  <w:r>
                    <w:rPr>
                      <w:color w:val="auto"/>
                      <w:sz w:val="21"/>
                      <w:szCs w:val="21"/>
                      <w:u w:val="none" w:color="auto"/>
                    </w:rPr>
                    <w:t>符合</w:t>
                  </w:r>
                </w:p>
              </w:tc>
            </w:tr>
            <w:tr w14:paraId="26FB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6" w:type="pct"/>
                  <w:vMerge w:val="continue"/>
                  <w:tcBorders>
                    <w:tl2br w:val="nil"/>
                    <w:tr2bl w:val="nil"/>
                  </w:tcBorders>
                  <w:noWrap w:val="0"/>
                  <w:tcMar>
                    <w:left w:w="28" w:type="dxa"/>
                    <w:right w:w="28" w:type="dxa"/>
                  </w:tcMar>
                  <w:vAlign w:val="center"/>
                </w:tcPr>
                <w:p w14:paraId="71679A62">
                  <w:pPr>
                    <w:widowControl/>
                    <w:jc w:val="center"/>
                    <w:rPr>
                      <w:color w:val="auto"/>
                      <w:sz w:val="21"/>
                      <w:szCs w:val="21"/>
                      <w:u w:val="none" w:color="auto"/>
                    </w:rPr>
                  </w:pPr>
                </w:p>
              </w:tc>
              <w:tc>
                <w:tcPr>
                  <w:tcW w:w="2258" w:type="pct"/>
                  <w:tcBorders>
                    <w:tl2br w:val="nil"/>
                    <w:tr2bl w:val="nil"/>
                  </w:tcBorders>
                  <w:noWrap w:val="0"/>
                  <w:tcMar>
                    <w:left w:w="28" w:type="dxa"/>
                    <w:right w:w="28" w:type="dxa"/>
                  </w:tcMar>
                  <w:vAlign w:val="center"/>
                </w:tcPr>
                <w:p w14:paraId="40F842B9">
                  <w:pPr>
                    <w:widowControl/>
                    <w:jc w:val="center"/>
                    <w:rPr>
                      <w:color w:val="auto"/>
                      <w:sz w:val="21"/>
                      <w:szCs w:val="21"/>
                      <w:u w:val="none" w:color="auto"/>
                    </w:rPr>
                  </w:pPr>
                  <w:r>
                    <w:rPr>
                      <w:rFonts w:hint="eastAsia"/>
                      <w:color w:val="auto"/>
                      <w:sz w:val="21"/>
                      <w:szCs w:val="21"/>
                      <w:u w:val="none" w:color="auto"/>
                    </w:rPr>
                    <w:t>（十五）对于含低浓度VOCs的废气，有回收价值时可采用吸附技术、吸收技术对有机溶剂回收后达标排放；不宜回收时，可采用吸附浓缩燃烧技术、生物技术、吸收技术、等离子体技术或紫外光高级氧化技术等净化后达标排放。</w:t>
                  </w:r>
                </w:p>
              </w:tc>
              <w:tc>
                <w:tcPr>
                  <w:tcW w:w="1680" w:type="pct"/>
                  <w:vMerge w:val="continue"/>
                  <w:tcBorders>
                    <w:tl2br w:val="nil"/>
                    <w:tr2bl w:val="nil"/>
                  </w:tcBorders>
                  <w:noWrap w:val="0"/>
                  <w:tcMar>
                    <w:left w:w="28" w:type="dxa"/>
                    <w:right w:w="28" w:type="dxa"/>
                  </w:tcMar>
                  <w:vAlign w:val="center"/>
                </w:tcPr>
                <w:p w14:paraId="30D18EB3">
                  <w:pPr>
                    <w:widowControl/>
                    <w:jc w:val="center"/>
                    <w:rPr>
                      <w:color w:val="auto"/>
                      <w:sz w:val="21"/>
                      <w:szCs w:val="21"/>
                      <w:u w:val="none" w:color="auto"/>
                    </w:rPr>
                  </w:pPr>
                </w:p>
              </w:tc>
              <w:tc>
                <w:tcPr>
                  <w:tcW w:w="494" w:type="pct"/>
                  <w:tcBorders>
                    <w:tl2br w:val="nil"/>
                    <w:tr2bl w:val="nil"/>
                  </w:tcBorders>
                  <w:noWrap w:val="0"/>
                  <w:tcMar>
                    <w:left w:w="28" w:type="dxa"/>
                    <w:right w:w="28" w:type="dxa"/>
                  </w:tcMar>
                  <w:vAlign w:val="center"/>
                </w:tcPr>
                <w:p w14:paraId="4668FFBA">
                  <w:pPr>
                    <w:widowControl/>
                    <w:jc w:val="center"/>
                    <w:rPr>
                      <w:color w:val="auto"/>
                      <w:sz w:val="21"/>
                      <w:szCs w:val="21"/>
                      <w:u w:val="none" w:color="auto"/>
                    </w:rPr>
                  </w:pPr>
                  <w:r>
                    <w:rPr>
                      <w:color w:val="auto"/>
                      <w:sz w:val="21"/>
                      <w:szCs w:val="21"/>
                      <w:u w:val="none" w:color="auto"/>
                    </w:rPr>
                    <w:t>符合</w:t>
                  </w:r>
                </w:p>
              </w:tc>
            </w:tr>
            <w:tr w14:paraId="44B0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6" w:type="pct"/>
                  <w:vMerge w:val="restart"/>
                  <w:tcBorders>
                    <w:tl2br w:val="nil"/>
                    <w:tr2bl w:val="nil"/>
                  </w:tcBorders>
                  <w:noWrap w:val="0"/>
                  <w:tcMar>
                    <w:left w:w="28" w:type="dxa"/>
                    <w:right w:w="28" w:type="dxa"/>
                  </w:tcMar>
                  <w:vAlign w:val="center"/>
                </w:tcPr>
                <w:p w14:paraId="7F5D119C">
                  <w:pPr>
                    <w:widowControl/>
                    <w:jc w:val="center"/>
                    <w:rPr>
                      <w:color w:val="auto"/>
                      <w:sz w:val="21"/>
                      <w:szCs w:val="21"/>
                      <w:u w:val="none" w:color="auto"/>
                    </w:rPr>
                  </w:pPr>
                  <w:r>
                    <w:rPr>
                      <w:color w:val="auto"/>
                      <w:sz w:val="21"/>
                      <w:szCs w:val="21"/>
                      <w:u w:val="none" w:color="auto"/>
                    </w:rPr>
                    <w:t>五、</w:t>
                  </w:r>
                </w:p>
                <w:p w14:paraId="40775FAE">
                  <w:pPr>
                    <w:widowControl/>
                    <w:jc w:val="center"/>
                    <w:rPr>
                      <w:color w:val="auto"/>
                      <w:sz w:val="21"/>
                      <w:szCs w:val="21"/>
                      <w:u w:val="none" w:color="auto"/>
                    </w:rPr>
                  </w:pPr>
                  <w:r>
                    <w:rPr>
                      <w:color w:val="auto"/>
                      <w:sz w:val="21"/>
                      <w:szCs w:val="21"/>
                      <w:u w:val="none" w:color="auto"/>
                    </w:rPr>
                    <w:t>运行与监测</w:t>
                  </w:r>
                </w:p>
              </w:tc>
              <w:tc>
                <w:tcPr>
                  <w:tcW w:w="2258" w:type="pct"/>
                  <w:tcBorders>
                    <w:tl2br w:val="nil"/>
                    <w:tr2bl w:val="nil"/>
                  </w:tcBorders>
                  <w:noWrap w:val="0"/>
                  <w:tcMar>
                    <w:left w:w="28" w:type="dxa"/>
                    <w:right w:w="28" w:type="dxa"/>
                  </w:tcMar>
                  <w:vAlign w:val="center"/>
                </w:tcPr>
                <w:p w14:paraId="5666E950">
                  <w:pPr>
                    <w:widowControl/>
                    <w:jc w:val="center"/>
                    <w:rPr>
                      <w:color w:val="auto"/>
                      <w:sz w:val="21"/>
                      <w:szCs w:val="21"/>
                      <w:u w:val="none" w:color="auto"/>
                    </w:rPr>
                  </w:pPr>
                  <w:r>
                    <w:rPr>
                      <w:color w:val="auto"/>
                      <w:sz w:val="21"/>
                      <w:szCs w:val="21"/>
                      <w:u w:val="none" w:color="auto"/>
                    </w:rPr>
                    <w:t>（二十五）鼓励企业自行开展VOCs监测，并及时主动向当地环保行政主管部门报送监测结果。</w:t>
                  </w:r>
                </w:p>
              </w:tc>
              <w:tc>
                <w:tcPr>
                  <w:tcW w:w="1680" w:type="pct"/>
                  <w:tcBorders>
                    <w:tl2br w:val="nil"/>
                    <w:tr2bl w:val="nil"/>
                  </w:tcBorders>
                  <w:noWrap w:val="0"/>
                  <w:tcMar>
                    <w:left w:w="28" w:type="dxa"/>
                    <w:right w:w="28" w:type="dxa"/>
                  </w:tcMar>
                  <w:vAlign w:val="center"/>
                </w:tcPr>
                <w:p w14:paraId="78D28F38">
                  <w:pPr>
                    <w:widowControl/>
                    <w:jc w:val="center"/>
                    <w:rPr>
                      <w:rFonts w:hint="eastAsia" w:eastAsia="宋体"/>
                      <w:color w:val="auto"/>
                      <w:sz w:val="21"/>
                      <w:szCs w:val="21"/>
                      <w:u w:val="none" w:color="auto"/>
                      <w:lang w:val="en-US" w:eastAsia="zh-CN"/>
                    </w:rPr>
                  </w:pPr>
                  <w:r>
                    <w:rPr>
                      <w:color w:val="auto"/>
                      <w:sz w:val="21"/>
                      <w:szCs w:val="21"/>
                      <w:u w:val="none" w:color="auto"/>
                    </w:rPr>
                    <w:t>本项目制定了相关监测计划</w:t>
                  </w:r>
                  <w:r>
                    <w:rPr>
                      <w:rFonts w:hint="eastAsia"/>
                      <w:color w:val="auto"/>
                      <w:sz w:val="21"/>
                      <w:szCs w:val="21"/>
                      <w:u w:val="none" w:color="auto"/>
                      <w:lang w:val="en-US" w:eastAsia="zh-CN"/>
                    </w:rPr>
                    <w:t>。</w:t>
                  </w:r>
                </w:p>
              </w:tc>
              <w:tc>
                <w:tcPr>
                  <w:tcW w:w="494" w:type="pct"/>
                  <w:tcBorders>
                    <w:tl2br w:val="nil"/>
                    <w:tr2bl w:val="nil"/>
                  </w:tcBorders>
                  <w:noWrap w:val="0"/>
                  <w:tcMar>
                    <w:left w:w="28" w:type="dxa"/>
                    <w:right w:w="28" w:type="dxa"/>
                  </w:tcMar>
                  <w:vAlign w:val="center"/>
                </w:tcPr>
                <w:p w14:paraId="329DE4AC">
                  <w:pPr>
                    <w:widowControl/>
                    <w:jc w:val="center"/>
                    <w:rPr>
                      <w:color w:val="auto"/>
                      <w:sz w:val="21"/>
                      <w:szCs w:val="21"/>
                      <w:u w:val="none" w:color="auto"/>
                    </w:rPr>
                  </w:pPr>
                  <w:r>
                    <w:rPr>
                      <w:color w:val="auto"/>
                      <w:sz w:val="21"/>
                      <w:szCs w:val="21"/>
                      <w:u w:val="none" w:color="auto"/>
                    </w:rPr>
                    <w:t>符合</w:t>
                  </w:r>
                </w:p>
              </w:tc>
            </w:tr>
            <w:tr w14:paraId="02BA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6" w:type="pct"/>
                  <w:vMerge w:val="continue"/>
                  <w:tcBorders>
                    <w:tl2br w:val="nil"/>
                    <w:tr2bl w:val="nil"/>
                  </w:tcBorders>
                  <w:noWrap w:val="0"/>
                  <w:tcMar>
                    <w:left w:w="28" w:type="dxa"/>
                    <w:right w:w="28" w:type="dxa"/>
                  </w:tcMar>
                  <w:vAlign w:val="center"/>
                </w:tcPr>
                <w:p w14:paraId="4C54217C">
                  <w:pPr>
                    <w:widowControl/>
                    <w:jc w:val="center"/>
                    <w:rPr>
                      <w:color w:val="auto"/>
                      <w:sz w:val="21"/>
                      <w:szCs w:val="21"/>
                      <w:u w:val="none" w:color="auto"/>
                    </w:rPr>
                  </w:pPr>
                </w:p>
              </w:tc>
              <w:tc>
                <w:tcPr>
                  <w:tcW w:w="2258" w:type="pct"/>
                  <w:tcBorders>
                    <w:tl2br w:val="nil"/>
                    <w:tr2bl w:val="nil"/>
                  </w:tcBorders>
                  <w:noWrap w:val="0"/>
                  <w:tcMar>
                    <w:left w:w="28" w:type="dxa"/>
                    <w:right w:w="28" w:type="dxa"/>
                  </w:tcMar>
                  <w:vAlign w:val="center"/>
                </w:tcPr>
                <w:p w14:paraId="0879BF81">
                  <w:pPr>
                    <w:widowControl/>
                    <w:jc w:val="center"/>
                    <w:rPr>
                      <w:color w:val="auto"/>
                      <w:sz w:val="21"/>
                      <w:szCs w:val="21"/>
                      <w:u w:val="none" w:color="auto"/>
                    </w:rPr>
                  </w:pPr>
                  <w:r>
                    <w:rPr>
                      <w:color w:val="auto"/>
                      <w:sz w:val="21"/>
                      <w:szCs w:val="21"/>
                      <w:u w:val="none" w:color="auto"/>
                    </w:rPr>
                    <w:t>（二十六）企业应建立健全VOCs治理设施的运行维护规程和台账等日常管理制度，并根据工艺要求定期对各类设备、电气、自控仪表等进行检修维护，确保设施的稳定运行。</w:t>
                  </w:r>
                </w:p>
              </w:tc>
              <w:tc>
                <w:tcPr>
                  <w:tcW w:w="1680" w:type="pct"/>
                  <w:tcBorders>
                    <w:tl2br w:val="nil"/>
                    <w:tr2bl w:val="nil"/>
                  </w:tcBorders>
                  <w:noWrap w:val="0"/>
                  <w:tcMar>
                    <w:left w:w="28" w:type="dxa"/>
                    <w:right w:w="28" w:type="dxa"/>
                  </w:tcMar>
                  <w:vAlign w:val="center"/>
                </w:tcPr>
                <w:p w14:paraId="7305F5A7">
                  <w:pPr>
                    <w:widowControl/>
                    <w:jc w:val="center"/>
                    <w:rPr>
                      <w:rFonts w:hint="eastAsia" w:eastAsia="宋体"/>
                      <w:color w:val="auto"/>
                      <w:sz w:val="21"/>
                      <w:szCs w:val="21"/>
                      <w:u w:val="none" w:color="auto"/>
                      <w:lang w:val="en-US" w:eastAsia="zh-CN"/>
                    </w:rPr>
                  </w:pPr>
                  <w:r>
                    <w:rPr>
                      <w:color w:val="auto"/>
                      <w:sz w:val="21"/>
                      <w:szCs w:val="21"/>
                      <w:u w:val="none" w:color="auto"/>
                    </w:rPr>
                    <w:t>本环评提出建立环境管理的相关要求，将废气治理设施的相关管理制度纳入环境管理要求</w:t>
                  </w:r>
                  <w:r>
                    <w:rPr>
                      <w:rFonts w:hint="eastAsia"/>
                      <w:color w:val="auto"/>
                      <w:sz w:val="21"/>
                      <w:szCs w:val="21"/>
                      <w:u w:val="none" w:color="auto"/>
                      <w:lang w:eastAsia="zh-CN"/>
                    </w:rPr>
                    <w:t>。</w:t>
                  </w:r>
                </w:p>
              </w:tc>
              <w:tc>
                <w:tcPr>
                  <w:tcW w:w="494" w:type="pct"/>
                  <w:tcBorders>
                    <w:tl2br w:val="nil"/>
                    <w:tr2bl w:val="nil"/>
                  </w:tcBorders>
                  <w:noWrap w:val="0"/>
                  <w:tcMar>
                    <w:left w:w="28" w:type="dxa"/>
                    <w:right w:w="28" w:type="dxa"/>
                  </w:tcMar>
                  <w:vAlign w:val="center"/>
                </w:tcPr>
                <w:p w14:paraId="29A8BE9F">
                  <w:pPr>
                    <w:widowControl/>
                    <w:jc w:val="center"/>
                    <w:rPr>
                      <w:color w:val="auto"/>
                      <w:sz w:val="21"/>
                      <w:szCs w:val="21"/>
                      <w:u w:val="none" w:color="auto"/>
                    </w:rPr>
                  </w:pPr>
                  <w:r>
                    <w:rPr>
                      <w:color w:val="auto"/>
                      <w:sz w:val="21"/>
                      <w:szCs w:val="21"/>
                      <w:u w:val="none" w:color="auto"/>
                    </w:rPr>
                    <w:t>符合</w:t>
                  </w:r>
                </w:p>
              </w:tc>
            </w:tr>
          </w:tbl>
          <w:p w14:paraId="2FC3C778">
            <w:pPr>
              <w:keepNext w:val="0"/>
              <w:keepLines w:val="0"/>
              <w:pageBreakBefore w:val="0"/>
              <w:kinsoku/>
              <w:wordWrap/>
              <w:overflowPunct/>
              <w:topLinePunct w:val="0"/>
              <w:bidi w:val="0"/>
              <w:snapToGrid w:val="0"/>
              <w:spacing w:after="0" w:line="360" w:lineRule="auto"/>
              <w:textAlignment w:val="auto"/>
              <w:rPr>
                <w:rFonts w:hint="default" w:ascii="Times New Roman" w:hAnsi="Times New Roman" w:eastAsia="宋体" w:cs="Times New Roman"/>
                <w:b/>
                <w:color w:val="auto"/>
                <w:kern w:val="0"/>
                <w:szCs w:val="20"/>
                <w:u w:val="none"/>
                <w:lang w:val="en-US" w:eastAsia="zh-CN"/>
              </w:rPr>
            </w:pPr>
            <w:r>
              <w:rPr>
                <w:rFonts w:hint="eastAsia" w:cs="Times New Roman"/>
                <w:b/>
                <w:kern w:val="0"/>
                <w:szCs w:val="20"/>
                <w:u w:val="none"/>
                <w:lang w:val="en-US" w:eastAsia="zh-CN"/>
              </w:rPr>
              <w:t>8、</w:t>
            </w:r>
            <w:r>
              <w:rPr>
                <w:rFonts w:hint="eastAsia"/>
                <w:b/>
                <w:color w:val="auto"/>
                <w:kern w:val="0"/>
                <w:szCs w:val="20"/>
                <w:u w:val="none"/>
              </w:rPr>
              <w:t>与《岳阳市生态环境保护“十四五”规划（2021-2025）》的符合性分析</w:t>
            </w:r>
          </w:p>
          <w:p w14:paraId="43CEEAF9">
            <w:pPr>
              <w:pStyle w:val="3"/>
              <w:spacing w:line="240" w:lineRule="auto"/>
              <w:ind w:firstLine="0" w:firstLineChars="0"/>
              <w:jc w:val="center"/>
              <w:rPr>
                <w:rFonts w:hint="default" w:ascii="Times New Roman" w:hAnsi="Times New Roman"/>
                <w:b w:val="0"/>
                <w:bCs w:val="0"/>
                <w:kern w:val="0"/>
                <w:szCs w:val="20"/>
                <w:u w:val="none"/>
              </w:rPr>
            </w:pPr>
            <w:r>
              <w:rPr>
                <w:rFonts w:hint="default" w:ascii="Times New Roman" w:hAnsi="Times New Roman"/>
                <w:b/>
                <w:bCs/>
                <w:kern w:val="0"/>
                <w:szCs w:val="20"/>
                <w:u w:val="none"/>
              </w:rPr>
              <w:t>表1-</w:t>
            </w:r>
            <w:r>
              <w:rPr>
                <w:rFonts w:hint="eastAsia" w:ascii="Times New Roman" w:hAnsi="Times New Roman"/>
                <w:b/>
                <w:bCs/>
                <w:kern w:val="0"/>
                <w:szCs w:val="20"/>
                <w:u w:val="none"/>
                <w:lang w:eastAsia="zh-CN"/>
              </w:rPr>
              <w:t>1</w:t>
            </w:r>
            <w:r>
              <w:rPr>
                <w:rFonts w:hint="eastAsia" w:ascii="Times New Roman" w:hAnsi="Times New Roman"/>
                <w:b/>
                <w:bCs/>
                <w:kern w:val="0"/>
                <w:szCs w:val="20"/>
                <w:u w:val="none"/>
                <w:lang w:val="en-US" w:eastAsia="zh-CN"/>
              </w:rPr>
              <w:t>0</w:t>
            </w:r>
            <w:r>
              <w:rPr>
                <w:rFonts w:hint="default" w:ascii="Times New Roman" w:hAnsi="Times New Roman"/>
                <w:b/>
                <w:bCs/>
                <w:kern w:val="0"/>
                <w:szCs w:val="20"/>
                <w:u w:val="none"/>
              </w:rPr>
              <w:t xml:space="preserve">  与《岳阳市生态环境保护“十四五”规划（2021-2025）》的符合性分析</w:t>
            </w:r>
          </w:p>
          <w:tbl>
            <w:tblPr>
              <w:tblStyle w:val="31"/>
              <w:tblW w:w="5000" w:type="pct"/>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598"/>
              <w:gridCol w:w="2242"/>
              <w:gridCol w:w="775"/>
            </w:tblGrid>
            <w:tr w14:paraId="2D36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Borders>
                    <w:tl2br w:val="nil"/>
                    <w:tr2bl w:val="nil"/>
                  </w:tcBorders>
                  <w:noWrap w:val="0"/>
                  <w:vAlign w:val="center"/>
                </w:tcPr>
                <w:p w14:paraId="02A7D6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条款</w:t>
                  </w:r>
                </w:p>
              </w:tc>
              <w:tc>
                <w:tcPr>
                  <w:tcW w:w="2007" w:type="pct"/>
                  <w:tcBorders>
                    <w:tl2br w:val="nil"/>
                    <w:tr2bl w:val="nil"/>
                  </w:tcBorders>
                  <w:noWrap w:val="0"/>
                  <w:vAlign w:val="center"/>
                </w:tcPr>
                <w:p w14:paraId="67C88F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lang w:eastAsia="zh-CN"/>
                    </w:rPr>
                    <w:t>规划</w:t>
                  </w:r>
                  <w:r>
                    <w:rPr>
                      <w:rFonts w:hint="default" w:ascii="Times New Roman" w:hAnsi="Times New Roman" w:eastAsia="宋体" w:cs="Times New Roman"/>
                      <w:b/>
                      <w:bCs/>
                      <w:color w:val="auto"/>
                      <w:sz w:val="21"/>
                      <w:szCs w:val="21"/>
                      <w:highlight w:val="none"/>
                      <w:u w:val="none" w:color="auto"/>
                    </w:rPr>
                    <w:t>要求</w:t>
                  </w:r>
                </w:p>
              </w:tc>
              <w:tc>
                <w:tcPr>
                  <w:tcW w:w="1732" w:type="pct"/>
                  <w:tcBorders>
                    <w:tl2br w:val="nil"/>
                    <w:tr2bl w:val="nil"/>
                  </w:tcBorders>
                  <w:noWrap w:val="0"/>
                  <w:vAlign w:val="center"/>
                </w:tcPr>
                <w:p w14:paraId="56FC51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本项目情况</w:t>
                  </w:r>
                </w:p>
              </w:tc>
              <w:tc>
                <w:tcPr>
                  <w:tcW w:w="598" w:type="pct"/>
                  <w:tcBorders>
                    <w:tl2br w:val="nil"/>
                    <w:tr2bl w:val="nil"/>
                  </w:tcBorders>
                  <w:noWrap w:val="0"/>
                  <w:vAlign w:val="center"/>
                </w:tcPr>
                <w:p w14:paraId="1FD351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符合情况</w:t>
                  </w:r>
                </w:p>
              </w:tc>
            </w:tr>
            <w:tr w14:paraId="0AD2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trPr>
              <w:tc>
                <w:tcPr>
                  <w:tcW w:w="662" w:type="pct"/>
                  <w:tcBorders>
                    <w:tl2br w:val="nil"/>
                    <w:tr2bl w:val="nil"/>
                  </w:tcBorders>
                  <w:noWrap w:val="0"/>
                  <w:vAlign w:val="center"/>
                </w:tcPr>
                <w:p w14:paraId="09167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auto"/>
                      <w:sz w:val="21"/>
                      <w:szCs w:val="21"/>
                      <w:highlight w:val="none"/>
                      <w:u w:val="none" w:color="auto"/>
                    </w:rPr>
                  </w:pPr>
                  <w:r>
                    <w:rPr>
                      <w:rFonts w:hint="default" w:ascii="Times New Roman" w:hAnsi="Times New Roman" w:eastAsia="宋体" w:cs="Times New Roman"/>
                      <w:b w:val="0"/>
                      <w:bCs w:val="0"/>
                      <w:color w:val="auto"/>
                      <w:sz w:val="21"/>
                      <w:szCs w:val="21"/>
                      <w:highlight w:val="none"/>
                      <w:u w:val="none" w:color="auto"/>
                    </w:rPr>
                    <w:t>（二）深入打好污染防治攻坚战，持续改善环境质量</w:t>
                  </w:r>
                </w:p>
              </w:tc>
              <w:tc>
                <w:tcPr>
                  <w:tcW w:w="2007" w:type="pct"/>
                  <w:tcBorders>
                    <w:tl2br w:val="nil"/>
                    <w:tr2bl w:val="nil"/>
                  </w:tcBorders>
                  <w:noWrap w:val="0"/>
                  <w:vAlign w:val="center"/>
                </w:tcPr>
                <w:p w14:paraId="0265A8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default" w:ascii="Times New Roman" w:hAnsi="Times New Roman" w:eastAsia="宋体" w:cs="Times New Roman"/>
                      <w:b w:val="0"/>
                      <w:bCs w:val="0"/>
                      <w:color w:val="auto"/>
                      <w:sz w:val="21"/>
                      <w:szCs w:val="21"/>
                      <w:highlight w:val="none"/>
                      <w:u w:val="none" w:color="auto"/>
                    </w:rPr>
                    <w:t>根据企业原辅材料使用、污染排放控制设施、无组织排放收集措施、处置装置运行效果等方面，建立涉VOCs企业绩效分级管理机制，明确不同绩效企业差异化管控措施，确保稳定达到超低排放水平。</w:t>
                  </w:r>
                </w:p>
              </w:tc>
              <w:tc>
                <w:tcPr>
                  <w:tcW w:w="1732" w:type="pct"/>
                  <w:tcBorders>
                    <w:tl2br w:val="nil"/>
                    <w:tr2bl w:val="nil"/>
                  </w:tcBorders>
                  <w:noWrap w:val="0"/>
                  <w:vAlign w:val="center"/>
                </w:tcPr>
                <w:p w14:paraId="54FD18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eastAsia"/>
                      <w:color w:val="auto"/>
                      <w:sz w:val="21"/>
                      <w:szCs w:val="21"/>
                      <w:u w:color="auto"/>
                    </w:rPr>
                    <w:t>本项目原料、成品储存均在密闭的桶以及储罐内，生产过程均在密闭设备中进行，产生的废气经密闭管道排至二级活性炭吸附装置处理后排放</w:t>
                  </w:r>
                  <w:r>
                    <w:rPr>
                      <w:rFonts w:hint="default" w:ascii="Times New Roman" w:hAnsi="Times New Roman" w:eastAsia="宋体" w:cs="Times New Roman"/>
                      <w:bCs/>
                      <w:color w:val="0000FF"/>
                      <w:sz w:val="21"/>
                      <w:szCs w:val="21"/>
                      <w:highlight w:val="none"/>
                      <w:u w:val="none" w:color="auto"/>
                    </w:rPr>
                    <w:t>。</w:t>
                  </w:r>
                  <w:r>
                    <w:rPr>
                      <w:rFonts w:hint="default" w:ascii="Times New Roman" w:hAnsi="Times New Roman" w:eastAsia="宋体" w:cs="Times New Roman"/>
                      <w:b w:val="0"/>
                      <w:bCs w:val="0"/>
                      <w:color w:val="auto"/>
                      <w:sz w:val="21"/>
                      <w:szCs w:val="21"/>
                      <w:highlight w:val="none"/>
                      <w:u w:val="none" w:color="auto"/>
                      <w:lang w:val="en-US" w:eastAsia="zh-CN"/>
                    </w:rPr>
                    <w:t>项目建成后将建立</w:t>
                  </w:r>
                  <w:r>
                    <w:rPr>
                      <w:rFonts w:hint="default" w:ascii="Times New Roman" w:hAnsi="Times New Roman" w:eastAsia="宋体" w:cs="Times New Roman"/>
                      <w:b w:val="0"/>
                      <w:bCs w:val="0"/>
                      <w:color w:val="auto"/>
                      <w:sz w:val="21"/>
                      <w:szCs w:val="21"/>
                      <w:highlight w:val="none"/>
                      <w:u w:val="none" w:color="auto"/>
                    </w:rPr>
                    <w:t>VOCs企业绩效分级管理机制</w:t>
                  </w:r>
                  <w:r>
                    <w:rPr>
                      <w:rFonts w:hint="default" w:ascii="Times New Roman" w:hAnsi="Times New Roman" w:eastAsia="宋体" w:cs="Times New Roman"/>
                      <w:b w:val="0"/>
                      <w:bCs w:val="0"/>
                      <w:color w:val="auto"/>
                      <w:sz w:val="21"/>
                      <w:szCs w:val="21"/>
                      <w:highlight w:val="none"/>
                      <w:u w:val="none" w:color="auto"/>
                      <w:lang w:eastAsia="zh-CN"/>
                    </w:rPr>
                    <w:t>，</w:t>
                  </w:r>
                  <w:r>
                    <w:rPr>
                      <w:rFonts w:hint="default" w:ascii="Times New Roman" w:hAnsi="Times New Roman" w:eastAsia="宋体" w:cs="Times New Roman"/>
                      <w:b w:val="0"/>
                      <w:bCs w:val="0"/>
                      <w:color w:val="auto"/>
                      <w:sz w:val="21"/>
                      <w:szCs w:val="21"/>
                      <w:highlight w:val="none"/>
                      <w:u w:val="none" w:color="auto"/>
                      <w:lang w:val="en-US" w:eastAsia="zh-CN"/>
                    </w:rPr>
                    <w:t>编制绩效水平分级自评报告，确保有机废气</w:t>
                  </w:r>
                  <w:r>
                    <w:rPr>
                      <w:rFonts w:hint="default" w:ascii="Times New Roman" w:hAnsi="Times New Roman" w:eastAsia="宋体" w:cs="Times New Roman"/>
                      <w:b w:val="0"/>
                      <w:bCs w:val="0"/>
                      <w:color w:val="auto"/>
                      <w:sz w:val="21"/>
                      <w:szCs w:val="21"/>
                      <w:highlight w:val="none"/>
                      <w:u w:val="none" w:color="auto"/>
                    </w:rPr>
                    <w:t>稳定达到超低排放水平</w:t>
                  </w:r>
                  <w:r>
                    <w:rPr>
                      <w:rFonts w:hint="default" w:ascii="Times New Roman" w:hAnsi="Times New Roman" w:eastAsia="宋体" w:cs="Times New Roman"/>
                      <w:b w:val="0"/>
                      <w:bCs w:val="0"/>
                      <w:color w:val="auto"/>
                      <w:sz w:val="21"/>
                      <w:szCs w:val="21"/>
                      <w:highlight w:val="none"/>
                      <w:u w:val="none" w:color="auto"/>
                      <w:lang w:eastAsia="zh-CN"/>
                    </w:rPr>
                    <w:t>。</w:t>
                  </w:r>
                </w:p>
              </w:tc>
              <w:tc>
                <w:tcPr>
                  <w:tcW w:w="598" w:type="pct"/>
                  <w:tcBorders>
                    <w:tl2br w:val="nil"/>
                    <w:tr2bl w:val="nil"/>
                  </w:tcBorders>
                  <w:noWrap w:val="0"/>
                  <w:vAlign w:val="center"/>
                </w:tcPr>
                <w:p w14:paraId="27CAC0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lang w:eastAsia="zh-CN"/>
                    </w:rPr>
                    <w:t>符合</w:t>
                  </w:r>
                </w:p>
              </w:tc>
            </w:tr>
            <w:tr w14:paraId="18C5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Borders>
                    <w:tl2br w:val="nil"/>
                    <w:tr2bl w:val="nil"/>
                  </w:tcBorders>
                  <w:noWrap w:val="0"/>
                  <w:vAlign w:val="center"/>
                </w:tcPr>
                <w:p w14:paraId="0BAE0C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（四）强化环境风险防范，严守环境安全底线</w:t>
                  </w:r>
                </w:p>
              </w:tc>
              <w:tc>
                <w:tcPr>
                  <w:tcW w:w="2007" w:type="pct"/>
                  <w:tcBorders>
                    <w:tl2br w:val="nil"/>
                    <w:tr2bl w:val="nil"/>
                  </w:tcBorders>
                  <w:noWrap w:val="0"/>
                  <w:vAlign w:val="center"/>
                </w:tcPr>
                <w:p w14:paraId="1A4317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rPr>
                    <w:t>控制工业固体废物产生、收集和贮存过程。强化岳阳市新建项目固废源头管理，对工业固体废物无法就近处置的项目从严把关审批。推进工业固体废物统一收运体系建设，建立健全小微产废企业工业危险废物及社会源危险废物统一收运体系、一般工业固体废物“五化”（精准化源头分类、专业化二次分拣、智能化高效清运、最大化资源利用、集中化统一处置）收运体系，实现存量固体废物“动态清零</w:t>
                  </w:r>
                  <w:r>
                    <w:rPr>
                      <w:rFonts w:hint="default" w:ascii="Times New Roman" w:hAnsi="Times New Roman" w:eastAsia="宋体" w:cs="Times New Roman"/>
                      <w:b w:val="0"/>
                      <w:bCs w:val="0"/>
                      <w:color w:val="auto"/>
                      <w:sz w:val="21"/>
                      <w:szCs w:val="21"/>
                      <w:highlight w:val="none"/>
                      <w:u w:val="none" w:color="auto"/>
                      <w:lang w:eastAsia="zh-CN"/>
                    </w:rPr>
                    <w:t>。</w:t>
                  </w:r>
                </w:p>
              </w:tc>
              <w:tc>
                <w:tcPr>
                  <w:tcW w:w="1732" w:type="pct"/>
                  <w:tcBorders>
                    <w:tl2br w:val="nil"/>
                    <w:tr2bl w:val="nil"/>
                  </w:tcBorders>
                  <w:noWrap w:val="0"/>
                  <w:vAlign w:val="center"/>
                </w:tcPr>
                <w:p w14:paraId="7A48AB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auto"/>
                      <w:sz w:val="21"/>
                      <w:szCs w:val="21"/>
                      <w:highlight w:val="none"/>
                      <w:u w:val="none" w:color="auto"/>
                      <w:lang w:eastAsia="zh-CN"/>
                    </w:rPr>
                  </w:pPr>
                  <w:r>
                    <w:rPr>
                      <w:rFonts w:hint="eastAsia" w:ascii="Times New Roman" w:hAnsi="Times New Roman" w:eastAsia="宋体" w:cs="Times New Roman"/>
                      <w:sz w:val="21"/>
                      <w:szCs w:val="21"/>
                      <w:highlight w:val="none"/>
                      <w:u w:val="none" w:color="auto"/>
                      <w:lang w:val="en-US" w:eastAsia="zh-CN"/>
                    </w:rPr>
                    <w:t>本</w:t>
                  </w:r>
                  <w:r>
                    <w:rPr>
                      <w:rFonts w:hint="default" w:ascii="Times New Roman" w:hAnsi="Times New Roman" w:eastAsia="宋体" w:cs="Times New Roman"/>
                      <w:sz w:val="21"/>
                      <w:szCs w:val="21"/>
                      <w:highlight w:val="none"/>
                      <w:u w:val="none" w:color="auto"/>
                    </w:rPr>
                    <w:t>项目一般固体废物</w:t>
                  </w:r>
                  <w:r>
                    <w:rPr>
                      <w:rFonts w:hint="eastAsia" w:ascii="Times New Roman" w:hAnsi="Times New Roman" w:eastAsia="宋体" w:cs="Times New Roman"/>
                      <w:sz w:val="21"/>
                      <w:szCs w:val="21"/>
                      <w:highlight w:val="none"/>
                      <w:u w:val="none" w:color="auto"/>
                      <w:lang w:val="en-US" w:eastAsia="zh-CN"/>
                    </w:rPr>
                    <w:t>均</w:t>
                  </w:r>
                  <w:r>
                    <w:rPr>
                      <w:rFonts w:hint="default" w:ascii="Times New Roman" w:hAnsi="Times New Roman" w:eastAsia="宋体" w:cs="Times New Roman"/>
                      <w:sz w:val="21"/>
                      <w:szCs w:val="21"/>
                      <w:highlight w:val="none"/>
                      <w:u w:val="none" w:color="auto"/>
                    </w:rPr>
                    <w:t>综合利用</w:t>
                  </w:r>
                  <w:r>
                    <w:rPr>
                      <w:rFonts w:hint="eastAsia" w:ascii="Times New Roman" w:hAnsi="Times New Roman" w:eastAsia="宋体" w:cs="Times New Roman"/>
                      <w:sz w:val="21"/>
                      <w:szCs w:val="21"/>
                      <w:highlight w:val="none"/>
                      <w:u w:val="none" w:color="auto"/>
                      <w:lang w:eastAsia="zh-CN"/>
                    </w:rPr>
                    <w:t>，</w:t>
                  </w:r>
                  <w:r>
                    <w:rPr>
                      <w:rFonts w:hint="default" w:ascii="Times New Roman" w:hAnsi="Times New Roman" w:eastAsia="宋体" w:cs="Times New Roman"/>
                      <w:sz w:val="21"/>
                      <w:szCs w:val="21"/>
                      <w:highlight w:val="none"/>
                      <w:u w:val="none" w:color="auto"/>
                    </w:rPr>
                    <w:t>项目生产过程中产生危险废物，交有资质单位处理。经上述处理后，项目产生的固废均能得到妥善处理处置。</w:t>
                  </w:r>
                </w:p>
              </w:tc>
              <w:tc>
                <w:tcPr>
                  <w:tcW w:w="598" w:type="pct"/>
                  <w:tcBorders>
                    <w:tl2br w:val="nil"/>
                    <w:tr2bl w:val="nil"/>
                  </w:tcBorders>
                  <w:noWrap w:val="0"/>
                  <w:vAlign w:val="center"/>
                </w:tcPr>
                <w:p w14:paraId="71C853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lang w:eastAsia="zh-CN"/>
                    </w:rPr>
                    <w:t>符合</w:t>
                  </w:r>
                </w:p>
              </w:tc>
            </w:tr>
          </w:tbl>
          <w:p w14:paraId="749AE897">
            <w:pPr>
              <w:spacing w:line="360" w:lineRule="auto"/>
              <w:rPr>
                <w:rFonts w:hint="eastAsia"/>
                <w:b/>
                <w:color w:val="auto"/>
                <w:u w:val="none" w:color="auto"/>
                <w:lang w:val="en-US" w:eastAsia="zh-CN"/>
              </w:rPr>
            </w:pPr>
            <w:r>
              <w:rPr>
                <w:rFonts w:hint="eastAsia"/>
                <w:b/>
                <w:color w:val="auto"/>
                <w:u w:val="none"/>
                <w:lang w:val="en-US" w:eastAsia="zh-CN"/>
              </w:rPr>
              <w:t>9、</w:t>
            </w:r>
            <w:r>
              <w:rPr>
                <w:rFonts w:hint="default" w:ascii="Times New Roman" w:hAnsi="Times New Roman" w:eastAsia="宋体" w:cs="Times New Roman"/>
                <w:b/>
                <w:bCs/>
                <w:color w:val="000000"/>
                <w:sz w:val="24"/>
                <w:szCs w:val="24"/>
                <w:u w:val="none" w:color="auto"/>
                <w:lang w:val="en-US" w:eastAsia="zh-CN"/>
              </w:rPr>
              <w:t>与《长株潭及传输通道城市环境空气质量达标攻坚行动计划》</w:t>
            </w:r>
            <w:r>
              <w:rPr>
                <w:rFonts w:hint="eastAsia" w:ascii="Times New Roman" w:hAnsi="Times New Roman" w:eastAsia="宋体" w:cs="Times New Roman"/>
                <w:b/>
                <w:bCs/>
                <w:color w:val="000000"/>
                <w:sz w:val="24"/>
                <w:szCs w:val="24"/>
                <w:u w:val="none" w:color="auto"/>
                <w:lang w:val="en-US" w:eastAsia="zh-CN"/>
              </w:rPr>
              <w:t>（</w:t>
            </w:r>
            <w:r>
              <w:rPr>
                <w:rFonts w:hint="default" w:ascii="Times New Roman" w:hAnsi="Times New Roman" w:eastAsia="宋体" w:cs="Times New Roman"/>
                <w:b/>
                <w:bCs/>
                <w:color w:val="000000"/>
                <w:sz w:val="24"/>
                <w:szCs w:val="24"/>
                <w:u w:val="none" w:color="auto"/>
                <w:lang w:val="en-US" w:eastAsia="zh-CN"/>
              </w:rPr>
              <w:t>湘政办发〔2023〕3号</w:t>
            </w:r>
            <w:r>
              <w:rPr>
                <w:rFonts w:hint="eastAsia" w:ascii="Times New Roman" w:hAnsi="Times New Roman" w:eastAsia="宋体" w:cs="Times New Roman"/>
                <w:b/>
                <w:bCs/>
                <w:color w:val="000000"/>
                <w:sz w:val="24"/>
                <w:szCs w:val="24"/>
                <w:u w:val="none" w:color="auto"/>
                <w:lang w:val="en-US" w:eastAsia="zh-CN"/>
              </w:rPr>
              <w:t>）符合性</w:t>
            </w:r>
          </w:p>
          <w:p w14:paraId="4899E357">
            <w:pPr>
              <w:pStyle w:val="3"/>
              <w:spacing w:line="240" w:lineRule="auto"/>
              <w:ind w:firstLine="0" w:firstLineChars="0"/>
              <w:jc w:val="center"/>
              <w:rPr>
                <w:rFonts w:hint="default" w:ascii="Times New Roman" w:hAnsi="Times New Roman"/>
                <w:b w:val="0"/>
                <w:bCs w:val="0"/>
                <w:kern w:val="0"/>
                <w:szCs w:val="20"/>
                <w:u w:val="none" w:color="auto"/>
              </w:rPr>
            </w:pPr>
            <w:r>
              <w:rPr>
                <w:rFonts w:hint="default" w:ascii="Times New Roman" w:hAnsi="Times New Roman"/>
                <w:b/>
                <w:bCs/>
                <w:kern w:val="0"/>
                <w:szCs w:val="20"/>
                <w:u w:val="none" w:color="auto"/>
              </w:rPr>
              <w:t>表1-</w:t>
            </w:r>
            <w:r>
              <w:rPr>
                <w:rFonts w:hint="eastAsia" w:ascii="Times New Roman" w:hAnsi="Times New Roman"/>
                <w:b/>
                <w:bCs/>
                <w:kern w:val="0"/>
                <w:szCs w:val="20"/>
                <w:u w:val="none" w:color="auto"/>
                <w:lang w:eastAsia="zh-CN"/>
              </w:rPr>
              <w:t>1</w:t>
            </w:r>
            <w:r>
              <w:rPr>
                <w:rFonts w:hint="eastAsia" w:ascii="Times New Roman" w:hAnsi="Times New Roman"/>
                <w:b/>
                <w:bCs/>
                <w:kern w:val="0"/>
                <w:szCs w:val="20"/>
                <w:u w:val="none" w:color="auto"/>
                <w:lang w:val="en-US" w:eastAsia="zh-CN"/>
              </w:rPr>
              <w:t>0</w:t>
            </w:r>
            <w:r>
              <w:rPr>
                <w:rFonts w:hint="default" w:ascii="Times New Roman" w:hAnsi="Times New Roman"/>
                <w:b/>
                <w:bCs/>
                <w:kern w:val="0"/>
                <w:szCs w:val="20"/>
                <w:u w:val="none" w:color="auto"/>
              </w:rPr>
              <w:t xml:space="preserve">  与《</w:t>
            </w:r>
            <w:r>
              <w:rPr>
                <w:rFonts w:hint="default" w:ascii="Times New Roman" w:hAnsi="Times New Roman" w:eastAsia="宋体" w:cs="Times New Roman"/>
                <w:b/>
                <w:bCs/>
                <w:color w:val="000000"/>
                <w:sz w:val="24"/>
                <w:szCs w:val="24"/>
                <w:u w:val="none" w:color="auto"/>
                <w:lang w:val="en-US" w:eastAsia="zh-CN"/>
              </w:rPr>
              <w:t>长株潭及传输通道城市环境空气质量达标攻坚行动计划</w:t>
            </w:r>
            <w:r>
              <w:rPr>
                <w:rFonts w:hint="default" w:ascii="Times New Roman" w:hAnsi="Times New Roman"/>
                <w:b/>
                <w:bCs/>
                <w:kern w:val="0"/>
                <w:szCs w:val="20"/>
                <w:u w:val="none" w:color="auto"/>
              </w:rPr>
              <w:t>》的符合性分析</w:t>
            </w:r>
          </w:p>
          <w:tbl>
            <w:tblPr>
              <w:tblStyle w:val="31"/>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3015"/>
              <w:gridCol w:w="2120"/>
              <w:gridCol w:w="680"/>
            </w:tblGrid>
            <w:tr w14:paraId="59F8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noWrap w:val="0"/>
                  <w:vAlign w:val="center"/>
                </w:tcPr>
                <w:p w14:paraId="7162AA21">
                  <w:pPr>
                    <w:pageBreakBefore w:val="0"/>
                    <w:shd w:val="clear" w:color="auto" w:fill="auto"/>
                    <w:bidi w:val="0"/>
                    <w:adjustRightInd w:val="0"/>
                    <w:snapToGrid w:val="0"/>
                    <w:jc w:val="center"/>
                    <w:rPr>
                      <w:rFonts w:hint="default" w:ascii="Times New Roman" w:hAnsi="Times New Roman" w:eastAsia="宋体" w:cs="Times New Roman"/>
                      <w:b/>
                      <w:bCs/>
                      <w:color w:val="000000"/>
                      <w:sz w:val="21"/>
                      <w:szCs w:val="21"/>
                      <w:highlight w:val="none"/>
                      <w:u w:val="none" w:color="auto"/>
                      <w:lang w:eastAsia="zh-CN"/>
                    </w:rPr>
                  </w:pPr>
                  <w:r>
                    <w:rPr>
                      <w:rFonts w:hint="default" w:ascii="Times New Roman" w:hAnsi="Times New Roman" w:eastAsia="宋体" w:cs="Times New Roman"/>
                      <w:b/>
                      <w:bCs/>
                      <w:color w:val="000000"/>
                      <w:sz w:val="21"/>
                      <w:szCs w:val="21"/>
                      <w:highlight w:val="none"/>
                      <w:u w:val="none" w:color="auto"/>
                      <w:lang w:eastAsia="zh-CN"/>
                    </w:rPr>
                    <w:t>序号</w:t>
                  </w:r>
                </w:p>
              </w:tc>
              <w:tc>
                <w:tcPr>
                  <w:tcW w:w="3015" w:type="dxa"/>
                  <w:noWrap w:val="0"/>
                  <w:vAlign w:val="center"/>
                </w:tcPr>
                <w:p w14:paraId="6FF8D1B6">
                  <w:pPr>
                    <w:pageBreakBefore w:val="0"/>
                    <w:shd w:val="clear" w:color="auto" w:fill="auto"/>
                    <w:bidi w:val="0"/>
                    <w:adjustRightInd w:val="0"/>
                    <w:snapToGrid w:val="0"/>
                    <w:jc w:val="center"/>
                    <w:rPr>
                      <w:rFonts w:hint="default" w:ascii="Times New Roman" w:hAnsi="Times New Roman" w:eastAsia="宋体" w:cs="Times New Roman"/>
                      <w:b/>
                      <w:bCs/>
                      <w:color w:val="000000"/>
                      <w:sz w:val="21"/>
                      <w:szCs w:val="21"/>
                      <w:highlight w:val="none"/>
                      <w:u w:val="none" w:color="auto"/>
                      <w:lang w:eastAsia="zh-CN"/>
                    </w:rPr>
                  </w:pPr>
                  <w:r>
                    <w:rPr>
                      <w:rFonts w:hint="eastAsia" w:ascii="Times New Roman" w:hAnsi="Times New Roman" w:eastAsia="宋体" w:cs="Times New Roman"/>
                      <w:b/>
                      <w:bCs/>
                      <w:color w:val="000000"/>
                      <w:sz w:val="21"/>
                      <w:szCs w:val="21"/>
                      <w:highlight w:val="none"/>
                      <w:u w:val="none" w:color="auto"/>
                      <w:lang w:val="en-US" w:eastAsia="zh-CN"/>
                    </w:rPr>
                    <w:t>计划</w:t>
                  </w:r>
                  <w:r>
                    <w:rPr>
                      <w:rFonts w:hint="default" w:ascii="Times New Roman" w:hAnsi="Times New Roman" w:eastAsia="宋体" w:cs="Times New Roman"/>
                      <w:b/>
                      <w:bCs/>
                      <w:color w:val="000000"/>
                      <w:sz w:val="21"/>
                      <w:szCs w:val="21"/>
                      <w:highlight w:val="none"/>
                      <w:u w:val="none" w:color="auto"/>
                      <w:lang w:eastAsia="zh-CN"/>
                    </w:rPr>
                    <w:t>要求</w:t>
                  </w:r>
                </w:p>
              </w:tc>
              <w:tc>
                <w:tcPr>
                  <w:tcW w:w="2120" w:type="dxa"/>
                  <w:noWrap w:val="0"/>
                  <w:vAlign w:val="center"/>
                </w:tcPr>
                <w:p w14:paraId="073561A0">
                  <w:pPr>
                    <w:pageBreakBefore w:val="0"/>
                    <w:shd w:val="clear" w:color="auto" w:fill="auto"/>
                    <w:bidi w:val="0"/>
                    <w:adjustRightInd w:val="0"/>
                    <w:snapToGrid w:val="0"/>
                    <w:jc w:val="center"/>
                    <w:rPr>
                      <w:rFonts w:hint="default" w:ascii="Times New Roman" w:hAnsi="Times New Roman" w:eastAsia="宋体" w:cs="Times New Roman"/>
                      <w:b/>
                      <w:bCs/>
                      <w:color w:val="000000"/>
                      <w:sz w:val="21"/>
                      <w:szCs w:val="21"/>
                      <w:highlight w:val="none"/>
                      <w:u w:val="none" w:color="auto"/>
                    </w:rPr>
                  </w:pPr>
                  <w:r>
                    <w:rPr>
                      <w:rFonts w:hint="default" w:ascii="Times New Roman" w:hAnsi="Times New Roman" w:eastAsia="宋体" w:cs="Times New Roman"/>
                      <w:b/>
                      <w:bCs/>
                      <w:color w:val="000000"/>
                      <w:sz w:val="21"/>
                      <w:szCs w:val="21"/>
                      <w:highlight w:val="none"/>
                      <w:u w:val="none" w:color="auto"/>
                    </w:rPr>
                    <w:t>本项目情况</w:t>
                  </w:r>
                </w:p>
              </w:tc>
              <w:tc>
                <w:tcPr>
                  <w:tcW w:w="680" w:type="dxa"/>
                  <w:noWrap w:val="0"/>
                  <w:vAlign w:val="center"/>
                </w:tcPr>
                <w:p w14:paraId="375C4488">
                  <w:pPr>
                    <w:pageBreakBefore w:val="0"/>
                    <w:shd w:val="clear" w:color="auto" w:fill="auto"/>
                    <w:bidi w:val="0"/>
                    <w:adjustRightInd w:val="0"/>
                    <w:snapToGrid w:val="0"/>
                    <w:jc w:val="center"/>
                    <w:rPr>
                      <w:rFonts w:hint="default" w:ascii="Times New Roman" w:hAnsi="Times New Roman" w:eastAsia="宋体" w:cs="Times New Roman"/>
                      <w:b/>
                      <w:bCs/>
                      <w:color w:val="000000"/>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符合情况</w:t>
                  </w:r>
                </w:p>
              </w:tc>
            </w:tr>
            <w:tr w14:paraId="47D4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648" w:type="dxa"/>
                  <w:noWrap w:val="0"/>
                  <w:vAlign w:val="center"/>
                </w:tcPr>
                <w:p w14:paraId="7A6911C5">
                  <w:pPr>
                    <w:pageBreakBefore w:val="0"/>
                    <w:shd w:val="clear" w:color="auto" w:fill="auto"/>
                    <w:bidi w:val="0"/>
                    <w:adjustRightInd w:val="0"/>
                    <w:snapToGrid w:val="0"/>
                    <w:jc w:val="center"/>
                    <w:rPr>
                      <w:rFonts w:hint="default" w:ascii="Times New Roman" w:hAnsi="Times New Roman" w:eastAsia="宋体" w:cs="Times New Roman"/>
                      <w:color w:val="000000"/>
                      <w:sz w:val="21"/>
                      <w:szCs w:val="21"/>
                      <w:highlight w:val="none"/>
                      <w:u w:val="none" w:color="auto"/>
                      <w:lang w:eastAsia="zh-CN"/>
                    </w:rPr>
                  </w:pPr>
                  <w:r>
                    <w:rPr>
                      <w:rFonts w:hint="default" w:ascii="Times New Roman" w:hAnsi="Times New Roman" w:eastAsia="宋体" w:cs="Times New Roman"/>
                      <w:color w:val="000000"/>
                      <w:sz w:val="21"/>
                      <w:szCs w:val="21"/>
                      <w:highlight w:val="none"/>
                      <w:u w:val="none" w:color="auto"/>
                      <w:lang w:val="en-US" w:eastAsia="zh-CN"/>
                    </w:rPr>
                    <w:t>1</w:t>
                  </w:r>
                </w:p>
              </w:tc>
              <w:tc>
                <w:tcPr>
                  <w:tcW w:w="3015" w:type="dxa"/>
                  <w:noWrap w:val="0"/>
                  <w:vAlign w:val="center"/>
                </w:tcPr>
                <w:p w14:paraId="0E95695C">
                  <w:pPr>
                    <w:pageBreakBefore w:val="0"/>
                    <w:widowControl/>
                    <w:shd w:val="clear" w:color="auto" w:fill="auto"/>
                    <w:bidi w:val="0"/>
                    <w:snapToGrid w:val="0"/>
                    <w:jc w:val="center"/>
                    <w:rPr>
                      <w:rFonts w:hint="default" w:ascii="Times New Roman" w:hAnsi="Times New Roman" w:eastAsia="宋体" w:cs="Times New Roman"/>
                      <w:color w:val="000000"/>
                      <w:sz w:val="21"/>
                      <w:szCs w:val="21"/>
                      <w:highlight w:val="none"/>
                      <w:u w:val="none" w:color="auto"/>
                    </w:rPr>
                  </w:pPr>
                  <w:r>
                    <w:rPr>
                      <w:rFonts w:hint="default" w:ascii="Times New Roman" w:hAnsi="Times New Roman" w:eastAsia="宋体" w:cs="Times New Roman"/>
                      <w:color w:val="000000"/>
                      <w:sz w:val="21"/>
                      <w:szCs w:val="21"/>
                      <w:highlight w:val="none"/>
                      <w:u w:val="none" w:color="auto"/>
                    </w:rPr>
                    <w:t>严格新建项目准入。坚决遏制高耗能高排放低水平项目盲目发展，实行台账管理，严格项目准入及管控要求，依法依规淘汰落后产能</w:t>
                  </w:r>
                </w:p>
              </w:tc>
              <w:tc>
                <w:tcPr>
                  <w:tcW w:w="2120" w:type="dxa"/>
                  <w:noWrap w:val="0"/>
                  <w:vAlign w:val="center"/>
                </w:tcPr>
                <w:p w14:paraId="1B8311AB">
                  <w:pPr>
                    <w:pageBreakBefore w:val="0"/>
                    <w:shd w:val="clear" w:color="auto" w:fill="auto"/>
                    <w:bidi w:val="0"/>
                    <w:adjustRightInd w:val="0"/>
                    <w:snapToGrid w:val="0"/>
                    <w:jc w:val="center"/>
                    <w:rPr>
                      <w:rFonts w:hint="default" w:ascii="Times New Roman" w:hAnsi="Times New Roman" w:eastAsia="宋体" w:cs="Times New Roman"/>
                      <w:color w:val="000000"/>
                      <w:sz w:val="21"/>
                      <w:szCs w:val="21"/>
                      <w:highlight w:val="none"/>
                      <w:u w:val="none" w:color="auto"/>
                      <w:lang w:val="en-US" w:eastAsia="zh-CN"/>
                    </w:rPr>
                  </w:pPr>
                  <w:r>
                    <w:rPr>
                      <w:rFonts w:hint="default" w:ascii="Times New Roman" w:hAnsi="Times New Roman" w:eastAsia="宋体" w:cs="Times New Roman"/>
                      <w:color w:val="000000"/>
                      <w:sz w:val="21"/>
                      <w:szCs w:val="21"/>
                      <w:highlight w:val="none"/>
                      <w:u w:val="none" w:color="auto"/>
                    </w:rPr>
                    <w:t>本项目</w:t>
                  </w:r>
                  <w:r>
                    <w:rPr>
                      <w:rFonts w:hint="eastAsia" w:ascii="Times New Roman" w:hAnsi="Times New Roman" w:eastAsia="宋体" w:cs="Times New Roman"/>
                      <w:color w:val="000000"/>
                      <w:sz w:val="21"/>
                      <w:szCs w:val="21"/>
                      <w:highlight w:val="none"/>
                      <w:u w:val="none" w:color="auto"/>
                      <w:lang w:val="en-US" w:eastAsia="zh-CN"/>
                    </w:rPr>
                    <w:t>位于</w:t>
                  </w:r>
                  <w:r>
                    <w:rPr>
                      <w:rFonts w:hint="default" w:ascii="Times New Roman" w:hAnsi="Times New Roman" w:eastAsia="宋体" w:cs="Times New Roman"/>
                      <w:color w:val="000000"/>
                      <w:sz w:val="21"/>
                      <w:szCs w:val="21"/>
                      <w:highlight w:val="none"/>
                      <w:u w:color="auto"/>
                    </w:rPr>
                    <w:t>岳阳临港高新技术产业开发区</w:t>
                  </w:r>
                  <w:r>
                    <w:rPr>
                      <w:rFonts w:hint="default" w:ascii="Times New Roman" w:hAnsi="Times New Roman" w:eastAsia="宋体" w:cs="Times New Roman"/>
                      <w:b w:val="0"/>
                      <w:bCs w:val="0"/>
                      <w:color w:val="auto"/>
                      <w:sz w:val="21"/>
                      <w:szCs w:val="21"/>
                      <w:highlight w:val="none"/>
                      <w:u w:val="none" w:color="auto"/>
                    </w:rPr>
                    <w:t>范围</w:t>
                  </w:r>
                  <w:r>
                    <w:rPr>
                      <w:rFonts w:hint="eastAsia" w:ascii="Times New Roman" w:hAnsi="Times New Roman" w:eastAsia="宋体" w:cs="Times New Roman"/>
                      <w:b w:val="0"/>
                      <w:bCs w:val="0"/>
                      <w:color w:val="auto"/>
                      <w:sz w:val="21"/>
                      <w:szCs w:val="21"/>
                      <w:highlight w:val="none"/>
                      <w:u w:val="none" w:color="auto"/>
                      <w:lang w:val="en-US" w:eastAsia="zh-CN"/>
                    </w:rPr>
                    <w:t>内</w:t>
                  </w:r>
                  <w:r>
                    <w:rPr>
                      <w:rFonts w:hint="default" w:ascii="Times New Roman" w:hAnsi="Times New Roman" w:eastAsia="宋体" w:cs="Times New Roman"/>
                      <w:b w:val="0"/>
                      <w:bCs w:val="0"/>
                      <w:color w:val="auto"/>
                      <w:sz w:val="21"/>
                      <w:szCs w:val="21"/>
                      <w:highlight w:val="none"/>
                      <w:u w:val="none" w:color="auto"/>
                      <w:lang w:val="en-US" w:eastAsia="zh-CN"/>
                    </w:rPr>
                    <w:t>，</w:t>
                  </w:r>
                  <w:r>
                    <w:rPr>
                      <w:rFonts w:hint="default" w:ascii="Times New Roman" w:hAnsi="Times New Roman" w:eastAsia="宋体" w:cs="Times New Roman"/>
                      <w:color w:val="000000"/>
                      <w:sz w:val="21"/>
                      <w:szCs w:val="21"/>
                      <w:highlight w:val="none"/>
                      <w:u w:val="none" w:color="auto"/>
                      <w:lang w:val="en-US" w:eastAsia="zh-CN"/>
                    </w:rPr>
                    <w:t>不属于</w:t>
                  </w:r>
                  <w:r>
                    <w:rPr>
                      <w:rFonts w:hint="default" w:ascii="Times New Roman" w:hAnsi="Times New Roman" w:eastAsia="宋体" w:cs="Times New Roman"/>
                      <w:color w:val="000000"/>
                      <w:sz w:val="21"/>
                      <w:szCs w:val="21"/>
                      <w:highlight w:val="none"/>
                      <w:u w:val="none" w:color="auto"/>
                    </w:rPr>
                    <w:t>高耗能高排放低水平项目</w:t>
                  </w:r>
                  <w:r>
                    <w:rPr>
                      <w:rFonts w:hint="eastAsia" w:ascii="Times New Roman" w:hAnsi="Times New Roman" w:eastAsia="宋体" w:cs="Times New Roman"/>
                      <w:color w:val="000000"/>
                      <w:sz w:val="21"/>
                      <w:szCs w:val="21"/>
                      <w:highlight w:val="none"/>
                      <w:u w:val="none" w:color="auto"/>
                      <w:lang w:val="en-US" w:eastAsia="zh-CN"/>
                    </w:rPr>
                    <w:t>；本</w:t>
                  </w:r>
                  <w:r>
                    <w:rPr>
                      <w:rFonts w:hint="default" w:ascii="Times New Roman" w:hAnsi="Times New Roman" w:eastAsia="宋体" w:cs="Times New Roman"/>
                      <w:color w:val="000000"/>
                      <w:sz w:val="21"/>
                      <w:szCs w:val="21"/>
                      <w:highlight w:val="none"/>
                      <w:u w:val="none" w:color="auto"/>
                      <w:lang w:val="en-US" w:eastAsia="zh-CN"/>
                    </w:rPr>
                    <w:t>项目符合园区</w:t>
                  </w:r>
                  <w:r>
                    <w:rPr>
                      <w:rFonts w:hint="default" w:ascii="Times New Roman" w:hAnsi="Times New Roman" w:eastAsia="宋体" w:cs="Times New Roman"/>
                      <w:bCs/>
                      <w:color w:val="auto"/>
                      <w:sz w:val="21"/>
                      <w:szCs w:val="21"/>
                      <w:highlight w:val="none"/>
                      <w:u w:val="none" w:color="auto"/>
                    </w:rPr>
                    <w:t>企业准入条件</w:t>
                  </w:r>
                  <w:r>
                    <w:rPr>
                      <w:rFonts w:hint="default" w:ascii="Times New Roman" w:hAnsi="Times New Roman" w:eastAsia="宋体" w:cs="Times New Roman"/>
                      <w:bCs/>
                      <w:color w:val="auto"/>
                      <w:sz w:val="21"/>
                      <w:szCs w:val="21"/>
                      <w:highlight w:val="none"/>
                      <w:u w:val="none" w:color="auto"/>
                      <w:lang w:val="en-US" w:eastAsia="zh-CN"/>
                    </w:rPr>
                    <w:t>和生态环境分区管控要求</w:t>
                  </w:r>
                </w:p>
              </w:tc>
              <w:tc>
                <w:tcPr>
                  <w:tcW w:w="680" w:type="dxa"/>
                  <w:noWrap w:val="0"/>
                  <w:vAlign w:val="center"/>
                </w:tcPr>
                <w:p w14:paraId="62502F0E">
                  <w:pPr>
                    <w:pageBreakBefore w:val="0"/>
                    <w:shd w:val="clear" w:color="auto" w:fill="auto"/>
                    <w:bidi w:val="0"/>
                    <w:adjustRightInd w:val="0"/>
                    <w:snapToGrid w:val="0"/>
                    <w:jc w:val="center"/>
                    <w:rPr>
                      <w:rFonts w:hint="default" w:ascii="Times New Roman" w:hAnsi="Times New Roman" w:eastAsia="宋体" w:cs="Times New Roman"/>
                      <w:color w:val="000000"/>
                      <w:sz w:val="21"/>
                      <w:szCs w:val="21"/>
                      <w:highlight w:val="none"/>
                      <w:u w:val="none" w:color="auto"/>
                    </w:rPr>
                  </w:pPr>
                  <w:r>
                    <w:rPr>
                      <w:rFonts w:hint="default" w:ascii="Times New Roman" w:hAnsi="Times New Roman" w:eastAsia="宋体" w:cs="Times New Roman"/>
                      <w:color w:val="000000"/>
                      <w:sz w:val="21"/>
                      <w:szCs w:val="21"/>
                      <w:highlight w:val="none"/>
                      <w:u w:val="none" w:color="auto"/>
                    </w:rPr>
                    <w:t>符合</w:t>
                  </w:r>
                </w:p>
              </w:tc>
            </w:tr>
            <w:tr w14:paraId="31FB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48" w:type="dxa"/>
                  <w:noWrap w:val="0"/>
                  <w:vAlign w:val="center"/>
                </w:tcPr>
                <w:p w14:paraId="4564F8AF">
                  <w:pPr>
                    <w:pageBreakBefore w:val="0"/>
                    <w:shd w:val="clear" w:color="auto" w:fill="auto"/>
                    <w:bidi w:val="0"/>
                    <w:adjustRightInd w:val="0"/>
                    <w:snapToGrid w:val="0"/>
                    <w:jc w:val="center"/>
                    <w:rPr>
                      <w:rFonts w:hint="default" w:ascii="Times New Roman" w:hAnsi="Times New Roman" w:eastAsia="宋体" w:cs="Times New Roman"/>
                      <w:color w:val="000000"/>
                      <w:sz w:val="21"/>
                      <w:szCs w:val="21"/>
                      <w:highlight w:val="none"/>
                      <w:u w:val="none" w:color="auto"/>
                      <w:lang w:val="en-US" w:eastAsia="zh-CN"/>
                    </w:rPr>
                  </w:pPr>
                  <w:r>
                    <w:rPr>
                      <w:rFonts w:hint="eastAsia" w:ascii="Times New Roman" w:hAnsi="Times New Roman" w:eastAsia="宋体" w:cs="Times New Roman"/>
                      <w:color w:val="000000"/>
                      <w:sz w:val="21"/>
                      <w:szCs w:val="21"/>
                      <w:highlight w:val="none"/>
                      <w:u w:val="none" w:color="auto"/>
                      <w:lang w:val="en-US" w:eastAsia="zh-CN"/>
                    </w:rPr>
                    <w:t>2</w:t>
                  </w:r>
                </w:p>
              </w:tc>
              <w:tc>
                <w:tcPr>
                  <w:tcW w:w="3015" w:type="dxa"/>
                  <w:noWrap w:val="0"/>
                  <w:vAlign w:val="center"/>
                </w:tcPr>
                <w:p w14:paraId="7DD8E3B4">
                  <w:pPr>
                    <w:pageBreakBefore w:val="0"/>
                    <w:widowControl/>
                    <w:shd w:val="clear" w:color="auto" w:fill="auto"/>
                    <w:bidi w:val="0"/>
                    <w:snapToGrid w:val="0"/>
                    <w:jc w:val="center"/>
                    <w:rPr>
                      <w:rFonts w:hint="default" w:ascii="Times New Roman" w:hAnsi="Times New Roman" w:eastAsia="宋体" w:cs="Times New Roman"/>
                      <w:color w:val="000000"/>
                      <w:sz w:val="21"/>
                      <w:szCs w:val="21"/>
                      <w:highlight w:val="none"/>
                      <w:u w:val="none" w:color="auto"/>
                    </w:rPr>
                  </w:pPr>
                  <w:r>
                    <w:rPr>
                      <w:rFonts w:hint="default" w:ascii="Times New Roman" w:hAnsi="Times New Roman" w:eastAsia="宋体" w:cs="Times New Roman"/>
                      <w:i w:val="0"/>
                      <w:iCs w:val="0"/>
                      <w:caps w:val="0"/>
                      <w:color w:val="333333"/>
                      <w:spacing w:val="0"/>
                      <w:sz w:val="21"/>
                      <w:szCs w:val="21"/>
                      <w:u w:val="none" w:color="auto"/>
                      <w:shd w:val="clear" w:color="auto" w:fill="FFFFFF"/>
                    </w:rPr>
                    <w:t>VOCs污染治理达标。开展VOCs治理突出问题排查整治，清理整顿简易低效治理设施，到2025年累计完成不少于500家；加强非正常工况废气排放管控，全面提升VOCs废气收集率、治理设施运行率和去除率。强化油品储运销环节综合整治，到2025年，区域内原油成品油码头、现役5000总吨及以上的油船全部完成油气回收治理</w:t>
                  </w:r>
                </w:p>
              </w:tc>
              <w:tc>
                <w:tcPr>
                  <w:tcW w:w="2120" w:type="dxa"/>
                  <w:noWrap w:val="0"/>
                  <w:vAlign w:val="center"/>
                </w:tcPr>
                <w:p w14:paraId="4D0EB40E">
                  <w:pPr>
                    <w:pageBreakBefore w:val="0"/>
                    <w:shd w:val="clear" w:color="auto" w:fill="auto"/>
                    <w:bidi w:val="0"/>
                    <w:adjustRightInd w:val="0"/>
                    <w:snapToGrid w:val="0"/>
                    <w:jc w:val="center"/>
                    <w:rPr>
                      <w:rFonts w:hint="default" w:ascii="Times New Roman" w:hAnsi="Times New Roman" w:eastAsia="宋体" w:cs="Times New Roman"/>
                      <w:color w:val="000000"/>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本项目产生的</w:t>
                  </w:r>
                  <w:r>
                    <w:rPr>
                      <w:rFonts w:hint="eastAsia" w:ascii="Times New Roman" w:hAnsi="Times New Roman" w:eastAsia="宋体" w:cs="Times New Roman"/>
                      <w:b w:val="0"/>
                      <w:bCs w:val="0"/>
                      <w:color w:val="auto"/>
                      <w:sz w:val="21"/>
                      <w:szCs w:val="21"/>
                      <w:highlight w:val="none"/>
                      <w:u w:val="none" w:color="auto"/>
                      <w:lang w:val="en-US" w:eastAsia="zh-CN"/>
                    </w:rPr>
                    <w:t>废气</w:t>
                  </w:r>
                  <w:r>
                    <w:rPr>
                      <w:rFonts w:hint="default" w:ascii="Times New Roman" w:hAnsi="Times New Roman" w:eastAsia="宋体" w:cs="Times New Roman"/>
                      <w:bCs/>
                      <w:color w:val="000000"/>
                      <w:sz w:val="21"/>
                      <w:szCs w:val="21"/>
                      <w:highlight w:val="none"/>
                      <w:u w:val="none" w:color="auto"/>
                      <w:lang w:val="en-US" w:eastAsia="zh-CN"/>
                    </w:rPr>
                    <w:t>经</w:t>
                  </w:r>
                  <w:r>
                    <w:rPr>
                      <w:rFonts w:hint="default" w:ascii="Times New Roman" w:hAnsi="Times New Roman" w:eastAsia="宋体" w:cs="Times New Roman"/>
                      <w:sz w:val="21"/>
                      <w:szCs w:val="21"/>
                      <w:u w:val="none" w:color="auto"/>
                    </w:rPr>
                    <w:t>密闭管道收集后经</w:t>
                  </w:r>
                  <w:r>
                    <w:rPr>
                      <w:rFonts w:hint="default" w:ascii="Times New Roman" w:hAnsi="Times New Roman" w:eastAsia="宋体" w:cs="Times New Roman"/>
                      <w:sz w:val="21"/>
                      <w:szCs w:val="21"/>
                      <w:u w:val="none" w:color="auto"/>
                      <w:lang w:val="en-US" w:eastAsia="zh-CN"/>
                    </w:rPr>
                    <w:t>两级</w:t>
                  </w:r>
                  <w:r>
                    <w:rPr>
                      <w:rFonts w:hint="default" w:ascii="Times New Roman" w:hAnsi="Times New Roman" w:eastAsia="宋体" w:cs="Times New Roman"/>
                      <w:sz w:val="21"/>
                      <w:szCs w:val="21"/>
                      <w:u w:val="none" w:color="auto"/>
                    </w:rPr>
                    <w:t>活性炭吸附处理后</w:t>
                  </w:r>
                  <w:r>
                    <w:rPr>
                      <w:rFonts w:hint="eastAsia" w:ascii="Times New Roman" w:hAnsi="Times New Roman" w:eastAsia="宋体" w:cs="Times New Roman"/>
                      <w:sz w:val="21"/>
                      <w:szCs w:val="21"/>
                      <w:u w:val="none" w:color="auto"/>
                      <w:lang w:val="en-US" w:eastAsia="zh-CN"/>
                    </w:rPr>
                    <w:t>可</w:t>
                  </w:r>
                  <w:r>
                    <w:rPr>
                      <w:rFonts w:hint="default" w:ascii="Times New Roman" w:hAnsi="Times New Roman" w:eastAsia="宋体" w:cs="Times New Roman"/>
                      <w:sz w:val="21"/>
                      <w:szCs w:val="21"/>
                      <w:u w:val="none" w:color="auto"/>
                      <w:lang w:val="en-US" w:eastAsia="zh-CN"/>
                    </w:rPr>
                    <w:t>达标</w:t>
                  </w:r>
                  <w:r>
                    <w:rPr>
                      <w:rFonts w:hint="default" w:ascii="Times New Roman" w:hAnsi="Times New Roman" w:eastAsia="宋体" w:cs="Times New Roman"/>
                      <w:sz w:val="21"/>
                      <w:szCs w:val="21"/>
                      <w:u w:val="none" w:color="auto"/>
                    </w:rPr>
                    <w:t>排放</w:t>
                  </w:r>
                </w:p>
              </w:tc>
              <w:tc>
                <w:tcPr>
                  <w:tcW w:w="680" w:type="dxa"/>
                  <w:noWrap w:val="0"/>
                  <w:vAlign w:val="center"/>
                </w:tcPr>
                <w:p w14:paraId="763BBF22">
                  <w:pPr>
                    <w:pageBreakBefore w:val="0"/>
                    <w:shd w:val="clear" w:color="auto" w:fill="auto"/>
                    <w:bidi w:val="0"/>
                    <w:adjustRightInd w:val="0"/>
                    <w:snapToGrid w:val="0"/>
                    <w:jc w:val="center"/>
                    <w:rPr>
                      <w:rFonts w:hint="default" w:ascii="Times New Roman" w:hAnsi="Times New Roman" w:eastAsia="宋体" w:cs="Times New Roman"/>
                      <w:color w:val="000000"/>
                      <w:sz w:val="21"/>
                      <w:szCs w:val="21"/>
                      <w:highlight w:val="none"/>
                      <w:u w:val="none" w:color="auto"/>
                    </w:rPr>
                  </w:pPr>
                  <w:r>
                    <w:rPr>
                      <w:rFonts w:hint="default" w:ascii="Times New Roman" w:hAnsi="Times New Roman" w:eastAsia="宋体" w:cs="Times New Roman"/>
                      <w:color w:val="000000"/>
                      <w:sz w:val="21"/>
                      <w:szCs w:val="21"/>
                      <w:highlight w:val="none"/>
                      <w:u w:val="none" w:color="auto"/>
                    </w:rPr>
                    <w:t>符合</w:t>
                  </w:r>
                </w:p>
              </w:tc>
            </w:tr>
          </w:tbl>
          <w:p w14:paraId="68B8798A">
            <w:pPr>
              <w:spacing w:line="360" w:lineRule="auto"/>
              <w:rPr>
                <w:rFonts w:hint="default" w:eastAsia="宋体"/>
                <w:b/>
                <w:color w:val="auto"/>
                <w:u w:val="none"/>
                <w:lang w:val="en-US" w:eastAsia="zh-CN"/>
              </w:rPr>
            </w:pPr>
            <w:r>
              <w:rPr>
                <w:rFonts w:hint="eastAsia"/>
                <w:b/>
                <w:color w:val="auto"/>
                <w:u w:val="none"/>
                <w:lang w:val="en-US" w:eastAsia="zh-CN"/>
              </w:rPr>
              <w:t>10、与</w:t>
            </w:r>
            <w:r>
              <w:rPr>
                <w:rFonts w:hint="eastAsia"/>
                <w:b/>
                <w:color w:val="auto"/>
                <w:u w:val="none"/>
              </w:rPr>
              <w:t>《湖南省大气污染防治“守护蓝天”攻坚行动计划（2023—2025年）》</w:t>
            </w:r>
            <w:r>
              <w:rPr>
                <w:rFonts w:hint="eastAsia"/>
                <w:b/>
                <w:color w:val="auto"/>
                <w:u w:val="none"/>
                <w:lang w:val="en-US" w:eastAsia="zh-CN"/>
              </w:rPr>
              <w:t>符合性分析</w:t>
            </w:r>
          </w:p>
          <w:p w14:paraId="49EF9F81">
            <w:pPr>
              <w:pStyle w:val="3"/>
              <w:spacing w:line="240" w:lineRule="auto"/>
              <w:ind w:firstLine="0" w:firstLineChars="0"/>
              <w:jc w:val="center"/>
              <w:rPr>
                <w:rFonts w:hint="default" w:ascii="Times New Roman" w:hAnsi="Times New Roman"/>
                <w:b w:val="0"/>
                <w:bCs w:val="0"/>
                <w:kern w:val="0"/>
                <w:szCs w:val="20"/>
                <w:u w:val="none" w:color="auto"/>
              </w:rPr>
            </w:pPr>
            <w:r>
              <w:rPr>
                <w:rFonts w:hint="default" w:ascii="Times New Roman" w:hAnsi="Times New Roman"/>
                <w:b/>
                <w:bCs/>
                <w:kern w:val="0"/>
                <w:szCs w:val="20"/>
                <w:u w:val="none" w:color="auto"/>
              </w:rPr>
              <w:t>表1-</w:t>
            </w:r>
            <w:r>
              <w:rPr>
                <w:rFonts w:hint="eastAsia" w:ascii="Times New Roman" w:hAnsi="Times New Roman"/>
                <w:b/>
                <w:bCs/>
                <w:kern w:val="0"/>
                <w:szCs w:val="20"/>
                <w:u w:val="none" w:color="auto"/>
                <w:lang w:eastAsia="zh-CN"/>
              </w:rPr>
              <w:t>1</w:t>
            </w:r>
            <w:r>
              <w:rPr>
                <w:rFonts w:hint="eastAsia" w:ascii="Times New Roman" w:hAnsi="Times New Roman"/>
                <w:b/>
                <w:bCs/>
                <w:kern w:val="0"/>
                <w:szCs w:val="20"/>
                <w:u w:val="none" w:color="auto"/>
                <w:lang w:val="en-US" w:eastAsia="zh-CN"/>
              </w:rPr>
              <w:t>1</w:t>
            </w:r>
            <w:r>
              <w:rPr>
                <w:rFonts w:hint="default" w:ascii="Times New Roman" w:hAnsi="Times New Roman"/>
                <w:b/>
                <w:bCs/>
                <w:kern w:val="0"/>
                <w:szCs w:val="20"/>
                <w:u w:val="none" w:color="auto"/>
              </w:rPr>
              <w:t xml:space="preserve">  与《</w:t>
            </w:r>
            <w:r>
              <w:rPr>
                <w:rFonts w:hint="default" w:ascii="Times New Roman" w:hAnsi="Times New Roman" w:eastAsia="宋体" w:cs="Times New Roman"/>
                <w:color w:val="000000"/>
                <w:szCs w:val="24"/>
                <w:u w:val="none" w:color="auto"/>
              </w:rPr>
              <w:t>湖南省大气污染防治“守护蓝天”攻坚行动计划（2023—2025年）</w:t>
            </w:r>
            <w:r>
              <w:rPr>
                <w:rFonts w:hint="default" w:ascii="Times New Roman" w:hAnsi="Times New Roman"/>
                <w:b/>
                <w:bCs/>
                <w:kern w:val="0"/>
                <w:szCs w:val="20"/>
                <w:u w:val="none" w:color="auto"/>
              </w:rPr>
              <w:t>》的符合性分析</w:t>
            </w:r>
          </w:p>
          <w:tbl>
            <w:tblPr>
              <w:tblStyle w:val="31"/>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3015"/>
              <w:gridCol w:w="2120"/>
              <w:gridCol w:w="680"/>
            </w:tblGrid>
            <w:tr w14:paraId="398D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noWrap w:val="0"/>
                  <w:vAlign w:val="center"/>
                </w:tcPr>
                <w:p w14:paraId="343744CB">
                  <w:pPr>
                    <w:pageBreakBefore w:val="0"/>
                    <w:shd w:val="clear" w:color="auto" w:fill="auto"/>
                    <w:bidi w:val="0"/>
                    <w:adjustRightInd w:val="0"/>
                    <w:snapToGrid w:val="0"/>
                    <w:jc w:val="center"/>
                    <w:rPr>
                      <w:rFonts w:hint="default" w:ascii="Times New Roman" w:hAnsi="Times New Roman" w:eastAsia="宋体" w:cs="Times New Roman"/>
                      <w:b/>
                      <w:bCs/>
                      <w:color w:val="000000"/>
                      <w:sz w:val="21"/>
                      <w:szCs w:val="21"/>
                      <w:highlight w:val="none"/>
                      <w:u w:val="none" w:color="auto"/>
                      <w:lang w:eastAsia="zh-CN"/>
                    </w:rPr>
                  </w:pPr>
                  <w:r>
                    <w:rPr>
                      <w:rFonts w:hint="default" w:ascii="Times New Roman" w:hAnsi="Times New Roman" w:eastAsia="宋体" w:cs="Times New Roman"/>
                      <w:b/>
                      <w:bCs/>
                      <w:color w:val="000000"/>
                      <w:sz w:val="21"/>
                      <w:szCs w:val="21"/>
                      <w:highlight w:val="none"/>
                      <w:u w:val="none" w:color="auto"/>
                      <w:lang w:eastAsia="zh-CN"/>
                    </w:rPr>
                    <w:t>序号</w:t>
                  </w:r>
                </w:p>
              </w:tc>
              <w:tc>
                <w:tcPr>
                  <w:tcW w:w="3015" w:type="dxa"/>
                  <w:noWrap w:val="0"/>
                  <w:vAlign w:val="center"/>
                </w:tcPr>
                <w:p w14:paraId="30CDB4FE">
                  <w:pPr>
                    <w:pageBreakBefore w:val="0"/>
                    <w:shd w:val="clear" w:color="auto" w:fill="auto"/>
                    <w:bidi w:val="0"/>
                    <w:adjustRightInd w:val="0"/>
                    <w:snapToGrid w:val="0"/>
                    <w:jc w:val="center"/>
                    <w:rPr>
                      <w:rFonts w:hint="default" w:ascii="Times New Roman" w:hAnsi="Times New Roman" w:eastAsia="宋体" w:cs="Times New Roman"/>
                      <w:b/>
                      <w:bCs/>
                      <w:color w:val="000000"/>
                      <w:sz w:val="21"/>
                      <w:szCs w:val="21"/>
                      <w:highlight w:val="none"/>
                      <w:u w:val="none" w:color="auto"/>
                      <w:lang w:eastAsia="zh-CN"/>
                    </w:rPr>
                  </w:pPr>
                  <w:r>
                    <w:rPr>
                      <w:rFonts w:hint="eastAsia" w:ascii="Times New Roman" w:hAnsi="Times New Roman" w:eastAsia="宋体" w:cs="Times New Roman"/>
                      <w:b/>
                      <w:bCs/>
                      <w:color w:val="000000"/>
                      <w:sz w:val="21"/>
                      <w:szCs w:val="21"/>
                      <w:highlight w:val="none"/>
                      <w:u w:val="none" w:color="auto"/>
                      <w:lang w:val="en-US" w:eastAsia="zh-CN"/>
                    </w:rPr>
                    <w:t>计划</w:t>
                  </w:r>
                  <w:r>
                    <w:rPr>
                      <w:rFonts w:hint="default" w:ascii="Times New Roman" w:hAnsi="Times New Roman" w:eastAsia="宋体" w:cs="Times New Roman"/>
                      <w:b/>
                      <w:bCs/>
                      <w:color w:val="000000"/>
                      <w:sz w:val="21"/>
                      <w:szCs w:val="21"/>
                      <w:highlight w:val="none"/>
                      <w:u w:val="none" w:color="auto"/>
                      <w:lang w:eastAsia="zh-CN"/>
                    </w:rPr>
                    <w:t>要求</w:t>
                  </w:r>
                </w:p>
              </w:tc>
              <w:tc>
                <w:tcPr>
                  <w:tcW w:w="2120" w:type="dxa"/>
                  <w:noWrap w:val="0"/>
                  <w:vAlign w:val="center"/>
                </w:tcPr>
                <w:p w14:paraId="79451AB6">
                  <w:pPr>
                    <w:pageBreakBefore w:val="0"/>
                    <w:shd w:val="clear" w:color="auto" w:fill="auto"/>
                    <w:bidi w:val="0"/>
                    <w:adjustRightInd w:val="0"/>
                    <w:snapToGrid w:val="0"/>
                    <w:jc w:val="center"/>
                    <w:rPr>
                      <w:rFonts w:hint="default" w:ascii="Times New Roman" w:hAnsi="Times New Roman" w:eastAsia="宋体" w:cs="Times New Roman"/>
                      <w:b/>
                      <w:bCs/>
                      <w:color w:val="000000"/>
                      <w:sz w:val="21"/>
                      <w:szCs w:val="21"/>
                      <w:highlight w:val="none"/>
                      <w:u w:val="none" w:color="auto"/>
                    </w:rPr>
                  </w:pPr>
                  <w:r>
                    <w:rPr>
                      <w:rFonts w:hint="default" w:ascii="Times New Roman" w:hAnsi="Times New Roman" w:eastAsia="宋体" w:cs="Times New Roman"/>
                      <w:b/>
                      <w:bCs/>
                      <w:color w:val="000000"/>
                      <w:sz w:val="21"/>
                      <w:szCs w:val="21"/>
                      <w:highlight w:val="none"/>
                      <w:u w:val="none" w:color="auto"/>
                    </w:rPr>
                    <w:t>本项目情况</w:t>
                  </w:r>
                </w:p>
              </w:tc>
              <w:tc>
                <w:tcPr>
                  <w:tcW w:w="680" w:type="dxa"/>
                  <w:noWrap w:val="0"/>
                  <w:vAlign w:val="center"/>
                </w:tcPr>
                <w:p w14:paraId="6D695AE4">
                  <w:pPr>
                    <w:pageBreakBefore w:val="0"/>
                    <w:shd w:val="clear" w:color="auto" w:fill="auto"/>
                    <w:bidi w:val="0"/>
                    <w:adjustRightInd w:val="0"/>
                    <w:snapToGrid w:val="0"/>
                    <w:jc w:val="center"/>
                    <w:rPr>
                      <w:rFonts w:hint="default" w:ascii="Times New Roman" w:hAnsi="Times New Roman" w:eastAsia="宋体" w:cs="Times New Roman"/>
                      <w:b/>
                      <w:bCs/>
                      <w:color w:val="000000"/>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符合情况</w:t>
                  </w:r>
                </w:p>
              </w:tc>
            </w:tr>
            <w:tr w14:paraId="4711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648" w:type="dxa"/>
                  <w:noWrap w:val="0"/>
                  <w:vAlign w:val="center"/>
                </w:tcPr>
                <w:p w14:paraId="589A56CA">
                  <w:pPr>
                    <w:pageBreakBefore w:val="0"/>
                    <w:shd w:val="clear" w:color="auto" w:fill="auto"/>
                    <w:bidi w:val="0"/>
                    <w:adjustRightInd w:val="0"/>
                    <w:snapToGrid w:val="0"/>
                    <w:jc w:val="center"/>
                    <w:rPr>
                      <w:rFonts w:hint="default" w:ascii="Times New Roman" w:hAnsi="Times New Roman" w:eastAsia="宋体" w:cs="Times New Roman"/>
                      <w:color w:val="000000"/>
                      <w:sz w:val="21"/>
                      <w:szCs w:val="21"/>
                      <w:highlight w:val="none"/>
                      <w:u w:val="none" w:color="auto"/>
                      <w:lang w:eastAsia="zh-CN"/>
                    </w:rPr>
                  </w:pPr>
                  <w:r>
                    <w:rPr>
                      <w:rFonts w:hint="default" w:ascii="Times New Roman" w:hAnsi="Times New Roman" w:eastAsia="宋体" w:cs="Times New Roman"/>
                      <w:color w:val="000000"/>
                      <w:sz w:val="21"/>
                      <w:szCs w:val="21"/>
                      <w:highlight w:val="none"/>
                      <w:u w:val="none" w:color="auto"/>
                      <w:lang w:val="en-US" w:eastAsia="zh-CN"/>
                    </w:rPr>
                    <w:t>1</w:t>
                  </w:r>
                </w:p>
              </w:tc>
              <w:tc>
                <w:tcPr>
                  <w:tcW w:w="3015" w:type="dxa"/>
                  <w:noWrap w:val="0"/>
                  <w:vAlign w:val="center"/>
                </w:tcPr>
                <w:p w14:paraId="26F1217C">
                  <w:pPr>
                    <w:pageBreakBefore w:val="0"/>
                    <w:widowControl/>
                    <w:shd w:val="clear" w:color="auto" w:fill="auto"/>
                    <w:bidi w:val="0"/>
                    <w:snapToGrid w:val="0"/>
                    <w:jc w:val="center"/>
                    <w:rPr>
                      <w:rFonts w:hint="default" w:ascii="Times New Roman" w:hAnsi="Times New Roman" w:eastAsia="宋体" w:cs="Times New Roman"/>
                      <w:color w:val="000000"/>
                      <w:sz w:val="21"/>
                      <w:szCs w:val="21"/>
                      <w:highlight w:val="none"/>
                      <w:u w:val="none" w:color="auto"/>
                    </w:rPr>
                  </w:pPr>
                  <w:r>
                    <w:rPr>
                      <w:rFonts w:hint="default" w:ascii="Times New Roman" w:hAnsi="Times New Roman" w:eastAsia="宋体" w:cs="Times New Roman"/>
                      <w:color w:val="000000"/>
                      <w:sz w:val="21"/>
                      <w:szCs w:val="21"/>
                      <w:highlight w:val="none"/>
                      <w:u w:val="none" w:color="auto"/>
                    </w:rPr>
                    <w:t>优化产业结构和布局。严格项目准入，遏制“两高一低”项目盲目发展。落实产业规划及产业政策，严格执行重点行业产能置换办法，依法依规淘汰落后产能。优化产业链布局，开展传统产业集群排查整治，推进重点涉气企业入区入园。</w:t>
                  </w:r>
                </w:p>
              </w:tc>
              <w:tc>
                <w:tcPr>
                  <w:tcW w:w="2120" w:type="dxa"/>
                  <w:noWrap w:val="0"/>
                  <w:vAlign w:val="center"/>
                </w:tcPr>
                <w:p w14:paraId="20AE9697">
                  <w:pPr>
                    <w:pageBreakBefore w:val="0"/>
                    <w:shd w:val="clear" w:color="auto" w:fill="auto"/>
                    <w:bidi w:val="0"/>
                    <w:adjustRightInd w:val="0"/>
                    <w:snapToGrid w:val="0"/>
                    <w:jc w:val="center"/>
                    <w:rPr>
                      <w:rFonts w:hint="default" w:ascii="Times New Roman" w:hAnsi="Times New Roman" w:eastAsia="宋体" w:cs="Times New Roman"/>
                      <w:color w:val="000000"/>
                      <w:sz w:val="21"/>
                      <w:szCs w:val="21"/>
                      <w:highlight w:val="none"/>
                      <w:u w:val="none" w:color="auto"/>
                      <w:lang w:val="en-US" w:eastAsia="zh-CN"/>
                    </w:rPr>
                  </w:pPr>
                  <w:r>
                    <w:rPr>
                      <w:rFonts w:hint="default" w:ascii="Times New Roman" w:hAnsi="Times New Roman" w:eastAsia="宋体" w:cs="Times New Roman"/>
                      <w:color w:val="000000"/>
                      <w:sz w:val="21"/>
                      <w:szCs w:val="21"/>
                      <w:highlight w:val="none"/>
                      <w:u w:val="none" w:color="auto"/>
                    </w:rPr>
                    <w:t>本项目</w:t>
                  </w:r>
                  <w:r>
                    <w:rPr>
                      <w:rFonts w:hint="eastAsia" w:ascii="Times New Roman" w:hAnsi="Times New Roman" w:eastAsia="宋体" w:cs="Times New Roman"/>
                      <w:color w:val="000000"/>
                      <w:sz w:val="21"/>
                      <w:szCs w:val="21"/>
                      <w:highlight w:val="none"/>
                      <w:u w:val="none" w:color="auto"/>
                      <w:lang w:val="en-US" w:eastAsia="zh-CN"/>
                    </w:rPr>
                    <w:t>位于</w:t>
                  </w:r>
                  <w:r>
                    <w:rPr>
                      <w:rFonts w:hint="default" w:ascii="Times New Roman" w:hAnsi="Times New Roman" w:eastAsia="宋体" w:cs="Times New Roman"/>
                      <w:color w:val="000000"/>
                      <w:sz w:val="21"/>
                      <w:szCs w:val="21"/>
                      <w:highlight w:val="none"/>
                      <w:u w:color="auto"/>
                    </w:rPr>
                    <w:t>岳阳临港高新技术产业开发区</w:t>
                  </w:r>
                  <w:r>
                    <w:rPr>
                      <w:rFonts w:hint="default" w:ascii="Times New Roman" w:hAnsi="Times New Roman" w:eastAsia="宋体" w:cs="Times New Roman"/>
                      <w:b w:val="0"/>
                      <w:bCs w:val="0"/>
                      <w:color w:val="auto"/>
                      <w:sz w:val="21"/>
                      <w:szCs w:val="21"/>
                      <w:highlight w:val="none"/>
                      <w:u w:val="none" w:color="auto"/>
                    </w:rPr>
                    <w:t>范围</w:t>
                  </w:r>
                  <w:r>
                    <w:rPr>
                      <w:rFonts w:hint="eastAsia" w:ascii="Times New Roman" w:hAnsi="Times New Roman" w:eastAsia="宋体" w:cs="Times New Roman"/>
                      <w:b w:val="0"/>
                      <w:bCs w:val="0"/>
                      <w:color w:val="auto"/>
                      <w:sz w:val="21"/>
                      <w:szCs w:val="21"/>
                      <w:highlight w:val="none"/>
                      <w:u w:val="none" w:color="auto"/>
                      <w:lang w:val="en-US" w:eastAsia="zh-CN"/>
                    </w:rPr>
                    <w:t>内</w:t>
                  </w:r>
                  <w:r>
                    <w:rPr>
                      <w:rFonts w:hint="default" w:ascii="Times New Roman" w:hAnsi="Times New Roman" w:eastAsia="宋体" w:cs="Times New Roman"/>
                      <w:b w:val="0"/>
                      <w:bCs w:val="0"/>
                      <w:color w:val="auto"/>
                      <w:sz w:val="21"/>
                      <w:szCs w:val="21"/>
                      <w:highlight w:val="none"/>
                      <w:u w:val="none" w:color="auto"/>
                      <w:lang w:val="en-US" w:eastAsia="zh-CN"/>
                    </w:rPr>
                    <w:t>，</w:t>
                  </w:r>
                  <w:r>
                    <w:rPr>
                      <w:rFonts w:hint="default" w:ascii="Times New Roman" w:hAnsi="Times New Roman" w:eastAsia="宋体" w:cs="Times New Roman"/>
                      <w:color w:val="000000"/>
                      <w:sz w:val="21"/>
                      <w:szCs w:val="21"/>
                      <w:highlight w:val="none"/>
                      <w:u w:val="none" w:color="auto"/>
                      <w:lang w:val="en-US" w:eastAsia="zh-CN"/>
                    </w:rPr>
                    <w:t>不属于</w:t>
                  </w:r>
                  <w:r>
                    <w:rPr>
                      <w:rFonts w:hint="default" w:ascii="Times New Roman" w:hAnsi="Times New Roman" w:eastAsia="宋体" w:cs="Times New Roman"/>
                      <w:color w:val="000000"/>
                      <w:sz w:val="21"/>
                      <w:szCs w:val="21"/>
                      <w:highlight w:val="none"/>
                      <w:u w:val="none" w:color="auto"/>
                    </w:rPr>
                    <w:t>高耗能高排放低水平项目</w:t>
                  </w:r>
                  <w:r>
                    <w:rPr>
                      <w:rFonts w:hint="eastAsia" w:ascii="Times New Roman" w:hAnsi="Times New Roman" w:eastAsia="宋体" w:cs="Times New Roman"/>
                      <w:color w:val="000000"/>
                      <w:sz w:val="21"/>
                      <w:szCs w:val="21"/>
                      <w:highlight w:val="none"/>
                      <w:u w:val="none" w:color="auto"/>
                      <w:lang w:val="en-US" w:eastAsia="zh-CN"/>
                    </w:rPr>
                    <w:t>；本</w:t>
                  </w:r>
                  <w:r>
                    <w:rPr>
                      <w:rFonts w:hint="default" w:ascii="Times New Roman" w:hAnsi="Times New Roman" w:eastAsia="宋体" w:cs="Times New Roman"/>
                      <w:color w:val="000000"/>
                      <w:sz w:val="21"/>
                      <w:szCs w:val="21"/>
                      <w:highlight w:val="none"/>
                      <w:u w:val="none" w:color="auto"/>
                      <w:lang w:val="en-US" w:eastAsia="zh-CN"/>
                    </w:rPr>
                    <w:t>项目符合园区</w:t>
                  </w:r>
                  <w:r>
                    <w:rPr>
                      <w:rFonts w:hint="default" w:ascii="Times New Roman" w:hAnsi="Times New Roman" w:eastAsia="宋体" w:cs="Times New Roman"/>
                      <w:bCs/>
                      <w:color w:val="auto"/>
                      <w:sz w:val="21"/>
                      <w:szCs w:val="21"/>
                      <w:highlight w:val="none"/>
                      <w:u w:val="none" w:color="auto"/>
                    </w:rPr>
                    <w:t>企业准入条件</w:t>
                  </w:r>
                  <w:r>
                    <w:rPr>
                      <w:rFonts w:hint="default" w:ascii="Times New Roman" w:hAnsi="Times New Roman" w:eastAsia="宋体" w:cs="Times New Roman"/>
                      <w:bCs/>
                      <w:color w:val="auto"/>
                      <w:sz w:val="21"/>
                      <w:szCs w:val="21"/>
                      <w:highlight w:val="none"/>
                      <w:u w:val="none" w:color="auto"/>
                      <w:lang w:val="en-US" w:eastAsia="zh-CN"/>
                    </w:rPr>
                    <w:t>和生态环境分区管控要求</w:t>
                  </w:r>
                </w:p>
              </w:tc>
              <w:tc>
                <w:tcPr>
                  <w:tcW w:w="680" w:type="dxa"/>
                  <w:noWrap w:val="0"/>
                  <w:vAlign w:val="center"/>
                </w:tcPr>
                <w:p w14:paraId="2BFB5D8C">
                  <w:pPr>
                    <w:pageBreakBefore w:val="0"/>
                    <w:shd w:val="clear" w:color="auto" w:fill="auto"/>
                    <w:bidi w:val="0"/>
                    <w:adjustRightInd w:val="0"/>
                    <w:snapToGrid w:val="0"/>
                    <w:jc w:val="center"/>
                    <w:rPr>
                      <w:rFonts w:hint="default" w:ascii="Times New Roman" w:hAnsi="Times New Roman" w:eastAsia="宋体" w:cs="Times New Roman"/>
                      <w:color w:val="000000"/>
                      <w:sz w:val="21"/>
                      <w:szCs w:val="21"/>
                      <w:highlight w:val="none"/>
                      <w:u w:val="none" w:color="auto"/>
                    </w:rPr>
                  </w:pPr>
                  <w:r>
                    <w:rPr>
                      <w:rFonts w:hint="default" w:ascii="Times New Roman" w:hAnsi="Times New Roman" w:eastAsia="宋体" w:cs="Times New Roman"/>
                      <w:color w:val="000000"/>
                      <w:sz w:val="21"/>
                      <w:szCs w:val="21"/>
                      <w:highlight w:val="none"/>
                      <w:u w:val="none" w:color="auto"/>
                    </w:rPr>
                    <w:t>符合</w:t>
                  </w:r>
                </w:p>
              </w:tc>
            </w:tr>
            <w:tr w14:paraId="3C1F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48" w:type="dxa"/>
                  <w:noWrap w:val="0"/>
                  <w:vAlign w:val="center"/>
                </w:tcPr>
                <w:p w14:paraId="71A6DAEB">
                  <w:pPr>
                    <w:pageBreakBefore w:val="0"/>
                    <w:shd w:val="clear" w:color="auto" w:fill="auto"/>
                    <w:bidi w:val="0"/>
                    <w:adjustRightInd w:val="0"/>
                    <w:snapToGrid w:val="0"/>
                    <w:jc w:val="center"/>
                    <w:rPr>
                      <w:rFonts w:hint="default" w:ascii="Times New Roman" w:hAnsi="Times New Roman" w:eastAsia="宋体" w:cs="Times New Roman"/>
                      <w:color w:val="000000"/>
                      <w:sz w:val="21"/>
                      <w:szCs w:val="21"/>
                      <w:highlight w:val="none"/>
                      <w:u w:val="none" w:color="auto"/>
                      <w:lang w:val="en-US" w:eastAsia="zh-CN"/>
                    </w:rPr>
                  </w:pPr>
                  <w:r>
                    <w:rPr>
                      <w:rFonts w:hint="eastAsia" w:ascii="Times New Roman" w:hAnsi="Times New Roman" w:eastAsia="宋体" w:cs="Times New Roman"/>
                      <w:color w:val="000000"/>
                      <w:sz w:val="21"/>
                      <w:szCs w:val="21"/>
                      <w:highlight w:val="none"/>
                      <w:u w:val="none" w:color="auto"/>
                      <w:lang w:val="en-US" w:eastAsia="zh-CN"/>
                    </w:rPr>
                    <w:t>2</w:t>
                  </w:r>
                </w:p>
              </w:tc>
              <w:tc>
                <w:tcPr>
                  <w:tcW w:w="3015" w:type="dxa"/>
                  <w:noWrap w:val="0"/>
                  <w:vAlign w:val="center"/>
                </w:tcPr>
                <w:p w14:paraId="79D45E20">
                  <w:pPr>
                    <w:pageBreakBefore w:val="0"/>
                    <w:widowControl/>
                    <w:shd w:val="clear" w:color="auto" w:fill="auto"/>
                    <w:bidi w:val="0"/>
                    <w:snapToGrid w:val="0"/>
                    <w:jc w:val="center"/>
                    <w:rPr>
                      <w:rFonts w:hint="default" w:ascii="Times New Roman" w:hAnsi="Times New Roman" w:eastAsia="宋体" w:cs="Times New Roman"/>
                      <w:color w:val="000000"/>
                      <w:sz w:val="21"/>
                      <w:szCs w:val="21"/>
                      <w:highlight w:val="none"/>
                      <w:u w:val="none" w:color="auto"/>
                    </w:rPr>
                  </w:pPr>
                  <w:r>
                    <w:rPr>
                      <w:rFonts w:hint="default" w:ascii="Times New Roman" w:hAnsi="Times New Roman" w:eastAsia="宋体" w:cs="Times New Roman"/>
                      <w:color w:val="000000"/>
                      <w:sz w:val="21"/>
                      <w:szCs w:val="21"/>
                      <w:highlight w:val="none"/>
                      <w:u w:val="none" w:color="auto"/>
                    </w:rPr>
                    <w:t>开展涉VOCs重点行业全流程整治。持续开展VOCs治理突出问题排查，清理整顿简易低效、不合规定治理设施，强化无组织和非正常工况废气排放管控。规范开展泄漏检测与修复。推动各市州分别新建1—3个涉VOCs“绿岛”项目。</w:t>
                  </w:r>
                </w:p>
              </w:tc>
              <w:tc>
                <w:tcPr>
                  <w:tcW w:w="2120" w:type="dxa"/>
                  <w:noWrap w:val="0"/>
                  <w:vAlign w:val="center"/>
                </w:tcPr>
                <w:p w14:paraId="1DB23204">
                  <w:pPr>
                    <w:pageBreakBefore w:val="0"/>
                    <w:shd w:val="clear" w:color="auto" w:fill="auto"/>
                    <w:bidi w:val="0"/>
                    <w:adjustRightInd w:val="0"/>
                    <w:snapToGrid w:val="0"/>
                    <w:jc w:val="center"/>
                    <w:rPr>
                      <w:rFonts w:hint="default" w:ascii="Times New Roman" w:hAnsi="Times New Roman" w:eastAsia="宋体" w:cs="Times New Roman"/>
                      <w:color w:val="000000"/>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lang w:val="en-US" w:eastAsia="zh-CN"/>
                    </w:rPr>
                    <w:t>本项目产生的</w:t>
                  </w:r>
                  <w:r>
                    <w:rPr>
                      <w:rFonts w:hint="eastAsia" w:ascii="Times New Roman" w:hAnsi="Times New Roman" w:eastAsia="宋体" w:cs="Times New Roman"/>
                      <w:b w:val="0"/>
                      <w:bCs w:val="0"/>
                      <w:color w:val="auto"/>
                      <w:sz w:val="21"/>
                      <w:szCs w:val="21"/>
                      <w:highlight w:val="none"/>
                      <w:u w:val="none" w:color="auto"/>
                      <w:lang w:val="en-US" w:eastAsia="zh-CN"/>
                    </w:rPr>
                    <w:t>废气</w:t>
                  </w:r>
                  <w:r>
                    <w:rPr>
                      <w:rFonts w:hint="default" w:ascii="Times New Roman" w:hAnsi="Times New Roman" w:eastAsia="宋体" w:cs="Times New Roman"/>
                      <w:bCs/>
                      <w:color w:val="000000"/>
                      <w:sz w:val="21"/>
                      <w:szCs w:val="21"/>
                      <w:highlight w:val="none"/>
                      <w:u w:val="none" w:color="auto"/>
                      <w:lang w:val="en-US" w:eastAsia="zh-CN"/>
                    </w:rPr>
                    <w:t>经</w:t>
                  </w:r>
                  <w:r>
                    <w:rPr>
                      <w:rFonts w:hint="default" w:ascii="Times New Roman" w:hAnsi="Times New Roman" w:eastAsia="宋体" w:cs="Times New Roman"/>
                      <w:sz w:val="21"/>
                      <w:szCs w:val="21"/>
                      <w:u w:val="none" w:color="auto"/>
                    </w:rPr>
                    <w:t>密闭管道收集后经</w:t>
                  </w:r>
                  <w:r>
                    <w:rPr>
                      <w:rFonts w:hint="default" w:ascii="Times New Roman" w:hAnsi="Times New Roman" w:eastAsia="宋体" w:cs="Times New Roman"/>
                      <w:sz w:val="21"/>
                      <w:szCs w:val="21"/>
                      <w:u w:val="none" w:color="auto"/>
                      <w:lang w:val="en-US" w:eastAsia="zh-CN"/>
                    </w:rPr>
                    <w:t>两级</w:t>
                  </w:r>
                  <w:r>
                    <w:rPr>
                      <w:rFonts w:hint="default" w:ascii="Times New Roman" w:hAnsi="Times New Roman" w:eastAsia="宋体" w:cs="Times New Roman"/>
                      <w:sz w:val="21"/>
                      <w:szCs w:val="21"/>
                      <w:u w:val="none" w:color="auto"/>
                    </w:rPr>
                    <w:t>活性炭吸附处理后</w:t>
                  </w:r>
                  <w:r>
                    <w:rPr>
                      <w:rFonts w:hint="eastAsia" w:ascii="Times New Roman" w:hAnsi="Times New Roman" w:eastAsia="宋体" w:cs="Times New Roman"/>
                      <w:sz w:val="21"/>
                      <w:szCs w:val="21"/>
                      <w:u w:val="none" w:color="auto"/>
                      <w:lang w:val="en-US" w:eastAsia="zh-CN"/>
                    </w:rPr>
                    <w:t>可</w:t>
                  </w:r>
                  <w:r>
                    <w:rPr>
                      <w:rFonts w:hint="default" w:ascii="Times New Roman" w:hAnsi="Times New Roman" w:eastAsia="宋体" w:cs="Times New Roman"/>
                      <w:sz w:val="21"/>
                      <w:szCs w:val="21"/>
                      <w:u w:val="none" w:color="auto"/>
                      <w:lang w:val="en-US" w:eastAsia="zh-CN"/>
                    </w:rPr>
                    <w:t>达标</w:t>
                  </w:r>
                  <w:r>
                    <w:rPr>
                      <w:rFonts w:hint="default" w:ascii="Times New Roman" w:hAnsi="Times New Roman" w:eastAsia="宋体" w:cs="Times New Roman"/>
                      <w:sz w:val="21"/>
                      <w:szCs w:val="21"/>
                      <w:u w:val="none" w:color="auto"/>
                    </w:rPr>
                    <w:t>排放</w:t>
                  </w:r>
                </w:p>
              </w:tc>
              <w:tc>
                <w:tcPr>
                  <w:tcW w:w="680" w:type="dxa"/>
                  <w:noWrap w:val="0"/>
                  <w:vAlign w:val="center"/>
                </w:tcPr>
                <w:p w14:paraId="6BCFE994">
                  <w:pPr>
                    <w:pageBreakBefore w:val="0"/>
                    <w:shd w:val="clear" w:color="auto" w:fill="auto"/>
                    <w:bidi w:val="0"/>
                    <w:adjustRightInd w:val="0"/>
                    <w:snapToGrid w:val="0"/>
                    <w:jc w:val="center"/>
                    <w:rPr>
                      <w:rFonts w:hint="default" w:ascii="Times New Roman" w:hAnsi="Times New Roman" w:eastAsia="宋体" w:cs="Times New Roman"/>
                      <w:color w:val="000000"/>
                      <w:sz w:val="21"/>
                      <w:szCs w:val="21"/>
                      <w:highlight w:val="none"/>
                      <w:u w:val="none" w:color="auto"/>
                    </w:rPr>
                  </w:pPr>
                  <w:r>
                    <w:rPr>
                      <w:rFonts w:hint="default" w:ascii="Times New Roman" w:hAnsi="Times New Roman" w:eastAsia="宋体" w:cs="Times New Roman"/>
                      <w:color w:val="000000"/>
                      <w:sz w:val="21"/>
                      <w:szCs w:val="21"/>
                      <w:highlight w:val="none"/>
                      <w:u w:val="none" w:color="auto"/>
                    </w:rPr>
                    <w:t>符合</w:t>
                  </w:r>
                </w:p>
              </w:tc>
            </w:tr>
          </w:tbl>
          <w:p w14:paraId="448673ED">
            <w:pPr>
              <w:spacing w:line="360" w:lineRule="auto"/>
              <w:rPr>
                <w:b/>
                <w:color w:val="auto"/>
                <w:u w:val="none"/>
              </w:rPr>
            </w:pPr>
            <w:r>
              <w:rPr>
                <w:rFonts w:hint="eastAsia"/>
                <w:b/>
                <w:color w:val="auto"/>
                <w:u w:val="none"/>
                <w:lang w:val="en-US" w:eastAsia="zh-CN"/>
              </w:rPr>
              <w:t>11、</w:t>
            </w:r>
            <w:r>
              <w:rPr>
                <w:rFonts w:hint="eastAsia"/>
                <w:b/>
                <w:color w:val="auto"/>
                <w:u w:val="none"/>
              </w:rPr>
              <w:t>选址合理性分析</w:t>
            </w:r>
          </w:p>
          <w:p w14:paraId="0B884EFA">
            <w:pPr>
              <w:pStyle w:val="112"/>
              <w:adjustRightInd/>
              <w:snapToGrid/>
              <w:spacing w:line="360" w:lineRule="auto"/>
              <w:ind w:firstLine="480" w:firstLineChars="200"/>
              <w:jc w:val="both"/>
              <w:rPr>
                <w:rFonts w:hint="eastAsia" w:eastAsia="宋体" w:cs="Times New Roman"/>
                <w:color w:val="auto"/>
                <w:kern w:val="2"/>
                <w:sz w:val="24"/>
                <w:szCs w:val="24"/>
                <w:u w:val="none"/>
                <w:lang w:val="en-US" w:eastAsia="zh-CN" w:bidi="ar-SA"/>
              </w:rPr>
            </w:pPr>
            <w:r>
              <w:rPr>
                <w:rFonts w:hint="default" w:ascii="Times New Roman" w:hAnsi="Times New Roman" w:eastAsia="宋体" w:cs="Times New Roman"/>
                <w:color w:val="auto"/>
                <w:kern w:val="2"/>
                <w:sz w:val="24"/>
                <w:szCs w:val="24"/>
                <w:u w:val="none"/>
                <w:lang w:val="en-US" w:eastAsia="zh-CN" w:bidi="ar-SA"/>
              </w:rPr>
              <w:t>本项目位于</w:t>
            </w:r>
            <w:r>
              <w:rPr>
                <w:rFonts w:hint="eastAsia"/>
                <w:color w:val="auto"/>
                <w:highlight w:val="none"/>
                <w:lang w:eastAsia="zh-CN"/>
              </w:rPr>
              <w:t>中国（湖南）自由贸易试验区岳阳片区长江大道际华高分子材料高科产业园10#工房</w:t>
            </w:r>
            <w:r>
              <w:rPr>
                <w:rFonts w:hint="eastAsia" w:cs="Times New Roman"/>
                <w:color w:val="auto"/>
                <w:kern w:val="2"/>
                <w:sz w:val="24"/>
                <w:szCs w:val="24"/>
                <w:u w:val="none"/>
                <w:lang w:val="en-US" w:eastAsia="zh-CN" w:bidi="ar-SA"/>
              </w:rPr>
              <w:t>，属于</w:t>
            </w:r>
            <w:r>
              <w:rPr>
                <w:rFonts w:hint="default" w:ascii="Times New Roman" w:hAnsi="Times New Roman" w:eastAsia="宋体" w:cs="Times New Roman"/>
                <w:color w:val="auto"/>
                <w:sz w:val="24"/>
                <w:szCs w:val="24"/>
                <w:highlight w:val="none"/>
                <w:u w:val="none" w:color="auto"/>
                <w:lang w:val="zh-CN" w:bidi="ar"/>
              </w:rPr>
              <w:t>岳阳临港高新技术产业开发区</w:t>
            </w:r>
            <w:r>
              <w:rPr>
                <w:rFonts w:hint="eastAsia" w:ascii="Times New Roman" w:hAnsi="Times New Roman" w:eastAsia="宋体" w:cs="Times New Roman"/>
                <w:color w:val="auto"/>
                <w:sz w:val="24"/>
                <w:szCs w:val="24"/>
                <w:highlight w:val="none"/>
                <w:u w:val="none" w:color="auto"/>
                <w:lang w:val="en-US" w:eastAsia="zh-CN" w:bidi="ar"/>
              </w:rPr>
              <w:t>内</w:t>
            </w:r>
            <w:r>
              <w:rPr>
                <w:rFonts w:hint="eastAsia" w:eastAsia="宋体" w:cs="Times New Roman"/>
                <w:color w:val="auto"/>
                <w:kern w:val="2"/>
                <w:sz w:val="24"/>
                <w:szCs w:val="24"/>
                <w:u w:val="none" w:color="auto"/>
                <w:lang w:val="en-US" w:eastAsia="zh-CN" w:bidi="ar-SA"/>
              </w:rPr>
              <w:t>，</w:t>
            </w:r>
            <w:r>
              <w:rPr>
                <w:rFonts w:hint="eastAsia" w:eastAsia="宋体" w:cs="Times New Roman"/>
                <w:color w:val="auto"/>
                <w:kern w:val="2"/>
                <w:sz w:val="24"/>
                <w:szCs w:val="24"/>
                <w:u w:val="none"/>
                <w:lang w:val="en-US" w:eastAsia="zh-CN" w:bidi="ar-SA"/>
              </w:rPr>
              <w:t>根据《</w:t>
            </w:r>
            <w:r>
              <w:rPr>
                <w:rFonts w:hint="eastAsia"/>
                <w:color w:val="auto"/>
                <w:u w:val="none"/>
              </w:rPr>
              <w:t>土地利用规划图</w:t>
            </w:r>
            <w:r>
              <w:rPr>
                <w:rFonts w:hint="eastAsia" w:eastAsia="宋体" w:cs="Times New Roman"/>
                <w:color w:val="auto"/>
                <w:kern w:val="2"/>
                <w:sz w:val="24"/>
                <w:szCs w:val="24"/>
                <w:u w:val="none"/>
                <w:lang w:val="en-US" w:eastAsia="zh-CN" w:bidi="ar-SA"/>
              </w:rPr>
              <w:t>》（详见附图</w:t>
            </w:r>
            <w:r>
              <w:rPr>
                <w:rFonts w:hint="eastAsia" w:cs="Times New Roman"/>
                <w:color w:val="auto"/>
                <w:kern w:val="2"/>
                <w:sz w:val="24"/>
                <w:szCs w:val="24"/>
                <w:u w:val="none"/>
                <w:lang w:val="en-US" w:eastAsia="zh-CN" w:bidi="ar-SA"/>
              </w:rPr>
              <w:t>5</w:t>
            </w:r>
            <w:r>
              <w:rPr>
                <w:rFonts w:hint="eastAsia" w:eastAsia="宋体" w:cs="Times New Roman"/>
                <w:color w:val="auto"/>
                <w:kern w:val="2"/>
                <w:sz w:val="24"/>
                <w:szCs w:val="24"/>
                <w:u w:val="none"/>
                <w:lang w:val="en-US" w:eastAsia="zh-CN" w:bidi="ar-SA"/>
              </w:rPr>
              <w:t>）可知，本项目用地为工业用地，符合用地规划要求。</w:t>
            </w:r>
          </w:p>
          <w:p w14:paraId="626F91E8">
            <w:pPr>
              <w:pStyle w:val="112"/>
              <w:adjustRightInd/>
              <w:snapToGrid/>
              <w:spacing w:line="360" w:lineRule="auto"/>
              <w:ind w:firstLine="480" w:firstLineChars="200"/>
              <w:jc w:val="both"/>
              <w:rPr>
                <w:rFonts w:hint="default" w:ascii="Times New Roman" w:hAnsi="Times New Roman" w:eastAsia="宋体" w:cs="Times New Roman"/>
                <w:color w:val="auto"/>
                <w:kern w:val="2"/>
                <w:sz w:val="24"/>
                <w:szCs w:val="24"/>
                <w:u w:val="none"/>
                <w:lang w:val="en-US" w:eastAsia="zh-CN" w:bidi="ar-SA"/>
              </w:rPr>
            </w:pPr>
            <w:r>
              <w:rPr>
                <w:rFonts w:hint="default"/>
                <w:color w:val="auto"/>
                <w:u w:val="none" w:color="auto"/>
              </w:rPr>
              <w:t>本项目属于非金属废料和碎屑加工处理，主要通过蒸馏的方式回收NMP废液中的NMP，且不属于高能耗企业</w:t>
            </w:r>
            <w:r>
              <w:rPr>
                <w:rFonts w:hint="eastAsia"/>
                <w:color w:val="auto"/>
                <w:u w:val="none" w:color="auto"/>
                <w:lang w:eastAsia="zh-CN"/>
              </w:rPr>
              <w:t>，</w:t>
            </w:r>
            <w:r>
              <w:rPr>
                <w:rFonts w:hint="default"/>
                <w:color w:val="auto"/>
                <w:u w:val="none" w:color="auto"/>
              </w:rPr>
              <w:t>属于</w:t>
            </w:r>
            <w:r>
              <w:rPr>
                <w:rFonts w:hint="eastAsia"/>
                <w:color w:val="auto"/>
                <w:u w:val="none" w:color="auto"/>
                <w:lang w:val="en-US" w:eastAsia="zh-CN"/>
              </w:rPr>
              <w:t>园区准入清单中</w:t>
            </w:r>
            <w:r>
              <w:rPr>
                <w:rFonts w:hint="default"/>
                <w:color w:val="auto"/>
                <w:u w:val="none" w:color="auto"/>
              </w:rPr>
              <w:t>鼓励类中的综合利用资源与再生资源</w:t>
            </w:r>
            <w:r>
              <w:rPr>
                <w:rFonts w:hint="eastAsia"/>
                <w:color w:val="auto"/>
                <w:u w:val="none" w:color="auto"/>
                <w:lang w:eastAsia="zh-CN"/>
              </w:rPr>
              <w:t>，</w:t>
            </w:r>
            <w:r>
              <w:rPr>
                <w:rFonts w:hint="eastAsia"/>
                <w:color w:val="auto"/>
                <w:u w:val="none" w:color="auto"/>
                <w:lang w:val="en-US" w:eastAsia="zh-CN"/>
              </w:rPr>
              <w:t>符合准入。</w:t>
            </w:r>
          </w:p>
          <w:p w14:paraId="5209B29E">
            <w:pPr>
              <w:pStyle w:val="112"/>
              <w:adjustRightInd/>
              <w:snapToGrid/>
              <w:spacing w:line="360" w:lineRule="auto"/>
              <w:ind w:firstLine="480" w:firstLineChars="200"/>
              <w:jc w:val="both"/>
              <w:rPr>
                <w:rFonts w:hint="default" w:ascii="Times New Roman" w:hAnsi="Times New Roman" w:eastAsia="宋体" w:cs="Times New Roman"/>
                <w:color w:val="auto"/>
                <w:kern w:val="2"/>
                <w:sz w:val="24"/>
                <w:szCs w:val="24"/>
                <w:u w:val="none"/>
                <w:lang w:val="en-US" w:eastAsia="zh-CN" w:bidi="ar-SA"/>
              </w:rPr>
            </w:pPr>
            <w:r>
              <w:rPr>
                <w:rFonts w:hint="default" w:ascii="Times New Roman" w:hAnsi="Times New Roman" w:eastAsia="宋体" w:cs="Times New Roman"/>
                <w:color w:val="auto"/>
                <w:sz w:val="24"/>
                <w:szCs w:val="24"/>
                <w:highlight w:val="none"/>
                <w:u w:val="none" w:color="auto"/>
              </w:rPr>
              <w:t>根据</w:t>
            </w:r>
            <w:r>
              <w:rPr>
                <w:rFonts w:hint="default" w:ascii="Times New Roman" w:hAnsi="Times New Roman" w:eastAsia="宋体" w:cs="Times New Roman"/>
                <w:color w:val="auto"/>
                <w:sz w:val="24"/>
                <w:szCs w:val="24"/>
                <w:highlight w:val="none"/>
                <w:u w:val="none" w:color="auto"/>
                <w:lang w:val="en-US" w:eastAsia="zh-CN"/>
              </w:rPr>
              <w:t>湖南省发展和改革委员会、湖南省自然资源厅</w:t>
            </w:r>
            <w:r>
              <w:rPr>
                <w:rFonts w:hint="default" w:ascii="Times New Roman" w:hAnsi="Times New Roman" w:eastAsia="宋体" w:cs="Times New Roman"/>
                <w:color w:val="auto"/>
                <w:sz w:val="24"/>
                <w:szCs w:val="24"/>
                <w:highlight w:val="none"/>
                <w:u w:val="none" w:color="auto"/>
              </w:rPr>
              <w:t>《关于发布</w:t>
            </w:r>
            <w:r>
              <w:rPr>
                <w:rFonts w:hint="default" w:ascii="Times New Roman" w:hAnsi="Times New Roman" w:eastAsia="宋体" w:cs="Times New Roman"/>
                <w:color w:val="auto"/>
                <w:sz w:val="24"/>
                <w:szCs w:val="24"/>
                <w:highlight w:val="none"/>
                <w:u w:val="none" w:color="auto"/>
                <w:lang w:val="en-US" w:eastAsia="zh-CN"/>
              </w:rPr>
              <w:t>岳阳临港高新技术产业开发区</w:t>
            </w:r>
            <w:r>
              <w:rPr>
                <w:rFonts w:hint="default" w:ascii="Times New Roman" w:hAnsi="Times New Roman" w:eastAsia="宋体" w:cs="Times New Roman"/>
                <w:color w:val="auto"/>
                <w:sz w:val="24"/>
                <w:szCs w:val="24"/>
                <w:highlight w:val="none"/>
                <w:u w:val="none" w:color="auto"/>
              </w:rPr>
              <w:t>边界面积及四至范围的通知》（湘发改园区〔2022〕601号）</w:t>
            </w:r>
            <w:r>
              <w:rPr>
                <w:rFonts w:hint="eastAsia" w:ascii="Times New Roman" w:hAnsi="Times New Roman" w:eastAsia="宋体" w:cs="Times New Roman"/>
                <w:color w:val="auto"/>
                <w:sz w:val="24"/>
                <w:szCs w:val="24"/>
                <w:highlight w:val="none"/>
                <w:u w:val="none" w:color="auto"/>
                <w:lang w:eastAsia="zh-CN"/>
              </w:rPr>
              <w:t>（</w:t>
            </w:r>
            <w:r>
              <w:rPr>
                <w:rFonts w:hint="eastAsia" w:ascii="Times New Roman" w:hAnsi="Times New Roman" w:eastAsia="宋体" w:cs="Times New Roman"/>
                <w:color w:val="auto"/>
                <w:sz w:val="24"/>
                <w:szCs w:val="24"/>
                <w:highlight w:val="none"/>
                <w:u w:val="none" w:color="auto"/>
                <w:lang w:val="en-US" w:eastAsia="zh-CN"/>
              </w:rPr>
              <w:t>详见附件6</w:t>
            </w:r>
            <w:r>
              <w:rPr>
                <w:rFonts w:hint="eastAsia" w:ascii="Times New Roman" w:hAnsi="Times New Roman" w:eastAsia="宋体" w:cs="Times New Roman"/>
                <w:color w:val="auto"/>
                <w:sz w:val="24"/>
                <w:szCs w:val="24"/>
                <w:highlight w:val="none"/>
                <w:u w:val="none" w:color="auto"/>
                <w:lang w:eastAsia="zh-CN"/>
              </w:rPr>
              <w:t>）</w:t>
            </w:r>
            <w:r>
              <w:rPr>
                <w:rFonts w:hint="eastAsia"/>
                <w:color w:val="auto"/>
                <w:lang w:eastAsia="zh-CN"/>
              </w:rPr>
              <w:t>的</w:t>
            </w:r>
            <w:r>
              <w:rPr>
                <w:rFonts w:hint="eastAsia"/>
                <w:color w:val="auto"/>
                <w:lang w:val="en-US" w:eastAsia="zh-CN"/>
              </w:rPr>
              <w:t>核准范围，</w:t>
            </w:r>
            <w:r>
              <w:rPr>
                <w:rFonts w:hint="default" w:ascii="Times New Roman" w:hAnsi="Times New Roman" w:eastAsia="宋体" w:cs="Times New Roman"/>
                <w:color w:val="auto"/>
                <w:sz w:val="24"/>
                <w:szCs w:val="24"/>
                <w:highlight w:val="none"/>
                <w:u w:val="none" w:color="auto"/>
              </w:rPr>
              <w:t>区块一边界范围东至许广高速公路西侧，南至擂鼓台路、媒灰湖路、兴港路，西至长江干堤道路西侧，北至环湖路、松阳湖路及其局部所设防涝堤挡水一侧</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000000"/>
                <w:sz w:val="24"/>
                <w:szCs w:val="24"/>
                <w:highlight w:val="none"/>
                <w:u w:val="none" w:color="auto"/>
                <w:lang w:val="en-US" w:eastAsia="zh-CN"/>
              </w:rPr>
              <w:t>区块二边界范围东至泓源石化东侧，南至松阳湖，西至长江堤干，北至老屋场。</w:t>
            </w:r>
            <w:r>
              <w:rPr>
                <w:rFonts w:hint="eastAsia"/>
                <w:color w:val="auto"/>
                <w:lang w:val="en-US" w:eastAsia="zh-CN"/>
              </w:rPr>
              <w:t>本项目位于</w:t>
            </w:r>
            <w:r>
              <w:rPr>
                <w:rFonts w:hint="default" w:ascii="Times New Roman" w:hAnsi="Times New Roman" w:eastAsia="宋体" w:cs="Times New Roman"/>
                <w:sz w:val="24"/>
                <w:lang w:eastAsia="zh-CN"/>
              </w:rPr>
              <w:t>岳阳临港高新技术产业开发区</w:t>
            </w:r>
            <w:r>
              <w:rPr>
                <w:rFonts w:hint="eastAsia" w:ascii="Times New Roman" w:hAnsi="Times New Roman" w:eastAsia="宋体" w:cs="Times New Roman"/>
                <w:sz w:val="24"/>
                <w:lang w:val="en-US" w:eastAsia="zh-CN"/>
              </w:rPr>
              <w:t>区块一内</w:t>
            </w:r>
            <w:r>
              <w:rPr>
                <w:rFonts w:hint="eastAsia" w:cs="Times New Roman"/>
                <w:color w:val="auto"/>
                <w:sz w:val="24"/>
                <w:szCs w:val="24"/>
                <w:highlight w:val="none"/>
                <w:u w:val="none" w:color="auto"/>
                <w:lang w:val="en-US" w:eastAsia="zh-CN" w:bidi="ar"/>
              </w:rPr>
              <w:t>（详见附图4）</w:t>
            </w:r>
            <w:r>
              <w:rPr>
                <w:rFonts w:hint="eastAsia" w:ascii="Times New Roman" w:hAnsi="Times New Roman" w:eastAsia="宋体" w:cs="Times New Roman"/>
                <w:sz w:val="24"/>
                <w:lang w:val="en-US" w:eastAsia="zh-CN"/>
              </w:rPr>
              <w:t>。</w:t>
            </w:r>
          </w:p>
          <w:p w14:paraId="0B30CE46">
            <w:pPr>
              <w:pStyle w:val="112"/>
              <w:adjustRightInd/>
              <w:snapToGrid/>
              <w:spacing w:line="360" w:lineRule="auto"/>
              <w:ind w:firstLine="480" w:firstLineChars="200"/>
              <w:jc w:val="both"/>
              <w:rPr>
                <w:rFonts w:hint="eastAsia" w:ascii="Times New Roman" w:hAnsi="Times New Roman" w:eastAsia="宋体" w:cs="Times New Roman"/>
                <w:color w:val="auto"/>
                <w:kern w:val="2"/>
                <w:sz w:val="24"/>
                <w:szCs w:val="24"/>
                <w:u w:val="none"/>
                <w:lang w:val="en-US" w:eastAsia="zh-CN" w:bidi="ar-SA"/>
              </w:rPr>
            </w:pPr>
            <w:r>
              <w:rPr>
                <w:rFonts w:hint="default" w:ascii="Times New Roman" w:hAnsi="Times New Roman" w:eastAsia="宋体" w:cs="Times New Roman"/>
                <w:color w:val="auto"/>
                <w:kern w:val="2"/>
                <w:sz w:val="24"/>
                <w:szCs w:val="24"/>
                <w:u w:val="none"/>
                <w:lang w:val="en-US" w:eastAsia="zh-CN" w:bidi="ar-SA"/>
              </w:rPr>
              <w:t>项目用地不属于自然保护区、风景名胜区、森林公园、饮用水水源保护区、重要湖泊周边、文物古迹所在地、地质遗迹保护区、基本农田保护区，项目用地范围内无古树名木、珍稀濒危物种和国家保护植物</w:t>
            </w:r>
            <w:r>
              <w:rPr>
                <w:rFonts w:hint="eastAsia" w:ascii="Times New Roman" w:hAnsi="Times New Roman" w:eastAsia="宋体" w:cs="Times New Roman"/>
                <w:color w:val="auto"/>
                <w:kern w:val="2"/>
                <w:sz w:val="24"/>
                <w:szCs w:val="24"/>
                <w:u w:val="none"/>
                <w:lang w:val="en-US" w:eastAsia="zh-CN" w:bidi="ar-SA"/>
              </w:rPr>
              <w:t>。</w:t>
            </w:r>
          </w:p>
          <w:p w14:paraId="1C2A8405">
            <w:pPr>
              <w:autoSpaceDE w:val="0"/>
              <w:autoSpaceDN w:val="0"/>
              <w:adjustRightInd w:val="0"/>
              <w:snapToGrid w:val="0"/>
              <w:spacing w:line="360" w:lineRule="auto"/>
              <w:ind w:firstLine="480" w:firstLineChars="200"/>
              <w:rPr>
                <w:rFonts w:hint="default" w:eastAsia="宋体"/>
                <w:kern w:val="0"/>
                <w:u w:val="wave"/>
                <w:lang w:val="en-US" w:eastAsia="zh-CN"/>
              </w:rPr>
            </w:pPr>
            <w:r>
              <w:rPr>
                <w:rFonts w:hint="eastAsia"/>
                <w:b w:val="0"/>
                <w:bCs w:val="0"/>
                <w:kern w:val="0"/>
                <w:u w:val="none"/>
                <w:lang w:val="en-US" w:eastAsia="zh-CN"/>
              </w:rPr>
              <w:t>综上所述，本项目选址合理。</w:t>
            </w:r>
          </w:p>
        </w:tc>
      </w:tr>
    </w:tbl>
    <w:p w14:paraId="3086EA1C">
      <w:pPr>
        <w:spacing w:line="360" w:lineRule="auto"/>
        <w:outlineLvl w:val="0"/>
        <w:rPr>
          <w:rFonts w:eastAsia="黑体"/>
          <w:sz w:val="30"/>
        </w:rPr>
        <w:sectPr>
          <w:footerReference r:id="rId4" w:type="default"/>
          <w:pgSz w:w="11906" w:h="16838"/>
          <w:pgMar w:top="1701" w:right="1531" w:bottom="1701" w:left="1531" w:header="851" w:footer="1077" w:gutter="0"/>
          <w:pgNumType w:start="1"/>
          <w:cols w:space="720" w:num="1"/>
          <w:docGrid w:linePitch="312" w:charSpace="0"/>
        </w:sectPr>
      </w:pPr>
    </w:p>
    <w:p w14:paraId="6F7FCFE2">
      <w:pPr>
        <w:pStyle w:val="2"/>
        <w:jc w:val="center"/>
        <w:rPr>
          <w:rStyle w:val="48"/>
          <w:rFonts w:eastAsia="宋体"/>
          <w:b/>
          <w:bCs/>
          <w:color w:val="auto"/>
        </w:rPr>
      </w:pPr>
      <w:bookmarkStart w:id="24" w:name="_Toc71631399"/>
      <w:r>
        <w:rPr>
          <w:rStyle w:val="48"/>
          <w:rFonts w:eastAsia="宋体"/>
          <w:b/>
          <w:bCs/>
          <w:color w:val="auto"/>
        </w:rPr>
        <w:t>二、建设项目工程分析</w:t>
      </w:r>
      <w:bookmarkEnd w:id="24"/>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7"/>
        <w:gridCol w:w="8263"/>
      </w:tblGrid>
      <w:tr w14:paraId="6A314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71" w:hRule="atLeast"/>
          <w:jc w:val="center"/>
        </w:trPr>
        <w:tc>
          <w:tcPr>
            <w:tcW w:w="797" w:type="dxa"/>
            <w:vAlign w:val="center"/>
          </w:tcPr>
          <w:p w14:paraId="54F5D34A">
            <w:pPr>
              <w:pStyle w:val="26"/>
              <w:adjustRightInd w:val="0"/>
              <w:snapToGrid w:val="0"/>
              <w:spacing w:before="0" w:beforeAutospacing="0" w:after="0" w:afterAutospacing="0"/>
              <w:jc w:val="center"/>
              <w:rPr>
                <w:rFonts w:ascii="Times New Roman" w:hAnsi="Times New Roman"/>
                <w:sz w:val="21"/>
                <w:szCs w:val="21"/>
              </w:rPr>
            </w:pPr>
            <w:r>
              <w:rPr>
                <w:rFonts w:ascii="Times New Roman" w:hAnsi="Times New Roman"/>
                <w:szCs w:val="24"/>
              </w:rPr>
              <w:t>建设内容</w:t>
            </w:r>
          </w:p>
        </w:tc>
        <w:tc>
          <w:tcPr>
            <w:tcW w:w="8263" w:type="dxa"/>
          </w:tcPr>
          <w:p w14:paraId="07B18152">
            <w:pPr>
              <w:pStyle w:val="3"/>
              <w:rPr>
                <w:rFonts w:ascii="Times New Roman" w:hAnsi="Times New Roman"/>
              </w:rPr>
            </w:pPr>
            <w:r>
              <w:rPr>
                <w:rFonts w:ascii="Times New Roman" w:hAnsi="Times New Roman"/>
              </w:rPr>
              <w:t>2.1</w:t>
            </w:r>
            <w:r>
              <w:rPr>
                <w:rFonts w:hint="eastAsia" w:ascii="Times New Roman" w:hAnsi="Times New Roman"/>
              </w:rPr>
              <w:t xml:space="preserve"> </w:t>
            </w:r>
            <w:r>
              <w:rPr>
                <w:rFonts w:ascii="Times New Roman" w:hAnsi="Times New Roman"/>
              </w:rPr>
              <w:t>项目名称、性质、地点及规模</w:t>
            </w:r>
          </w:p>
          <w:p w14:paraId="2FAC1F2F">
            <w:pPr>
              <w:spacing w:line="360" w:lineRule="auto"/>
              <w:ind w:firstLine="480" w:firstLineChars="200"/>
              <w:rPr>
                <w:rFonts w:hint="eastAsia"/>
                <w:u w:val="none"/>
              </w:rPr>
            </w:pPr>
            <w:r>
              <w:rPr>
                <w:rFonts w:hint="default" w:ascii="Times New Roman" w:hAnsi="Times New Roman" w:cs="Times New Roman"/>
              </w:rPr>
              <w:t>N-甲基吡咯烷酮</w:t>
            </w:r>
            <w:r>
              <w:rPr>
                <w:rFonts w:hint="eastAsia" w:ascii="Times New Roman" w:hAnsi="Times New Roman" w:cs="Times New Roman"/>
                <w:lang w:eastAsia="zh-CN"/>
              </w:rPr>
              <w:t>（</w:t>
            </w:r>
            <w:r>
              <w:rPr>
                <w:rFonts w:hint="default" w:ascii="Times New Roman" w:hAnsi="Times New Roman" w:cs="Times New Roman"/>
              </w:rPr>
              <w:t>下称</w:t>
            </w:r>
            <w:r>
              <w:rPr>
                <w:rFonts w:hint="eastAsia" w:ascii="Times New Roman" w:hAnsi="Times New Roman" w:cs="Times New Roman"/>
                <w:lang w:eastAsia="zh-CN"/>
              </w:rPr>
              <w:t>“</w:t>
            </w:r>
            <w:r>
              <w:rPr>
                <w:rFonts w:hint="default" w:ascii="Times New Roman" w:hAnsi="Times New Roman" w:cs="Times New Roman"/>
              </w:rPr>
              <w:t>NMP</w:t>
            </w:r>
            <w:r>
              <w:rPr>
                <w:rFonts w:hint="eastAsia" w:ascii="Times New Roman" w:hAnsi="Times New Roman" w:cs="Times New Roman"/>
                <w:lang w:eastAsia="zh-CN"/>
              </w:rPr>
              <w:t>”）</w:t>
            </w:r>
            <w:r>
              <w:rPr>
                <w:rFonts w:hint="default" w:ascii="Times New Roman" w:hAnsi="Times New Roman" w:cs="Times New Roman"/>
              </w:rPr>
              <w:t>。是一种非质子溶剂，具有极性强、沸点高、粘度低、挥发性低、热稳定性与化学稳定性强等优点，广泛应用于锂电池制造、电子化学品清洗、聚合物合成与加工、绝缘漆制备等众多领域。按照来源不同，NMP可以分为合成NMP和回收NMP两大类。合成NMP是指由化学合成方式制得的新产品，由y-丁内酯</w:t>
            </w:r>
            <w:r>
              <w:rPr>
                <w:rFonts w:hint="eastAsia" w:ascii="Times New Roman" w:hAnsi="Times New Roman" w:cs="Times New Roman"/>
                <w:lang w:eastAsia="zh-CN"/>
              </w:rPr>
              <w:t>（</w:t>
            </w:r>
            <w:r>
              <w:rPr>
                <w:rFonts w:hint="default" w:ascii="Times New Roman" w:hAnsi="Times New Roman" w:cs="Times New Roman"/>
              </w:rPr>
              <w:t>GBL</w:t>
            </w:r>
            <w:r>
              <w:rPr>
                <w:rFonts w:hint="eastAsia" w:ascii="Times New Roman" w:hAnsi="Times New Roman" w:cs="Times New Roman"/>
                <w:lang w:eastAsia="zh-CN"/>
              </w:rPr>
              <w:t>）</w:t>
            </w:r>
            <w:r>
              <w:rPr>
                <w:rFonts w:hint="default" w:ascii="Times New Roman" w:hAnsi="Times New Roman" w:cs="Times New Roman"/>
              </w:rPr>
              <w:t>与-甲胺缩合制NMP是目前工业化生产的合成路线</w:t>
            </w:r>
            <w:r>
              <w:rPr>
                <w:rFonts w:hint="eastAsia" w:ascii="Times New Roman" w:hAnsi="Times New Roman" w:cs="Times New Roman"/>
                <w:lang w:eastAsia="zh-CN"/>
              </w:rPr>
              <w:t>：</w:t>
            </w:r>
            <w:r>
              <w:rPr>
                <w:rFonts w:hint="default" w:ascii="Times New Roman" w:hAnsi="Times New Roman" w:cs="Times New Roman"/>
              </w:rPr>
              <w:t>回收NMP是指作为溶剂使用的NMP经过回收、精制之后的循环利用产品。</w:t>
            </w:r>
          </w:p>
          <w:p w14:paraId="50DBCC35">
            <w:pPr>
              <w:spacing w:line="360" w:lineRule="auto"/>
              <w:ind w:firstLine="480" w:firstLineChars="200"/>
              <w:rPr>
                <w:rFonts w:hint="eastAsia"/>
                <w:u w:val="none"/>
              </w:rPr>
            </w:pPr>
            <w:r>
              <w:rPr>
                <w:rFonts w:hint="eastAsia"/>
                <w:u w:val="none"/>
              </w:rPr>
              <w:t>根据《国民经济行业分类》</w:t>
            </w:r>
            <w:r>
              <w:rPr>
                <w:rFonts w:hint="eastAsia" w:ascii="Times New Roman" w:hAnsi="Times New Roman" w:cs="Times New Roman"/>
                <w:lang w:eastAsia="zh-CN"/>
              </w:rPr>
              <w:t>（</w:t>
            </w:r>
            <w:r>
              <w:rPr>
                <w:rFonts w:hint="eastAsia"/>
                <w:u w:val="none"/>
              </w:rPr>
              <w:t>GB/T4754-2017</w:t>
            </w:r>
            <w:r>
              <w:rPr>
                <w:rFonts w:hint="eastAsia" w:ascii="Times New Roman" w:hAnsi="Times New Roman" w:cs="Times New Roman"/>
                <w:lang w:eastAsia="zh-CN"/>
              </w:rPr>
              <w:t>）</w:t>
            </w:r>
            <w:r>
              <w:rPr>
                <w:rFonts w:hint="eastAsia"/>
                <w:u w:val="none"/>
              </w:rPr>
              <w:t>，本项目属于“C4220非金属废料和碎屑加工处理”，对照《建设项目环境影响评价分类管理名录》（2021版），本项目属于“十九、废弃资源综合利用业85”中“非金属废料和碎屑加工处理 422（421和422均不含原料为危险废物的，均不含仅分拣、破碎的）”中“其他废料和碎屑加工处理”，因此，需要编制环境影响报告表。</w:t>
            </w:r>
          </w:p>
          <w:p w14:paraId="4C4B3F1C">
            <w:pPr>
              <w:spacing w:line="360" w:lineRule="auto"/>
              <w:ind w:firstLine="482" w:firstLineChars="200"/>
              <w:rPr>
                <w:rFonts w:hint="eastAsia" w:eastAsia="宋体"/>
                <w:lang w:eastAsia="zh-CN"/>
              </w:rPr>
            </w:pPr>
            <w:r>
              <w:rPr>
                <w:b/>
                <w:bCs/>
              </w:rPr>
              <w:t>项目名称：</w:t>
            </w:r>
            <w:r>
              <w:rPr>
                <w:rFonts w:hint="eastAsia"/>
                <w:sz w:val="24"/>
                <w:lang w:eastAsia="zh-CN"/>
              </w:rPr>
              <w:t>NMP浆料环保加工项目</w:t>
            </w:r>
          </w:p>
          <w:p w14:paraId="762BCB84">
            <w:pPr>
              <w:pStyle w:val="8"/>
              <w:spacing w:line="360" w:lineRule="auto"/>
              <w:ind w:firstLine="482" w:firstLineChars="200"/>
              <w:rPr>
                <w:rFonts w:hint="eastAsia" w:eastAsia="宋体"/>
                <w:sz w:val="24"/>
                <w:lang w:eastAsia="zh-CN"/>
              </w:rPr>
            </w:pPr>
            <w:r>
              <w:rPr>
                <w:b/>
                <w:bCs/>
                <w:sz w:val="24"/>
              </w:rPr>
              <w:t>建设单位：</w:t>
            </w:r>
            <w:r>
              <w:rPr>
                <w:rFonts w:hint="eastAsia"/>
                <w:sz w:val="24"/>
                <w:lang w:eastAsia="zh-CN"/>
              </w:rPr>
              <w:t>湖南东驰思创新能源科技有限公司</w:t>
            </w:r>
          </w:p>
          <w:p w14:paraId="5C46E107">
            <w:pPr>
              <w:pStyle w:val="8"/>
              <w:spacing w:line="360" w:lineRule="auto"/>
              <w:ind w:firstLine="482" w:firstLineChars="200"/>
              <w:rPr>
                <w:sz w:val="24"/>
              </w:rPr>
            </w:pPr>
            <w:r>
              <w:rPr>
                <w:b/>
                <w:bCs/>
                <w:sz w:val="24"/>
              </w:rPr>
              <w:t>建设性质：</w:t>
            </w:r>
            <w:r>
              <w:rPr>
                <w:rFonts w:hint="eastAsia"/>
                <w:b w:val="0"/>
                <w:bCs w:val="0"/>
                <w:sz w:val="24"/>
                <w:lang w:val="en-US" w:eastAsia="zh-CN"/>
              </w:rPr>
              <w:t>新建</w:t>
            </w:r>
          </w:p>
          <w:p w14:paraId="5EE4E5B0">
            <w:pPr>
              <w:pStyle w:val="8"/>
              <w:spacing w:line="360" w:lineRule="auto"/>
              <w:ind w:firstLine="482" w:firstLineChars="200"/>
              <w:rPr>
                <w:rFonts w:hint="default"/>
                <w:sz w:val="24"/>
                <w:lang w:val="en-US"/>
              </w:rPr>
            </w:pPr>
            <w:r>
              <w:rPr>
                <w:b/>
                <w:bCs/>
                <w:sz w:val="24"/>
              </w:rPr>
              <w:t>建设规模：</w:t>
            </w:r>
            <w:r>
              <w:rPr>
                <w:rFonts w:hint="eastAsia"/>
                <w:sz w:val="24"/>
              </w:rPr>
              <w:t>年产NMP</w:t>
            </w:r>
            <w:r>
              <w:rPr>
                <w:rFonts w:hint="eastAsia"/>
                <w:sz w:val="24"/>
                <w:lang w:val="en-US" w:eastAsia="zh-CN"/>
              </w:rPr>
              <w:t>回收</w:t>
            </w:r>
            <w:r>
              <w:rPr>
                <w:rFonts w:hint="eastAsia"/>
                <w:sz w:val="24"/>
              </w:rPr>
              <w:t>液5500吨</w:t>
            </w:r>
          </w:p>
          <w:p w14:paraId="60C1C14F">
            <w:pPr>
              <w:spacing w:line="360" w:lineRule="auto"/>
              <w:ind w:firstLine="482" w:firstLineChars="200"/>
              <w:rPr>
                <w:rFonts w:hint="default" w:eastAsia="宋体"/>
                <w:u w:val="none"/>
                <w:lang w:val="en-US" w:eastAsia="zh-CN"/>
              </w:rPr>
            </w:pPr>
            <w:r>
              <w:rPr>
                <w:rFonts w:hint="eastAsia"/>
                <w:b/>
                <w:bCs/>
                <w:u w:val="none"/>
              </w:rPr>
              <w:t>建设内容：</w:t>
            </w:r>
            <w:r>
              <w:rPr>
                <w:rFonts w:hint="eastAsia"/>
                <w:u w:val="none"/>
              </w:rPr>
              <w:t>NMP浆料的固液分离加工生产线3条及配套设施</w:t>
            </w:r>
          </w:p>
          <w:p w14:paraId="5859ADF2">
            <w:pPr>
              <w:spacing w:line="360" w:lineRule="auto"/>
              <w:ind w:firstLine="482" w:firstLineChars="200"/>
            </w:pPr>
            <w:r>
              <w:rPr>
                <w:b/>
                <w:bCs/>
              </w:rPr>
              <w:t>总投资：</w:t>
            </w:r>
            <w:r>
              <w:rPr>
                <w:rFonts w:hint="eastAsia"/>
                <w:color w:val="auto"/>
              </w:rPr>
              <w:t>总投资</w:t>
            </w:r>
            <w:r>
              <w:rPr>
                <w:rFonts w:hint="eastAsia"/>
                <w:color w:val="auto"/>
                <w:lang w:val="en-US" w:eastAsia="zh-CN"/>
              </w:rPr>
              <w:t>5</w:t>
            </w:r>
            <w:r>
              <w:rPr>
                <w:rFonts w:hint="eastAsia"/>
                <w:color w:val="auto"/>
              </w:rPr>
              <w:t>0</w:t>
            </w:r>
            <w:r>
              <w:rPr>
                <w:rFonts w:hint="eastAsia"/>
                <w:color w:val="auto"/>
                <w:lang w:val="en-US" w:eastAsia="zh-CN"/>
              </w:rPr>
              <w:t>00</w:t>
            </w:r>
            <w:r>
              <w:rPr>
                <w:rFonts w:hint="eastAsia"/>
                <w:color w:val="auto"/>
              </w:rPr>
              <w:t>万元，全部为企</w:t>
            </w:r>
            <w:r>
              <w:rPr>
                <w:rFonts w:hint="eastAsia"/>
              </w:rPr>
              <w:t>业自筹。</w:t>
            </w:r>
          </w:p>
          <w:p w14:paraId="5FDF9805">
            <w:pPr>
              <w:spacing w:line="360" w:lineRule="auto"/>
              <w:ind w:firstLine="482" w:firstLineChars="200"/>
            </w:pPr>
            <w:r>
              <w:rPr>
                <w:b/>
                <w:bCs/>
              </w:rPr>
              <w:t>建设地点：</w:t>
            </w:r>
            <w:r>
              <w:rPr>
                <w:rFonts w:hint="eastAsia"/>
                <w:color w:val="auto"/>
                <w:highlight w:val="none"/>
                <w:lang w:eastAsia="zh-CN"/>
              </w:rPr>
              <w:t>中国（湖南）自由贸易试验区岳阳片区长江大道际华高分子材料高科产业园10#工房</w:t>
            </w:r>
            <w:r>
              <w:rPr>
                <w:rFonts w:hint="eastAsia"/>
                <w:lang w:eastAsia="zh-CN"/>
              </w:rPr>
              <w:t>，</w:t>
            </w:r>
            <w:r>
              <w:t>地理位置详见附图1。</w:t>
            </w:r>
          </w:p>
          <w:p w14:paraId="6651FF07">
            <w:pPr>
              <w:pStyle w:val="3"/>
              <w:rPr>
                <w:rFonts w:ascii="Times New Roman" w:hAnsi="Times New Roman"/>
              </w:rPr>
            </w:pPr>
            <w:r>
              <w:rPr>
                <w:rFonts w:hint="eastAsia" w:ascii="Times New Roman" w:hAnsi="Times New Roman"/>
              </w:rPr>
              <w:t>2.2 建设工程内容和规模</w:t>
            </w:r>
          </w:p>
          <w:p w14:paraId="017DBF0C">
            <w:pPr>
              <w:pStyle w:val="60"/>
              <w:spacing w:before="24" w:after="24" w:line="360" w:lineRule="auto"/>
              <w:ind w:firstLine="480" w:firstLineChars="200"/>
              <w:jc w:val="both"/>
              <w:rPr>
                <w:rFonts w:hint="default" w:ascii="Times New Roman" w:hAnsi="Times New Roman" w:eastAsia="宋体" w:cs="Times New Roman"/>
                <w:b w:val="0"/>
                <w:bCs w:val="0"/>
                <w:sz w:val="24"/>
                <w:szCs w:val="24"/>
                <w:lang w:eastAsia="zh-CN"/>
              </w:rPr>
            </w:pPr>
            <w:r>
              <w:rPr>
                <w:rFonts w:hint="default" w:ascii="Times New Roman" w:hAnsi="Times New Roman" w:cs="Times New Roman"/>
                <w:b w:val="0"/>
                <w:bCs w:val="0"/>
                <w:sz w:val="24"/>
                <w:szCs w:val="24"/>
                <w:lang w:val="en-US" w:eastAsia="zh-CN"/>
              </w:rPr>
              <w:t>本项目占地面积</w:t>
            </w:r>
            <w:r>
              <w:rPr>
                <w:rFonts w:hint="default" w:ascii="Times New Roman" w:hAnsi="Times New Roman" w:cs="Times New Roman"/>
                <w:b w:val="0"/>
                <w:bCs w:val="0"/>
                <w:color w:val="auto"/>
                <w:sz w:val="24"/>
                <w:szCs w:val="24"/>
                <w:lang w:val="en-US" w:eastAsia="zh-CN"/>
              </w:rPr>
              <w:t>4054m</w:t>
            </w:r>
            <w:r>
              <w:rPr>
                <w:rFonts w:hint="default" w:ascii="Times New Roman" w:hAnsi="Times New Roman" w:cs="Times New Roman"/>
                <w:b w:val="0"/>
                <w:bCs w:val="0"/>
                <w:color w:val="auto"/>
                <w:sz w:val="24"/>
                <w:szCs w:val="24"/>
                <w:vertAlign w:val="superscript"/>
                <w:lang w:val="en-US" w:eastAsia="zh-CN"/>
              </w:rPr>
              <w:t>2</w:t>
            </w:r>
            <w:r>
              <w:rPr>
                <w:rFonts w:hint="default" w:ascii="Times New Roman" w:hAnsi="Times New Roman" w:cs="Times New Roman"/>
                <w:b w:val="0"/>
                <w:bCs w:val="0"/>
                <w:color w:val="auto"/>
                <w:sz w:val="24"/>
                <w:szCs w:val="24"/>
                <w:lang w:val="en-US" w:eastAsia="zh-CN"/>
              </w:rPr>
              <w:t>，主要建设内容为</w:t>
            </w:r>
            <w:r>
              <w:rPr>
                <w:rFonts w:hint="default" w:ascii="Times New Roman" w:hAnsi="Times New Roman" w:cs="Times New Roman"/>
                <w:b w:val="0"/>
                <w:bCs w:val="0"/>
                <w:color w:val="auto"/>
                <w:sz w:val="24"/>
                <w:szCs w:val="24"/>
              </w:rPr>
              <w:t>NMP浆料的固液分离加工生产线3条及配套设施</w:t>
            </w:r>
            <w:r>
              <w:rPr>
                <w:rFonts w:hint="default" w:ascii="Times New Roman" w:hAnsi="Times New Roman" w:cs="Times New Roman"/>
                <w:b w:val="0"/>
                <w:bCs w:val="0"/>
                <w:color w:val="auto"/>
                <w:sz w:val="24"/>
                <w:szCs w:val="24"/>
                <w:lang w:val="en-US" w:eastAsia="zh-CN"/>
              </w:rPr>
              <w:t>，</w:t>
            </w:r>
            <w:r>
              <w:rPr>
                <w:rFonts w:hint="default" w:ascii="Times New Roman" w:hAnsi="Times New Roman" w:cs="Times New Roman"/>
                <w:b w:val="0"/>
                <w:bCs w:val="0"/>
                <w:sz w:val="24"/>
                <w:szCs w:val="24"/>
              </w:rPr>
              <w:t>主要建设内容见表2-1。</w:t>
            </w:r>
          </w:p>
          <w:p w14:paraId="6CDF98B5">
            <w:pPr>
              <w:pStyle w:val="60"/>
              <w:spacing w:before="24" w:after="24"/>
              <w:rPr>
                <w:rFonts w:ascii="Times New Roman" w:hAnsi="Times New Roman"/>
                <w:b/>
                <w:bCs/>
                <w:color w:val="FF0000"/>
                <w:sz w:val="24"/>
                <w:szCs w:val="24"/>
                <w:u w:val="none"/>
              </w:rPr>
            </w:pPr>
          </w:p>
          <w:p w14:paraId="5AE09D7F">
            <w:pPr>
              <w:pStyle w:val="60"/>
              <w:spacing w:before="24" w:after="24"/>
              <w:rPr>
                <w:rFonts w:ascii="Times New Roman" w:hAnsi="Times New Roman"/>
                <w:b/>
                <w:bCs/>
                <w:color w:val="FF0000"/>
                <w:sz w:val="24"/>
                <w:szCs w:val="24"/>
                <w:u w:val="none"/>
              </w:rPr>
            </w:pPr>
          </w:p>
          <w:p w14:paraId="5CB75992"/>
          <w:p w14:paraId="7434FF7B">
            <w:pPr>
              <w:pStyle w:val="60"/>
              <w:spacing w:before="24" w:after="24"/>
              <w:rPr>
                <w:rFonts w:ascii="Times New Roman" w:hAnsi="Times New Roman"/>
                <w:b/>
                <w:bCs/>
                <w:color w:val="FF0000"/>
                <w:sz w:val="24"/>
                <w:szCs w:val="24"/>
                <w:u w:val="none"/>
              </w:rPr>
            </w:pPr>
          </w:p>
          <w:p w14:paraId="058DD354">
            <w:pPr>
              <w:pStyle w:val="60"/>
              <w:spacing w:before="24" w:after="24"/>
              <w:rPr>
                <w:rFonts w:hint="default" w:eastAsia="宋体"/>
                <w:b/>
                <w:bCs/>
                <w:color w:val="auto"/>
                <w:sz w:val="24"/>
                <w:szCs w:val="24"/>
                <w:u w:val="none"/>
                <w:lang w:val="en-US" w:eastAsia="zh-CN"/>
              </w:rPr>
            </w:pPr>
            <w:r>
              <w:rPr>
                <w:rFonts w:ascii="Times New Roman" w:hAnsi="Times New Roman"/>
                <w:b/>
                <w:bCs/>
                <w:color w:val="auto"/>
                <w:sz w:val="24"/>
                <w:szCs w:val="24"/>
                <w:u w:val="none"/>
              </w:rPr>
              <w:t xml:space="preserve">表2-1  </w:t>
            </w:r>
            <w:r>
              <w:rPr>
                <w:rFonts w:hint="eastAsia"/>
                <w:b/>
                <w:bCs/>
                <w:color w:val="auto"/>
                <w:sz w:val="24"/>
                <w:szCs w:val="24"/>
                <w:u w:val="none"/>
              </w:rPr>
              <w:t>主要建设内容</w:t>
            </w:r>
            <w:r>
              <w:rPr>
                <w:rFonts w:hint="eastAsia"/>
                <w:b/>
                <w:bCs/>
                <w:color w:val="auto"/>
                <w:sz w:val="24"/>
                <w:szCs w:val="24"/>
                <w:u w:val="none"/>
                <w:lang w:val="en-US" w:eastAsia="zh-CN"/>
              </w:rPr>
              <w:t>情况一览表</w:t>
            </w:r>
          </w:p>
          <w:tbl>
            <w:tblPr>
              <w:tblStyle w:val="31"/>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686"/>
              <w:gridCol w:w="1706"/>
              <w:gridCol w:w="4075"/>
              <w:gridCol w:w="1193"/>
            </w:tblGrid>
            <w:tr w14:paraId="0E07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7" w:type="pct"/>
                  <w:gridSpan w:val="2"/>
                  <w:tcBorders>
                    <w:bottom w:val="single" w:color="auto" w:sz="4" w:space="0"/>
                    <w:right w:val="single" w:color="auto" w:sz="4" w:space="0"/>
                  </w:tcBorders>
                  <w:noWrap w:val="0"/>
                  <w:vAlign w:val="center"/>
                </w:tcPr>
                <w:p w14:paraId="2DC4E0F8">
                  <w:pPr>
                    <w:pStyle w:val="78"/>
                    <w:rPr>
                      <w:rFonts w:hAnsi="Times New Roman"/>
                      <w:b/>
                      <w:strike w:val="0"/>
                      <w:dstrike w:val="0"/>
                      <w:sz w:val="21"/>
                      <w:u w:val="none"/>
                    </w:rPr>
                  </w:pPr>
                  <w:r>
                    <w:rPr>
                      <w:rFonts w:hint="eastAsia" w:hAnsi="Times New Roman"/>
                      <w:b/>
                      <w:strike w:val="0"/>
                      <w:dstrike w:val="0"/>
                      <w:sz w:val="21"/>
                      <w:u w:val="none"/>
                    </w:rPr>
                    <w:t>工程类别</w:t>
                  </w:r>
                </w:p>
              </w:tc>
              <w:tc>
                <w:tcPr>
                  <w:tcW w:w="3558" w:type="pct"/>
                  <w:gridSpan w:val="2"/>
                  <w:tcBorders>
                    <w:left w:val="single" w:color="auto" w:sz="4" w:space="0"/>
                    <w:bottom w:val="single" w:color="auto" w:sz="4" w:space="0"/>
                    <w:right w:val="single" w:color="auto" w:sz="4" w:space="0"/>
                  </w:tcBorders>
                  <w:noWrap w:val="0"/>
                  <w:vAlign w:val="center"/>
                </w:tcPr>
                <w:p w14:paraId="6DB08D77">
                  <w:pPr>
                    <w:adjustRightInd w:val="0"/>
                    <w:snapToGrid w:val="0"/>
                    <w:jc w:val="center"/>
                    <w:rPr>
                      <w:b/>
                      <w:strike w:val="0"/>
                      <w:dstrike w:val="0"/>
                      <w:sz w:val="21"/>
                      <w:szCs w:val="21"/>
                      <w:u w:val="none"/>
                    </w:rPr>
                  </w:pPr>
                  <w:r>
                    <w:rPr>
                      <w:rFonts w:hint="eastAsia"/>
                      <w:b/>
                      <w:strike w:val="0"/>
                      <w:dstrike w:val="0"/>
                      <w:sz w:val="21"/>
                      <w:szCs w:val="21"/>
                      <w:u w:val="none"/>
                    </w:rPr>
                    <w:t>项目内容</w:t>
                  </w:r>
                </w:p>
              </w:tc>
              <w:tc>
                <w:tcPr>
                  <w:tcW w:w="734" w:type="pct"/>
                  <w:tcBorders>
                    <w:left w:val="single" w:color="auto" w:sz="4" w:space="0"/>
                    <w:bottom w:val="single" w:color="auto" w:sz="4" w:space="0"/>
                  </w:tcBorders>
                  <w:noWrap w:val="0"/>
                  <w:vAlign w:val="center"/>
                </w:tcPr>
                <w:p w14:paraId="2E2E0487">
                  <w:pPr>
                    <w:adjustRightInd w:val="0"/>
                    <w:snapToGrid w:val="0"/>
                    <w:jc w:val="center"/>
                    <w:rPr>
                      <w:b/>
                      <w:strike w:val="0"/>
                      <w:dstrike w:val="0"/>
                      <w:sz w:val="21"/>
                      <w:szCs w:val="21"/>
                      <w:u w:val="none"/>
                    </w:rPr>
                  </w:pPr>
                  <w:r>
                    <w:rPr>
                      <w:rFonts w:hint="eastAsia"/>
                      <w:b/>
                      <w:strike w:val="0"/>
                      <w:dstrike w:val="0"/>
                      <w:sz w:val="21"/>
                      <w:szCs w:val="21"/>
                      <w:u w:val="none"/>
                    </w:rPr>
                    <w:t>备注</w:t>
                  </w:r>
                </w:p>
              </w:tc>
            </w:tr>
            <w:tr w14:paraId="5089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7" w:type="pct"/>
                  <w:gridSpan w:val="2"/>
                  <w:tcBorders>
                    <w:top w:val="single" w:color="auto" w:sz="4" w:space="0"/>
                    <w:right w:val="single" w:color="auto" w:sz="4" w:space="0"/>
                  </w:tcBorders>
                  <w:noWrap w:val="0"/>
                  <w:vAlign w:val="center"/>
                </w:tcPr>
                <w:p w14:paraId="5DB84C97">
                  <w:pPr>
                    <w:adjustRightInd w:val="0"/>
                    <w:snapToGrid w:val="0"/>
                    <w:jc w:val="center"/>
                    <w:rPr>
                      <w:strike w:val="0"/>
                      <w:dstrike w:val="0"/>
                      <w:sz w:val="21"/>
                      <w:szCs w:val="21"/>
                      <w:u w:val="none"/>
                    </w:rPr>
                  </w:pPr>
                  <w:r>
                    <w:rPr>
                      <w:rFonts w:hint="eastAsia"/>
                      <w:strike w:val="0"/>
                      <w:dstrike w:val="0"/>
                      <w:sz w:val="21"/>
                      <w:szCs w:val="21"/>
                      <w:u w:val="none"/>
                    </w:rPr>
                    <w:t>主体工程</w:t>
                  </w:r>
                </w:p>
              </w:tc>
              <w:tc>
                <w:tcPr>
                  <w:tcW w:w="1050" w:type="pct"/>
                  <w:tcBorders>
                    <w:top w:val="single" w:color="auto" w:sz="4" w:space="0"/>
                    <w:left w:val="single" w:color="auto" w:sz="4" w:space="0"/>
                    <w:right w:val="single" w:color="auto" w:sz="4" w:space="0"/>
                  </w:tcBorders>
                  <w:noWrap w:val="0"/>
                  <w:vAlign w:val="center"/>
                </w:tcPr>
                <w:p w14:paraId="3B26EC1B">
                  <w:pPr>
                    <w:adjustRightInd w:val="0"/>
                    <w:snapToGrid w:val="0"/>
                    <w:jc w:val="center"/>
                    <w:rPr>
                      <w:rFonts w:hint="default"/>
                      <w:strike w:val="0"/>
                      <w:dstrike w:val="0"/>
                      <w:sz w:val="21"/>
                      <w:szCs w:val="21"/>
                      <w:u w:val="none"/>
                      <w:lang w:val="en-US" w:eastAsia="zh-CN"/>
                    </w:rPr>
                  </w:pPr>
                  <w:r>
                    <w:rPr>
                      <w:rFonts w:hint="eastAsia"/>
                      <w:strike w:val="0"/>
                      <w:dstrike w:val="0"/>
                      <w:sz w:val="21"/>
                      <w:szCs w:val="21"/>
                      <w:u w:val="none"/>
                      <w:lang w:val="en-US" w:eastAsia="zh-CN"/>
                    </w:rPr>
                    <w:t>生产区</w:t>
                  </w:r>
                </w:p>
              </w:tc>
              <w:tc>
                <w:tcPr>
                  <w:tcW w:w="2508" w:type="pct"/>
                  <w:tcBorders>
                    <w:top w:val="single" w:color="auto" w:sz="4" w:space="0"/>
                    <w:left w:val="single" w:color="auto" w:sz="4" w:space="0"/>
                    <w:right w:val="single" w:color="auto" w:sz="4" w:space="0"/>
                  </w:tcBorders>
                  <w:noWrap w:val="0"/>
                  <w:vAlign w:val="center"/>
                </w:tcPr>
                <w:p w14:paraId="611E5B98">
                  <w:pPr>
                    <w:adjustRightInd w:val="0"/>
                    <w:snapToGrid w:val="0"/>
                    <w:jc w:val="center"/>
                    <w:rPr>
                      <w:rFonts w:hint="default" w:eastAsia="宋体"/>
                      <w:strike w:val="0"/>
                      <w:dstrike w:val="0"/>
                      <w:sz w:val="21"/>
                      <w:szCs w:val="21"/>
                      <w:u w:val="none"/>
                      <w:lang w:val="en-US" w:eastAsia="zh-CN"/>
                    </w:rPr>
                  </w:pPr>
                  <w:r>
                    <w:rPr>
                      <w:rFonts w:hint="eastAsia"/>
                      <w:strike w:val="0"/>
                      <w:dstrike w:val="0"/>
                      <w:sz w:val="21"/>
                      <w:szCs w:val="21"/>
                      <w:u w:val="none"/>
                      <w:lang w:val="en-US" w:eastAsia="zh-CN"/>
                    </w:rPr>
                    <w:t>含3条生产线，用于产品生产，</w:t>
                  </w:r>
                  <w:r>
                    <w:rPr>
                      <w:rFonts w:hint="eastAsia"/>
                      <w:strike w:val="0"/>
                      <w:dstrike w:val="0"/>
                      <w:sz w:val="21"/>
                      <w:szCs w:val="21"/>
                      <w:u w:val="none"/>
                    </w:rPr>
                    <w:t>占地面积</w:t>
                  </w:r>
                  <w:r>
                    <w:rPr>
                      <w:rFonts w:hint="eastAsia"/>
                      <w:strike w:val="0"/>
                      <w:dstrike w:val="0"/>
                      <w:sz w:val="21"/>
                      <w:szCs w:val="21"/>
                      <w:u w:val="none"/>
                      <w:lang w:val="en-US" w:eastAsia="zh-CN"/>
                    </w:rPr>
                    <w:t>790</w:t>
                  </w:r>
                  <w:r>
                    <w:rPr>
                      <w:rFonts w:hint="eastAsia"/>
                      <w:strike w:val="0"/>
                      <w:dstrike w:val="0"/>
                      <w:sz w:val="21"/>
                      <w:szCs w:val="21"/>
                      <w:u w:val="none"/>
                    </w:rPr>
                    <w:t>m</w:t>
                  </w:r>
                  <w:r>
                    <w:rPr>
                      <w:rFonts w:hint="eastAsia"/>
                      <w:strike w:val="0"/>
                      <w:dstrike w:val="0"/>
                      <w:sz w:val="21"/>
                      <w:szCs w:val="21"/>
                      <w:u w:val="none"/>
                      <w:vertAlign w:val="superscript"/>
                    </w:rPr>
                    <w:t>2</w:t>
                  </w:r>
                </w:p>
              </w:tc>
              <w:tc>
                <w:tcPr>
                  <w:tcW w:w="734" w:type="pct"/>
                  <w:tcBorders>
                    <w:top w:val="single" w:color="auto" w:sz="4" w:space="0"/>
                    <w:left w:val="single" w:color="auto" w:sz="4" w:space="0"/>
                  </w:tcBorders>
                  <w:noWrap w:val="0"/>
                  <w:vAlign w:val="center"/>
                </w:tcPr>
                <w:p w14:paraId="293AD6FF">
                  <w:pPr>
                    <w:adjustRightInd w:val="0"/>
                    <w:snapToGrid w:val="0"/>
                    <w:jc w:val="center"/>
                    <w:rPr>
                      <w:rFonts w:hint="default" w:eastAsia="宋体"/>
                      <w:strike w:val="0"/>
                      <w:dstrike w:val="0"/>
                      <w:sz w:val="21"/>
                      <w:szCs w:val="21"/>
                      <w:u w:val="none"/>
                      <w:lang w:val="en-US" w:eastAsia="zh-CN"/>
                    </w:rPr>
                  </w:pPr>
                  <w:r>
                    <w:rPr>
                      <w:rFonts w:hint="eastAsia" w:eastAsia="宋体"/>
                      <w:strike w:val="0"/>
                      <w:dstrike w:val="0"/>
                      <w:sz w:val="21"/>
                      <w:szCs w:val="21"/>
                      <w:u w:val="none"/>
                      <w:lang w:val="en-US" w:eastAsia="zh-CN"/>
                    </w:rPr>
                    <w:t>新建</w:t>
                  </w:r>
                </w:p>
              </w:tc>
            </w:tr>
            <w:tr w14:paraId="70E5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7" w:type="pct"/>
                  <w:gridSpan w:val="2"/>
                  <w:vMerge w:val="restart"/>
                  <w:tcBorders>
                    <w:top w:val="single" w:color="auto" w:sz="4" w:space="0"/>
                    <w:right w:val="single" w:color="auto" w:sz="4" w:space="0"/>
                  </w:tcBorders>
                  <w:noWrap w:val="0"/>
                  <w:vAlign w:val="center"/>
                </w:tcPr>
                <w:p w14:paraId="4D567445">
                  <w:pPr>
                    <w:pStyle w:val="78"/>
                    <w:rPr>
                      <w:rFonts w:hAnsi="Times New Roman"/>
                      <w:strike w:val="0"/>
                      <w:dstrike w:val="0"/>
                      <w:sz w:val="21"/>
                      <w:u w:val="none"/>
                    </w:rPr>
                  </w:pPr>
                  <w:r>
                    <w:rPr>
                      <w:rFonts w:hint="eastAsia" w:hAnsi="Times New Roman"/>
                      <w:strike w:val="0"/>
                      <w:dstrike w:val="0"/>
                      <w:sz w:val="21"/>
                      <w:u w:val="none"/>
                    </w:rPr>
                    <w:t>辅助工程</w:t>
                  </w:r>
                </w:p>
              </w:tc>
              <w:tc>
                <w:tcPr>
                  <w:tcW w:w="1050" w:type="pct"/>
                  <w:tcBorders>
                    <w:top w:val="single" w:color="auto" w:sz="4" w:space="0"/>
                    <w:left w:val="single" w:color="auto" w:sz="4" w:space="0"/>
                    <w:bottom w:val="single" w:color="auto" w:sz="4" w:space="0"/>
                    <w:right w:val="single" w:color="auto" w:sz="4" w:space="0"/>
                  </w:tcBorders>
                  <w:noWrap w:val="0"/>
                  <w:vAlign w:val="center"/>
                </w:tcPr>
                <w:p w14:paraId="7A249A51">
                  <w:pPr>
                    <w:adjustRightInd w:val="0"/>
                    <w:snapToGrid w:val="0"/>
                    <w:jc w:val="center"/>
                    <w:textAlignment w:val="baseline"/>
                    <w:rPr>
                      <w:rFonts w:hint="eastAsia" w:eastAsia="宋体"/>
                      <w:strike w:val="0"/>
                      <w:dstrike w:val="0"/>
                      <w:kern w:val="2"/>
                      <w:sz w:val="21"/>
                      <w:szCs w:val="21"/>
                      <w:u w:val="none"/>
                      <w:lang w:val="en-US" w:eastAsia="zh-CN" w:bidi="ar-SA"/>
                    </w:rPr>
                  </w:pPr>
                  <w:r>
                    <w:rPr>
                      <w:rFonts w:hint="eastAsia"/>
                      <w:strike w:val="0"/>
                      <w:dstrike w:val="0"/>
                      <w:sz w:val="21"/>
                      <w:szCs w:val="21"/>
                      <w:u w:val="none"/>
                      <w:lang w:val="en-US" w:eastAsia="zh-CN"/>
                    </w:rPr>
                    <w:t>办公区</w:t>
                  </w:r>
                </w:p>
              </w:tc>
              <w:tc>
                <w:tcPr>
                  <w:tcW w:w="2508" w:type="pct"/>
                  <w:tcBorders>
                    <w:top w:val="single" w:color="auto" w:sz="4" w:space="0"/>
                    <w:left w:val="single" w:color="auto" w:sz="4" w:space="0"/>
                    <w:bottom w:val="single" w:color="auto" w:sz="4" w:space="0"/>
                    <w:right w:val="single" w:color="auto" w:sz="4" w:space="0"/>
                  </w:tcBorders>
                  <w:noWrap w:val="0"/>
                  <w:vAlign w:val="center"/>
                </w:tcPr>
                <w:p w14:paraId="0B800AFC">
                  <w:pPr>
                    <w:adjustRightInd w:val="0"/>
                    <w:snapToGrid w:val="0"/>
                    <w:jc w:val="center"/>
                    <w:rPr>
                      <w:rFonts w:hint="default" w:eastAsia="宋体"/>
                      <w:strike w:val="0"/>
                      <w:dstrike w:val="0"/>
                      <w:sz w:val="21"/>
                      <w:szCs w:val="21"/>
                      <w:u w:val="none"/>
                      <w:lang w:val="en-US" w:eastAsia="zh-CN"/>
                    </w:rPr>
                  </w:pPr>
                  <w:r>
                    <w:rPr>
                      <w:rFonts w:hint="eastAsia"/>
                      <w:strike w:val="0"/>
                      <w:dstrike w:val="0"/>
                      <w:sz w:val="21"/>
                      <w:szCs w:val="21"/>
                      <w:u w:val="none"/>
                      <w:lang w:val="en-US" w:eastAsia="zh-CN"/>
                    </w:rPr>
                    <w:t>2</w:t>
                  </w:r>
                  <w:r>
                    <w:rPr>
                      <w:rFonts w:hint="eastAsia"/>
                      <w:strike w:val="0"/>
                      <w:dstrike w:val="0"/>
                      <w:sz w:val="21"/>
                      <w:szCs w:val="21"/>
                      <w:u w:val="none"/>
                    </w:rPr>
                    <w:t>F，</w:t>
                  </w:r>
                  <w:r>
                    <w:rPr>
                      <w:rFonts w:hint="eastAsia"/>
                      <w:strike w:val="0"/>
                      <w:dstrike w:val="0"/>
                      <w:sz w:val="21"/>
                      <w:szCs w:val="21"/>
                      <w:u w:val="none"/>
                      <w:lang w:val="en-US" w:eastAsia="zh-CN"/>
                    </w:rPr>
                    <w:t>用于员工办公及休息，</w:t>
                  </w:r>
                  <w:r>
                    <w:rPr>
                      <w:rFonts w:hint="eastAsia"/>
                      <w:strike w:val="0"/>
                      <w:dstrike w:val="0"/>
                      <w:sz w:val="21"/>
                      <w:szCs w:val="21"/>
                      <w:u w:val="none"/>
                    </w:rPr>
                    <w:t>占地面积</w:t>
                  </w:r>
                  <w:r>
                    <w:rPr>
                      <w:rFonts w:hint="eastAsia"/>
                      <w:strike w:val="0"/>
                      <w:dstrike w:val="0"/>
                      <w:sz w:val="21"/>
                      <w:szCs w:val="21"/>
                      <w:u w:val="none"/>
                      <w:lang w:val="en-US" w:eastAsia="zh-CN"/>
                    </w:rPr>
                    <w:t>400</w:t>
                  </w:r>
                  <w:r>
                    <w:rPr>
                      <w:rFonts w:hint="eastAsia"/>
                      <w:strike w:val="0"/>
                      <w:dstrike w:val="0"/>
                      <w:sz w:val="21"/>
                      <w:szCs w:val="21"/>
                      <w:u w:val="none"/>
                    </w:rPr>
                    <w:t>m</w:t>
                  </w:r>
                  <w:r>
                    <w:rPr>
                      <w:rFonts w:hint="eastAsia"/>
                      <w:strike w:val="0"/>
                      <w:dstrike w:val="0"/>
                      <w:sz w:val="21"/>
                      <w:szCs w:val="21"/>
                      <w:u w:val="none"/>
                      <w:vertAlign w:val="superscript"/>
                    </w:rPr>
                    <w:t>2</w:t>
                  </w:r>
                </w:p>
              </w:tc>
              <w:tc>
                <w:tcPr>
                  <w:tcW w:w="734" w:type="pct"/>
                  <w:tcBorders>
                    <w:left w:val="single" w:color="auto" w:sz="4" w:space="0"/>
                  </w:tcBorders>
                  <w:noWrap w:val="0"/>
                  <w:vAlign w:val="center"/>
                </w:tcPr>
                <w:p w14:paraId="63B94BB4">
                  <w:pPr>
                    <w:adjustRightInd w:val="0"/>
                    <w:snapToGrid w:val="0"/>
                    <w:jc w:val="center"/>
                    <w:rPr>
                      <w:strike w:val="0"/>
                      <w:dstrike w:val="0"/>
                      <w:sz w:val="21"/>
                      <w:szCs w:val="21"/>
                      <w:u w:val="none"/>
                    </w:rPr>
                  </w:pPr>
                  <w:r>
                    <w:rPr>
                      <w:rFonts w:hint="eastAsia" w:eastAsia="宋体"/>
                      <w:strike w:val="0"/>
                      <w:dstrike w:val="0"/>
                      <w:sz w:val="21"/>
                      <w:szCs w:val="21"/>
                      <w:u w:val="none"/>
                      <w:lang w:val="en-US" w:eastAsia="zh-CN"/>
                    </w:rPr>
                    <w:t>新建</w:t>
                  </w:r>
                </w:p>
              </w:tc>
            </w:tr>
            <w:tr w14:paraId="2E6D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7" w:type="pct"/>
                  <w:gridSpan w:val="2"/>
                  <w:vMerge w:val="restart"/>
                  <w:tcBorders>
                    <w:right w:val="single" w:color="auto" w:sz="4" w:space="0"/>
                  </w:tcBorders>
                  <w:noWrap w:val="0"/>
                  <w:vAlign w:val="center"/>
                </w:tcPr>
                <w:p w14:paraId="66934A53">
                  <w:pPr>
                    <w:pStyle w:val="78"/>
                    <w:rPr>
                      <w:rFonts w:hint="default" w:hAnsi="Times New Roman" w:eastAsia="宋体"/>
                      <w:strike w:val="0"/>
                      <w:dstrike w:val="0"/>
                      <w:sz w:val="21"/>
                      <w:u w:val="none"/>
                      <w:lang w:val="en-US" w:eastAsia="zh-CN"/>
                    </w:rPr>
                  </w:pPr>
                  <w:r>
                    <w:rPr>
                      <w:rFonts w:hint="eastAsia" w:hAnsi="Times New Roman"/>
                      <w:strike w:val="0"/>
                      <w:dstrike w:val="0"/>
                      <w:sz w:val="21"/>
                      <w:u w:val="none"/>
                      <w:lang w:val="en-US" w:eastAsia="zh-CN"/>
                    </w:rPr>
                    <w:t>储运工程</w:t>
                  </w:r>
                </w:p>
              </w:tc>
              <w:tc>
                <w:tcPr>
                  <w:tcW w:w="1050" w:type="pct"/>
                  <w:tcBorders>
                    <w:top w:val="single" w:color="auto" w:sz="4" w:space="0"/>
                    <w:left w:val="single" w:color="auto" w:sz="4" w:space="0"/>
                    <w:bottom w:val="single" w:color="auto" w:sz="4" w:space="0"/>
                    <w:right w:val="single" w:color="auto" w:sz="4" w:space="0"/>
                  </w:tcBorders>
                  <w:noWrap w:val="0"/>
                  <w:vAlign w:val="center"/>
                </w:tcPr>
                <w:p w14:paraId="7C6019A5">
                  <w:pPr>
                    <w:adjustRightInd w:val="0"/>
                    <w:snapToGrid w:val="0"/>
                    <w:jc w:val="center"/>
                    <w:rPr>
                      <w:rFonts w:hint="default"/>
                      <w:strike w:val="0"/>
                      <w:dstrike w:val="0"/>
                      <w:kern w:val="2"/>
                      <w:sz w:val="21"/>
                      <w:szCs w:val="21"/>
                      <w:u w:val="none"/>
                      <w:lang w:val="en-US" w:eastAsia="zh-CN" w:bidi="ar-SA"/>
                    </w:rPr>
                  </w:pPr>
                  <w:r>
                    <w:rPr>
                      <w:rFonts w:hint="eastAsia"/>
                      <w:strike w:val="0"/>
                      <w:dstrike w:val="0"/>
                      <w:sz w:val="21"/>
                      <w:szCs w:val="21"/>
                      <w:u w:val="none"/>
                      <w:lang w:val="en-US" w:eastAsia="zh-CN"/>
                    </w:rPr>
                    <w:t>原料区</w:t>
                  </w:r>
                </w:p>
              </w:tc>
              <w:tc>
                <w:tcPr>
                  <w:tcW w:w="2508" w:type="pct"/>
                  <w:tcBorders>
                    <w:top w:val="single" w:color="auto" w:sz="4" w:space="0"/>
                    <w:left w:val="single" w:color="auto" w:sz="4" w:space="0"/>
                    <w:bottom w:val="single" w:color="auto" w:sz="4" w:space="0"/>
                    <w:right w:val="single" w:color="auto" w:sz="4" w:space="0"/>
                  </w:tcBorders>
                  <w:noWrap w:val="0"/>
                  <w:vAlign w:val="center"/>
                </w:tcPr>
                <w:p w14:paraId="55BA6DE8">
                  <w:pPr>
                    <w:adjustRightInd w:val="0"/>
                    <w:snapToGrid w:val="0"/>
                    <w:jc w:val="center"/>
                    <w:rPr>
                      <w:rFonts w:hint="default"/>
                      <w:strike w:val="0"/>
                      <w:dstrike w:val="0"/>
                      <w:kern w:val="2"/>
                      <w:sz w:val="21"/>
                      <w:szCs w:val="21"/>
                      <w:u w:val="none"/>
                      <w:lang w:val="en-US" w:eastAsia="zh-CN" w:bidi="ar-SA"/>
                    </w:rPr>
                  </w:pPr>
                  <w:r>
                    <w:rPr>
                      <w:rFonts w:hint="eastAsia"/>
                      <w:strike w:val="0"/>
                      <w:dstrike w:val="0"/>
                      <w:sz w:val="21"/>
                      <w:szCs w:val="21"/>
                      <w:u w:val="none"/>
                      <w:lang w:val="en-US" w:eastAsia="zh-CN"/>
                    </w:rPr>
                    <w:t>用于原料储存，</w:t>
                  </w:r>
                  <w:r>
                    <w:rPr>
                      <w:rFonts w:hint="eastAsia"/>
                      <w:strike w:val="0"/>
                      <w:dstrike w:val="0"/>
                      <w:sz w:val="21"/>
                      <w:szCs w:val="21"/>
                      <w:u w:val="none"/>
                    </w:rPr>
                    <w:t>占地面积</w:t>
                  </w:r>
                  <w:r>
                    <w:rPr>
                      <w:rFonts w:hint="eastAsia"/>
                      <w:strike w:val="0"/>
                      <w:dstrike w:val="0"/>
                      <w:sz w:val="21"/>
                      <w:szCs w:val="21"/>
                      <w:u w:val="none"/>
                      <w:lang w:val="en-US" w:eastAsia="zh-CN"/>
                    </w:rPr>
                    <w:t>1700</w:t>
                  </w:r>
                  <w:r>
                    <w:rPr>
                      <w:rFonts w:hint="eastAsia"/>
                      <w:strike w:val="0"/>
                      <w:dstrike w:val="0"/>
                      <w:sz w:val="21"/>
                      <w:szCs w:val="21"/>
                      <w:u w:val="none"/>
                    </w:rPr>
                    <w:t>m</w:t>
                  </w:r>
                  <w:r>
                    <w:rPr>
                      <w:rFonts w:hint="eastAsia"/>
                      <w:strike w:val="0"/>
                      <w:dstrike w:val="0"/>
                      <w:sz w:val="21"/>
                      <w:szCs w:val="21"/>
                      <w:u w:val="none"/>
                      <w:vertAlign w:val="superscript"/>
                    </w:rPr>
                    <w:t>2</w:t>
                  </w:r>
                </w:p>
              </w:tc>
              <w:tc>
                <w:tcPr>
                  <w:tcW w:w="734" w:type="pct"/>
                  <w:tcBorders>
                    <w:left w:val="single" w:color="auto" w:sz="4" w:space="0"/>
                  </w:tcBorders>
                  <w:noWrap w:val="0"/>
                  <w:vAlign w:val="center"/>
                </w:tcPr>
                <w:p w14:paraId="3D17DAAA">
                  <w:pPr>
                    <w:adjustRightInd w:val="0"/>
                    <w:snapToGrid w:val="0"/>
                    <w:jc w:val="center"/>
                    <w:rPr>
                      <w:rFonts w:hint="eastAsia"/>
                      <w:strike w:val="0"/>
                      <w:dstrike w:val="0"/>
                      <w:kern w:val="2"/>
                      <w:sz w:val="21"/>
                      <w:szCs w:val="21"/>
                      <w:u w:val="none"/>
                      <w:lang w:val="en-US" w:eastAsia="zh-CN" w:bidi="ar-SA"/>
                    </w:rPr>
                  </w:pPr>
                  <w:r>
                    <w:rPr>
                      <w:rFonts w:hint="eastAsia" w:eastAsia="宋体"/>
                      <w:strike w:val="0"/>
                      <w:dstrike w:val="0"/>
                      <w:sz w:val="21"/>
                      <w:szCs w:val="21"/>
                      <w:u w:val="none"/>
                      <w:lang w:val="en-US" w:eastAsia="zh-CN"/>
                    </w:rPr>
                    <w:t>新建</w:t>
                  </w:r>
                </w:p>
              </w:tc>
            </w:tr>
            <w:tr w14:paraId="588F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7" w:type="pct"/>
                  <w:gridSpan w:val="2"/>
                  <w:vMerge w:val="continue"/>
                  <w:tcBorders>
                    <w:right w:val="single" w:color="auto" w:sz="4" w:space="0"/>
                  </w:tcBorders>
                  <w:noWrap w:val="0"/>
                  <w:vAlign w:val="center"/>
                </w:tcPr>
                <w:p w14:paraId="2F844B74">
                  <w:pPr>
                    <w:pStyle w:val="78"/>
                    <w:rPr>
                      <w:rFonts w:hint="eastAsia" w:hAnsi="Times New Roman"/>
                      <w:strike w:val="0"/>
                      <w:dstrike w:val="0"/>
                      <w:sz w:val="21"/>
                      <w:u w:val="none"/>
                      <w:lang w:val="en-US" w:eastAsia="zh-CN"/>
                    </w:rPr>
                  </w:pP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E688C3">
                  <w:pPr>
                    <w:adjustRightInd w:val="0"/>
                    <w:snapToGrid w:val="0"/>
                    <w:jc w:val="center"/>
                    <w:rPr>
                      <w:rFonts w:hint="eastAsia" w:ascii="Times New Roman" w:hAnsi="Times New Roman" w:eastAsia="宋体" w:cs="Times New Roman"/>
                      <w:strike w:val="0"/>
                      <w:dstrike w:val="0"/>
                      <w:kern w:val="2"/>
                      <w:sz w:val="21"/>
                      <w:szCs w:val="21"/>
                      <w:u w:val="none"/>
                      <w:lang w:val="en-US" w:eastAsia="zh-CN" w:bidi="ar-SA"/>
                    </w:rPr>
                  </w:pPr>
                  <w:r>
                    <w:rPr>
                      <w:rFonts w:hint="eastAsia"/>
                      <w:strike w:val="0"/>
                      <w:dstrike w:val="0"/>
                      <w:sz w:val="21"/>
                      <w:szCs w:val="21"/>
                      <w:u w:val="none"/>
                      <w:lang w:val="en-US" w:eastAsia="zh-CN"/>
                    </w:rPr>
                    <w:t>成品区</w:t>
                  </w:r>
                </w:p>
              </w:tc>
              <w:tc>
                <w:tcPr>
                  <w:tcW w:w="250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0A25A8">
                  <w:pPr>
                    <w:adjustRightInd w:val="0"/>
                    <w:snapToGrid w:val="0"/>
                    <w:jc w:val="center"/>
                    <w:rPr>
                      <w:rFonts w:hint="eastAsia" w:ascii="Times New Roman" w:hAnsi="Times New Roman" w:eastAsia="宋体" w:cs="Times New Roman"/>
                      <w:strike w:val="0"/>
                      <w:dstrike w:val="0"/>
                      <w:kern w:val="2"/>
                      <w:sz w:val="21"/>
                      <w:szCs w:val="21"/>
                      <w:u w:val="none"/>
                      <w:lang w:val="en-US" w:eastAsia="zh-CN" w:bidi="ar-SA"/>
                    </w:rPr>
                  </w:pPr>
                  <w:r>
                    <w:rPr>
                      <w:rFonts w:hint="eastAsia"/>
                      <w:strike w:val="0"/>
                      <w:dstrike w:val="0"/>
                      <w:sz w:val="21"/>
                      <w:szCs w:val="21"/>
                      <w:u w:val="none"/>
                      <w:lang w:val="en-US" w:eastAsia="zh-CN"/>
                    </w:rPr>
                    <w:t>用于部分成品储存，</w:t>
                  </w:r>
                  <w:r>
                    <w:rPr>
                      <w:rFonts w:hint="eastAsia"/>
                      <w:strike w:val="0"/>
                      <w:dstrike w:val="0"/>
                      <w:sz w:val="21"/>
                      <w:szCs w:val="21"/>
                      <w:u w:val="none"/>
                    </w:rPr>
                    <w:t>占地面积</w:t>
                  </w:r>
                  <w:r>
                    <w:rPr>
                      <w:rFonts w:hint="eastAsia"/>
                      <w:strike w:val="0"/>
                      <w:dstrike w:val="0"/>
                      <w:sz w:val="21"/>
                      <w:szCs w:val="21"/>
                      <w:u w:val="none"/>
                      <w:lang w:val="en-US" w:eastAsia="zh-CN"/>
                    </w:rPr>
                    <w:t>313</w:t>
                  </w:r>
                  <w:r>
                    <w:rPr>
                      <w:rFonts w:hint="eastAsia"/>
                      <w:strike w:val="0"/>
                      <w:dstrike w:val="0"/>
                      <w:sz w:val="21"/>
                      <w:szCs w:val="21"/>
                      <w:u w:val="none"/>
                    </w:rPr>
                    <w:t>m</w:t>
                  </w:r>
                  <w:r>
                    <w:rPr>
                      <w:rFonts w:hint="eastAsia"/>
                      <w:strike w:val="0"/>
                      <w:dstrike w:val="0"/>
                      <w:sz w:val="21"/>
                      <w:szCs w:val="21"/>
                      <w:u w:val="none"/>
                      <w:vertAlign w:val="superscript"/>
                    </w:rPr>
                    <w:t>2</w:t>
                  </w:r>
                </w:p>
              </w:tc>
              <w:tc>
                <w:tcPr>
                  <w:tcW w:w="734" w:type="pct"/>
                  <w:tcBorders>
                    <w:left w:val="single" w:color="auto" w:sz="4" w:space="0"/>
                  </w:tcBorders>
                  <w:shd w:val="clear" w:color="auto" w:fill="auto"/>
                  <w:noWrap w:val="0"/>
                  <w:vAlign w:val="center"/>
                </w:tcPr>
                <w:p w14:paraId="44EE8F95">
                  <w:pPr>
                    <w:adjustRightInd w:val="0"/>
                    <w:snapToGrid w:val="0"/>
                    <w:jc w:val="center"/>
                    <w:rPr>
                      <w:rFonts w:hint="eastAsia" w:ascii="Times New Roman" w:hAnsi="Times New Roman" w:eastAsia="宋体" w:cs="Times New Roman"/>
                      <w:strike w:val="0"/>
                      <w:dstrike w:val="0"/>
                      <w:kern w:val="2"/>
                      <w:sz w:val="21"/>
                      <w:szCs w:val="21"/>
                      <w:u w:val="none"/>
                      <w:lang w:val="en-US" w:eastAsia="zh-CN" w:bidi="ar-SA"/>
                    </w:rPr>
                  </w:pPr>
                  <w:r>
                    <w:rPr>
                      <w:rFonts w:hint="eastAsia" w:eastAsia="宋体"/>
                      <w:strike w:val="0"/>
                      <w:dstrike w:val="0"/>
                      <w:sz w:val="21"/>
                      <w:szCs w:val="21"/>
                      <w:u w:val="none"/>
                      <w:lang w:val="en-US" w:eastAsia="zh-CN"/>
                    </w:rPr>
                    <w:t>新建</w:t>
                  </w:r>
                </w:p>
              </w:tc>
            </w:tr>
            <w:tr w14:paraId="6509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7" w:type="pct"/>
                  <w:gridSpan w:val="2"/>
                  <w:vMerge w:val="continue"/>
                  <w:tcBorders>
                    <w:right w:val="single" w:color="auto" w:sz="4" w:space="0"/>
                  </w:tcBorders>
                  <w:noWrap w:val="0"/>
                  <w:vAlign w:val="center"/>
                </w:tcPr>
                <w:p w14:paraId="779F260A">
                  <w:pPr>
                    <w:pStyle w:val="78"/>
                    <w:rPr>
                      <w:rFonts w:hint="eastAsia" w:hAnsi="Times New Roman"/>
                      <w:strike w:val="0"/>
                      <w:dstrike w:val="0"/>
                      <w:sz w:val="21"/>
                      <w:u w:val="none"/>
                      <w:lang w:val="en-US" w:eastAsia="zh-CN"/>
                    </w:rPr>
                  </w:pPr>
                </w:p>
              </w:tc>
              <w:tc>
                <w:tcPr>
                  <w:tcW w:w="1050" w:type="pct"/>
                  <w:tcBorders>
                    <w:top w:val="single" w:color="auto" w:sz="4" w:space="0"/>
                    <w:left w:val="single" w:color="auto" w:sz="4" w:space="0"/>
                    <w:bottom w:val="single" w:color="auto" w:sz="4" w:space="0"/>
                    <w:right w:val="single" w:color="auto" w:sz="4" w:space="0"/>
                  </w:tcBorders>
                  <w:noWrap w:val="0"/>
                  <w:vAlign w:val="center"/>
                </w:tcPr>
                <w:p w14:paraId="7322E4DA">
                  <w:pPr>
                    <w:adjustRightInd w:val="0"/>
                    <w:snapToGrid w:val="0"/>
                    <w:jc w:val="center"/>
                    <w:rPr>
                      <w:rFonts w:hint="default"/>
                      <w:strike w:val="0"/>
                      <w:dstrike w:val="0"/>
                      <w:sz w:val="21"/>
                      <w:szCs w:val="21"/>
                      <w:u w:val="none"/>
                      <w:lang w:val="en-US" w:eastAsia="zh-CN"/>
                    </w:rPr>
                  </w:pPr>
                  <w:r>
                    <w:rPr>
                      <w:rFonts w:hint="eastAsia"/>
                      <w:strike w:val="0"/>
                      <w:dstrike w:val="0"/>
                      <w:sz w:val="21"/>
                      <w:szCs w:val="21"/>
                      <w:u w:val="none"/>
                      <w:lang w:val="en-US" w:eastAsia="zh-CN"/>
                    </w:rPr>
                    <w:t>储罐区</w:t>
                  </w:r>
                </w:p>
              </w:tc>
              <w:tc>
                <w:tcPr>
                  <w:tcW w:w="2508" w:type="pct"/>
                  <w:tcBorders>
                    <w:top w:val="single" w:color="auto" w:sz="4" w:space="0"/>
                    <w:left w:val="single" w:color="auto" w:sz="4" w:space="0"/>
                    <w:bottom w:val="single" w:color="auto" w:sz="4" w:space="0"/>
                    <w:right w:val="single" w:color="auto" w:sz="4" w:space="0"/>
                  </w:tcBorders>
                  <w:noWrap w:val="0"/>
                  <w:vAlign w:val="center"/>
                </w:tcPr>
                <w:p w14:paraId="262F1818">
                  <w:pPr>
                    <w:adjustRightInd w:val="0"/>
                    <w:snapToGrid w:val="0"/>
                    <w:jc w:val="center"/>
                    <w:rPr>
                      <w:rFonts w:hint="eastAsia"/>
                      <w:strike w:val="0"/>
                      <w:dstrike w:val="0"/>
                      <w:sz w:val="21"/>
                      <w:szCs w:val="21"/>
                      <w:u w:val="none"/>
                    </w:rPr>
                  </w:pPr>
                  <w:r>
                    <w:rPr>
                      <w:rFonts w:hint="eastAsia"/>
                      <w:strike w:val="0"/>
                      <w:dstrike w:val="0"/>
                      <w:sz w:val="21"/>
                      <w:szCs w:val="21"/>
                      <w:u w:val="none"/>
                      <w:lang w:val="en-US" w:eastAsia="zh-CN"/>
                    </w:rPr>
                    <w:t>包含2个储罐，用于部分成品储存，</w:t>
                  </w:r>
                  <w:r>
                    <w:rPr>
                      <w:rFonts w:hint="eastAsia"/>
                      <w:strike w:val="0"/>
                      <w:dstrike w:val="0"/>
                      <w:sz w:val="21"/>
                      <w:szCs w:val="21"/>
                      <w:u w:val="none"/>
                    </w:rPr>
                    <w:t>占地面积</w:t>
                  </w:r>
                  <w:r>
                    <w:rPr>
                      <w:rFonts w:hint="eastAsia"/>
                      <w:strike w:val="0"/>
                      <w:dstrike w:val="0"/>
                      <w:sz w:val="21"/>
                      <w:szCs w:val="21"/>
                      <w:u w:val="none"/>
                      <w:lang w:val="en-US" w:eastAsia="zh-CN"/>
                    </w:rPr>
                    <w:t>24</w:t>
                  </w:r>
                  <w:r>
                    <w:rPr>
                      <w:rFonts w:hint="eastAsia"/>
                      <w:strike w:val="0"/>
                      <w:dstrike w:val="0"/>
                      <w:sz w:val="21"/>
                      <w:szCs w:val="21"/>
                      <w:u w:val="none"/>
                    </w:rPr>
                    <w:t>m</w:t>
                  </w:r>
                  <w:r>
                    <w:rPr>
                      <w:rFonts w:hint="eastAsia"/>
                      <w:strike w:val="0"/>
                      <w:dstrike w:val="0"/>
                      <w:sz w:val="21"/>
                      <w:szCs w:val="21"/>
                      <w:u w:val="none"/>
                      <w:vertAlign w:val="superscript"/>
                    </w:rPr>
                    <w:t>2</w:t>
                  </w:r>
                </w:p>
              </w:tc>
              <w:tc>
                <w:tcPr>
                  <w:tcW w:w="734" w:type="pct"/>
                  <w:tcBorders>
                    <w:left w:val="single" w:color="auto" w:sz="4" w:space="0"/>
                  </w:tcBorders>
                  <w:noWrap w:val="0"/>
                  <w:vAlign w:val="center"/>
                </w:tcPr>
                <w:p w14:paraId="629760E1">
                  <w:pPr>
                    <w:adjustRightInd w:val="0"/>
                    <w:snapToGrid w:val="0"/>
                    <w:jc w:val="center"/>
                    <w:rPr>
                      <w:rFonts w:hint="eastAsia" w:eastAsia="宋体"/>
                      <w:strike w:val="0"/>
                      <w:dstrike w:val="0"/>
                      <w:sz w:val="21"/>
                      <w:szCs w:val="21"/>
                      <w:u w:val="none"/>
                      <w:lang w:val="en-US" w:eastAsia="zh-CN"/>
                    </w:rPr>
                  </w:pPr>
                  <w:r>
                    <w:rPr>
                      <w:rFonts w:hint="eastAsia" w:eastAsia="宋体"/>
                      <w:strike w:val="0"/>
                      <w:dstrike w:val="0"/>
                      <w:sz w:val="21"/>
                      <w:szCs w:val="21"/>
                      <w:u w:val="none"/>
                      <w:lang w:val="en-US" w:eastAsia="zh-CN"/>
                    </w:rPr>
                    <w:t>新建</w:t>
                  </w:r>
                </w:p>
              </w:tc>
            </w:tr>
            <w:tr w14:paraId="3D98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7" w:type="pct"/>
                  <w:gridSpan w:val="2"/>
                  <w:vMerge w:val="restart"/>
                  <w:tcBorders>
                    <w:top w:val="single" w:color="auto" w:sz="4" w:space="0"/>
                    <w:bottom w:val="single" w:color="auto" w:sz="4" w:space="0"/>
                    <w:right w:val="single" w:color="auto" w:sz="4" w:space="0"/>
                  </w:tcBorders>
                  <w:noWrap w:val="0"/>
                  <w:vAlign w:val="center"/>
                </w:tcPr>
                <w:p w14:paraId="109750BC">
                  <w:pPr>
                    <w:pStyle w:val="78"/>
                    <w:rPr>
                      <w:rFonts w:hAnsi="Times New Roman"/>
                      <w:strike w:val="0"/>
                      <w:dstrike w:val="0"/>
                      <w:sz w:val="21"/>
                      <w:u w:val="none"/>
                    </w:rPr>
                  </w:pPr>
                  <w:r>
                    <w:rPr>
                      <w:rFonts w:hint="eastAsia" w:hAnsi="Times New Roman"/>
                      <w:strike w:val="0"/>
                      <w:dstrike w:val="0"/>
                      <w:sz w:val="21"/>
                      <w:u w:val="none"/>
                    </w:rPr>
                    <w:t>公用工程</w:t>
                  </w:r>
                </w:p>
              </w:tc>
              <w:tc>
                <w:tcPr>
                  <w:tcW w:w="1050" w:type="pct"/>
                  <w:tcBorders>
                    <w:top w:val="single" w:color="auto" w:sz="4" w:space="0"/>
                    <w:left w:val="single" w:color="auto" w:sz="4" w:space="0"/>
                    <w:bottom w:val="single" w:color="auto" w:sz="4" w:space="0"/>
                    <w:right w:val="single" w:color="auto" w:sz="4" w:space="0"/>
                  </w:tcBorders>
                  <w:noWrap w:val="0"/>
                  <w:vAlign w:val="center"/>
                </w:tcPr>
                <w:p w14:paraId="7304E4F1">
                  <w:pPr>
                    <w:pStyle w:val="78"/>
                    <w:rPr>
                      <w:rFonts w:hint="eastAsia" w:hAnsi="Times New Roman"/>
                      <w:strike w:val="0"/>
                      <w:dstrike w:val="0"/>
                      <w:kern w:val="2"/>
                      <w:sz w:val="21"/>
                      <w:szCs w:val="21"/>
                      <w:u w:val="none"/>
                      <w:lang w:val="en-US" w:eastAsia="zh-CN" w:bidi="ar-SA"/>
                    </w:rPr>
                  </w:pPr>
                  <w:r>
                    <w:rPr>
                      <w:rFonts w:hint="eastAsia" w:hAnsi="Times New Roman"/>
                      <w:strike w:val="0"/>
                      <w:dstrike w:val="0"/>
                      <w:sz w:val="21"/>
                      <w:u w:val="none"/>
                    </w:rPr>
                    <w:t>供水</w:t>
                  </w:r>
                </w:p>
              </w:tc>
              <w:tc>
                <w:tcPr>
                  <w:tcW w:w="2508" w:type="pct"/>
                  <w:tcBorders>
                    <w:top w:val="single" w:color="auto" w:sz="4" w:space="0"/>
                    <w:left w:val="single" w:color="auto" w:sz="4" w:space="0"/>
                    <w:bottom w:val="single" w:color="auto" w:sz="4" w:space="0"/>
                    <w:right w:val="single" w:color="auto" w:sz="4" w:space="0"/>
                  </w:tcBorders>
                  <w:noWrap w:val="0"/>
                  <w:vAlign w:val="center"/>
                </w:tcPr>
                <w:p w14:paraId="4D5C5CDD">
                  <w:pPr>
                    <w:pStyle w:val="78"/>
                    <w:rPr>
                      <w:rFonts w:hAnsi="Times New Roman"/>
                      <w:strike w:val="0"/>
                      <w:dstrike w:val="0"/>
                      <w:sz w:val="21"/>
                      <w:u w:val="none"/>
                    </w:rPr>
                  </w:pPr>
                  <w:r>
                    <w:rPr>
                      <w:rFonts w:hint="eastAsia" w:hAnsi="Times New Roman"/>
                      <w:strike w:val="0"/>
                      <w:dstrike w:val="0"/>
                      <w:sz w:val="21"/>
                      <w:u w:val="none"/>
                    </w:rPr>
                    <w:t>园区供水管网</w:t>
                  </w:r>
                </w:p>
              </w:tc>
              <w:tc>
                <w:tcPr>
                  <w:tcW w:w="734" w:type="pct"/>
                  <w:vMerge w:val="restart"/>
                  <w:tcBorders>
                    <w:top w:val="single" w:color="auto" w:sz="4" w:space="0"/>
                    <w:left w:val="single" w:color="auto" w:sz="4" w:space="0"/>
                  </w:tcBorders>
                  <w:noWrap w:val="0"/>
                  <w:vAlign w:val="center"/>
                </w:tcPr>
                <w:p w14:paraId="26283E35">
                  <w:pPr>
                    <w:pStyle w:val="78"/>
                    <w:rPr>
                      <w:rFonts w:hAnsi="Times New Roman"/>
                      <w:strike w:val="0"/>
                      <w:dstrike w:val="0"/>
                      <w:color w:val="auto"/>
                      <w:sz w:val="21"/>
                      <w:u w:val="none"/>
                    </w:rPr>
                  </w:pPr>
                  <w:r>
                    <w:rPr>
                      <w:rFonts w:hint="eastAsia" w:hAnsi="Times New Roman"/>
                      <w:strike w:val="0"/>
                      <w:dstrike w:val="0"/>
                      <w:color w:val="auto"/>
                      <w:sz w:val="21"/>
                      <w:u w:val="none"/>
                    </w:rPr>
                    <w:t>依托</w:t>
                  </w:r>
                </w:p>
              </w:tc>
            </w:tr>
            <w:tr w14:paraId="0077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7" w:type="pct"/>
                  <w:gridSpan w:val="2"/>
                  <w:vMerge w:val="continue"/>
                  <w:tcBorders>
                    <w:right w:val="single" w:color="auto" w:sz="4" w:space="0"/>
                  </w:tcBorders>
                  <w:noWrap w:val="0"/>
                  <w:vAlign w:val="center"/>
                </w:tcPr>
                <w:p w14:paraId="10312A9B">
                  <w:pPr>
                    <w:pStyle w:val="78"/>
                    <w:rPr>
                      <w:rFonts w:hAnsi="Times New Roman"/>
                      <w:strike w:val="0"/>
                      <w:dstrike w:val="0"/>
                      <w:sz w:val="21"/>
                      <w:u w:val="none"/>
                    </w:rPr>
                  </w:pPr>
                </w:p>
              </w:tc>
              <w:tc>
                <w:tcPr>
                  <w:tcW w:w="1050" w:type="pct"/>
                  <w:tcBorders>
                    <w:top w:val="single" w:color="auto" w:sz="4" w:space="0"/>
                    <w:left w:val="single" w:color="auto" w:sz="4" w:space="0"/>
                    <w:bottom w:val="single" w:color="auto" w:sz="4" w:space="0"/>
                    <w:right w:val="single" w:color="auto" w:sz="4" w:space="0"/>
                  </w:tcBorders>
                  <w:noWrap w:val="0"/>
                  <w:vAlign w:val="center"/>
                </w:tcPr>
                <w:p w14:paraId="63E6F9E3">
                  <w:pPr>
                    <w:pStyle w:val="78"/>
                    <w:rPr>
                      <w:rFonts w:hint="eastAsia" w:hAnsi="Times New Roman"/>
                      <w:strike w:val="0"/>
                      <w:dstrike w:val="0"/>
                      <w:kern w:val="2"/>
                      <w:sz w:val="21"/>
                      <w:szCs w:val="21"/>
                      <w:u w:val="none"/>
                      <w:lang w:val="en-US" w:eastAsia="zh-CN" w:bidi="ar-SA"/>
                    </w:rPr>
                  </w:pPr>
                  <w:r>
                    <w:rPr>
                      <w:rFonts w:hint="eastAsia" w:hAnsi="Times New Roman"/>
                      <w:strike w:val="0"/>
                      <w:dstrike w:val="0"/>
                      <w:sz w:val="21"/>
                      <w:u w:val="none"/>
                    </w:rPr>
                    <w:t>排水</w:t>
                  </w:r>
                </w:p>
              </w:tc>
              <w:tc>
                <w:tcPr>
                  <w:tcW w:w="2508" w:type="pct"/>
                  <w:tcBorders>
                    <w:top w:val="single" w:color="auto" w:sz="4" w:space="0"/>
                    <w:left w:val="single" w:color="auto" w:sz="4" w:space="0"/>
                    <w:bottom w:val="single" w:color="auto" w:sz="4" w:space="0"/>
                    <w:right w:val="single" w:color="auto" w:sz="4" w:space="0"/>
                  </w:tcBorders>
                  <w:noWrap w:val="0"/>
                  <w:vAlign w:val="center"/>
                </w:tcPr>
                <w:p w14:paraId="5D1B4C81">
                  <w:pPr>
                    <w:adjustRightInd w:val="0"/>
                    <w:snapToGrid w:val="0"/>
                    <w:jc w:val="center"/>
                    <w:textAlignment w:val="baseline"/>
                    <w:rPr>
                      <w:rFonts w:hint="default" w:eastAsia="宋体"/>
                      <w:strike w:val="0"/>
                      <w:dstrike w:val="0"/>
                      <w:sz w:val="21"/>
                      <w:szCs w:val="21"/>
                      <w:u w:val="none"/>
                      <w:lang w:val="en-US" w:eastAsia="zh-CN"/>
                    </w:rPr>
                  </w:pPr>
                  <w:r>
                    <w:rPr>
                      <w:rFonts w:hint="eastAsia"/>
                      <w:strike w:val="0"/>
                      <w:dstrike w:val="0"/>
                      <w:sz w:val="21"/>
                      <w:szCs w:val="21"/>
                      <w:u w:val="none"/>
                    </w:rPr>
                    <w:t>本项目实行雨污分流，雨水进入</w:t>
                  </w:r>
                  <w:r>
                    <w:rPr>
                      <w:rFonts w:hint="eastAsia"/>
                      <w:strike w:val="0"/>
                      <w:dstrike w:val="0"/>
                      <w:sz w:val="21"/>
                      <w:szCs w:val="21"/>
                      <w:u w:val="none"/>
                      <w:lang w:val="en-US" w:eastAsia="zh-CN"/>
                    </w:rPr>
                    <w:t>园区</w:t>
                  </w:r>
                  <w:r>
                    <w:rPr>
                      <w:rFonts w:hint="eastAsia"/>
                      <w:strike w:val="0"/>
                      <w:dstrike w:val="0"/>
                      <w:sz w:val="21"/>
                      <w:szCs w:val="21"/>
                      <w:u w:val="none"/>
                    </w:rPr>
                    <w:t>雨水管网</w:t>
                  </w:r>
                  <w:r>
                    <w:rPr>
                      <w:rFonts w:hint="eastAsia"/>
                      <w:strike w:val="0"/>
                      <w:dstrike w:val="0"/>
                      <w:sz w:val="21"/>
                      <w:szCs w:val="21"/>
                      <w:u w:val="none"/>
                      <w:lang w:eastAsia="zh-CN"/>
                    </w:rPr>
                    <w:t>。</w:t>
                  </w:r>
                  <w:r>
                    <w:rPr>
                      <w:rFonts w:hint="eastAsia"/>
                      <w:color w:val="000000"/>
                      <w:sz w:val="21"/>
                      <w:szCs w:val="21"/>
                      <w:vertAlign w:val="baseline"/>
                      <w:lang w:eastAsia="zh-CN"/>
                    </w:rPr>
                    <w:t>本项目无生产废水</w:t>
                  </w:r>
                  <w:r>
                    <w:rPr>
                      <w:rFonts w:hint="eastAsia"/>
                      <w:color w:val="000000"/>
                      <w:sz w:val="21"/>
                      <w:szCs w:val="21"/>
                      <w:vertAlign w:val="baseline"/>
                      <w:lang w:val="en-US" w:eastAsia="zh-CN"/>
                    </w:rPr>
                    <w:t>外排</w:t>
                  </w:r>
                  <w:r>
                    <w:rPr>
                      <w:rFonts w:hint="eastAsia"/>
                      <w:color w:val="000000"/>
                      <w:sz w:val="21"/>
                      <w:szCs w:val="21"/>
                      <w:vertAlign w:val="baseline"/>
                      <w:lang w:eastAsia="zh-CN"/>
                    </w:rPr>
                    <w:t>，生活污水</w:t>
                  </w:r>
                  <w:r>
                    <w:rPr>
                      <w:rFonts w:hint="eastAsia"/>
                      <w:color w:val="000000"/>
                      <w:sz w:val="21"/>
                      <w:szCs w:val="21"/>
                      <w:vertAlign w:val="baseline"/>
                      <w:lang w:val="en-US" w:eastAsia="zh-CN"/>
                    </w:rPr>
                    <w:t>与冷凝水</w:t>
                  </w:r>
                  <w:r>
                    <w:rPr>
                      <w:rFonts w:hint="eastAsia"/>
                      <w:color w:val="000000"/>
                      <w:sz w:val="21"/>
                      <w:szCs w:val="21"/>
                      <w:vertAlign w:val="baseline"/>
                      <w:lang w:eastAsia="zh-CN"/>
                    </w:rPr>
                    <w:t>排入</w:t>
                  </w:r>
                  <w:r>
                    <w:rPr>
                      <w:rFonts w:hint="eastAsia" w:cs="Times New Roman"/>
                      <w:color w:val="auto"/>
                      <w:kern w:val="2"/>
                      <w:sz w:val="21"/>
                      <w:szCs w:val="21"/>
                      <w:u w:val="none" w:color="auto"/>
                      <w:lang w:val="en-US" w:eastAsia="zh-CN" w:bidi="ar-SA"/>
                    </w:rPr>
                    <w:t>岳阳市三峡水环境综合治理有限责任公司临港水质净化厂</w:t>
                  </w:r>
                  <w:r>
                    <w:rPr>
                      <w:rFonts w:hint="eastAsia"/>
                      <w:color w:val="000000"/>
                      <w:sz w:val="21"/>
                      <w:szCs w:val="21"/>
                      <w:vertAlign w:val="baseline"/>
                      <w:lang w:eastAsia="zh-CN"/>
                    </w:rPr>
                    <w:t>处理</w:t>
                  </w:r>
                </w:p>
              </w:tc>
              <w:tc>
                <w:tcPr>
                  <w:tcW w:w="734" w:type="pct"/>
                  <w:vMerge w:val="continue"/>
                  <w:tcBorders>
                    <w:left w:val="single" w:color="auto" w:sz="4" w:space="0"/>
                  </w:tcBorders>
                  <w:noWrap w:val="0"/>
                  <w:vAlign w:val="center"/>
                </w:tcPr>
                <w:p w14:paraId="0C87802A">
                  <w:pPr>
                    <w:pStyle w:val="78"/>
                    <w:rPr>
                      <w:rFonts w:hAnsi="Times New Roman"/>
                      <w:strike w:val="0"/>
                      <w:dstrike w:val="0"/>
                      <w:color w:val="auto"/>
                      <w:sz w:val="21"/>
                      <w:u w:val="none"/>
                    </w:rPr>
                  </w:pPr>
                </w:p>
              </w:tc>
            </w:tr>
            <w:tr w14:paraId="6E33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7" w:type="pct"/>
                  <w:gridSpan w:val="2"/>
                  <w:vMerge w:val="continue"/>
                  <w:tcBorders>
                    <w:right w:val="single" w:color="auto" w:sz="4" w:space="0"/>
                  </w:tcBorders>
                  <w:noWrap w:val="0"/>
                  <w:vAlign w:val="center"/>
                </w:tcPr>
                <w:p w14:paraId="67855AD2">
                  <w:pPr>
                    <w:pStyle w:val="78"/>
                    <w:rPr>
                      <w:rFonts w:hAnsi="Times New Roman"/>
                      <w:strike w:val="0"/>
                      <w:dstrike w:val="0"/>
                      <w:sz w:val="21"/>
                      <w:u w:val="none"/>
                    </w:rPr>
                  </w:pPr>
                </w:p>
              </w:tc>
              <w:tc>
                <w:tcPr>
                  <w:tcW w:w="10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BB1D78">
                  <w:pPr>
                    <w:pStyle w:val="78"/>
                    <w:rPr>
                      <w:rFonts w:hint="eastAsia" w:ascii="Times New Roman" w:hAnsi="Times New Roman" w:eastAsia="宋体" w:cs="Times New Roman"/>
                      <w:strike w:val="0"/>
                      <w:dstrike w:val="0"/>
                      <w:kern w:val="2"/>
                      <w:sz w:val="21"/>
                      <w:szCs w:val="21"/>
                      <w:u w:val="none"/>
                      <w:lang w:val="en-US" w:eastAsia="zh-CN" w:bidi="ar-SA"/>
                    </w:rPr>
                  </w:pPr>
                  <w:r>
                    <w:rPr>
                      <w:rFonts w:hint="eastAsia" w:hAnsi="Times New Roman"/>
                      <w:strike w:val="0"/>
                      <w:dstrike w:val="0"/>
                      <w:sz w:val="21"/>
                      <w:u w:val="none"/>
                    </w:rPr>
                    <w:t>供电</w:t>
                  </w:r>
                </w:p>
              </w:tc>
              <w:tc>
                <w:tcPr>
                  <w:tcW w:w="250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BBAE28">
                  <w:pPr>
                    <w:adjustRightInd w:val="0"/>
                    <w:snapToGrid w:val="0"/>
                    <w:jc w:val="center"/>
                    <w:textAlignment w:val="baseline"/>
                    <w:rPr>
                      <w:rFonts w:hint="eastAsia" w:ascii="Times New Roman" w:hAnsi="Times New Roman" w:eastAsia="宋体" w:cs="Times New Roman"/>
                      <w:strike w:val="0"/>
                      <w:dstrike w:val="0"/>
                      <w:kern w:val="2"/>
                      <w:sz w:val="21"/>
                      <w:szCs w:val="21"/>
                      <w:u w:val="none"/>
                      <w:lang w:val="en-US" w:eastAsia="zh-CN" w:bidi="ar-SA"/>
                    </w:rPr>
                  </w:pPr>
                  <w:r>
                    <w:rPr>
                      <w:rFonts w:hint="eastAsia"/>
                      <w:strike w:val="0"/>
                      <w:dstrike w:val="0"/>
                      <w:sz w:val="21"/>
                      <w:szCs w:val="21"/>
                      <w:u w:val="none"/>
                    </w:rPr>
                    <w:t>园区电网</w:t>
                  </w:r>
                </w:p>
              </w:tc>
              <w:tc>
                <w:tcPr>
                  <w:tcW w:w="734" w:type="pct"/>
                  <w:vMerge w:val="continue"/>
                  <w:tcBorders>
                    <w:left w:val="single" w:color="auto" w:sz="4" w:space="0"/>
                  </w:tcBorders>
                  <w:noWrap w:val="0"/>
                  <w:vAlign w:val="center"/>
                </w:tcPr>
                <w:p w14:paraId="62AAD7DF">
                  <w:pPr>
                    <w:pStyle w:val="78"/>
                    <w:rPr>
                      <w:rFonts w:hAnsi="Times New Roman"/>
                      <w:strike w:val="0"/>
                      <w:dstrike w:val="0"/>
                      <w:color w:val="auto"/>
                      <w:sz w:val="21"/>
                      <w:u w:val="none"/>
                    </w:rPr>
                  </w:pPr>
                </w:p>
              </w:tc>
            </w:tr>
            <w:tr w14:paraId="3EFF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7" w:type="pct"/>
                  <w:gridSpan w:val="2"/>
                  <w:vMerge w:val="continue"/>
                  <w:tcBorders>
                    <w:top w:val="single" w:color="auto" w:sz="4" w:space="0"/>
                    <w:bottom w:val="single" w:color="auto" w:sz="4" w:space="0"/>
                    <w:right w:val="single" w:color="auto" w:sz="4" w:space="0"/>
                  </w:tcBorders>
                  <w:noWrap w:val="0"/>
                  <w:vAlign w:val="center"/>
                </w:tcPr>
                <w:p w14:paraId="4918BC81">
                  <w:pPr>
                    <w:pStyle w:val="78"/>
                    <w:rPr>
                      <w:rFonts w:hAnsi="Times New Roman"/>
                      <w:strike w:val="0"/>
                      <w:dstrike w:val="0"/>
                      <w:sz w:val="21"/>
                      <w:u w:val="none"/>
                    </w:rPr>
                  </w:pPr>
                </w:p>
              </w:tc>
              <w:tc>
                <w:tcPr>
                  <w:tcW w:w="1050" w:type="pct"/>
                  <w:tcBorders>
                    <w:top w:val="single" w:color="auto" w:sz="4" w:space="0"/>
                    <w:left w:val="single" w:color="auto" w:sz="4" w:space="0"/>
                    <w:bottom w:val="single" w:color="auto" w:sz="4" w:space="0"/>
                    <w:right w:val="single" w:color="auto" w:sz="4" w:space="0"/>
                  </w:tcBorders>
                  <w:noWrap w:val="0"/>
                  <w:vAlign w:val="center"/>
                </w:tcPr>
                <w:p w14:paraId="51936F47">
                  <w:pPr>
                    <w:pStyle w:val="78"/>
                    <w:rPr>
                      <w:rFonts w:hint="eastAsia" w:hAnsi="Times New Roman"/>
                      <w:strike w:val="0"/>
                      <w:dstrike w:val="0"/>
                      <w:kern w:val="2"/>
                      <w:sz w:val="21"/>
                      <w:szCs w:val="21"/>
                      <w:u w:val="none"/>
                      <w:lang w:val="en-US" w:eastAsia="zh-CN" w:bidi="ar-SA"/>
                    </w:rPr>
                  </w:pPr>
                  <w:r>
                    <w:rPr>
                      <w:rFonts w:hint="eastAsia" w:hAnsi="Times New Roman"/>
                      <w:strike w:val="0"/>
                      <w:dstrike w:val="0"/>
                      <w:sz w:val="21"/>
                      <w:u w:val="none"/>
                      <w:lang w:val="en-US" w:eastAsia="zh-CN"/>
                    </w:rPr>
                    <w:t>蒸汽</w:t>
                  </w:r>
                </w:p>
              </w:tc>
              <w:tc>
                <w:tcPr>
                  <w:tcW w:w="2508" w:type="pct"/>
                  <w:tcBorders>
                    <w:top w:val="single" w:color="auto" w:sz="4" w:space="0"/>
                    <w:left w:val="single" w:color="auto" w:sz="4" w:space="0"/>
                    <w:bottom w:val="single" w:color="auto" w:sz="4" w:space="0"/>
                    <w:right w:val="single" w:color="auto" w:sz="4" w:space="0"/>
                  </w:tcBorders>
                  <w:noWrap w:val="0"/>
                  <w:vAlign w:val="center"/>
                </w:tcPr>
                <w:p w14:paraId="581ECAB9">
                  <w:pPr>
                    <w:adjustRightInd w:val="0"/>
                    <w:snapToGrid w:val="0"/>
                    <w:jc w:val="center"/>
                    <w:textAlignment w:val="baseline"/>
                    <w:rPr>
                      <w:strike w:val="0"/>
                      <w:dstrike w:val="0"/>
                      <w:sz w:val="21"/>
                      <w:szCs w:val="21"/>
                      <w:u w:val="none"/>
                    </w:rPr>
                  </w:pPr>
                  <w:r>
                    <w:rPr>
                      <w:rFonts w:hint="eastAsia"/>
                      <w:strike w:val="0"/>
                      <w:dstrike w:val="0"/>
                      <w:sz w:val="21"/>
                      <w:szCs w:val="21"/>
                      <w:u w:val="none"/>
                      <w:lang w:val="en-US" w:eastAsia="zh-CN"/>
                    </w:rPr>
                    <w:t>园区蒸汽管网</w:t>
                  </w:r>
                </w:p>
              </w:tc>
              <w:tc>
                <w:tcPr>
                  <w:tcW w:w="734" w:type="pct"/>
                  <w:vMerge w:val="continue"/>
                  <w:tcBorders>
                    <w:left w:val="single" w:color="auto" w:sz="4" w:space="0"/>
                    <w:bottom w:val="single" w:color="auto" w:sz="4" w:space="0"/>
                  </w:tcBorders>
                  <w:noWrap w:val="0"/>
                  <w:vAlign w:val="center"/>
                </w:tcPr>
                <w:p w14:paraId="66CF0F41">
                  <w:pPr>
                    <w:pStyle w:val="78"/>
                    <w:rPr>
                      <w:rFonts w:hAnsi="Times New Roman"/>
                      <w:strike w:val="0"/>
                      <w:dstrike w:val="0"/>
                      <w:color w:val="auto"/>
                      <w:sz w:val="21"/>
                      <w:u w:val="none"/>
                    </w:rPr>
                  </w:pPr>
                </w:p>
              </w:tc>
            </w:tr>
            <w:tr w14:paraId="31A9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5" w:type="pct"/>
                  <w:vMerge w:val="restart"/>
                  <w:tcBorders>
                    <w:top w:val="single" w:color="auto" w:sz="4" w:space="0"/>
                    <w:right w:val="single" w:color="auto" w:sz="4" w:space="0"/>
                  </w:tcBorders>
                  <w:noWrap w:val="0"/>
                  <w:vAlign w:val="center"/>
                </w:tcPr>
                <w:p w14:paraId="1AAFDECF">
                  <w:pPr>
                    <w:pStyle w:val="78"/>
                    <w:rPr>
                      <w:rFonts w:hAnsi="Times New Roman"/>
                      <w:strike w:val="0"/>
                      <w:dstrike w:val="0"/>
                      <w:sz w:val="21"/>
                      <w:u w:val="none"/>
                    </w:rPr>
                  </w:pPr>
                  <w:r>
                    <w:rPr>
                      <w:rFonts w:hint="eastAsia" w:hAnsi="Times New Roman"/>
                      <w:strike w:val="0"/>
                      <w:dstrike w:val="0"/>
                      <w:sz w:val="21"/>
                      <w:u w:val="none"/>
                    </w:rPr>
                    <w:t>环保工程</w:t>
                  </w:r>
                </w:p>
              </w:tc>
              <w:tc>
                <w:tcPr>
                  <w:tcW w:w="421" w:type="pct"/>
                  <w:tcBorders>
                    <w:top w:val="single" w:color="auto" w:sz="4" w:space="0"/>
                    <w:right w:val="single" w:color="auto" w:sz="4" w:space="0"/>
                  </w:tcBorders>
                  <w:noWrap w:val="0"/>
                  <w:vAlign w:val="center"/>
                </w:tcPr>
                <w:p w14:paraId="3D916AAF">
                  <w:pPr>
                    <w:pStyle w:val="78"/>
                    <w:rPr>
                      <w:rFonts w:hint="eastAsia" w:hAnsi="Times New Roman" w:eastAsia="宋体"/>
                      <w:strike w:val="0"/>
                      <w:dstrike w:val="0"/>
                      <w:sz w:val="21"/>
                      <w:u w:val="none"/>
                      <w:lang w:val="en-US" w:eastAsia="zh-CN"/>
                    </w:rPr>
                  </w:pPr>
                  <w:r>
                    <w:rPr>
                      <w:rFonts w:hint="eastAsia" w:hAnsi="Times New Roman"/>
                      <w:strike w:val="0"/>
                      <w:dstrike w:val="0"/>
                      <w:sz w:val="21"/>
                      <w:u w:val="none"/>
                      <w:lang w:val="en-US" w:eastAsia="zh-CN"/>
                    </w:rPr>
                    <w:t>废气</w:t>
                  </w:r>
                </w:p>
              </w:tc>
              <w:tc>
                <w:tcPr>
                  <w:tcW w:w="3558" w:type="pct"/>
                  <w:gridSpan w:val="2"/>
                  <w:tcBorders>
                    <w:top w:val="single" w:color="auto" w:sz="4" w:space="0"/>
                    <w:left w:val="single" w:color="auto" w:sz="4" w:space="0"/>
                    <w:bottom w:val="single" w:color="auto" w:sz="4" w:space="0"/>
                    <w:right w:val="single" w:color="auto" w:sz="4" w:space="0"/>
                  </w:tcBorders>
                  <w:noWrap w:val="0"/>
                  <w:vAlign w:val="center"/>
                </w:tcPr>
                <w:p w14:paraId="587C5838">
                  <w:pPr>
                    <w:pStyle w:val="78"/>
                    <w:rPr>
                      <w:rFonts w:hAnsi="Times New Roman"/>
                      <w:strike w:val="0"/>
                      <w:dstrike w:val="0"/>
                      <w:color w:val="auto"/>
                      <w:sz w:val="21"/>
                      <w:u w:val="none"/>
                    </w:rPr>
                  </w:pPr>
                  <w:r>
                    <w:rPr>
                      <w:rFonts w:hint="eastAsia" w:hAnsi="Times New Roman"/>
                      <w:color w:val="auto"/>
                      <w:sz w:val="21"/>
                      <w:u w:val="none"/>
                    </w:rPr>
                    <w:t>本项目的废气主要为</w:t>
                  </w:r>
                  <w:r>
                    <w:rPr>
                      <w:rFonts w:hint="eastAsia" w:hAnsi="Times New Roman"/>
                      <w:color w:val="auto"/>
                      <w:sz w:val="21"/>
                      <w:u w:val="none"/>
                      <w:lang w:val="en-US" w:eastAsia="zh-CN"/>
                    </w:rPr>
                    <w:t>储罐废气</w:t>
                  </w:r>
                  <w:r>
                    <w:rPr>
                      <w:rFonts w:hint="eastAsia" w:hAnsi="Times New Roman"/>
                      <w:color w:val="auto"/>
                      <w:sz w:val="21"/>
                      <w:u w:val="none"/>
                      <w:lang w:eastAsia="zh-CN"/>
                    </w:rPr>
                    <w:t>，</w:t>
                  </w:r>
                  <w:r>
                    <w:rPr>
                      <w:rFonts w:hint="eastAsia" w:hAnsi="Times New Roman"/>
                      <w:color w:val="auto"/>
                      <w:sz w:val="21"/>
                      <w:u w:val="none"/>
                      <w:lang w:val="en-US" w:eastAsia="zh-CN"/>
                    </w:rPr>
                    <w:t>经加强通风处理后无组织排放</w:t>
                  </w:r>
                </w:p>
              </w:tc>
              <w:tc>
                <w:tcPr>
                  <w:tcW w:w="734" w:type="pct"/>
                  <w:tcBorders>
                    <w:top w:val="single" w:color="auto" w:sz="4" w:space="0"/>
                    <w:left w:val="single" w:color="auto" w:sz="4" w:space="0"/>
                  </w:tcBorders>
                  <w:noWrap w:val="0"/>
                  <w:vAlign w:val="center"/>
                </w:tcPr>
                <w:p w14:paraId="0D8A6564">
                  <w:pPr>
                    <w:adjustRightInd w:val="0"/>
                    <w:snapToGrid w:val="0"/>
                    <w:jc w:val="center"/>
                    <w:rPr>
                      <w:rFonts w:hAnsi="Times New Roman"/>
                      <w:strike w:val="0"/>
                      <w:dstrike w:val="0"/>
                      <w:color w:val="auto"/>
                      <w:sz w:val="21"/>
                      <w:szCs w:val="21"/>
                      <w:u w:val="none"/>
                    </w:rPr>
                  </w:pPr>
                  <w:r>
                    <w:rPr>
                      <w:rFonts w:hint="eastAsia" w:eastAsia="宋体"/>
                      <w:strike w:val="0"/>
                      <w:dstrike w:val="0"/>
                      <w:color w:val="auto"/>
                      <w:sz w:val="21"/>
                      <w:szCs w:val="21"/>
                      <w:u w:val="none"/>
                      <w:lang w:val="en-US" w:eastAsia="zh-CN"/>
                    </w:rPr>
                    <w:t>新建</w:t>
                  </w:r>
                </w:p>
              </w:tc>
            </w:tr>
            <w:tr w14:paraId="2C1A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5" w:type="pct"/>
                  <w:vMerge w:val="continue"/>
                  <w:tcBorders>
                    <w:right w:val="single" w:color="auto" w:sz="4" w:space="0"/>
                  </w:tcBorders>
                  <w:noWrap w:val="0"/>
                  <w:vAlign w:val="center"/>
                </w:tcPr>
                <w:p w14:paraId="28F4AC8F">
                  <w:pPr>
                    <w:pStyle w:val="78"/>
                    <w:rPr>
                      <w:rFonts w:hAnsi="Times New Roman"/>
                      <w:strike w:val="0"/>
                      <w:dstrike w:val="0"/>
                      <w:sz w:val="21"/>
                      <w:u w:val="none"/>
                    </w:rPr>
                  </w:pPr>
                </w:p>
              </w:tc>
              <w:tc>
                <w:tcPr>
                  <w:tcW w:w="421" w:type="pct"/>
                  <w:tcBorders>
                    <w:right w:val="single" w:color="auto" w:sz="4" w:space="0"/>
                  </w:tcBorders>
                  <w:noWrap w:val="0"/>
                  <w:vAlign w:val="center"/>
                </w:tcPr>
                <w:p w14:paraId="2B989C71">
                  <w:pPr>
                    <w:pStyle w:val="78"/>
                    <w:rPr>
                      <w:rFonts w:hint="eastAsia" w:hAnsi="Times New Roman" w:eastAsia="宋体"/>
                      <w:strike w:val="0"/>
                      <w:dstrike w:val="0"/>
                      <w:sz w:val="21"/>
                      <w:u w:val="none"/>
                      <w:lang w:val="en-US" w:eastAsia="zh-CN"/>
                    </w:rPr>
                  </w:pPr>
                  <w:r>
                    <w:rPr>
                      <w:rFonts w:hint="eastAsia" w:hAnsi="Times New Roman"/>
                      <w:strike w:val="0"/>
                      <w:dstrike w:val="0"/>
                      <w:sz w:val="21"/>
                      <w:u w:val="none"/>
                      <w:lang w:val="en-US" w:eastAsia="zh-CN"/>
                    </w:rPr>
                    <w:t>废水</w:t>
                  </w:r>
                </w:p>
              </w:tc>
              <w:tc>
                <w:tcPr>
                  <w:tcW w:w="3558" w:type="pct"/>
                  <w:gridSpan w:val="2"/>
                  <w:tcBorders>
                    <w:top w:val="single" w:color="auto" w:sz="4" w:space="0"/>
                    <w:left w:val="single" w:color="auto" w:sz="4" w:space="0"/>
                    <w:bottom w:val="single" w:color="auto" w:sz="4" w:space="0"/>
                    <w:right w:val="single" w:color="auto" w:sz="4" w:space="0"/>
                  </w:tcBorders>
                  <w:noWrap w:val="0"/>
                  <w:vAlign w:val="center"/>
                </w:tcPr>
                <w:p w14:paraId="11C06E4B">
                  <w:pPr>
                    <w:pStyle w:val="78"/>
                    <w:rPr>
                      <w:rFonts w:hint="default" w:hAnsi="Times New Roman" w:eastAsia="宋体"/>
                      <w:strike w:val="0"/>
                      <w:dstrike w:val="0"/>
                      <w:color w:val="auto"/>
                      <w:sz w:val="21"/>
                      <w:u w:val="none"/>
                      <w:lang w:val="en-US" w:eastAsia="zh-CN"/>
                    </w:rPr>
                  </w:pPr>
                  <w:r>
                    <w:rPr>
                      <w:rFonts w:hint="eastAsia"/>
                      <w:color w:val="000000"/>
                      <w:sz w:val="21"/>
                      <w:szCs w:val="21"/>
                      <w:vertAlign w:val="baseline"/>
                      <w:lang w:eastAsia="zh-CN"/>
                    </w:rPr>
                    <w:t>本项目无生产废水</w:t>
                  </w:r>
                  <w:r>
                    <w:rPr>
                      <w:rFonts w:hint="eastAsia"/>
                      <w:color w:val="000000"/>
                      <w:sz w:val="21"/>
                      <w:szCs w:val="21"/>
                      <w:vertAlign w:val="baseline"/>
                      <w:lang w:val="en-US" w:eastAsia="zh-CN"/>
                    </w:rPr>
                    <w:t>外排</w:t>
                  </w:r>
                  <w:r>
                    <w:rPr>
                      <w:rFonts w:hint="eastAsia"/>
                      <w:color w:val="000000"/>
                      <w:sz w:val="21"/>
                      <w:szCs w:val="21"/>
                      <w:vertAlign w:val="baseline"/>
                      <w:lang w:eastAsia="zh-CN"/>
                    </w:rPr>
                    <w:t>，生活污水</w:t>
                  </w:r>
                  <w:r>
                    <w:rPr>
                      <w:rFonts w:hint="eastAsia"/>
                      <w:color w:val="000000"/>
                      <w:sz w:val="21"/>
                      <w:szCs w:val="21"/>
                      <w:vertAlign w:val="baseline"/>
                      <w:lang w:val="en-US" w:eastAsia="zh-CN"/>
                    </w:rPr>
                    <w:t>经化粪池处理后与冷凝水一同</w:t>
                  </w:r>
                  <w:r>
                    <w:rPr>
                      <w:rFonts w:hint="eastAsia"/>
                      <w:color w:val="000000"/>
                      <w:sz w:val="21"/>
                      <w:szCs w:val="21"/>
                      <w:vertAlign w:val="baseline"/>
                      <w:lang w:eastAsia="zh-CN"/>
                    </w:rPr>
                    <w:t>排入</w:t>
                  </w:r>
                  <w:r>
                    <w:rPr>
                      <w:rFonts w:hint="eastAsia" w:cs="Times New Roman"/>
                      <w:color w:val="auto"/>
                      <w:kern w:val="2"/>
                      <w:sz w:val="21"/>
                      <w:szCs w:val="21"/>
                      <w:u w:val="none" w:color="auto"/>
                      <w:lang w:val="en-US" w:eastAsia="zh-CN" w:bidi="ar-SA"/>
                    </w:rPr>
                    <w:t>岳阳市三峡水环境综合治理有限责任公司临港水质净化厂</w:t>
                  </w:r>
                  <w:r>
                    <w:rPr>
                      <w:rFonts w:hint="eastAsia"/>
                      <w:color w:val="000000"/>
                      <w:sz w:val="21"/>
                      <w:szCs w:val="21"/>
                      <w:vertAlign w:val="baseline"/>
                      <w:lang w:eastAsia="zh-CN"/>
                    </w:rPr>
                    <w:t>处理</w:t>
                  </w:r>
                </w:p>
              </w:tc>
              <w:tc>
                <w:tcPr>
                  <w:tcW w:w="734" w:type="pct"/>
                  <w:tcBorders>
                    <w:left w:val="single" w:color="auto" w:sz="4" w:space="0"/>
                  </w:tcBorders>
                  <w:noWrap w:val="0"/>
                  <w:vAlign w:val="center"/>
                </w:tcPr>
                <w:p w14:paraId="14F860CD">
                  <w:pPr>
                    <w:pStyle w:val="78"/>
                    <w:rPr>
                      <w:rFonts w:hint="default" w:hAnsi="Times New Roman"/>
                      <w:strike w:val="0"/>
                      <w:dstrike w:val="0"/>
                      <w:sz w:val="21"/>
                      <w:u w:val="none"/>
                      <w:lang w:val="en-US"/>
                    </w:rPr>
                  </w:pPr>
                  <w:r>
                    <w:rPr>
                      <w:rFonts w:hint="eastAsia"/>
                      <w:strike w:val="0"/>
                      <w:dstrike w:val="0"/>
                      <w:sz w:val="21"/>
                      <w:szCs w:val="21"/>
                      <w:u w:val="none"/>
                      <w:lang w:val="en-US" w:eastAsia="zh-CN"/>
                    </w:rPr>
                    <w:t>依托</w:t>
                  </w:r>
                </w:p>
              </w:tc>
            </w:tr>
            <w:tr w14:paraId="461C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5" w:type="pct"/>
                  <w:vMerge w:val="continue"/>
                  <w:tcBorders>
                    <w:right w:val="single" w:color="auto" w:sz="4" w:space="0"/>
                  </w:tcBorders>
                  <w:noWrap w:val="0"/>
                  <w:vAlign w:val="center"/>
                </w:tcPr>
                <w:p w14:paraId="1F93F22A">
                  <w:pPr>
                    <w:pStyle w:val="78"/>
                    <w:rPr>
                      <w:rFonts w:hAnsi="Times New Roman"/>
                      <w:strike w:val="0"/>
                      <w:dstrike w:val="0"/>
                      <w:sz w:val="21"/>
                      <w:u w:val="none"/>
                    </w:rPr>
                  </w:pPr>
                </w:p>
              </w:tc>
              <w:tc>
                <w:tcPr>
                  <w:tcW w:w="421" w:type="pct"/>
                  <w:tcBorders>
                    <w:right w:val="single" w:color="auto" w:sz="4" w:space="0"/>
                  </w:tcBorders>
                  <w:noWrap w:val="0"/>
                  <w:vAlign w:val="center"/>
                </w:tcPr>
                <w:p w14:paraId="23CB3C38">
                  <w:pPr>
                    <w:pStyle w:val="78"/>
                    <w:rPr>
                      <w:rFonts w:hint="eastAsia" w:hAnsi="Times New Roman" w:eastAsia="宋体"/>
                      <w:strike w:val="0"/>
                      <w:dstrike w:val="0"/>
                      <w:sz w:val="21"/>
                      <w:u w:val="none"/>
                      <w:lang w:val="en-US" w:eastAsia="zh-CN"/>
                    </w:rPr>
                  </w:pPr>
                  <w:r>
                    <w:rPr>
                      <w:rFonts w:hint="eastAsia" w:hAnsi="Times New Roman"/>
                      <w:strike w:val="0"/>
                      <w:dstrike w:val="0"/>
                      <w:sz w:val="21"/>
                      <w:u w:val="none"/>
                      <w:lang w:val="en-US" w:eastAsia="zh-CN"/>
                    </w:rPr>
                    <w:t>噪声</w:t>
                  </w:r>
                </w:p>
              </w:tc>
              <w:tc>
                <w:tcPr>
                  <w:tcW w:w="3558" w:type="pct"/>
                  <w:gridSpan w:val="2"/>
                  <w:tcBorders>
                    <w:top w:val="single" w:color="auto" w:sz="4" w:space="0"/>
                    <w:left w:val="single" w:color="auto" w:sz="4" w:space="0"/>
                    <w:bottom w:val="single" w:color="auto" w:sz="4" w:space="0"/>
                    <w:right w:val="single" w:color="auto" w:sz="4" w:space="0"/>
                  </w:tcBorders>
                  <w:noWrap w:val="0"/>
                  <w:vAlign w:val="center"/>
                </w:tcPr>
                <w:p w14:paraId="17819FB1">
                  <w:pPr>
                    <w:pStyle w:val="78"/>
                    <w:rPr>
                      <w:rFonts w:hAnsi="Times New Roman"/>
                      <w:strike w:val="0"/>
                      <w:dstrike w:val="0"/>
                      <w:color w:val="auto"/>
                      <w:sz w:val="21"/>
                      <w:u w:val="none"/>
                    </w:rPr>
                  </w:pPr>
                  <w:r>
                    <w:rPr>
                      <w:rFonts w:hint="eastAsia" w:hAnsi="Times New Roman"/>
                      <w:strike w:val="0"/>
                      <w:dstrike w:val="0"/>
                      <w:color w:val="auto"/>
                      <w:sz w:val="21"/>
                      <w:u w:val="none"/>
                    </w:rPr>
                    <w:t>本项目</w:t>
                  </w:r>
                  <w:r>
                    <w:rPr>
                      <w:rFonts w:hAnsi="Times New Roman"/>
                      <w:strike w:val="0"/>
                      <w:dstrike w:val="0"/>
                      <w:color w:val="auto"/>
                      <w:sz w:val="21"/>
                      <w:u w:val="none"/>
                    </w:rPr>
                    <w:t>采用低噪声设备；采取合理布局、隔声、减振等措施，降低噪声强度；定期维护检修以确保设备运转正常，防止设备故障形成的非正常生产噪声</w:t>
                  </w:r>
                </w:p>
              </w:tc>
              <w:tc>
                <w:tcPr>
                  <w:tcW w:w="734" w:type="pct"/>
                  <w:tcBorders>
                    <w:left w:val="single" w:color="auto" w:sz="4" w:space="0"/>
                  </w:tcBorders>
                  <w:noWrap w:val="0"/>
                  <w:vAlign w:val="center"/>
                </w:tcPr>
                <w:p w14:paraId="22C23516">
                  <w:pPr>
                    <w:pStyle w:val="78"/>
                    <w:rPr>
                      <w:rFonts w:hAnsi="Times New Roman"/>
                      <w:strike w:val="0"/>
                      <w:dstrike w:val="0"/>
                      <w:sz w:val="21"/>
                      <w:u w:val="none"/>
                    </w:rPr>
                  </w:pPr>
                  <w:r>
                    <w:rPr>
                      <w:rFonts w:hint="eastAsia" w:eastAsia="宋体"/>
                      <w:strike w:val="0"/>
                      <w:dstrike w:val="0"/>
                      <w:sz w:val="21"/>
                      <w:szCs w:val="21"/>
                      <w:u w:val="none"/>
                      <w:lang w:val="en-US" w:eastAsia="zh-CN"/>
                    </w:rPr>
                    <w:t>新建</w:t>
                  </w:r>
                </w:p>
              </w:tc>
            </w:tr>
            <w:tr w14:paraId="53B9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5" w:type="pct"/>
                  <w:vMerge w:val="continue"/>
                  <w:tcBorders>
                    <w:right w:val="single" w:color="auto" w:sz="4" w:space="0"/>
                  </w:tcBorders>
                  <w:noWrap w:val="0"/>
                  <w:vAlign w:val="center"/>
                </w:tcPr>
                <w:p w14:paraId="6C401D75">
                  <w:pPr>
                    <w:pStyle w:val="78"/>
                    <w:rPr>
                      <w:rFonts w:hAnsi="Times New Roman"/>
                      <w:strike w:val="0"/>
                      <w:dstrike w:val="0"/>
                      <w:sz w:val="21"/>
                      <w:u w:val="none"/>
                    </w:rPr>
                  </w:pPr>
                </w:p>
              </w:tc>
              <w:tc>
                <w:tcPr>
                  <w:tcW w:w="421" w:type="pct"/>
                  <w:tcBorders>
                    <w:right w:val="single" w:color="auto" w:sz="4" w:space="0"/>
                  </w:tcBorders>
                  <w:noWrap w:val="0"/>
                  <w:vAlign w:val="center"/>
                </w:tcPr>
                <w:p w14:paraId="5F633CC4">
                  <w:pPr>
                    <w:pStyle w:val="78"/>
                    <w:rPr>
                      <w:rFonts w:hint="eastAsia" w:hAnsi="Times New Roman" w:eastAsia="宋体"/>
                      <w:strike w:val="0"/>
                      <w:dstrike w:val="0"/>
                      <w:sz w:val="21"/>
                      <w:u w:val="none"/>
                      <w:lang w:val="en-US" w:eastAsia="zh-CN"/>
                    </w:rPr>
                  </w:pPr>
                  <w:r>
                    <w:rPr>
                      <w:rFonts w:hint="eastAsia" w:hAnsi="Times New Roman"/>
                      <w:strike w:val="0"/>
                      <w:dstrike w:val="0"/>
                      <w:sz w:val="21"/>
                      <w:u w:val="none"/>
                      <w:lang w:val="en-US" w:eastAsia="zh-CN"/>
                    </w:rPr>
                    <w:t>固废</w:t>
                  </w:r>
                </w:p>
              </w:tc>
              <w:tc>
                <w:tcPr>
                  <w:tcW w:w="3558" w:type="pct"/>
                  <w:gridSpan w:val="2"/>
                  <w:tcBorders>
                    <w:top w:val="single" w:color="auto" w:sz="4" w:space="0"/>
                    <w:left w:val="single" w:color="auto" w:sz="4" w:space="0"/>
                    <w:bottom w:val="single" w:color="auto" w:sz="4" w:space="0"/>
                    <w:right w:val="single" w:color="auto" w:sz="4" w:space="0"/>
                  </w:tcBorders>
                  <w:noWrap w:val="0"/>
                  <w:vAlign w:val="center"/>
                </w:tcPr>
                <w:p w14:paraId="09897F48">
                  <w:pPr>
                    <w:pStyle w:val="78"/>
                    <w:rPr>
                      <w:rFonts w:hint="default" w:hAnsi="Times New Roman" w:eastAsia="宋体"/>
                      <w:strike w:val="0"/>
                      <w:dstrike w:val="0"/>
                      <w:color w:val="auto"/>
                      <w:sz w:val="21"/>
                      <w:u w:val="none"/>
                      <w:lang w:val="en-US" w:eastAsia="zh-CN"/>
                    </w:rPr>
                  </w:pPr>
                  <w:r>
                    <w:rPr>
                      <w:rFonts w:hint="default" w:hAnsi="Times New Roman"/>
                      <w:color w:val="auto"/>
                      <w:sz w:val="21"/>
                    </w:rPr>
                    <w:t>本项目的固废主要为生活垃圾、</w:t>
                  </w:r>
                  <w:r>
                    <w:rPr>
                      <w:rFonts w:hint="eastAsia" w:hAnsi="Times New Roman"/>
                      <w:color w:val="auto"/>
                      <w:sz w:val="21"/>
                      <w:lang w:val="en-US" w:eastAsia="zh-CN"/>
                    </w:rPr>
                    <w:t>回收固废</w:t>
                  </w:r>
                  <w:r>
                    <w:rPr>
                      <w:rFonts w:hint="default" w:hAnsi="Times New Roman"/>
                      <w:color w:val="auto"/>
                      <w:sz w:val="21"/>
                    </w:rPr>
                    <w:t>、</w:t>
                  </w:r>
                  <w:r>
                    <w:rPr>
                      <w:rFonts w:hint="eastAsia" w:hAnsi="Times New Roman"/>
                      <w:color w:val="auto"/>
                      <w:sz w:val="21"/>
                      <w:lang w:val="en-US" w:eastAsia="zh-CN"/>
                    </w:rPr>
                    <w:t>废原料包装桶、</w:t>
                  </w:r>
                  <w:r>
                    <w:rPr>
                      <w:rFonts w:hint="default" w:hAnsi="Times New Roman"/>
                      <w:color w:val="auto"/>
                      <w:sz w:val="21"/>
                    </w:rPr>
                    <w:t>废矿物油、废矿物油桶、含油手套及抹布。</w:t>
                  </w:r>
                  <w:r>
                    <w:rPr>
                      <w:rFonts w:hint="eastAsia" w:hAnsi="Times New Roman"/>
                      <w:color w:val="auto"/>
                      <w:sz w:val="21"/>
                      <w:lang w:val="en-US" w:eastAsia="zh-CN"/>
                    </w:rPr>
                    <w:t>回收固废</w:t>
                  </w:r>
                  <w:r>
                    <w:rPr>
                      <w:rFonts w:hint="default" w:hAnsi="Times New Roman"/>
                      <w:color w:val="auto"/>
                      <w:sz w:val="21"/>
                    </w:rPr>
                    <w:t>经收集后外售给回收公司；</w:t>
                  </w:r>
                  <w:r>
                    <w:rPr>
                      <w:rFonts w:hint="eastAsia" w:hAnsi="Times New Roman"/>
                      <w:color w:val="auto"/>
                      <w:sz w:val="21"/>
                      <w:lang w:val="en-US" w:eastAsia="zh-CN"/>
                    </w:rPr>
                    <w:t>废原料包装桶交由厂家回收；</w:t>
                  </w:r>
                  <w:r>
                    <w:rPr>
                      <w:rFonts w:hint="default" w:hAnsi="Times New Roman"/>
                      <w:color w:val="auto"/>
                      <w:sz w:val="21"/>
                    </w:rPr>
                    <w:t>废矿物油、废矿物油桶、含油手套及抹布经统一收集暂存于危废间后，交由有资质单位处理</w:t>
                  </w:r>
                  <w:r>
                    <w:rPr>
                      <w:rFonts w:hint="eastAsia" w:hAnsi="Times New Roman"/>
                      <w:color w:val="auto"/>
                      <w:sz w:val="21"/>
                      <w:lang w:eastAsia="zh-CN"/>
                    </w:rPr>
                    <w:t>；</w:t>
                  </w:r>
                  <w:r>
                    <w:rPr>
                      <w:rFonts w:hint="eastAsia" w:hAnsi="Times New Roman"/>
                      <w:color w:val="auto"/>
                      <w:sz w:val="21"/>
                      <w:lang w:val="en-US" w:eastAsia="zh-CN"/>
                    </w:rPr>
                    <w:t>生活垃圾交由环卫部门处理</w:t>
                  </w:r>
                </w:p>
              </w:tc>
              <w:tc>
                <w:tcPr>
                  <w:tcW w:w="734" w:type="pct"/>
                  <w:tcBorders>
                    <w:left w:val="single" w:color="auto" w:sz="4" w:space="0"/>
                  </w:tcBorders>
                  <w:noWrap w:val="0"/>
                  <w:vAlign w:val="center"/>
                </w:tcPr>
                <w:p w14:paraId="4FB4E5A9">
                  <w:pPr>
                    <w:pStyle w:val="78"/>
                    <w:rPr>
                      <w:rFonts w:hAnsi="Times New Roman"/>
                      <w:strike w:val="0"/>
                      <w:dstrike w:val="0"/>
                      <w:color w:val="0000FF"/>
                      <w:sz w:val="21"/>
                      <w:u w:val="none"/>
                    </w:rPr>
                  </w:pPr>
                  <w:r>
                    <w:rPr>
                      <w:rFonts w:hint="eastAsia" w:eastAsia="宋体"/>
                      <w:strike w:val="0"/>
                      <w:dstrike w:val="0"/>
                      <w:sz w:val="21"/>
                      <w:szCs w:val="21"/>
                      <w:u w:val="none"/>
                      <w:lang w:val="en-US" w:eastAsia="zh-CN"/>
                    </w:rPr>
                    <w:t>新建</w:t>
                  </w:r>
                </w:p>
              </w:tc>
            </w:tr>
            <w:tr w14:paraId="478B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5" w:type="pct"/>
                  <w:vMerge w:val="continue"/>
                  <w:tcBorders>
                    <w:right w:val="single" w:color="auto" w:sz="4" w:space="0"/>
                  </w:tcBorders>
                  <w:noWrap w:val="0"/>
                  <w:vAlign w:val="center"/>
                </w:tcPr>
                <w:p w14:paraId="4A44FDD3">
                  <w:pPr>
                    <w:pStyle w:val="78"/>
                    <w:rPr>
                      <w:rFonts w:hAnsi="Times New Roman"/>
                      <w:strike w:val="0"/>
                      <w:dstrike w:val="0"/>
                      <w:sz w:val="21"/>
                      <w:u w:val="none"/>
                    </w:rPr>
                  </w:pPr>
                </w:p>
              </w:tc>
              <w:tc>
                <w:tcPr>
                  <w:tcW w:w="421" w:type="pct"/>
                  <w:tcBorders>
                    <w:right w:val="single" w:color="auto" w:sz="4" w:space="0"/>
                  </w:tcBorders>
                  <w:noWrap w:val="0"/>
                  <w:vAlign w:val="center"/>
                </w:tcPr>
                <w:p w14:paraId="6519BD50">
                  <w:pPr>
                    <w:pStyle w:val="78"/>
                    <w:rPr>
                      <w:rFonts w:hint="default" w:hAnsi="Times New Roman"/>
                      <w:strike w:val="0"/>
                      <w:dstrike w:val="0"/>
                      <w:sz w:val="21"/>
                      <w:u w:val="none"/>
                      <w:lang w:val="en-US" w:eastAsia="zh-CN"/>
                    </w:rPr>
                  </w:pPr>
                  <w:r>
                    <w:rPr>
                      <w:rFonts w:hint="eastAsia" w:hAnsi="Times New Roman"/>
                      <w:strike w:val="0"/>
                      <w:dstrike w:val="0"/>
                      <w:sz w:val="21"/>
                      <w:u w:val="none"/>
                      <w:lang w:val="en-US" w:eastAsia="zh-CN"/>
                    </w:rPr>
                    <w:t>风险措施</w:t>
                  </w:r>
                </w:p>
              </w:tc>
              <w:tc>
                <w:tcPr>
                  <w:tcW w:w="3558" w:type="pct"/>
                  <w:gridSpan w:val="2"/>
                  <w:tcBorders>
                    <w:top w:val="single" w:color="auto" w:sz="4" w:space="0"/>
                    <w:left w:val="single" w:color="auto" w:sz="4" w:space="0"/>
                    <w:bottom w:val="single" w:color="auto" w:sz="4" w:space="0"/>
                    <w:right w:val="single" w:color="auto" w:sz="4" w:space="0"/>
                  </w:tcBorders>
                  <w:noWrap w:val="0"/>
                  <w:vAlign w:val="center"/>
                </w:tcPr>
                <w:p w14:paraId="673DDCBC">
                  <w:pPr>
                    <w:pStyle w:val="78"/>
                    <w:numPr>
                      <w:ilvl w:val="-1"/>
                      <w:numId w:val="0"/>
                    </w:numPr>
                    <w:rPr>
                      <w:rFonts w:hint="eastAsia" w:hAnsi="Times New Roman" w:eastAsia="宋体"/>
                      <w:strike w:val="0"/>
                      <w:dstrike w:val="0"/>
                      <w:sz w:val="21"/>
                      <w:u w:val="none"/>
                      <w:lang w:val="en-US" w:eastAsia="zh-CN"/>
                    </w:rPr>
                  </w:pPr>
                  <w:r>
                    <w:rPr>
                      <w:rFonts w:hint="eastAsia" w:hAnsi="Times New Roman"/>
                      <w:strike w:val="0"/>
                      <w:dstrike w:val="0"/>
                      <w:sz w:val="21"/>
                      <w:u w:val="none"/>
                      <w:lang w:val="en-US" w:eastAsia="zh-CN"/>
                    </w:rPr>
                    <w:t>原料区、成品区、储罐区以及危废间设置防渗漏措施，并设置围堰</w:t>
                  </w:r>
                </w:p>
              </w:tc>
              <w:tc>
                <w:tcPr>
                  <w:tcW w:w="734" w:type="pct"/>
                  <w:tcBorders>
                    <w:left w:val="single" w:color="auto" w:sz="4" w:space="0"/>
                  </w:tcBorders>
                  <w:noWrap w:val="0"/>
                  <w:vAlign w:val="center"/>
                </w:tcPr>
                <w:p w14:paraId="69CCD175">
                  <w:pPr>
                    <w:adjustRightInd w:val="0"/>
                    <w:snapToGrid w:val="0"/>
                    <w:jc w:val="center"/>
                    <w:rPr>
                      <w:rFonts w:hAnsi="Times New Roman"/>
                      <w:strike w:val="0"/>
                      <w:dstrike w:val="0"/>
                      <w:sz w:val="21"/>
                      <w:szCs w:val="21"/>
                      <w:u w:val="none"/>
                    </w:rPr>
                  </w:pPr>
                  <w:r>
                    <w:rPr>
                      <w:rFonts w:hint="eastAsia"/>
                      <w:strike w:val="0"/>
                      <w:dstrike w:val="0"/>
                      <w:sz w:val="21"/>
                      <w:szCs w:val="21"/>
                      <w:u w:val="none"/>
                      <w:lang w:val="en-US" w:eastAsia="zh-CN"/>
                    </w:rPr>
                    <w:t>新建</w:t>
                  </w:r>
                </w:p>
              </w:tc>
            </w:tr>
          </w:tbl>
          <w:p w14:paraId="68E47D56">
            <w:pPr>
              <w:pStyle w:val="3"/>
              <w:rPr>
                <w:rFonts w:ascii="Times New Roman" w:hAnsi="Times New Roman"/>
                <w:szCs w:val="24"/>
              </w:rPr>
            </w:pPr>
            <w:r>
              <w:rPr>
                <w:rFonts w:hint="eastAsia" w:ascii="Times New Roman" w:hAnsi="Times New Roman"/>
                <w:szCs w:val="24"/>
              </w:rPr>
              <w:t>2.</w:t>
            </w:r>
            <w:r>
              <w:rPr>
                <w:rFonts w:hint="eastAsia" w:ascii="Times New Roman" w:hAnsi="Times New Roman"/>
                <w:szCs w:val="24"/>
                <w:lang w:val="en-US" w:eastAsia="zh-CN"/>
              </w:rPr>
              <w:t>3</w:t>
            </w:r>
            <w:r>
              <w:rPr>
                <w:rFonts w:hint="eastAsia" w:ascii="Times New Roman" w:hAnsi="Times New Roman"/>
                <w:szCs w:val="24"/>
              </w:rPr>
              <w:t xml:space="preserve"> 主要生产设备、原材料消耗和产品方案</w:t>
            </w:r>
          </w:p>
          <w:p w14:paraId="33B159F0">
            <w:pPr>
              <w:adjustRightInd w:val="0"/>
              <w:snapToGrid w:val="0"/>
              <w:spacing w:line="360" w:lineRule="auto"/>
              <w:ind w:firstLine="480" w:firstLineChars="200"/>
            </w:pPr>
            <w:r>
              <w:rPr>
                <w:rFonts w:hint="eastAsia"/>
              </w:rPr>
              <w:t>1、主要生产设备</w:t>
            </w:r>
          </w:p>
          <w:p w14:paraId="328D8030">
            <w:pPr>
              <w:pStyle w:val="89"/>
              <w:spacing w:line="360" w:lineRule="auto"/>
              <w:ind w:firstLine="480"/>
              <w:jc w:val="both"/>
              <w:rPr>
                <w:b/>
                <w:bCs/>
                <w:szCs w:val="24"/>
              </w:rPr>
            </w:pPr>
            <w:r>
              <w:rPr>
                <w:rFonts w:hint="eastAsia" w:cs="Times New Roman"/>
                <w:bCs/>
                <w:szCs w:val="24"/>
                <w:lang w:val="en-US" w:eastAsia="zh-CN"/>
              </w:rPr>
              <w:t>本项目</w:t>
            </w:r>
            <w:r>
              <w:rPr>
                <w:rFonts w:hint="eastAsia" w:cs="Times New Roman"/>
                <w:bCs/>
                <w:szCs w:val="24"/>
              </w:rPr>
              <w:t>主要设备见表2-2。</w:t>
            </w:r>
          </w:p>
          <w:p w14:paraId="5742F9D7">
            <w:pPr>
              <w:pStyle w:val="60"/>
              <w:spacing w:before="24" w:after="24"/>
              <w:rPr>
                <w:b/>
                <w:bCs/>
                <w:sz w:val="24"/>
                <w:szCs w:val="24"/>
                <w:u w:val="single"/>
              </w:rPr>
            </w:pPr>
            <w:r>
              <w:rPr>
                <w:rFonts w:ascii="Times New Roman" w:hAnsi="Times New Roman"/>
                <w:b/>
                <w:bCs/>
                <w:sz w:val="24"/>
                <w:szCs w:val="24"/>
                <w:u w:val="none"/>
              </w:rPr>
              <w:t>表2-2</w:t>
            </w:r>
            <w:r>
              <w:rPr>
                <w:rFonts w:hint="eastAsia" w:ascii="Times New Roman" w:hAnsi="Times New Roman"/>
                <w:b/>
                <w:bCs/>
                <w:sz w:val="24"/>
                <w:szCs w:val="24"/>
                <w:u w:val="none"/>
              </w:rPr>
              <w:t xml:space="preserve">  </w:t>
            </w:r>
            <w:r>
              <w:rPr>
                <w:rFonts w:ascii="Times New Roman" w:hAnsi="Times New Roman"/>
                <w:b/>
                <w:bCs/>
                <w:sz w:val="24"/>
                <w:szCs w:val="24"/>
                <w:u w:val="none"/>
              </w:rPr>
              <w:t>主要</w:t>
            </w:r>
            <w:r>
              <w:rPr>
                <w:rFonts w:hint="eastAsia"/>
                <w:b/>
                <w:bCs/>
                <w:sz w:val="24"/>
                <w:szCs w:val="24"/>
                <w:u w:val="none"/>
              </w:rPr>
              <w:t>生产设备一览表</w:t>
            </w:r>
          </w:p>
          <w:tbl>
            <w:tblPr>
              <w:tblStyle w:val="3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3"/>
              <w:gridCol w:w="1498"/>
              <w:gridCol w:w="1823"/>
              <w:gridCol w:w="955"/>
              <w:gridCol w:w="1161"/>
              <w:gridCol w:w="1954"/>
            </w:tblGrid>
            <w:tr w14:paraId="7A696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00" w:type="pct"/>
                  <w:noWrap w:val="0"/>
                  <w:vAlign w:val="center"/>
                </w:tcPr>
                <w:p w14:paraId="294AF9FF">
                  <w:pPr>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序号</w:t>
                  </w:r>
                </w:p>
              </w:tc>
              <w:tc>
                <w:tcPr>
                  <w:tcW w:w="932" w:type="pct"/>
                  <w:noWrap w:val="0"/>
                  <w:vAlign w:val="center"/>
                </w:tcPr>
                <w:p w14:paraId="54BA6F26">
                  <w:pPr>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设备名称</w:t>
                  </w:r>
                </w:p>
              </w:tc>
              <w:tc>
                <w:tcPr>
                  <w:tcW w:w="1134" w:type="pct"/>
                  <w:noWrap w:val="0"/>
                  <w:vAlign w:val="center"/>
                </w:tcPr>
                <w:p w14:paraId="4B3CBC25">
                  <w:pPr>
                    <w:jc w:val="center"/>
                    <w:rPr>
                      <w:rFonts w:hint="default" w:ascii="Times New Roman" w:hAnsi="Times New Roman" w:cs="Times New Roman"/>
                      <w:b/>
                      <w:bCs/>
                      <w:color w:val="000000"/>
                      <w:sz w:val="21"/>
                      <w:szCs w:val="21"/>
                      <w:lang w:eastAsia="zh-CN"/>
                    </w:rPr>
                  </w:pPr>
                  <w:r>
                    <w:rPr>
                      <w:rFonts w:hint="default" w:ascii="Times New Roman" w:hAnsi="Times New Roman" w:cs="Times New Roman"/>
                      <w:b/>
                      <w:bCs/>
                      <w:color w:val="000000"/>
                      <w:sz w:val="21"/>
                      <w:szCs w:val="21"/>
                      <w:lang w:eastAsia="zh-CN"/>
                    </w:rPr>
                    <w:t>型号</w:t>
                  </w:r>
                </w:p>
              </w:tc>
              <w:tc>
                <w:tcPr>
                  <w:tcW w:w="594" w:type="pct"/>
                  <w:noWrap w:val="0"/>
                  <w:vAlign w:val="center"/>
                </w:tcPr>
                <w:p w14:paraId="5385DCA4">
                  <w:pPr>
                    <w:jc w:val="center"/>
                    <w:rPr>
                      <w:rFonts w:hint="default" w:ascii="Times New Roman" w:hAnsi="Times New Roman" w:cs="Times New Roman"/>
                      <w:b/>
                      <w:bCs/>
                      <w:color w:val="000000"/>
                      <w:sz w:val="21"/>
                      <w:szCs w:val="21"/>
                      <w:lang w:val="en-US" w:eastAsia="zh-CN"/>
                    </w:rPr>
                  </w:pPr>
                  <w:r>
                    <w:rPr>
                      <w:rFonts w:hint="eastAsia" w:ascii="Times New Roman" w:hAnsi="Times New Roman" w:cs="Times New Roman"/>
                      <w:b/>
                      <w:bCs/>
                      <w:color w:val="000000"/>
                      <w:sz w:val="21"/>
                      <w:szCs w:val="21"/>
                      <w:lang w:val="en-US" w:eastAsia="zh-CN"/>
                    </w:rPr>
                    <w:t>数量</w:t>
                  </w:r>
                </w:p>
              </w:tc>
              <w:tc>
                <w:tcPr>
                  <w:tcW w:w="722" w:type="pct"/>
                  <w:noWrap w:val="0"/>
                  <w:vAlign w:val="center"/>
                </w:tcPr>
                <w:p w14:paraId="138D185D">
                  <w:pPr>
                    <w:jc w:val="center"/>
                    <w:rPr>
                      <w:rFonts w:hint="default"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用途</w:t>
                  </w:r>
                </w:p>
              </w:tc>
              <w:tc>
                <w:tcPr>
                  <w:tcW w:w="1215" w:type="pct"/>
                  <w:noWrap w:val="0"/>
                  <w:vAlign w:val="center"/>
                </w:tcPr>
                <w:p w14:paraId="796E4864">
                  <w:pPr>
                    <w:jc w:val="center"/>
                    <w:rPr>
                      <w:rFonts w:hint="default" w:ascii="Times New Roman" w:hAnsi="Times New Roman" w:eastAsia="宋体" w:cs="Times New Roman"/>
                      <w:b/>
                      <w:bCs/>
                      <w:color w:val="000000"/>
                      <w:sz w:val="21"/>
                      <w:szCs w:val="21"/>
                      <w:lang w:val="en-US" w:eastAsia="zh-CN"/>
                    </w:rPr>
                  </w:pPr>
                  <w:r>
                    <w:rPr>
                      <w:rFonts w:hint="eastAsia" w:cs="Times New Roman"/>
                      <w:b/>
                      <w:bCs/>
                      <w:color w:val="000000"/>
                      <w:sz w:val="21"/>
                      <w:szCs w:val="21"/>
                      <w:lang w:val="en-US" w:eastAsia="zh-CN"/>
                    </w:rPr>
                    <w:t>备注</w:t>
                  </w:r>
                </w:p>
              </w:tc>
            </w:tr>
            <w:tr w14:paraId="2CC64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00" w:type="pct"/>
                  <w:shd w:val="clear" w:color="auto" w:fill="auto"/>
                  <w:noWrap w:val="0"/>
                  <w:vAlign w:val="center"/>
                </w:tcPr>
                <w:p w14:paraId="1BF57BA9">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1</w:t>
                  </w:r>
                </w:p>
              </w:tc>
              <w:tc>
                <w:tcPr>
                  <w:tcW w:w="932" w:type="pct"/>
                  <w:shd w:val="clear" w:color="auto" w:fill="auto"/>
                  <w:noWrap w:val="0"/>
                  <w:vAlign w:val="center"/>
                </w:tcPr>
                <w:p w14:paraId="208E3A69">
                  <w:pPr>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干燥机</w:t>
                  </w:r>
                </w:p>
              </w:tc>
              <w:tc>
                <w:tcPr>
                  <w:tcW w:w="1134" w:type="pct"/>
                  <w:shd w:val="clear" w:color="auto" w:fill="auto"/>
                  <w:noWrap w:val="0"/>
                  <w:vAlign w:val="center"/>
                </w:tcPr>
                <w:p w14:paraId="267F4F2F">
                  <w:pPr>
                    <w:snapToGrid w:val="0"/>
                    <w:jc w:val="center"/>
                    <w:rPr>
                      <w:rFonts w:hint="default" w:ascii="Times New Roman" w:hAnsi="Times New Roman" w:eastAsia="宋体" w:cs="Times New Roman"/>
                      <w:kern w:val="2"/>
                      <w:sz w:val="21"/>
                      <w:szCs w:val="21"/>
                      <w:lang w:val="en-US" w:eastAsia="zh-CN" w:bidi="ar-SA"/>
                    </w:rPr>
                  </w:pPr>
                  <w:r>
                    <w:rPr>
                      <w:rFonts w:hint="default"/>
                      <w:sz w:val="21"/>
                      <w:szCs w:val="21"/>
                    </w:rPr>
                    <w:t>江苏皖苏</w:t>
                  </w:r>
                </w:p>
              </w:tc>
              <w:tc>
                <w:tcPr>
                  <w:tcW w:w="594" w:type="pct"/>
                  <w:shd w:val="clear" w:color="auto" w:fill="auto"/>
                  <w:noWrap w:val="0"/>
                  <w:vAlign w:val="center"/>
                </w:tcPr>
                <w:p w14:paraId="21DD93FA">
                  <w:pPr>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3套</w:t>
                  </w:r>
                </w:p>
              </w:tc>
              <w:tc>
                <w:tcPr>
                  <w:tcW w:w="722" w:type="pct"/>
                  <w:noWrap w:val="0"/>
                  <w:vAlign w:val="center"/>
                </w:tcPr>
                <w:p w14:paraId="6454EE53">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产品生产</w:t>
                  </w:r>
                </w:p>
              </w:tc>
              <w:tc>
                <w:tcPr>
                  <w:tcW w:w="1215" w:type="pct"/>
                  <w:noWrap w:val="0"/>
                  <w:vAlign w:val="center"/>
                </w:tcPr>
                <w:p w14:paraId="777A14E0">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一体化设备包含蒸馏、干燥、冷凝等</w:t>
                  </w:r>
                </w:p>
              </w:tc>
            </w:tr>
            <w:tr w14:paraId="1EDBF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00" w:type="pct"/>
                  <w:shd w:val="clear" w:color="auto" w:fill="auto"/>
                  <w:noWrap w:val="0"/>
                  <w:vAlign w:val="center"/>
                </w:tcPr>
                <w:p w14:paraId="2B8C88CE">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2</w:t>
                  </w:r>
                </w:p>
              </w:tc>
              <w:tc>
                <w:tcPr>
                  <w:tcW w:w="932" w:type="pct"/>
                  <w:shd w:val="clear" w:color="auto" w:fill="auto"/>
                  <w:noWrap w:val="0"/>
                  <w:vAlign w:val="center"/>
                </w:tcPr>
                <w:p w14:paraId="6C5BAA91">
                  <w:pPr>
                    <w:snapToGrid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冷却水塔</w:t>
                  </w:r>
                </w:p>
              </w:tc>
              <w:tc>
                <w:tcPr>
                  <w:tcW w:w="1134" w:type="pct"/>
                  <w:shd w:val="clear" w:color="auto" w:fill="auto"/>
                  <w:noWrap w:val="0"/>
                  <w:vAlign w:val="center"/>
                </w:tcPr>
                <w:p w14:paraId="11AB74A4">
                  <w:pPr>
                    <w:snapToGrid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125t，80t</w:t>
                  </w:r>
                </w:p>
              </w:tc>
              <w:tc>
                <w:tcPr>
                  <w:tcW w:w="594" w:type="pct"/>
                  <w:shd w:val="clear" w:color="auto" w:fill="auto"/>
                  <w:noWrap w:val="0"/>
                  <w:vAlign w:val="center"/>
                </w:tcPr>
                <w:p w14:paraId="5AC0B095">
                  <w:pPr>
                    <w:snapToGrid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3个</w:t>
                  </w:r>
                </w:p>
              </w:tc>
              <w:tc>
                <w:tcPr>
                  <w:tcW w:w="722" w:type="pct"/>
                  <w:noWrap w:val="0"/>
                  <w:vAlign w:val="center"/>
                </w:tcPr>
                <w:p w14:paraId="0C6FBC3B">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冷却</w:t>
                  </w:r>
                </w:p>
              </w:tc>
              <w:tc>
                <w:tcPr>
                  <w:tcW w:w="1215" w:type="pct"/>
                  <w:noWrap w:val="0"/>
                  <w:vAlign w:val="center"/>
                </w:tcPr>
                <w:p w14:paraId="7D741991">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w:t>
                  </w:r>
                </w:p>
              </w:tc>
            </w:tr>
            <w:tr w14:paraId="1F2E1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00" w:type="pct"/>
                  <w:shd w:val="clear" w:color="auto" w:fill="auto"/>
                  <w:noWrap w:val="0"/>
                  <w:vAlign w:val="center"/>
                </w:tcPr>
                <w:p w14:paraId="10BD469C">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3</w:t>
                  </w:r>
                </w:p>
              </w:tc>
              <w:tc>
                <w:tcPr>
                  <w:tcW w:w="932" w:type="pct"/>
                  <w:shd w:val="clear" w:color="auto" w:fill="auto"/>
                  <w:noWrap w:val="0"/>
                  <w:vAlign w:val="center"/>
                </w:tcPr>
                <w:p w14:paraId="5C4561AE">
                  <w:pPr>
                    <w:snapToGrid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冷却水箱</w:t>
                  </w:r>
                </w:p>
              </w:tc>
              <w:tc>
                <w:tcPr>
                  <w:tcW w:w="1134" w:type="pct"/>
                  <w:shd w:val="clear" w:color="auto" w:fill="auto"/>
                  <w:noWrap w:val="0"/>
                  <w:vAlign w:val="center"/>
                </w:tcPr>
                <w:p w14:paraId="48936F46">
                  <w:pPr>
                    <w:snapToGrid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112m</w:t>
                  </w:r>
                  <w:r>
                    <w:rPr>
                      <w:rFonts w:hint="eastAsia" w:cs="Times New Roman"/>
                      <w:kern w:val="2"/>
                      <w:sz w:val="21"/>
                      <w:szCs w:val="21"/>
                      <w:vertAlign w:val="superscript"/>
                      <w:lang w:val="en-US" w:eastAsia="zh-CN" w:bidi="ar-SA"/>
                    </w:rPr>
                    <w:t>3</w:t>
                  </w:r>
                </w:p>
              </w:tc>
              <w:tc>
                <w:tcPr>
                  <w:tcW w:w="594" w:type="pct"/>
                  <w:shd w:val="clear" w:color="auto" w:fill="auto"/>
                  <w:noWrap w:val="0"/>
                  <w:vAlign w:val="center"/>
                </w:tcPr>
                <w:p w14:paraId="1A9D5CCF">
                  <w:pPr>
                    <w:snapToGrid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2个</w:t>
                  </w:r>
                </w:p>
              </w:tc>
              <w:tc>
                <w:tcPr>
                  <w:tcW w:w="722" w:type="pct"/>
                  <w:noWrap w:val="0"/>
                  <w:vAlign w:val="center"/>
                </w:tcPr>
                <w:p w14:paraId="5E9CAD55">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冷却</w:t>
                  </w:r>
                </w:p>
              </w:tc>
              <w:tc>
                <w:tcPr>
                  <w:tcW w:w="1215" w:type="pct"/>
                  <w:noWrap w:val="0"/>
                  <w:vAlign w:val="center"/>
                </w:tcPr>
                <w:p w14:paraId="53FAEF5A">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w:t>
                  </w:r>
                </w:p>
              </w:tc>
            </w:tr>
            <w:tr w14:paraId="29563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400" w:type="pct"/>
                  <w:shd w:val="clear" w:color="auto" w:fill="auto"/>
                  <w:noWrap w:val="0"/>
                  <w:vAlign w:val="center"/>
                </w:tcPr>
                <w:p w14:paraId="5AF95B32">
                  <w:pPr>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4</w:t>
                  </w:r>
                </w:p>
              </w:tc>
              <w:tc>
                <w:tcPr>
                  <w:tcW w:w="932" w:type="pct"/>
                  <w:shd w:val="clear" w:color="auto" w:fill="auto"/>
                  <w:noWrap w:val="0"/>
                  <w:vAlign w:val="center"/>
                </w:tcPr>
                <w:p w14:paraId="4ED58BEF">
                  <w:pPr>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成品储罐</w:t>
                  </w:r>
                </w:p>
              </w:tc>
              <w:tc>
                <w:tcPr>
                  <w:tcW w:w="1134" w:type="pct"/>
                  <w:shd w:val="clear" w:color="auto" w:fill="auto"/>
                  <w:noWrap w:val="0"/>
                  <w:vAlign w:val="center"/>
                </w:tcPr>
                <w:p w14:paraId="2782EA9D">
                  <w:pPr>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36m</w:t>
                  </w:r>
                  <w:r>
                    <w:rPr>
                      <w:rFonts w:hint="eastAsia" w:ascii="Times New Roman" w:hAnsi="Times New Roman" w:eastAsia="宋体" w:cs="Times New Roman"/>
                      <w:kern w:val="2"/>
                      <w:sz w:val="21"/>
                      <w:szCs w:val="21"/>
                      <w:vertAlign w:val="superscript"/>
                      <w:lang w:val="en-US" w:eastAsia="zh-CN" w:bidi="ar-SA"/>
                    </w:rPr>
                    <w:t>3</w:t>
                  </w:r>
                </w:p>
              </w:tc>
              <w:tc>
                <w:tcPr>
                  <w:tcW w:w="594" w:type="pct"/>
                  <w:shd w:val="clear" w:color="auto" w:fill="auto"/>
                  <w:noWrap w:val="0"/>
                  <w:vAlign w:val="center"/>
                </w:tcPr>
                <w:p w14:paraId="04E15AF2">
                  <w:pPr>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2个</w:t>
                  </w:r>
                </w:p>
              </w:tc>
              <w:tc>
                <w:tcPr>
                  <w:tcW w:w="722" w:type="pct"/>
                  <w:noWrap w:val="0"/>
                  <w:vAlign w:val="center"/>
                </w:tcPr>
                <w:p w14:paraId="1E480CEA">
                  <w:pPr>
                    <w:jc w:val="center"/>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成品储存</w:t>
                  </w:r>
                </w:p>
              </w:tc>
              <w:tc>
                <w:tcPr>
                  <w:tcW w:w="1215" w:type="pct"/>
                  <w:noWrap w:val="0"/>
                  <w:vAlign w:val="center"/>
                </w:tcPr>
                <w:p w14:paraId="79F7CE0E">
                  <w:pPr>
                    <w:jc w:val="center"/>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w:t>
                  </w:r>
                </w:p>
              </w:tc>
            </w:tr>
          </w:tbl>
          <w:p w14:paraId="60264DC3">
            <w:pPr>
              <w:adjustRightInd w:val="0"/>
              <w:snapToGrid w:val="0"/>
              <w:spacing w:line="360" w:lineRule="auto"/>
              <w:ind w:firstLine="480" w:firstLineChars="200"/>
            </w:pPr>
            <w:r>
              <w:rPr>
                <w:rFonts w:hint="eastAsia"/>
              </w:rPr>
              <w:t>2、产品方案</w:t>
            </w:r>
          </w:p>
          <w:p w14:paraId="0A389506">
            <w:pPr>
              <w:adjustRightInd w:val="0"/>
              <w:snapToGrid w:val="0"/>
              <w:spacing w:line="360" w:lineRule="auto"/>
              <w:ind w:firstLine="480" w:firstLineChars="200"/>
              <w:rPr>
                <w:bCs/>
                <w:highlight w:val="none"/>
                <w:u w:val="none"/>
              </w:rPr>
            </w:pPr>
            <w:r>
              <w:rPr>
                <w:rFonts w:hint="eastAsia"/>
                <w:bCs/>
                <w:highlight w:val="none"/>
                <w:u w:val="none"/>
                <w:lang w:val="en-US" w:eastAsia="zh-CN"/>
              </w:rPr>
              <w:t>本项目</w:t>
            </w:r>
            <w:r>
              <w:rPr>
                <w:rFonts w:hint="eastAsia"/>
                <w:bCs/>
                <w:highlight w:val="none"/>
                <w:u w:val="none"/>
              </w:rPr>
              <w:t>主要产品方案见表2-</w:t>
            </w:r>
            <w:r>
              <w:rPr>
                <w:bCs/>
                <w:highlight w:val="none"/>
                <w:u w:val="none"/>
                <w:lang w:val="en-GB"/>
              </w:rPr>
              <w:t>3</w:t>
            </w:r>
            <w:r>
              <w:rPr>
                <w:rFonts w:hint="eastAsia"/>
                <w:bCs/>
                <w:highlight w:val="none"/>
                <w:u w:val="none"/>
              </w:rPr>
              <w:t>。</w:t>
            </w:r>
          </w:p>
          <w:p w14:paraId="1AECFCE4">
            <w:pPr>
              <w:pStyle w:val="60"/>
              <w:spacing w:before="24" w:after="24"/>
              <w:rPr>
                <w:rFonts w:ascii="Times New Roman" w:hAnsi="Times New Roman"/>
                <w:b/>
                <w:bCs/>
                <w:sz w:val="24"/>
                <w:szCs w:val="24"/>
                <w:u w:val="none"/>
              </w:rPr>
            </w:pPr>
            <w:r>
              <w:rPr>
                <w:rFonts w:ascii="Times New Roman" w:hAnsi="Times New Roman"/>
                <w:b/>
                <w:bCs/>
                <w:sz w:val="24"/>
                <w:szCs w:val="24"/>
                <w:u w:val="none"/>
              </w:rPr>
              <w:t>表2-</w:t>
            </w:r>
            <w:r>
              <w:rPr>
                <w:rFonts w:ascii="Times New Roman" w:hAnsi="Times New Roman"/>
                <w:b/>
                <w:bCs/>
                <w:sz w:val="24"/>
                <w:szCs w:val="24"/>
                <w:u w:val="none"/>
                <w:lang w:val="en-GB"/>
              </w:rPr>
              <w:t>3</w:t>
            </w:r>
            <w:r>
              <w:rPr>
                <w:rFonts w:hint="eastAsia" w:ascii="Times New Roman" w:hAnsi="Times New Roman"/>
                <w:b/>
                <w:bCs/>
                <w:sz w:val="24"/>
                <w:szCs w:val="24"/>
                <w:u w:val="none"/>
              </w:rPr>
              <w:t xml:space="preserve">  </w:t>
            </w:r>
            <w:r>
              <w:rPr>
                <w:rFonts w:ascii="Times New Roman" w:hAnsi="Times New Roman"/>
                <w:b/>
                <w:bCs/>
                <w:sz w:val="24"/>
                <w:szCs w:val="24"/>
                <w:u w:val="none"/>
              </w:rPr>
              <w:t>产品</w:t>
            </w:r>
            <w:r>
              <w:rPr>
                <w:rFonts w:hint="eastAsia" w:ascii="Times New Roman" w:hAnsi="Times New Roman"/>
                <w:b/>
                <w:bCs/>
                <w:sz w:val="24"/>
                <w:szCs w:val="24"/>
                <w:u w:val="none"/>
              </w:rPr>
              <w:t>方案</w:t>
            </w:r>
            <w:r>
              <w:rPr>
                <w:rFonts w:ascii="Times New Roman" w:hAnsi="Times New Roman"/>
                <w:b/>
                <w:bCs/>
                <w:sz w:val="24"/>
                <w:szCs w:val="24"/>
                <w:u w:val="none"/>
              </w:rPr>
              <w:t>一览表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075"/>
              <w:gridCol w:w="1554"/>
              <w:gridCol w:w="1224"/>
              <w:gridCol w:w="1284"/>
              <w:gridCol w:w="1338"/>
            </w:tblGrid>
            <w:tr w14:paraId="2E9D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pct"/>
                  <w:noWrap w:val="0"/>
                  <w:vAlign w:val="center"/>
                </w:tcPr>
                <w:p w14:paraId="0B8E0EF2">
                  <w:pPr>
                    <w:widowControl w:val="0"/>
                    <w:autoSpaceDE w:val="0"/>
                    <w:autoSpaceDN w:val="0"/>
                    <w:jc w:val="center"/>
                    <w:rPr>
                      <w:rFonts w:hint="eastAsia"/>
                      <w:sz w:val="21"/>
                      <w:szCs w:val="21"/>
                    </w:rPr>
                  </w:pPr>
                  <w:r>
                    <w:rPr>
                      <w:rFonts w:hint="eastAsia"/>
                      <w:sz w:val="21"/>
                      <w:szCs w:val="21"/>
                    </w:rPr>
                    <w:t>产品名称</w:t>
                  </w:r>
                </w:p>
              </w:tc>
              <w:tc>
                <w:tcPr>
                  <w:tcW w:w="669" w:type="pct"/>
                  <w:noWrap w:val="0"/>
                  <w:vAlign w:val="center"/>
                </w:tcPr>
                <w:p w14:paraId="47BB8DFD">
                  <w:pPr>
                    <w:widowControl w:val="0"/>
                    <w:autoSpaceDE w:val="0"/>
                    <w:autoSpaceDN w:val="0"/>
                    <w:jc w:val="center"/>
                    <w:rPr>
                      <w:sz w:val="21"/>
                      <w:szCs w:val="21"/>
                    </w:rPr>
                  </w:pPr>
                  <w:r>
                    <w:rPr>
                      <w:rFonts w:hint="eastAsia"/>
                      <w:sz w:val="21"/>
                      <w:szCs w:val="21"/>
                    </w:rPr>
                    <w:t>生产规模</w:t>
                  </w:r>
                </w:p>
              </w:tc>
              <w:tc>
                <w:tcPr>
                  <w:tcW w:w="967" w:type="pct"/>
                  <w:noWrap w:val="0"/>
                  <w:vAlign w:val="center"/>
                </w:tcPr>
                <w:p w14:paraId="7F327937">
                  <w:pPr>
                    <w:widowControl w:val="0"/>
                    <w:autoSpaceDE w:val="0"/>
                    <w:autoSpaceDN w:val="0"/>
                    <w:spacing w:line="240" w:lineRule="atLeast"/>
                    <w:jc w:val="center"/>
                    <w:rPr>
                      <w:sz w:val="21"/>
                      <w:szCs w:val="21"/>
                    </w:rPr>
                  </w:pPr>
                  <w:r>
                    <w:rPr>
                      <w:rFonts w:hint="eastAsia"/>
                      <w:sz w:val="21"/>
                      <w:szCs w:val="21"/>
                    </w:rPr>
                    <w:t>储存位置</w:t>
                  </w:r>
                </w:p>
              </w:tc>
              <w:tc>
                <w:tcPr>
                  <w:tcW w:w="762" w:type="pct"/>
                  <w:noWrap w:val="0"/>
                  <w:vAlign w:val="center"/>
                </w:tcPr>
                <w:p w14:paraId="7A0C6EA3">
                  <w:pPr>
                    <w:widowControl w:val="0"/>
                    <w:autoSpaceDE w:val="0"/>
                    <w:autoSpaceDN w:val="0"/>
                    <w:spacing w:line="240" w:lineRule="atLeast"/>
                    <w:jc w:val="center"/>
                    <w:rPr>
                      <w:rFonts w:hint="eastAsia"/>
                      <w:sz w:val="21"/>
                      <w:szCs w:val="21"/>
                    </w:rPr>
                  </w:pPr>
                  <w:r>
                    <w:rPr>
                      <w:rFonts w:hint="eastAsia"/>
                      <w:sz w:val="21"/>
                      <w:szCs w:val="21"/>
                    </w:rPr>
                    <w:t>储存方式</w:t>
                  </w:r>
                </w:p>
              </w:tc>
              <w:tc>
                <w:tcPr>
                  <w:tcW w:w="799" w:type="pct"/>
                  <w:noWrap w:val="0"/>
                  <w:vAlign w:val="center"/>
                </w:tcPr>
                <w:p w14:paraId="4EDBD638">
                  <w:pPr>
                    <w:widowControl w:val="0"/>
                    <w:autoSpaceDE w:val="0"/>
                    <w:autoSpaceDN w:val="0"/>
                    <w:spacing w:line="240" w:lineRule="atLeast"/>
                    <w:jc w:val="center"/>
                    <w:rPr>
                      <w:sz w:val="21"/>
                      <w:szCs w:val="21"/>
                    </w:rPr>
                  </w:pPr>
                  <w:r>
                    <w:rPr>
                      <w:rFonts w:hint="eastAsia"/>
                      <w:sz w:val="21"/>
                      <w:szCs w:val="21"/>
                    </w:rPr>
                    <w:t>最大储存量</w:t>
                  </w:r>
                </w:p>
              </w:tc>
              <w:tc>
                <w:tcPr>
                  <w:tcW w:w="830" w:type="pct"/>
                  <w:noWrap w:val="0"/>
                  <w:vAlign w:val="center"/>
                </w:tcPr>
                <w:p w14:paraId="145EDC8D">
                  <w:pPr>
                    <w:widowControl w:val="0"/>
                    <w:autoSpaceDE w:val="0"/>
                    <w:autoSpaceDN w:val="0"/>
                    <w:spacing w:line="240" w:lineRule="atLeast"/>
                    <w:jc w:val="center"/>
                    <w:rPr>
                      <w:sz w:val="21"/>
                      <w:szCs w:val="21"/>
                    </w:rPr>
                  </w:pPr>
                  <w:r>
                    <w:rPr>
                      <w:rFonts w:hint="eastAsia"/>
                      <w:sz w:val="21"/>
                      <w:szCs w:val="21"/>
                    </w:rPr>
                    <w:t>运输方式</w:t>
                  </w:r>
                </w:p>
              </w:tc>
            </w:tr>
            <w:tr w14:paraId="6A9B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 w:type="pct"/>
                  <w:noWrap w:val="0"/>
                  <w:vAlign w:val="center"/>
                </w:tcPr>
                <w:p w14:paraId="5B607596">
                  <w:pPr>
                    <w:widowControl w:val="0"/>
                    <w:autoSpaceDE w:val="0"/>
                    <w:autoSpaceDN w:val="0"/>
                    <w:jc w:val="center"/>
                    <w:rPr>
                      <w:rFonts w:hint="eastAsia"/>
                      <w:sz w:val="21"/>
                      <w:szCs w:val="21"/>
                    </w:rPr>
                  </w:pPr>
                  <w:r>
                    <w:rPr>
                      <w:rFonts w:hint="eastAsia"/>
                      <w:color w:val="000000"/>
                      <w:sz w:val="21"/>
                      <w:szCs w:val="21"/>
                      <w:lang w:val="en-US" w:eastAsia="zh-CN"/>
                    </w:rPr>
                    <w:t>NMP回收液</w:t>
                  </w:r>
                </w:p>
              </w:tc>
              <w:tc>
                <w:tcPr>
                  <w:tcW w:w="669" w:type="pct"/>
                  <w:noWrap w:val="0"/>
                  <w:vAlign w:val="center"/>
                </w:tcPr>
                <w:p w14:paraId="5365E305">
                  <w:pPr>
                    <w:widowControl w:val="0"/>
                    <w:autoSpaceDE w:val="0"/>
                    <w:autoSpaceDN w:val="0"/>
                    <w:jc w:val="center"/>
                    <w:rPr>
                      <w:rFonts w:hint="default" w:eastAsia="宋体"/>
                      <w:sz w:val="21"/>
                      <w:szCs w:val="21"/>
                      <w:lang w:val="en-US" w:eastAsia="zh-CN"/>
                    </w:rPr>
                  </w:pPr>
                  <w:r>
                    <w:rPr>
                      <w:rFonts w:hint="eastAsia"/>
                      <w:sz w:val="21"/>
                      <w:szCs w:val="21"/>
                      <w:lang w:val="en-US" w:eastAsia="zh-CN"/>
                    </w:rPr>
                    <w:t>5500t/a</w:t>
                  </w:r>
                </w:p>
              </w:tc>
              <w:tc>
                <w:tcPr>
                  <w:tcW w:w="967" w:type="pct"/>
                  <w:noWrap w:val="0"/>
                  <w:vAlign w:val="center"/>
                </w:tcPr>
                <w:p w14:paraId="387A6DC0">
                  <w:pPr>
                    <w:widowControl w:val="0"/>
                    <w:autoSpaceDE w:val="0"/>
                    <w:autoSpaceDN w:val="0"/>
                    <w:spacing w:line="240" w:lineRule="atLeast"/>
                    <w:jc w:val="center"/>
                    <w:rPr>
                      <w:rFonts w:hint="default" w:eastAsia="宋体"/>
                      <w:sz w:val="21"/>
                      <w:szCs w:val="21"/>
                      <w:lang w:val="en-US" w:eastAsia="zh-CN"/>
                    </w:rPr>
                  </w:pPr>
                  <w:r>
                    <w:rPr>
                      <w:rFonts w:hint="eastAsia"/>
                      <w:sz w:val="21"/>
                      <w:szCs w:val="21"/>
                      <w:lang w:val="en-US" w:eastAsia="zh-CN"/>
                    </w:rPr>
                    <w:t>储罐区/成品区</w:t>
                  </w:r>
                </w:p>
              </w:tc>
              <w:tc>
                <w:tcPr>
                  <w:tcW w:w="762" w:type="pct"/>
                  <w:noWrap w:val="0"/>
                  <w:vAlign w:val="center"/>
                </w:tcPr>
                <w:p w14:paraId="4768AF5A">
                  <w:pPr>
                    <w:widowControl w:val="0"/>
                    <w:autoSpaceDE w:val="0"/>
                    <w:autoSpaceDN w:val="0"/>
                    <w:spacing w:line="240" w:lineRule="atLeast"/>
                    <w:jc w:val="center"/>
                    <w:rPr>
                      <w:rFonts w:hint="default"/>
                      <w:sz w:val="21"/>
                      <w:szCs w:val="21"/>
                      <w:lang w:val="en-US" w:eastAsia="zh-CN"/>
                    </w:rPr>
                  </w:pPr>
                  <w:r>
                    <w:rPr>
                      <w:rFonts w:hint="eastAsia"/>
                      <w:sz w:val="21"/>
                      <w:szCs w:val="21"/>
                      <w:lang w:val="en-US" w:eastAsia="zh-CN"/>
                    </w:rPr>
                    <w:t>储罐/桶装</w:t>
                  </w:r>
                </w:p>
              </w:tc>
              <w:tc>
                <w:tcPr>
                  <w:tcW w:w="799" w:type="pct"/>
                  <w:noWrap w:val="0"/>
                  <w:vAlign w:val="center"/>
                </w:tcPr>
                <w:p w14:paraId="0E64566C">
                  <w:pPr>
                    <w:widowControl w:val="0"/>
                    <w:autoSpaceDE w:val="0"/>
                    <w:autoSpaceDN w:val="0"/>
                    <w:spacing w:line="240" w:lineRule="atLeast"/>
                    <w:jc w:val="center"/>
                    <w:rPr>
                      <w:rFonts w:hint="default" w:eastAsia="宋体"/>
                      <w:sz w:val="21"/>
                      <w:szCs w:val="21"/>
                      <w:lang w:val="en-US" w:eastAsia="zh-CN"/>
                    </w:rPr>
                  </w:pPr>
                  <w:r>
                    <w:rPr>
                      <w:rFonts w:hint="eastAsia"/>
                      <w:sz w:val="21"/>
                      <w:szCs w:val="21"/>
                      <w:lang w:val="en-US" w:eastAsia="zh-CN"/>
                    </w:rPr>
                    <w:t>100t</w:t>
                  </w:r>
                </w:p>
              </w:tc>
              <w:tc>
                <w:tcPr>
                  <w:tcW w:w="830" w:type="pct"/>
                  <w:noWrap w:val="0"/>
                  <w:vAlign w:val="center"/>
                </w:tcPr>
                <w:p w14:paraId="64C06E1F">
                  <w:pPr>
                    <w:widowControl w:val="0"/>
                    <w:autoSpaceDE w:val="0"/>
                    <w:autoSpaceDN w:val="0"/>
                    <w:spacing w:line="240" w:lineRule="atLeast"/>
                    <w:jc w:val="center"/>
                    <w:rPr>
                      <w:sz w:val="21"/>
                      <w:szCs w:val="21"/>
                    </w:rPr>
                  </w:pPr>
                  <w:r>
                    <w:rPr>
                      <w:rFonts w:hint="eastAsia"/>
                      <w:sz w:val="21"/>
                      <w:szCs w:val="21"/>
                      <w:lang w:val="en-US" w:eastAsia="zh-CN"/>
                    </w:rPr>
                    <w:t>槽罐车/卡车</w:t>
                  </w:r>
                </w:p>
              </w:tc>
            </w:tr>
            <w:tr w14:paraId="7C5D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noWrap w:val="0"/>
                  <w:vAlign w:val="center"/>
                </w:tcPr>
                <w:p w14:paraId="5AF01ABD">
                  <w:pPr>
                    <w:widowControl w:val="0"/>
                    <w:autoSpaceDE w:val="0"/>
                    <w:autoSpaceDN w:val="0"/>
                    <w:spacing w:line="240" w:lineRule="auto"/>
                    <w:jc w:val="left"/>
                    <w:rPr>
                      <w:rFonts w:hint="eastAsia"/>
                      <w:sz w:val="21"/>
                      <w:szCs w:val="21"/>
                      <w:lang w:val="en-US" w:eastAsia="zh-CN"/>
                    </w:rPr>
                  </w:pPr>
                  <w:r>
                    <w:rPr>
                      <w:rFonts w:hint="eastAsia"/>
                      <w:sz w:val="21"/>
                      <w:szCs w:val="21"/>
                      <w:lang w:val="en-US" w:eastAsia="zh-CN"/>
                    </w:rPr>
                    <w:t>备注：1、本项目成品为NMP初步蒸馏产品，成品送至下一级工厂深加工；</w:t>
                  </w:r>
                </w:p>
                <w:p w14:paraId="3A3EEE04">
                  <w:pPr>
                    <w:pStyle w:val="12"/>
                    <w:spacing w:before="0" w:after="0" w:line="240" w:lineRule="auto"/>
                    <w:ind w:right="0" w:firstLine="630" w:firstLineChars="300"/>
                    <w:rPr>
                      <w:rFonts w:hint="default"/>
                      <w:lang w:val="en-US" w:eastAsia="zh-CN"/>
                    </w:rPr>
                  </w:pPr>
                  <w:r>
                    <w:rPr>
                      <w:rFonts w:hint="eastAsia"/>
                      <w:sz w:val="21"/>
                      <w:szCs w:val="21"/>
                      <w:lang w:val="en-US" w:eastAsia="zh-CN"/>
                    </w:rPr>
                    <w:t>2、本项目成品，大部分储存于储罐中由罐车运输，少部分装入桶中暂存于成品区由卡车运输，储罐最大暂存量约为70t，成品区最大暂存量约为30t。</w:t>
                  </w:r>
                </w:p>
              </w:tc>
            </w:tr>
          </w:tbl>
          <w:p w14:paraId="19B2562F">
            <w:pPr>
              <w:adjustRightInd w:val="0"/>
              <w:snapToGrid w:val="0"/>
              <w:spacing w:line="360" w:lineRule="auto"/>
              <w:ind w:firstLine="480" w:firstLineChars="200"/>
              <w:rPr>
                <w:u w:val="none"/>
              </w:rPr>
            </w:pPr>
            <w:r>
              <w:rPr>
                <w:rFonts w:hint="eastAsia"/>
                <w:u w:val="none"/>
              </w:rPr>
              <w:t>3、主要原辅材料</w:t>
            </w:r>
          </w:p>
          <w:p w14:paraId="5CE325BF">
            <w:pPr>
              <w:widowControl/>
              <w:adjustRightInd w:val="0"/>
              <w:snapToGrid w:val="0"/>
              <w:spacing w:line="360" w:lineRule="auto"/>
              <w:ind w:firstLine="480" w:firstLineChars="200"/>
              <w:rPr>
                <w:rFonts w:hint="default"/>
                <w:bCs/>
                <w:u w:val="none"/>
                <w:lang w:val="en-US" w:eastAsia="zh-CN"/>
              </w:rPr>
            </w:pPr>
            <w:r>
              <w:rPr>
                <w:rFonts w:hint="eastAsia"/>
                <w:bCs/>
                <w:u w:val="none"/>
                <w:lang w:val="en-US" w:eastAsia="zh-CN"/>
              </w:rPr>
              <w:t>（1）原辅材料清单</w:t>
            </w:r>
          </w:p>
          <w:p w14:paraId="71FC4E24">
            <w:pPr>
              <w:widowControl/>
              <w:adjustRightInd w:val="0"/>
              <w:snapToGrid w:val="0"/>
              <w:spacing w:line="360" w:lineRule="auto"/>
              <w:ind w:firstLine="480" w:firstLineChars="200"/>
              <w:rPr>
                <w:rFonts w:ascii="Times New Roman" w:hAnsi="Times New Roman" w:cs="Times New Roman"/>
                <w:u w:val="none"/>
              </w:rPr>
            </w:pPr>
            <w:r>
              <w:rPr>
                <w:rFonts w:hint="eastAsia"/>
                <w:bCs/>
                <w:u w:val="none"/>
                <w:lang w:val="en-US" w:eastAsia="zh-CN"/>
              </w:rPr>
              <w:t>本项目</w:t>
            </w:r>
            <w:r>
              <w:rPr>
                <w:rFonts w:hint="eastAsia"/>
                <w:u w:val="none"/>
              </w:rPr>
              <w:t>主要原</w:t>
            </w:r>
            <w:r>
              <w:rPr>
                <w:rFonts w:hint="default" w:ascii="Times New Roman" w:hAnsi="Times New Roman" w:cs="Times New Roman"/>
                <w:u w:val="none"/>
              </w:rPr>
              <w:t>辅材料见表2-</w:t>
            </w:r>
            <w:r>
              <w:rPr>
                <w:rFonts w:ascii="Times New Roman" w:hAnsi="Times New Roman" w:cs="Times New Roman"/>
                <w:u w:val="none"/>
                <w:lang w:val="en-GB"/>
              </w:rPr>
              <w:t>4</w:t>
            </w:r>
            <w:r>
              <w:rPr>
                <w:rFonts w:hint="default" w:ascii="Times New Roman" w:hAnsi="Times New Roman" w:cs="Times New Roman"/>
                <w:u w:val="none"/>
                <w:lang w:val="en-GB" w:eastAsia="zh-CN"/>
              </w:rPr>
              <w:t>，</w:t>
            </w:r>
            <w:r>
              <w:rPr>
                <w:rFonts w:hint="default" w:ascii="Times New Roman" w:hAnsi="Times New Roman" w:eastAsia="宋体" w:cs="Times New Roman"/>
                <w:color w:val="000000"/>
                <w:kern w:val="0"/>
                <w:sz w:val="24"/>
                <w:szCs w:val="24"/>
                <w:lang w:val="en-US" w:eastAsia="zh-CN" w:bidi="ar"/>
              </w:rPr>
              <w:t>主要原辅材料</w:t>
            </w:r>
            <w:r>
              <w:rPr>
                <w:rFonts w:hint="default" w:ascii="Times New Roman" w:hAnsi="Times New Roman" w:cs="Times New Roman"/>
                <w:color w:val="000000"/>
                <w:kern w:val="0"/>
                <w:sz w:val="24"/>
                <w:szCs w:val="24"/>
                <w:lang w:val="en-US" w:eastAsia="zh-CN" w:bidi="ar"/>
              </w:rPr>
              <w:t>理化</w:t>
            </w:r>
            <w:r>
              <w:rPr>
                <w:rFonts w:hint="default" w:ascii="Times New Roman" w:hAnsi="Times New Roman" w:eastAsia="宋体" w:cs="Times New Roman"/>
                <w:color w:val="000000"/>
                <w:kern w:val="0"/>
                <w:sz w:val="24"/>
                <w:szCs w:val="24"/>
                <w:lang w:val="en-US" w:eastAsia="zh-CN" w:bidi="ar"/>
              </w:rPr>
              <w:t>性质</w:t>
            </w:r>
            <w:r>
              <w:rPr>
                <w:rFonts w:hint="default" w:ascii="Times New Roman" w:hAnsi="Times New Roman" w:cs="Times New Roman"/>
                <w:color w:val="000000"/>
                <w:kern w:val="0"/>
                <w:sz w:val="24"/>
                <w:szCs w:val="24"/>
                <w:lang w:val="en-US" w:eastAsia="zh-CN" w:bidi="ar"/>
              </w:rPr>
              <w:t>见表2-5</w:t>
            </w:r>
            <w:r>
              <w:rPr>
                <w:rFonts w:hint="default" w:ascii="Times New Roman" w:hAnsi="Times New Roman" w:cs="Times New Roman"/>
                <w:u w:val="none"/>
              </w:rPr>
              <w:t>。</w:t>
            </w:r>
          </w:p>
          <w:p w14:paraId="61DF26F2">
            <w:pPr>
              <w:adjustRightInd w:val="0"/>
              <w:snapToGrid w:val="0"/>
              <w:jc w:val="center"/>
              <w:rPr>
                <w:b/>
                <w:bCs/>
                <w:u w:val="none"/>
              </w:rPr>
            </w:pPr>
            <w:r>
              <w:rPr>
                <w:rFonts w:hint="eastAsia"/>
                <w:b/>
                <w:bCs/>
                <w:u w:val="none"/>
              </w:rPr>
              <w:t>表2-</w:t>
            </w:r>
            <w:r>
              <w:rPr>
                <w:b/>
                <w:bCs/>
                <w:u w:val="none"/>
                <w:lang w:val="en-GB"/>
              </w:rPr>
              <w:t>4</w:t>
            </w:r>
            <w:r>
              <w:rPr>
                <w:rFonts w:hint="eastAsia"/>
                <w:b/>
                <w:bCs/>
                <w:u w:val="none"/>
              </w:rPr>
              <w:t xml:space="preserve">  主要原辅材料消耗及能源消耗情况一览表</w:t>
            </w:r>
          </w:p>
          <w:tbl>
            <w:tblPr>
              <w:tblStyle w:val="31"/>
              <w:tblW w:w="502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945"/>
              <w:gridCol w:w="825"/>
              <w:gridCol w:w="855"/>
              <w:gridCol w:w="900"/>
              <w:gridCol w:w="1065"/>
              <w:gridCol w:w="1215"/>
              <w:gridCol w:w="1598"/>
            </w:tblGrid>
            <w:tr w14:paraId="1CF23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4" w:type="pct"/>
                  <w:noWrap w:val="0"/>
                  <w:vAlign w:val="center"/>
                </w:tcPr>
                <w:p w14:paraId="00ADB14A">
                  <w:pPr>
                    <w:pStyle w:val="115"/>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b/>
                      <w:bCs/>
                      <w:color w:val="auto"/>
                      <w:szCs w:val="21"/>
                    </w:rPr>
                  </w:pPr>
                  <w:bookmarkStart w:id="25" w:name="_Toc71631400"/>
                  <w:r>
                    <w:rPr>
                      <w:rFonts w:hint="default" w:ascii="Times New Roman" w:hAnsi="Times New Roman" w:cs="Times New Roman"/>
                      <w:b/>
                      <w:bCs/>
                      <w:color w:val="auto"/>
                      <w:szCs w:val="21"/>
                    </w:rPr>
                    <w:t>序号</w:t>
                  </w:r>
                </w:p>
              </w:tc>
              <w:tc>
                <w:tcPr>
                  <w:tcW w:w="585" w:type="pct"/>
                  <w:noWrap w:val="0"/>
                  <w:vAlign w:val="center"/>
                </w:tcPr>
                <w:p w14:paraId="205751B6">
                  <w:pPr>
                    <w:pStyle w:val="115"/>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名称</w:t>
                  </w:r>
                </w:p>
              </w:tc>
              <w:tc>
                <w:tcPr>
                  <w:tcW w:w="511" w:type="pct"/>
                  <w:noWrap w:val="0"/>
                  <w:vAlign w:val="center"/>
                </w:tcPr>
                <w:p w14:paraId="1D6DF3FE">
                  <w:pPr>
                    <w:pStyle w:val="115"/>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单位</w:t>
                  </w:r>
                </w:p>
              </w:tc>
              <w:tc>
                <w:tcPr>
                  <w:tcW w:w="529" w:type="pct"/>
                  <w:noWrap w:val="0"/>
                  <w:vAlign w:val="center"/>
                </w:tcPr>
                <w:p w14:paraId="0479D2CC">
                  <w:pPr>
                    <w:pStyle w:val="115"/>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b/>
                      <w:bCs/>
                      <w:color w:val="auto"/>
                      <w:szCs w:val="21"/>
                      <w:lang w:val="en-US" w:eastAsia="zh-CN"/>
                    </w:rPr>
                  </w:pPr>
                  <w:r>
                    <w:rPr>
                      <w:rFonts w:hint="eastAsia" w:ascii="Times New Roman" w:hAnsi="Times New Roman" w:cs="Times New Roman"/>
                      <w:b/>
                      <w:bCs/>
                      <w:color w:val="auto"/>
                      <w:szCs w:val="21"/>
                      <w:lang w:val="en-US" w:eastAsia="zh-CN"/>
                    </w:rPr>
                    <w:t>用量</w:t>
                  </w:r>
                </w:p>
              </w:tc>
              <w:tc>
                <w:tcPr>
                  <w:tcW w:w="557" w:type="pct"/>
                  <w:noWrap w:val="0"/>
                  <w:vAlign w:val="center"/>
                </w:tcPr>
                <w:p w14:paraId="6F7DC902">
                  <w:pPr>
                    <w:pStyle w:val="115"/>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b/>
                      <w:bCs/>
                      <w:color w:val="auto"/>
                      <w:szCs w:val="21"/>
                      <w:lang w:val="en-US" w:eastAsia="zh-CN"/>
                    </w:rPr>
                  </w:pPr>
                  <w:r>
                    <w:rPr>
                      <w:rFonts w:hint="eastAsia" w:ascii="Times New Roman" w:hAnsi="Times New Roman" w:cs="Times New Roman"/>
                      <w:b/>
                      <w:bCs/>
                      <w:color w:val="auto"/>
                      <w:szCs w:val="21"/>
                      <w:lang w:val="en-US" w:eastAsia="zh-CN"/>
                    </w:rPr>
                    <w:t>最大储存量</w:t>
                  </w:r>
                </w:p>
              </w:tc>
              <w:tc>
                <w:tcPr>
                  <w:tcW w:w="659" w:type="pct"/>
                  <w:shd w:val="clear" w:color="auto" w:fill="auto"/>
                  <w:noWrap w:val="0"/>
                  <w:vAlign w:val="center"/>
                </w:tcPr>
                <w:p w14:paraId="3B193B27">
                  <w:pPr>
                    <w:pStyle w:val="115"/>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b/>
                      <w:bCs/>
                      <w:color w:val="auto"/>
                      <w:kern w:val="2"/>
                      <w:sz w:val="21"/>
                      <w:szCs w:val="21"/>
                      <w:shd w:val="clear" w:color="auto" w:fill="FFFFFF"/>
                      <w:lang w:val="en-US" w:eastAsia="zh-CN" w:bidi="ar-SA"/>
                    </w:rPr>
                  </w:pPr>
                  <w:r>
                    <w:rPr>
                      <w:rFonts w:hint="eastAsia" w:cs="Times New Roman"/>
                      <w:b/>
                      <w:bCs/>
                      <w:color w:val="auto"/>
                      <w:szCs w:val="21"/>
                      <w:lang w:val="en-US" w:eastAsia="zh-CN"/>
                    </w:rPr>
                    <w:t>贮存方式及位置</w:t>
                  </w:r>
                </w:p>
              </w:tc>
              <w:tc>
                <w:tcPr>
                  <w:tcW w:w="752" w:type="pct"/>
                  <w:noWrap w:val="0"/>
                  <w:vAlign w:val="center"/>
                </w:tcPr>
                <w:p w14:paraId="2AF523E6">
                  <w:pPr>
                    <w:pStyle w:val="115"/>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b/>
                      <w:bCs/>
                      <w:color w:val="auto"/>
                      <w:szCs w:val="21"/>
                      <w:lang w:val="en-US" w:eastAsia="zh-CN"/>
                    </w:rPr>
                  </w:pPr>
                  <w:r>
                    <w:rPr>
                      <w:rFonts w:hint="eastAsia" w:cs="Times New Roman"/>
                      <w:b/>
                      <w:bCs/>
                      <w:color w:val="auto"/>
                      <w:szCs w:val="21"/>
                      <w:lang w:val="en-US" w:eastAsia="zh-CN"/>
                    </w:rPr>
                    <w:t>运输方式</w:t>
                  </w:r>
                </w:p>
              </w:tc>
              <w:tc>
                <w:tcPr>
                  <w:tcW w:w="989" w:type="pct"/>
                  <w:noWrap w:val="0"/>
                  <w:vAlign w:val="center"/>
                </w:tcPr>
                <w:p w14:paraId="20F5A838">
                  <w:pPr>
                    <w:pStyle w:val="115"/>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cs="Times New Roman"/>
                      <w:b/>
                      <w:bCs/>
                      <w:color w:val="auto"/>
                      <w:kern w:val="2"/>
                      <w:sz w:val="21"/>
                      <w:szCs w:val="21"/>
                      <w:shd w:val="clear" w:color="auto" w:fill="FFFFFF"/>
                      <w:lang w:val="en-US" w:eastAsia="zh-CN" w:bidi="ar-SA"/>
                    </w:rPr>
                  </w:pPr>
                  <w:r>
                    <w:rPr>
                      <w:rFonts w:hint="eastAsia" w:ascii="Times New Roman" w:hAnsi="Times New Roman" w:cs="Times New Roman"/>
                      <w:b/>
                      <w:bCs/>
                      <w:color w:val="auto"/>
                      <w:szCs w:val="21"/>
                      <w:lang w:val="en-US" w:eastAsia="zh-CN"/>
                    </w:rPr>
                    <w:t>备注</w:t>
                  </w:r>
                </w:p>
              </w:tc>
            </w:tr>
            <w:tr w14:paraId="4374B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4" w:type="pct"/>
                  <w:noWrap w:val="0"/>
                  <w:vAlign w:val="center"/>
                </w:tcPr>
                <w:p w14:paraId="5D3E055A">
                  <w:pPr>
                    <w:pStyle w:val="115"/>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w:t>
                  </w:r>
                </w:p>
              </w:tc>
              <w:tc>
                <w:tcPr>
                  <w:tcW w:w="585" w:type="pct"/>
                  <w:noWrap w:val="0"/>
                  <w:vAlign w:val="center"/>
                </w:tcPr>
                <w:p w14:paraId="5523C28C">
                  <w:pPr>
                    <w:pStyle w:val="115"/>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Cs w:val="21"/>
                      <w:lang w:val="en-US" w:eastAsia="zh-CN"/>
                    </w:rPr>
                  </w:pPr>
                  <w:r>
                    <w:rPr>
                      <w:rFonts w:hint="eastAsia" w:cs="Times New Roman"/>
                      <w:color w:val="auto"/>
                      <w:szCs w:val="21"/>
                      <w:lang w:val="en-US" w:eastAsia="zh-CN"/>
                    </w:rPr>
                    <w:t>废NMP浆料</w:t>
                  </w:r>
                </w:p>
              </w:tc>
              <w:tc>
                <w:tcPr>
                  <w:tcW w:w="511" w:type="pct"/>
                  <w:noWrap w:val="0"/>
                  <w:vAlign w:val="center"/>
                </w:tcPr>
                <w:p w14:paraId="193BF0DB">
                  <w:pPr>
                    <w:pStyle w:val="115"/>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Cs w:val="21"/>
                      <w:lang w:val="en-US" w:eastAsia="zh-CN"/>
                    </w:rPr>
                  </w:pPr>
                  <w:r>
                    <w:rPr>
                      <w:rFonts w:hint="eastAsia" w:cs="Times New Roman"/>
                      <w:color w:val="auto"/>
                      <w:szCs w:val="21"/>
                      <w:lang w:val="en-US" w:eastAsia="zh-CN"/>
                    </w:rPr>
                    <w:t>t</w:t>
                  </w:r>
                  <w:r>
                    <w:rPr>
                      <w:rFonts w:hint="default" w:ascii="Times New Roman" w:hAnsi="Times New Roman" w:cs="Times New Roman"/>
                      <w:color w:val="auto"/>
                      <w:szCs w:val="21"/>
                      <w:lang w:val="en-US" w:eastAsia="zh-CN"/>
                    </w:rPr>
                    <w:t>/a</w:t>
                  </w:r>
                </w:p>
              </w:tc>
              <w:tc>
                <w:tcPr>
                  <w:tcW w:w="529" w:type="pct"/>
                  <w:noWrap w:val="0"/>
                  <w:vAlign w:val="center"/>
                </w:tcPr>
                <w:p w14:paraId="1C2FDCFC">
                  <w:pPr>
                    <w:keepNext w:val="0"/>
                    <w:keepLines w:val="0"/>
                    <w:pageBreakBefore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6500</w:t>
                  </w:r>
                </w:p>
              </w:tc>
              <w:tc>
                <w:tcPr>
                  <w:tcW w:w="557" w:type="pct"/>
                  <w:noWrap w:val="0"/>
                  <w:vAlign w:val="center"/>
                </w:tcPr>
                <w:p w14:paraId="04880E8F">
                  <w:pPr>
                    <w:pStyle w:val="115"/>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Cs w:val="21"/>
                      <w:lang w:val="en-US" w:eastAsia="zh-CN"/>
                    </w:rPr>
                  </w:pPr>
                  <w:r>
                    <w:rPr>
                      <w:rFonts w:hint="eastAsia" w:cs="Times New Roman"/>
                      <w:color w:val="auto"/>
                      <w:szCs w:val="21"/>
                      <w:lang w:val="en-US" w:eastAsia="zh-CN"/>
                    </w:rPr>
                    <w:t>100</w:t>
                  </w:r>
                </w:p>
              </w:tc>
              <w:tc>
                <w:tcPr>
                  <w:tcW w:w="659" w:type="pct"/>
                  <w:shd w:val="clear" w:color="auto" w:fill="auto"/>
                  <w:noWrap w:val="0"/>
                  <w:vAlign w:val="center"/>
                </w:tcPr>
                <w:p w14:paraId="2A8FC708">
                  <w:pPr>
                    <w:pStyle w:val="115"/>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kern w:val="2"/>
                      <w:sz w:val="21"/>
                      <w:szCs w:val="21"/>
                      <w:shd w:val="clear" w:color="auto" w:fill="FFFFFF"/>
                      <w:lang w:val="en-US" w:eastAsia="zh-CN" w:bidi="ar-SA"/>
                    </w:rPr>
                  </w:pPr>
                  <w:r>
                    <w:rPr>
                      <w:rFonts w:hint="eastAsia" w:cs="Times New Roman"/>
                      <w:color w:val="auto"/>
                      <w:szCs w:val="21"/>
                      <w:lang w:val="en-US" w:eastAsia="zh-CN"/>
                    </w:rPr>
                    <w:t>桶装/原料区</w:t>
                  </w:r>
                </w:p>
              </w:tc>
              <w:tc>
                <w:tcPr>
                  <w:tcW w:w="752" w:type="pct"/>
                  <w:noWrap w:val="0"/>
                  <w:vAlign w:val="center"/>
                </w:tcPr>
                <w:p w14:paraId="7AEBD393">
                  <w:pPr>
                    <w:pStyle w:val="115"/>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卡车</w:t>
                  </w:r>
                </w:p>
              </w:tc>
              <w:tc>
                <w:tcPr>
                  <w:tcW w:w="989" w:type="pct"/>
                  <w:noWrap w:val="0"/>
                  <w:vAlign w:val="center"/>
                </w:tcPr>
                <w:p w14:paraId="5BE9F339">
                  <w:pPr>
                    <w:pStyle w:val="115"/>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cs="Times New Roman"/>
                      <w:color w:val="auto"/>
                      <w:kern w:val="2"/>
                      <w:sz w:val="21"/>
                      <w:szCs w:val="21"/>
                      <w:shd w:val="clear" w:color="auto" w:fill="FFFFFF"/>
                      <w:lang w:val="en-US" w:eastAsia="zh-CN" w:bidi="ar-SA"/>
                    </w:rPr>
                  </w:pPr>
                  <w:r>
                    <w:rPr>
                      <w:rFonts w:hint="eastAsia" w:cs="Times New Roman"/>
                      <w:color w:val="auto"/>
                      <w:kern w:val="2"/>
                      <w:sz w:val="21"/>
                      <w:szCs w:val="21"/>
                      <w:shd w:val="clear" w:color="auto" w:fill="FFFFFF"/>
                      <w:lang w:val="en-US" w:eastAsia="zh-CN" w:bidi="ar-SA"/>
                    </w:rPr>
                    <w:t>非危险废物</w:t>
                  </w:r>
                </w:p>
              </w:tc>
            </w:tr>
            <w:tr w14:paraId="0C65C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4" w:type="pct"/>
                  <w:shd w:val="clear" w:color="auto" w:fill="auto"/>
                  <w:noWrap w:val="0"/>
                  <w:vAlign w:val="center"/>
                </w:tcPr>
                <w:p w14:paraId="465D2C7F">
                  <w:pPr>
                    <w:pStyle w:val="115"/>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eastAsia" w:cs="Times New Roman"/>
                      <w:color w:val="auto"/>
                      <w:kern w:val="2"/>
                      <w:sz w:val="21"/>
                      <w:szCs w:val="21"/>
                      <w:shd w:val="clear" w:color="auto" w:fill="FFFFFF"/>
                      <w:lang w:val="en-US" w:eastAsia="zh-CN" w:bidi="ar-SA"/>
                    </w:rPr>
                    <w:t>2</w:t>
                  </w:r>
                </w:p>
              </w:tc>
              <w:tc>
                <w:tcPr>
                  <w:tcW w:w="585" w:type="pct"/>
                  <w:noWrap w:val="0"/>
                  <w:vAlign w:val="center"/>
                </w:tcPr>
                <w:p w14:paraId="1DAFEA71">
                  <w:pPr>
                    <w:pStyle w:val="115"/>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矿物油</w:t>
                  </w:r>
                </w:p>
              </w:tc>
              <w:tc>
                <w:tcPr>
                  <w:tcW w:w="511" w:type="pct"/>
                  <w:noWrap w:val="0"/>
                  <w:vAlign w:val="center"/>
                </w:tcPr>
                <w:p w14:paraId="502445D4">
                  <w:pPr>
                    <w:pStyle w:val="115"/>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cs="Times New Roman"/>
                      <w:color w:val="auto"/>
                      <w:szCs w:val="21"/>
                      <w:lang w:val="en-US" w:eastAsia="zh-CN"/>
                    </w:rPr>
                  </w:pPr>
                  <w:r>
                    <w:rPr>
                      <w:rFonts w:hint="eastAsia" w:cs="Times New Roman"/>
                      <w:color w:val="auto"/>
                      <w:szCs w:val="21"/>
                      <w:lang w:val="en-US" w:eastAsia="zh-CN"/>
                    </w:rPr>
                    <w:t>t</w:t>
                  </w:r>
                  <w:r>
                    <w:rPr>
                      <w:rFonts w:hint="default" w:ascii="Times New Roman" w:hAnsi="Times New Roman" w:cs="Times New Roman"/>
                      <w:color w:val="auto"/>
                      <w:szCs w:val="21"/>
                      <w:lang w:val="en-US" w:eastAsia="zh-CN"/>
                    </w:rPr>
                    <w:t>/a</w:t>
                  </w:r>
                </w:p>
              </w:tc>
              <w:tc>
                <w:tcPr>
                  <w:tcW w:w="529" w:type="pct"/>
                  <w:noWrap w:val="0"/>
                  <w:vAlign w:val="center"/>
                </w:tcPr>
                <w:p w14:paraId="5A923C90">
                  <w:pPr>
                    <w:keepNext w:val="0"/>
                    <w:keepLines w:val="0"/>
                    <w:pageBreakBefore w:val="0"/>
                    <w:kinsoku/>
                    <w:wordWrap/>
                    <w:overflowPunct/>
                    <w:topLinePunct w:val="0"/>
                    <w:autoSpaceDE/>
                    <w:autoSpaceDN/>
                    <w:bidi w:val="0"/>
                    <w:adjustRightInd/>
                    <w:spacing w:line="240" w:lineRule="auto"/>
                    <w:jc w:val="center"/>
                    <w:textAlignment w:val="auto"/>
                    <w:rPr>
                      <w:rFonts w:hint="default" w:cs="Times New Roman"/>
                      <w:sz w:val="21"/>
                      <w:szCs w:val="21"/>
                      <w:lang w:val="en-US" w:eastAsia="zh-CN"/>
                    </w:rPr>
                  </w:pPr>
                  <w:r>
                    <w:rPr>
                      <w:rFonts w:hint="eastAsia" w:cs="Times New Roman"/>
                      <w:sz w:val="21"/>
                      <w:szCs w:val="21"/>
                      <w:lang w:val="en-US" w:eastAsia="zh-CN"/>
                    </w:rPr>
                    <w:t>0.02</w:t>
                  </w:r>
                </w:p>
              </w:tc>
              <w:tc>
                <w:tcPr>
                  <w:tcW w:w="557" w:type="pct"/>
                  <w:noWrap w:val="0"/>
                  <w:vAlign w:val="center"/>
                </w:tcPr>
                <w:p w14:paraId="362E786A">
                  <w:pPr>
                    <w:pStyle w:val="115"/>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0.02</w:t>
                  </w:r>
                </w:p>
              </w:tc>
              <w:tc>
                <w:tcPr>
                  <w:tcW w:w="659" w:type="pct"/>
                  <w:shd w:val="clear" w:color="auto" w:fill="auto"/>
                  <w:noWrap w:val="0"/>
                  <w:vAlign w:val="center"/>
                </w:tcPr>
                <w:p w14:paraId="72000F63">
                  <w:pPr>
                    <w:pStyle w:val="115"/>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kern w:val="2"/>
                      <w:sz w:val="21"/>
                      <w:szCs w:val="21"/>
                      <w:shd w:val="clear" w:color="auto" w:fill="FFFFFF"/>
                      <w:lang w:val="en-US" w:eastAsia="zh-CN" w:bidi="ar-SA"/>
                    </w:rPr>
                  </w:pPr>
                  <w:r>
                    <w:rPr>
                      <w:rFonts w:hint="eastAsia" w:cs="Times New Roman"/>
                      <w:color w:val="auto"/>
                      <w:szCs w:val="21"/>
                      <w:lang w:val="en-US" w:eastAsia="zh-CN"/>
                    </w:rPr>
                    <w:t>桶装/原料区</w:t>
                  </w:r>
                </w:p>
              </w:tc>
              <w:tc>
                <w:tcPr>
                  <w:tcW w:w="752" w:type="pct"/>
                  <w:noWrap w:val="0"/>
                  <w:vAlign w:val="center"/>
                </w:tcPr>
                <w:p w14:paraId="33E05A23">
                  <w:pPr>
                    <w:pStyle w:val="115"/>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cs="Times New Roman"/>
                      <w:color w:val="auto"/>
                      <w:szCs w:val="21"/>
                      <w:lang w:val="en-US" w:eastAsia="zh-CN"/>
                    </w:rPr>
                  </w:pPr>
                  <w:r>
                    <w:rPr>
                      <w:rFonts w:hint="eastAsia" w:cs="Times New Roman"/>
                      <w:color w:val="auto"/>
                      <w:szCs w:val="21"/>
                      <w:lang w:val="en-US" w:eastAsia="zh-CN"/>
                    </w:rPr>
                    <w:t>卡车</w:t>
                  </w:r>
                </w:p>
              </w:tc>
              <w:tc>
                <w:tcPr>
                  <w:tcW w:w="989" w:type="pct"/>
                  <w:noWrap w:val="0"/>
                  <w:vAlign w:val="center"/>
                </w:tcPr>
                <w:p w14:paraId="68F8CE1F">
                  <w:pPr>
                    <w:pStyle w:val="115"/>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cs="Times New Roman"/>
                      <w:color w:val="auto"/>
                      <w:kern w:val="2"/>
                      <w:sz w:val="21"/>
                      <w:szCs w:val="21"/>
                      <w:shd w:val="clear" w:color="auto" w:fill="FFFFFF"/>
                      <w:lang w:val="en-US" w:eastAsia="zh-CN" w:bidi="ar-SA"/>
                    </w:rPr>
                  </w:pPr>
                  <w:r>
                    <w:rPr>
                      <w:rFonts w:hint="eastAsia" w:cs="Times New Roman"/>
                      <w:color w:val="auto"/>
                      <w:kern w:val="2"/>
                      <w:sz w:val="21"/>
                      <w:szCs w:val="21"/>
                      <w:shd w:val="clear" w:color="auto" w:fill="FFFFFF"/>
                      <w:lang w:val="en-US" w:eastAsia="zh-CN" w:bidi="ar-SA"/>
                    </w:rPr>
                    <w:t>设备维护、维修</w:t>
                  </w:r>
                </w:p>
              </w:tc>
            </w:tr>
            <w:tr w14:paraId="45B13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4" w:type="pct"/>
                  <w:shd w:val="clear" w:color="auto" w:fill="auto"/>
                  <w:noWrap w:val="0"/>
                  <w:vAlign w:val="center"/>
                </w:tcPr>
                <w:p w14:paraId="0EC3F92B">
                  <w:pPr>
                    <w:pStyle w:val="115"/>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eastAsia" w:cs="Times New Roman"/>
                      <w:color w:val="auto"/>
                      <w:kern w:val="2"/>
                      <w:sz w:val="21"/>
                      <w:szCs w:val="21"/>
                      <w:shd w:val="clear" w:color="auto" w:fill="FFFFFF"/>
                      <w:lang w:val="en-US" w:eastAsia="zh-CN" w:bidi="ar-SA"/>
                    </w:rPr>
                    <w:t>3</w:t>
                  </w:r>
                </w:p>
              </w:tc>
              <w:tc>
                <w:tcPr>
                  <w:tcW w:w="585" w:type="pct"/>
                  <w:noWrap w:val="0"/>
                  <w:vAlign w:val="center"/>
                </w:tcPr>
                <w:p w14:paraId="4BA514F1">
                  <w:pPr>
                    <w:pStyle w:val="115"/>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水</w:t>
                  </w:r>
                </w:p>
              </w:tc>
              <w:tc>
                <w:tcPr>
                  <w:tcW w:w="511" w:type="pct"/>
                  <w:noWrap w:val="0"/>
                  <w:vAlign w:val="center"/>
                </w:tcPr>
                <w:p w14:paraId="620F1A3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t/a</w:t>
                  </w:r>
                </w:p>
              </w:tc>
              <w:tc>
                <w:tcPr>
                  <w:tcW w:w="529" w:type="pct"/>
                  <w:noWrap w:val="0"/>
                  <w:vAlign w:val="center"/>
                </w:tcPr>
                <w:p w14:paraId="2AD495D9">
                  <w:pPr>
                    <w:keepNext w:val="0"/>
                    <w:keepLines w:val="0"/>
                    <w:pageBreakBefore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2142</w:t>
                  </w:r>
                </w:p>
              </w:tc>
              <w:tc>
                <w:tcPr>
                  <w:tcW w:w="557" w:type="pct"/>
                  <w:noWrap w:val="0"/>
                  <w:vAlign w:val="center"/>
                </w:tcPr>
                <w:p w14:paraId="41C6974F">
                  <w:pPr>
                    <w:pStyle w:val="115"/>
                    <w:keepNext w:val="0"/>
                    <w:keepLines w:val="0"/>
                    <w:pageBreakBefore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659" w:type="pct"/>
                  <w:noWrap w:val="0"/>
                  <w:vAlign w:val="center"/>
                </w:tcPr>
                <w:p w14:paraId="2BBA3267">
                  <w:pPr>
                    <w:pStyle w:val="115"/>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752" w:type="pct"/>
                  <w:shd w:val="clear" w:color="auto" w:fill="auto"/>
                  <w:noWrap w:val="0"/>
                  <w:vAlign w:val="center"/>
                </w:tcPr>
                <w:p w14:paraId="4000BAAF">
                  <w:pPr>
                    <w:pStyle w:val="115"/>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Times New Roman" w:hAnsi="Times New Roman" w:eastAsia="宋体" w:cs="Times New Roman"/>
                      <w:color w:val="auto"/>
                      <w:kern w:val="2"/>
                      <w:sz w:val="21"/>
                      <w:szCs w:val="21"/>
                      <w:shd w:val="clear" w:color="auto" w:fill="FFFFFF"/>
                      <w:lang w:val="en-US" w:eastAsia="zh-CN" w:bidi="ar-SA"/>
                    </w:rPr>
                  </w:pPr>
                  <w:r>
                    <w:rPr>
                      <w:rFonts w:hint="eastAsia" w:ascii="Times New Roman" w:hAnsi="Times New Roman" w:eastAsia="宋体" w:cs="Times New Roman"/>
                      <w:color w:val="auto"/>
                      <w:szCs w:val="21"/>
                      <w:lang w:val="en-US" w:eastAsia="zh-CN"/>
                    </w:rPr>
                    <w:t>/</w:t>
                  </w:r>
                </w:p>
              </w:tc>
              <w:tc>
                <w:tcPr>
                  <w:tcW w:w="989" w:type="pct"/>
                  <w:noWrap w:val="0"/>
                  <w:vAlign w:val="center"/>
                </w:tcPr>
                <w:p w14:paraId="2BF898D1">
                  <w:pPr>
                    <w:pStyle w:val="115"/>
                    <w:keepNext w:val="0"/>
                    <w:keepLines w:val="0"/>
                    <w:pageBreakBefore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Cs w:val="21"/>
                      <w:lang w:val="en-US" w:eastAsia="zh-CN"/>
                    </w:rPr>
                    <w:t>市政用水管网</w:t>
                  </w:r>
                </w:p>
              </w:tc>
            </w:tr>
            <w:tr w14:paraId="6E6AE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4" w:type="pct"/>
                  <w:shd w:val="clear" w:color="auto" w:fill="auto"/>
                  <w:noWrap w:val="0"/>
                  <w:vAlign w:val="center"/>
                </w:tcPr>
                <w:p w14:paraId="2CC3753F">
                  <w:pPr>
                    <w:pStyle w:val="115"/>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eastAsia" w:cs="Times New Roman"/>
                      <w:color w:val="auto"/>
                      <w:kern w:val="2"/>
                      <w:sz w:val="21"/>
                      <w:szCs w:val="21"/>
                      <w:shd w:val="clear" w:color="auto" w:fill="FFFFFF"/>
                      <w:lang w:val="en-US" w:eastAsia="zh-CN" w:bidi="ar-SA"/>
                    </w:rPr>
                    <w:t>4</w:t>
                  </w:r>
                </w:p>
              </w:tc>
              <w:tc>
                <w:tcPr>
                  <w:tcW w:w="585" w:type="pct"/>
                  <w:noWrap w:val="0"/>
                  <w:vAlign w:val="center"/>
                </w:tcPr>
                <w:p w14:paraId="6192D8B7">
                  <w:pPr>
                    <w:pStyle w:val="115"/>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电</w:t>
                  </w:r>
                </w:p>
              </w:tc>
              <w:tc>
                <w:tcPr>
                  <w:tcW w:w="511" w:type="pct"/>
                  <w:noWrap w:val="0"/>
                  <w:vAlign w:val="center"/>
                </w:tcPr>
                <w:p w14:paraId="4E14FB75">
                  <w:pPr>
                    <w:pStyle w:val="79"/>
                    <w:keepNext w:val="0"/>
                    <w:keepLines w:val="0"/>
                    <w:pageBreakBefore w:val="0"/>
                    <w:kinsoku/>
                    <w:wordWrap/>
                    <w:overflowPunct/>
                    <w:topLinePunct w:val="0"/>
                    <w:autoSpaceDE/>
                    <w:autoSpaceDN/>
                    <w:bidi w:val="0"/>
                    <w:adjustRightInd/>
                    <w:spacing w:line="240" w:lineRule="auto"/>
                    <w:textAlignment w:val="auto"/>
                    <w:rPr>
                      <w:rFonts w:hint="default" w:ascii="Times New Roman" w:hAnsi="Times New Roman" w:eastAsia="宋体" w:cs="Times New Roman"/>
                      <w:sz w:val="21"/>
                      <w:szCs w:val="21"/>
                      <w:u w:val="none"/>
                      <w:lang w:val="en-US" w:eastAsia="zh-CN" w:bidi="ar-SA"/>
                    </w:rPr>
                  </w:pPr>
                  <w:r>
                    <w:rPr>
                      <w:rFonts w:hint="default" w:ascii="Times New Roman" w:hAnsi="Times New Roman" w:cs="Times New Roman"/>
                      <w:sz w:val="21"/>
                      <w:szCs w:val="21"/>
                      <w:u w:val="none"/>
                    </w:rPr>
                    <w:t>kW·h</w:t>
                  </w:r>
                </w:p>
              </w:tc>
              <w:tc>
                <w:tcPr>
                  <w:tcW w:w="529" w:type="pct"/>
                  <w:noWrap w:val="0"/>
                  <w:vAlign w:val="center"/>
                </w:tcPr>
                <w:p w14:paraId="613B164D">
                  <w:pPr>
                    <w:pStyle w:val="79"/>
                    <w:keepNext w:val="0"/>
                    <w:keepLines w:val="0"/>
                    <w:pageBreakBefore w:val="0"/>
                    <w:kinsoku/>
                    <w:wordWrap/>
                    <w:overflowPunct/>
                    <w:topLinePunct w:val="0"/>
                    <w:autoSpaceDE/>
                    <w:autoSpaceDN/>
                    <w:bidi w:val="0"/>
                    <w:adjustRightInd/>
                    <w:spacing w:line="240" w:lineRule="auto"/>
                    <w:textAlignment w:val="auto"/>
                    <w:rPr>
                      <w:rFonts w:hint="default" w:ascii="Times New Roman" w:hAnsi="Times New Roman" w:eastAsia="宋体" w:cs="Times New Roman"/>
                      <w:sz w:val="21"/>
                      <w:szCs w:val="21"/>
                      <w:u w:val="none"/>
                      <w:lang w:val="en-US" w:eastAsia="zh-CN"/>
                    </w:rPr>
                  </w:pPr>
                  <w:r>
                    <w:rPr>
                      <w:rFonts w:hint="eastAsia" w:ascii="Times New Roman" w:hAnsi="Times New Roman" w:cs="Times New Roman"/>
                      <w:sz w:val="21"/>
                      <w:szCs w:val="21"/>
                      <w:u w:val="none"/>
                      <w:lang w:val="en-US" w:eastAsia="zh-CN"/>
                    </w:rPr>
                    <w:t>10</w:t>
                  </w:r>
                  <w:r>
                    <w:rPr>
                      <w:rFonts w:hint="default" w:ascii="Times New Roman" w:hAnsi="Times New Roman" w:cs="Times New Roman"/>
                      <w:sz w:val="21"/>
                      <w:szCs w:val="21"/>
                      <w:u w:val="none"/>
                      <w:lang w:val="en-US" w:eastAsia="zh-CN"/>
                    </w:rPr>
                    <w:t>万</w:t>
                  </w:r>
                </w:p>
              </w:tc>
              <w:tc>
                <w:tcPr>
                  <w:tcW w:w="557" w:type="pct"/>
                  <w:noWrap w:val="0"/>
                  <w:vAlign w:val="center"/>
                </w:tcPr>
                <w:p w14:paraId="1C601950">
                  <w:pPr>
                    <w:pStyle w:val="115"/>
                    <w:keepNext w:val="0"/>
                    <w:keepLines w:val="0"/>
                    <w:pageBreakBefore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659" w:type="pct"/>
                  <w:noWrap w:val="0"/>
                  <w:vAlign w:val="center"/>
                </w:tcPr>
                <w:p w14:paraId="6399C115">
                  <w:pPr>
                    <w:pStyle w:val="115"/>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752" w:type="pct"/>
                  <w:shd w:val="clear" w:color="auto" w:fill="auto"/>
                  <w:noWrap w:val="0"/>
                  <w:vAlign w:val="center"/>
                </w:tcPr>
                <w:p w14:paraId="0D2CDB69">
                  <w:pPr>
                    <w:pStyle w:val="115"/>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Times New Roman" w:hAnsi="Times New Roman" w:eastAsia="宋体" w:cs="Times New Roman"/>
                      <w:color w:val="auto"/>
                      <w:kern w:val="2"/>
                      <w:sz w:val="21"/>
                      <w:szCs w:val="21"/>
                      <w:shd w:val="clear" w:color="auto" w:fill="FFFFFF"/>
                      <w:lang w:val="en-US" w:eastAsia="zh-CN" w:bidi="ar-SA"/>
                    </w:rPr>
                  </w:pPr>
                  <w:r>
                    <w:rPr>
                      <w:rFonts w:hint="eastAsia" w:ascii="Times New Roman" w:hAnsi="Times New Roman" w:eastAsia="宋体" w:cs="Times New Roman"/>
                      <w:color w:val="auto"/>
                      <w:szCs w:val="21"/>
                      <w:lang w:val="en-US" w:eastAsia="zh-CN"/>
                    </w:rPr>
                    <w:t>/</w:t>
                  </w:r>
                </w:p>
              </w:tc>
              <w:tc>
                <w:tcPr>
                  <w:tcW w:w="989" w:type="pct"/>
                  <w:noWrap w:val="0"/>
                  <w:vAlign w:val="center"/>
                </w:tcPr>
                <w:p w14:paraId="6F792262">
                  <w:pPr>
                    <w:pStyle w:val="115"/>
                    <w:keepNext w:val="0"/>
                    <w:keepLines w:val="0"/>
                    <w:pageBreakBefore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color w:val="auto"/>
                      <w:kern w:val="2"/>
                      <w:sz w:val="21"/>
                      <w:szCs w:val="21"/>
                      <w:shd w:val="clear" w:color="auto" w:fill="FFFFFF"/>
                      <w:lang w:val="en-US" w:eastAsia="zh-CN" w:bidi="ar-SA"/>
                    </w:rPr>
                  </w:pPr>
                  <w:r>
                    <w:rPr>
                      <w:rFonts w:hint="default" w:ascii="Times New Roman" w:hAnsi="Times New Roman" w:eastAsia="宋体" w:cs="Times New Roman"/>
                      <w:color w:val="auto"/>
                      <w:szCs w:val="21"/>
                      <w:lang w:val="en-US" w:eastAsia="zh-CN"/>
                    </w:rPr>
                    <w:t>市政电网</w:t>
                  </w:r>
                </w:p>
              </w:tc>
            </w:tr>
            <w:tr w14:paraId="2C10F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4" w:type="pct"/>
                  <w:shd w:val="clear" w:color="auto" w:fill="auto"/>
                  <w:noWrap w:val="0"/>
                  <w:vAlign w:val="center"/>
                </w:tcPr>
                <w:p w14:paraId="3F0C92B4">
                  <w:pPr>
                    <w:pStyle w:val="115"/>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cs="Times New Roman"/>
                      <w:color w:val="auto"/>
                      <w:kern w:val="2"/>
                      <w:sz w:val="21"/>
                      <w:szCs w:val="21"/>
                      <w:shd w:val="clear" w:color="auto" w:fill="FFFFFF"/>
                      <w:lang w:val="en-US" w:eastAsia="zh-CN" w:bidi="ar-SA"/>
                    </w:rPr>
                  </w:pPr>
                  <w:r>
                    <w:rPr>
                      <w:rFonts w:hint="eastAsia" w:cs="Times New Roman"/>
                      <w:color w:val="auto"/>
                      <w:kern w:val="2"/>
                      <w:sz w:val="21"/>
                      <w:szCs w:val="21"/>
                      <w:shd w:val="clear" w:color="auto" w:fill="FFFFFF"/>
                      <w:lang w:val="en-US" w:eastAsia="zh-CN" w:bidi="ar-SA"/>
                    </w:rPr>
                    <w:t>5</w:t>
                  </w:r>
                </w:p>
              </w:tc>
              <w:tc>
                <w:tcPr>
                  <w:tcW w:w="585" w:type="pct"/>
                  <w:noWrap w:val="0"/>
                  <w:vAlign w:val="center"/>
                </w:tcPr>
                <w:p w14:paraId="7533763A">
                  <w:pPr>
                    <w:pStyle w:val="115"/>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Cs w:val="21"/>
                      <w:lang w:val="en-US" w:eastAsia="zh-CN"/>
                    </w:rPr>
                  </w:pPr>
                  <w:r>
                    <w:rPr>
                      <w:rFonts w:hint="eastAsia" w:cs="Times New Roman"/>
                      <w:color w:val="auto"/>
                      <w:szCs w:val="21"/>
                      <w:lang w:val="en-US" w:eastAsia="zh-CN"/>
                    </w:rPr>
                    <w:t>蒸汽</w:t>
                  </w:r>
                </w:p>
              </w:tc>
              <w:tc>
                <w:tcPr>
                  <w:tcW w:w="511" w:type="pct"/>
                  <w:noWrap w:val="0"/>
                  <w:vAlign w:val="center"/>
                </w:tcPr>
                <w:p w14:paraId="5173D5F2">
                  <w:pPr>
                    <w:pStyle w:val="79"/>
                    <w:keepNext w:val="0"/>
                    <w:keepLines w:val="0"/>
                    <w:pageBreakBefore w:val="0"/>
                    <w:kinsoku/>
                    <w:wordWrap/>
                    <w:overflowPunct/>
                    <w:topLinePunct w:val="0"/>
                    <w:autoSpaceDE/>
                    <w:autoSpaceDN/>
                    <w:bidi w:val="0"/>
                    <w:adjustRightInd/>
                    <w:spacing w:line="240" w:lineRule="auto"/>
                    <w:textAlignment w:val="auto"/>
                    <w:rPr>
                      <w:rFonts w:hint="default" w:ascii="Times New Roman" w:hAnsi="Times New Roman" w:cs="Times New Roman"/>
                      <w:sz w:val="21"/>
                      <w:szCs w:val="21"/>
                      <w:u w:val="none"/>
                    </w:rPr>
                  </w:pPr>
                  <w:r>
                    <w:rPr>
                      <w:rFonts w:hint="default" w:ascii="Times New Roman" w:hAnsi="Times New Roman" w:cs="Times New Roman"/>
                      <w:color w:val="auto"/>
                      <w:szCs w:val="21"/>
                      <w:lang w:val="en-US" w:eastAsia="zh-CN"/>
                    </w:rPr>
                    <w:t>t/a</w:t>
                  </w:r>
                </w:p>
              </w:tc>
              <w:tc>
                <w:tcPr>
                  <w:tcW w:w="529" w:type="pct"/>
                  <w:noWrap w:val="0"/>
                  <w:vAlign w:val="center"/>
                </w:tcPr>
                <w:p w14:paraId="7E109BC8">
                  <w:pPr>
                    <w:pStyle w:val="79"/>
                    <w:keepNext w:val="0"/>
                    <w:keepLines w:val="0"/>
                    <w:pageBreakBefore w:val="0"/>
                    <w:kinsoku/>
                    <w:wordWrap/>
                    <w:overflowPunct/>
                    <w:topLinePunct w:val="0"/>
                    <w:autoSpaceDE/>
                    <w:autoSpaceDN/>
                    <w:bidi w:val="0"/>
                    <w:adjustRightInd/>
                    <w:spacing w:line="240" w:lineRule="auto"/>
                    <w:textAlignment w:val="auto"/>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6500</w:t>
                  </w:r>
                </w:p>
              </w:tc>
              <w:tc>
                <w:tcPr>
                  <w:tcW w:w="557" w:type="pct"/>
                  <w:shd w:val="clear" w:color="auto" w:fill="auto"/>
                  <w:noWrap w:val="0"/>
                  <w:vAlign w:val="center"/>
                </w:tcPr>
                <w:p w14:paraId="36A1E674">
                  <w:pPr>
                    <w:pStyle w:val="115"/>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Times New Roman" w:hAnsi="Times New Roman" w:eastAsia="宋体" w:cs="Times New Roman"/>
                      <w:color w:val="auto"/>
                      <w:kern w:val="2"/>
                      <w:sz w:val="21"/>
                      <w:szCs w:val="21"/>
                      <w:shd w:val="clear" w:color="auto" w:fill="FFFFFF"/>
                      <w:lang w:val="en-US" w:eastAsia="zh-CN" w:bidi="ar-SA"/>
                    </w:rPr>
                  </w:pPr>
                  <w:r>
                    <w:rPr>
                      <w:rFonts w:hint="eastAsia" w:ascii="Times New Roman" w:hAnsi="Times New Roman" w:eastAsia="宋体" w:cs="Times New Roman"/>
                      <w:color w:val="auto"/>
                      <w:szCs w:val="21"/>
                      <w:lang w:val="en-US" w:eastAsia="zh-CN"/>
                    </w:rPr>
                    <w:t>/</w:t>
                  </w:r>
                </w:p>
              </w:tc>
              <w:tc>
                <w:tcPr>
                  <w:tcW w:w="659" w:type="pct"/>
                  <w:shd w:val="clear" w:color="auto" w:fill="auto"/>
                  <w:noWrap w:val="0"/>
                  <w:vAlign w:val="center"/>
                </w:tcPr>
                <w:p w14:paraId="4E2E3725">
                  <w:pPr>
                    <w:pStyle w:val="115"/>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Times New Roman" w:hAnsi="Times New Roman" w:eastAsia="宋体" w:cs="Times New Roman"/>
                      <w:color w:val="auto"/>
                      <w:kern w:val="2"/>
                      <w:sz w:val="21"/>
                      <w:szCs w:val="21"/>
                      <w:shd w:val="clear" w:color="auto" w:fill="FFFFFF"/>
                      <w:lang w:val="en-US" w:eastAsia="zh-CN" w:bidi="ar-SA"/>
                    </w:rPr>
                  </w:pPr>
                  <w:r>
                    <w:rPr>
                      <w:rFonts w:hint="eastAsia" w:ascii="Times New Roman" w:hAnsi="Times New Roman" w:eastAsia="宋体" w:cs="Times New Roman"/>
                      <w:color w:val="auto"/>
                      <w:szCs w:val="21"/>
                      <w:lang w:val="en-US" w:eastAsia="zh-CN"/>
                    </w:rPr>
                    <w:t>/</w:t>
                  </w:r>
                </w:p>
              </w:tc>
              <w:tc>
                <w:tcPr>
                  <w:tcW w:w="752" w:type="pct"/>
                  <w:shd w:val="clear" w:color="auto" w:fill="auto"/>
                  <w:noWrap w:val="0"/>
                  <w:vAlign w:val="center"/>
                </w:tcPr>
                <w:p w14:paraId="4DD80C6E">
                  <w:pPr>
                    <w:pStyle w:val="115"/>
                    <w:keepNext w:val="0"/>
                    <w:keepLines w:val="0"/>
                    <w:pageBreakBefore w:val="0"/>
                    <w:kinsoku/>
                    <w:wordWrap/>
                    <w:overflowPunct/>
                    <w:topLinePunct w:val="0"/>
                    <w:autoSpaceDE/>
                    <w:autoSpaceDN/>
                    <w:bidi w:val="0"/>
                    <w:adjustRightInd/>
                    <w:spacing w:line="240" w:lineRule="auto"/>
                    <w:ind w:firstLine="0" w:firstLineChars="0"/>
                    <w:textAlignment w:val="auto"/>
                    <w:rPr>
                      <w:rFonts w:hint="eastAsia" w:ascii="Times New Roman" w:hAnsi="Times New Roman" w:eastAsia="宋体" w:cs="Times New Roman"/>
                      <w:color w:val="auto"/>
                      <w:kern w:val="2"/>
                      <w:sz w:val="21"/>
                      <w:szCs w:val="21"/>
                      <w:shd w:val="clear" w:color="auto" w:fill="FFFFFF"/>
                      <w:lang w:val="en-US" w:eastAsia="zh-CN" w:bidi="ar-SA"/>
                    </w:rPr>
                  </w:pPr>
                  <w:r>
                    <w:rPr>
                      <w:rFonts w:hint="eastAsia" w:ascii="Times New Roman" w:hAnsi="Times New Roman" w:eastAsia="宋体" w:cs="Times New Roman"/>
                      <w:color w:val="auto"/>
                      <w:szCs w:val="21"/>
                      <w:lang w:val="en-US" w:eastAsia="zh-CN"/>
                    </w:rPr>
                    <w:t>/</w:t>
                  </w:r>
                </w:p>
              </w:tc>
              <w:tc>
                <w:tcPr>
                  <w:tcW w:w="989" w:type="pct"/>
                  <w:noWrap w:val="0"/>
                  <w:vAlign w:val="center"/>
                </w:tcPr>
                <w:p w14:paraId="3484C99C">
                  <w:pPr>
                    <w:pStyle w:val="115"/>
                    <w:keepNext w:val="0"/>
                    <w:keepLines w:val="0"/>
                    <w:pageBreakBefore w:val="0"/>
                    <w:kinsoku/>
                    <w:wordWrap/>
                    <w:overflowPunct/>
                    <w:topLinePunct w:val="0"/>
                    <w:autoSpaceDE/>
                    <w:autoSpaceDN/>
                    <w:bidi w:val="0"/>
                    <w:adjustRightInd/>
                    <w:spacing w:line="240" w:lineRule="auto"/>
                    <w:ind w:firstLine="0" w:firstLineChars="0"/>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园区供热管网</w:t>
                  </w:r>
                </w:p>
              </w:tc>
            </w:tr>
          </w:tbl>
          <w:p w14:paraId="376E86C5">
            <w:pPr>
              <w:adjustRightInd w:val="0"/>
              <w:snapToGrid w:val="0"/>
              <w:jc w:val="center"/>
              <w:rPr>
                <w:b/>
                <w:bCs/>
                <w:u w:val="none"/>
              </w:rPr>
            </w:pPr>
            <w:r>
              <w:rPr>
                <w:rFonts w:hint="eastAsia"/>
                <w:b/>
                <w:bCs/>
                <w:u w:val="none"/>
              </w:rPr>
              <w:t>表2-</w:t>
            </w:r>
            <w:r>
              <w:rPr>
                <w:rFonts w:hint="eastAsia"/>
                <w:b/>
                <w:bCs/>
                <w:u w:val="none"/>
                <w:lang w:val="en-US" w:eastAsia="zh-CN"/>
              </w:rPr>
              <w:t>5</w:t>
            </w:r>
            <w:r>
              <w:rPr>
                <w:rFonts w:hint="eastAsia"/>
                <w:b/>
                <w:bCs/>
                <w:u w:val="none"/>
              </w:rPr>
              <w:t xml:space="preserve">  主要原辅材料</w:t>
            </w:r>
            <w:r>
              <w:rPr>
                <w:rFonts w:hint="eastAsia"/>
                <w:b/>
                <w:bCs/>
                <w:u w:val="none"/>
                <w:lang w:val="en-US" w:eastAsia="zh-CN"/>
              </w:rPr>
              <w:t>理化性质</w:t>
            </w:r>
            <w:r>
              <w:rPr>
                <w:rFonts w:hint="eastAsia"/>
                <w:b/>
                <w:bCs/>
                <w:u w:val="none"/>
              </w:rPr>
              <w:t>一览表</w:t>
            </w:r>
          </w:p>
          <w:tbl>
            <w:tblPr>
              <w:tblStyle w:val="32"/>
              <w:tblW w:w="8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95"/>
              <w:gridCol w:w="6645"/>
            </w:tblGrid>
            <w:tr w14:paraId="3548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649" w:type="dxa"/>
                  <w:vAlign w:val="center"/>
                </w:tcPr>
                <w:p w14:paraId="63291B5E">
                  <w:pPr>
                    <w:keepNext w:val="0"/>
                    <w:keepLines w:val="0"/>
                    <w:widowControl/>
                    <w:suppressLineNumbers w:val="0"/>
                    <w:spacing w:line="240" w:lineRule="auto"/>
                    <w:jc w:val="center"/>
                    <w:rPr>
                      <w:rFonts w:hint="eastAsia" w:eastAsia="宋体"/>
                      <w:b/>
                      <w:bCs/>
                      <w:sz w:val="21"/>
                      <w:szCs w:val="21"/>
                      <w:vertAlign w:val="baseline"/>
                      <w:lang w:val="en-US" w:eastAsia="zh-CN"/>
                    </w:rPr>
                  </w:pPr>
                  <w:r>
                    <w:rPr>
                      <w:rFonts w:hint="eastAsia"/>
                      <w:b/>
                      <w:bCs/>
                      <w:sz w:val="21"/>
                      <w:szCs w:val="21"/>
                      <w:vertAlign w:val="baseline"/>
                      <w:lang w:val="en-US" w:eastAsia="zh-CN"/>
                    </w:rPr>
                    <w:t>序号</w:t>
                  </w:r>
                </w:p>
              </w:tc>
              <w:tc>
                <w:tcPr>
                  <w:tcW w:w="795" w:type="dxa"/>
                  <w:vAlign w:val="center"/>
                </w:tcPr>
                <w:p w14:paraId="3AA3F6F2">
                  <w:pPr>
                    <w:keepNext w:val="0"/>
                    <w:keepLines w:val="0"/>
                    <w:widowControl/>
                    <w:suppressLineNumbers w:val="0"/>
                    <w:spacing w:line="240" w:lineRule="auto"/>
                    <w:jc w:val="center"/>
                    <w:rPr>
                      <w:rFonts w:hint="eastAsia" w:eastAsia="宋体"/>
                      <w:b/>
                      <w:bCs/>
                      <w:sz w:val="21"/>
                      <w:szCs w:val="21"/>
                      <w:vertAlign w:val="baseline"/>
                      <w:lang w:val="en-US" w:eastAsia="zh-CN"/>
                    </w:rPr>
                  </w:pPr>
                  <w:r>
                    <w:rPr>
                      <w:rFonts w:hint="eastAsia"/>
                      <w:b/>
                      <w:bCs/>
                      <w:sz w:val="21"/>
                      <w:szCs w:val="21"/>
                      <w:vertAlign w:val="baseline"/>
                      <w:lang w:val="en-US" w:eastAsia="zh-CN"/>
                    </w:rPr>
                    <w:t>名称</w:t>
                  </w:r>
                </w:p>
              </w:tc>
              <w:tc>
                <w:tcPr>
                  <w:tcW w:w="6645" w:type="dxa"/>
                  <w:vAlign w:val="center"/>
                </w:tcPr>
                <w:p w14:paraId="43603E84">
                  <w:pPr>
                    <w:keepNext w:val="0"/>
                    <w:keepLines w:val="0"/>
                    <w:widowControl/>
                    <w:suppressLineNumbers w:val="0"/>
                    <w:spacing w:line="240" w:lineRule="auto"/>
                    <w:jc w:val="center"/>
                    <w:rPr>
                      <w:rFonts w:hint="eastAsia" w:eastAsia="宋体"/>
                      <w:b/>
                      <w:bCs/>
                      <w:sz w:val="21"/>
                      <w:szCs w:val="21"/>
                      <w:vertAlign w:val="baseline"/>
                      <w:lang w:val="en-US" w:eastAsia="zh-CN"/>
                    </w:rPr>
                  </w:pPr>
                  <w:r>
                    <w:rPr>
                      <w:rFonts w:hint="eastAsia"/>
                      <w:b/>
                      <w:bCs/>
                      <w:sz w:val="21"/>
                      <w:szCs w:val="21"/>
                      <w:vertAlign w:val="baseline"/>
                      <w:lang w:val="en-US" w:eastAsia="zh-CN"/>
                    </w:rPr>
                    <w:t>理化性质</w:t>
                  </w:r>
                </w:p>
              </w:tc>
            </w:tr>
            <w:tr w14:paraId="7361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14:paraId="45503F07">
                  <w:pPr>
                    <w:keepNext w:val="0"/>
                    <w:keepLines w:val="0"/>
                    <w:widowControl/>
                    <w:suppressLineNumbers w:val="0"/>
                    <w:spacing w:line="240" w:lineRule="auto"/>
                    <w:jc w:val="center"/>
                    <w:rPr>
                      <w:rFonts w:hint="eastAsia"/>
                      <w:sz w:val="21"/>
                      <w:szCs w:val="21"/>
                      <w:vertAlign w:val="baseline"/>
                    </w:rPr>
                  </w:pPr>
                  <w:r>
                    <w:rPr>
                      <w:rFonts w:hint="eastAsia"/>
                      <w:sz w:val="21"/>
                      <w:szCs w:val="21"/>
                      <w:vertAlign w:val="baseline"/>
                      <w:lang w:val="en-US" w:eastAsia="zh-CN"/>
                    </w:rPr>
                    <w:t>1</w:t>
                  </w:r>
                </w:p>
              </w:tc>
              <w:tc>
                <w:tcPr>
                  <w:tcW w:w="795" w:type="dxa"/>
                  <w:vAlign w:val="center"/>
                </w:tcPr>
                <w:p w14:paraId="5CC19FB0">
                  <w:pPr>
                    <w:keepNext w:val="0"/>
                    <w:keepLines w:val="0"/>
                    <w:widowControl/>
                    <w:suppressLineNumbers w:val="0"/>
                    <w:spacing w:line="240" w:lineRule="auto"/>
                    <w:jc w:val="center"/>
                    <w:rPr>
                      <w:rFonts w:ascii="Times New Roman" w:hAnsi="Times New Roman" w:cs="Times New Roman"/>
                      <w:sz w:val="21"/>
                      <w:szCs w:val="21"/>
                      <w:vertAlign w:val="baseline"/>
                    </w:rPr>
                  </w:pPr>
                  <w:r>
                    <w:rPr>
                      <w:rFonts w:hint="default" w:ascii="Times New Roman" w:hAnsi="Times New Roman" w:cs="Times New Roman"/>
                      <w:color w:val="000000"/>
                      <w:kern w:val="0"/>
                      <w:sz w:val="21"/>
                      <w:szCs w:val="21"/>
                      <w:lang w:val="en-US" w:eastAsia="zh-CN" w:bidi="ar"/>
                    </w:rPr>
                    <w:t>NMP</w:t>
                  </w:r>
                </w:p>
              </w:tc>
              <w:tc>
                <w:tcPr>
                  <w:tcW w:w="6645" w:type="dxa"/>
                  <w:vAlign w:val="center"/>
                </w:tcPr>
                <w:p w14:paraId="0C66664B">
                  <w:pPr>
                    <w:keepNext w:val="0"/>
                    <w:keepLines w:val="0"/>
                    <w:widowControl/>
                    <w:suppressLineNumbers w:val="0"/>
                    <w:spacing w:line="240" w:lineRule="auto"/>
                    <w:ind w:firstLine="420" w:firstLineChars="200"/>
                    <w:jc w:val="left"/>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val="en-US" w:eastAsia="zh-CN" w:bidi="ar"/>
                    </w:rPr>
                    <w:t>N</w:t>
                  </w:r>
                  <w:r>
                    <w:rPr>
                      <w:rFonts w:hint="default" w:ascii="Times New Roman" w:hAnsi="Times New Roman" w:cs="Times New Roman"/>
                      <w:color w:val="000000"/>
                      <w:kern w:val="0"/>
                      <w:sz w:val="21"/>
                      <w:szCs w:val="21"/>
                      <w:lang w:bidi="ar"/>
                    </w:rPr>
                    <w:t>-甲基吡咯烷酮（C5H9NO）：中文别名为NMP；1-甲基-2吡咯烷酮；N-甲基-2-吡咯烷酮。无色透明油状液体，微有胺的气味。熔点：-24℃，沸点：203℃，闪点：91℃，相对密度（水=1）：1.03，易溶于水、乙醇、乙醚、丙酮、乙酸乙酯、氯仿和苯，能溶解大多数有机与无机化合物、极性气体、天然及合成高分子化合物。</w:t>
                  </w:r>
                </w:p>
                <w:p w14:paraId="52B3B199">
                  <w:pPr>
                    <w:keepNext w:val="0"/>
                    <w:keepLines w:val="0"/>
                    <w:widowControl/>
                    <w:suppressLineNumbers w:val="0"/>
                    <w:spacing w:line="240" w:lineRule="auto"/>
                    <w:ind w:firstLine="420" w:firstLineChars="200"/>
                    <w:jc w:val="left"/>
                    <w:rPr>
                      <w:rFonts w:ascii="Times New Roman" w:hAnsi="Times New Roman" w:cs="Times New Roman"/>
                      <w:sz w:val="21"/>
                      <w:szCs w:val="21"/>
                      <w:vertAlign w:val="baseline"/>
                    </w:rPr>
                  </w:pPr>
                  <w:r>
                    <w:rPr>
                      <w:rFonts w:hint="default" w:ascii="Times New Roman" w:hAnsi="Times New Roman" w:cs="Times New Roman"/>
                      <w:color w:val="000000"/>
                      <w:kern w:val="0"/>
                      <w:sz w:val="21"/>
                      <w:szCs w:val="21"/>
                      <w:lang w:bidi="ar"/>
                    </w:rPr>
                    <w:t>N-甲基吡咯烷酮（C5H9NO）毒性毒理：对皮肤有轻度刺激作用，但未见吸收作用。由于蒸气压低，一次吸入的危险性很小。在大鼠试验中长期吸入未观察到会缩短寿命的毒性或致癌效力，但慢性作用可致中枢神经系统机能障碍，引起呼吸器官、肾脏、血管系统的病变。小鼠吸入本品蒸气2小时，浓度为0.18～0.20mg/L，可对上呼吸道及眼睛产生轻度的刺激。小鼠灌胃LD50为5200mg/kg，大鼠灌胃LD50为7900mg/kg</w:t>
                  </w:r>
                </w:p>
              </w:tc>
            </w:tr>
          </w:tbl>
          <w:p w14:paraId="10909EF8">
            <w:pPr>
              <w:pStyle w:val="2"/>
              <w:spacing w:before="0" w:after="0" w:line="360" w:lineRule="auto"/>
              <w:ind w:left="0" w:firstLine="480" w:firstLineChars="200"/>
              <w:rPr>
                <w:rFonts w:hint="eastAsia" w:eastAsia="宋体"/>
                <w:b w:val="0"/>
                <w:bCs w:val="0"/>
                <w:color w:val="auto"/>
                <w:sz w:val="24"/>
                <w:szCs w:val="24"/>
                <w:u w:val="none"/>
              </w:rPr>
            </w:pPr>
            <w:r>
              <w:rPr>
                <w:rFonts w:hint="eastAsia" w:eastAsia="宋体"/>
                <w:b w:val="0"/>
                <w:bCs w:val="0"/>
                <w:color w:val="auto"/>
                <w:sz w:val="24"/>
                <w:szCs w:val="24"/>
                <w:u w:val="none"/>
                <w:lang w:eastAsia="zh-CN"/>
              </w:rPr>
              <w:t>（</w:t>
            </w:r>
            <w:r>
              <w:rPr>
                <w:rFonts w:hint="eastAsia" w:eastAsia="宋体"/>
                <w:b w:val="0"/>
                <w:bCs w:val="0"/>
                <w:color w:val="auto"/>
                <w:sz w:val="24"/>
                <w:szCs w:val="24"/>
                <w:u w:val="none"/>
                <w:lang w:val="en-US" w:eastAsia="zh-CN"/>
              </w:rPr>
              <w:t>2</w:t>
            </w:r>
            <w:r>
              <w:rPr>
                <w:rFonts w:hint="eastAsia" w:eastAsia="宋体"/>
                <w:b w:val="0"/>
                <w:bCs w:val="0"/>
                <w:color w:val="auto"/>
                <w:sz w:val="24"/>
                <w:szCs w:val="24"/>
                <w:u w:val="none"/>
                <w:lang w:eastAsia="zh-CN"/>
              </w:rPr>
              <w:t>）</w:t>
            </w:r>
            <w:r>
              <w:rPr>
                <w:rFonts w:hint="eastAsia" w:eastAsia="宋体"/>
                <w:b w:val="0"/>
                <w:bCs w:val="0"/>
                <w:color w:val="auto"/>
                <w:sz w:val="24"/>
                <w:szCs w:val="24"/>
                <w:u w:val="none"/>
              </w:rPr>
              <w:t>原料入厂控制</w:t>
            </w:r>
          </w:p>
          <w:p w14:paraId="1AED653A">
            <w:pPr>
              <w:pStyle w:val="2"/>
              <w:spacing w:before="0" w:after="0" w:line="360" w:lineRule="auto"/>
              <w:ind w:left="0" w:firstLine="480" w:firstLineChars="200"/>
              <w:rPr>
                <w:rFonts w:hint="eastAsia" w:eastAsia="宋体" w:cs="Times New Roman"/>
                <w:b w:val="0"/>
                <w:bCs w:val="0"/>
                <w:color w:val="auto"/>
                <w:kern w:val="44"/>
                <w:sz w:val="24"/>
                <w:szCs w:val="24"/>
                <w:u w:val="none"/>
                <w:lang w:val="en-US" w:eastAsia="zh-CN" w:bidi="ar"/>
              </w:rPr>
            </w:pPr>
            <w:r>
              <w:rPr>
                <w:rFonts w:hint="eastAsia" w:eastAsia="宋体" w:cs="Times New Roman"/>
                <w:b w:val="0"/>
                <w:bCs w:val="0"/>
                <w:color w:val="auto"/>
                <w:kern w:val="44"/>
                <w:sz w:val="24"/>
                <w:szCs w:val="24"/>
                <w:u w:val="none"/>
                <w:lang w:val="en-US" w:eastAsia="zh-CN" w:bidi="ar"/>
              </w:rPr>
              <w:t>①</w:t>
            </w:r>
            <w:r>
              <w:rPr>
                <w:rFonts w:hint="eastAsia" w:ascii="Times New Roman" w:hAnsi="Times New Roman" w:eastAsia="宋体" w:cs="Times New Roman"/>
                <w:b w:val="0"/>
                <w:bCs w:val="0"/>
                <w:color w:val="auto"/>
                <w:kern w:val="44"/>
                <w:sz w:val="24"/>
                <w:szCs w:val="24"/>
                <w:u w:val="none"/>
                <w:lang w:val="en-US" w:eastAsia="zh-CN" w:bidi="ar"/>
              </w:rPr>
              <w:t>本环评要求建设单位对</w:t>
            </w:r>
            <w:r>
              <w:rPr>
                <w:rFonts w:hint="eastAsia" w:eastAsia="宋体" w:cs="Times New Roman"/>
                <w:b w:val="0"/>
                <w:bCs w:val="0"/>
                <w:color w:val="auto"/>
                <w:kern w:val="44"/>
                <w:sz w:val="24"/>
                <w:szCs w:val="24"/>
                <w:u w:val="none"/>
                <w:lang w:val="en-US" w:eastAsia="zh-CN" w:bidi="ar"/>
              </w:rPr>
              <w:t>原料</w:t>
            </w:r>
            <w:r>
              <w:rPr>
                <w:rFonts w:hint="eastAsia" w:ascii="Times New Roman" w:hAnsi="Times New Roman" w:eastAsia="宋体" w:cs="Times New Roman"/>
                <w:b w:val="0"/>
                <w:bCs w:val="0"/>
                <w:color w:val="auto"/>
                <w:kern w:val="44"/>
                <w:sz w:val="24"/>
                <w:szCs w:val="24"/>
                <w:u w:val="none"/>
                <w:lang w:val="en-US" w:eastAsia="zh-CN" w:bidi="ar"/>
              </w:rPr>
              <w:t>进行严格筛选，需到产废单位进行取样检测，</w:t>
            </w:r>
            <w:r>
              <w:rPr>
                <w:rFonts w:hint="eastAsia" w:eastAsia="宋体" w:cs="Times New Roman"/>
                <w:b w:val="0"/>
                <w:bCs w:val="0"/>
                <w:color w:val="auto"/>
                <w:kern w:val="44"/>
                <w:sz w:val="24"/>
                <w:szCs w:val="24"/>
                <w:u w:val="none"/>
                <w:lang w:val="en-US" w:eastAsia="zh-CN" w:bidi="ar"/>
              </w:rPr>
              <w:t>确保其不属于危险废物方可接收；</w:t>
            </w:r>
          </w:p>
          <w:p w14:paraId="0EA62A4B">
            <w:pPr>
              <w:pStyle w:val="2"/>
              <w:spacing w:before="0" w:after="0" w:line="360" w:lineRule="auto"/>
              <w:ind w:left="0" w:firstLine="480" w:firstLineChars="200"/>
              <w:rPr>
                <w:rFonts w:hint="eastAsia" w:ascii="宋体" w:hAnsi="宋体" w:eastAsia="宋体" w:cs="宋体"/>
                <w:color w:val="000000"/>
                <w:kern w:val="0"/>
                <w:sz w:val="24"/>
                <w:szCs w:val="24"/>
                <w:lang w:val="en-US" w:eastAsia="zh-CN" w:bidi="ar"/>
              </w:rPr>
            </w:pPr>
            <w:r>
              <w:rPr>
                <w:rFonts w:hint="eastAsia" w:eastAsia="宋体" w:cs="Times New Roman"/>
                <w:b w:val="0"/>
                <w:bCs w:val="0"/>
                <w:color w:val="auto"/>
                <w:kern w:val="44"/>
                <w:sz w:val="24"/>
                <w:szCs w:val="24"/>
                <w:u w:val="none"/>
                <w:lang w:val="en-US" w:eastAsia="zh-CN" w:bidi="ar"/>
              </w:rPr>
              <w:t>②本项目设有实验室（通过便携式速测设备进行简单检测，不涉及化学试剂的使用），用于检测NMP浓度，浓度大于50%的方可接收。</w:t>
            </w:r>
          </w:p>
          <w:p w14:paraId="49918F9E">
            <w:pPr>
              <w:pStyle w:val="2"/>
              <w:spacing w:before="0" w:after="0" w:line="360" w:lineRule="auto"/>
              <w:ind w:left="0" w:firstLine="480" w:firstLineChars="200"/>
              <w:rPr>
                <w:rFonts w:hint="default" w:eastAsia="宋体"/>
                <w:b w:val="0"/>
                <w:bCs w:val="0"/>
                <w:color w:val="auto"/>
                <w:sz w:val="24"/>
                <w:szCs w:val="24"/>
                <w:u w:val="none"/>
                <w:lang w:eastAsia="zh-CN"/>
              </w:rPr>
            </w:pPr>
            <w:r>
              <w:rPr>
                <w:rFonts w:hint="eastAsia" w:eastAsia="宋体"/>
                <w:b w:val="0"/>
                <w:bCs w:val="0"/>
                <w:color w:val="auto"/>
                <w:sz w:val="24"/>
                <w:szCs w:val="24"/>
                <w:u w:val="none"/>
                <w:lang w:val="en-US" w:eastAsia="zh-CN"/>
              </w:rPr>
              <w:t>（3）原料来源以及成分分析</w:t>
            </w:r>
          </w:p>
          <w:p w14:paraId="32C0B3F4">
            <w:pPr>
              <w:pStyle w:val="2"/>
              <w:spacing w:before="0" w:after="0" w:line="360" w:lineRule="auto"/>
              <w:ind w:left="0" w:firstLine="480" w:firstLineChars="200"/>
              <w:rPr>
                <w:rFonts w:hint="eastAsia" w:eastAsia="宋体"/>
                <w:b w:val="0"/>
                <w:bCs w:val="0"/>
                <w:color w:val="auto"/>
                <w:sz w:val="24"/>
                <w:szCs w:val="24"/>
                <w:u w:val="none"/>
                <w:lang w:val="en-US" w:eastAsia="zh-CN"/>
              </w:rPr>
            </w:pPr>
            <w:r>
              <w:rPr>
                <w:rFonts w:hint="eastAsia" w:eastAsia="宋体"/>
                <w:b w:val="0"/>
                <w:bCs w:val="0"/>
                <w:color w:val="auto"/>
                <w:sz w:val="24"/>
                <w:szCs w:val="24"/>
                <w:u w:val="none"/>
              </w:rPr>
              <w:t>本项目废NMP浆料主要来自于湖北金泉新材料有限公司</w:t>
            </w:r>
            <w:r>
              <w:rPr>
                <w:rFonts w:hint="eastAsia" w:eastAsia="宋体"/>
                <w:b w:val="0"/>
                <w:bCs w:val="0"/>
                <w:color w:val="auto"/>
                <w:sz w:val="24"/>
                <w:szCs w:val="24"/>
                <w:u w:val="none"/>
                <w:lang w:eastAsia="zh-CN"/>
              </w:rPr>
              <w:t>、东莞市华盛新能源科技</w:t>
            </w:r>
            <w:r>
              <w:rPr>
                <w:rFonts w:hint="eastAsia" w:eastAsia="宋体"/>
                <w:b w:val="0"/>
                <w:bCs w:val="0"/>
                <w:color w:val="auto"/>
                <w:sz w:val="24"/>
                <w:szCs w:val="24"/>
                <w:u w:val="none"/>
                <w:lang w:val="en-US" w:eastAsia="zh-CN"/>
              </w:rPr>
              <w:t>有限公司以及</w:t>
            </w:r>
            <w:r>
              <w:rPr>
                <w:rFonts w:hint="eastAsia" w:eastAsia="宋体"/>
                <w:b w:val="0"/>
                <w:bCs w:val="0"/>
                <w:color w:val="auto"/>
                <w:sz w:val="24"/>
                <w:szCs w:val="24"/>
                <w:u w:val="none"/>
              </w:rPr>
              <w:t>远景动力技术</w:t>
            </w:r>
            <w:r>
              <w:rPr>
                <w:rFonts w:hint="eastAsia" w:eastAsia="宋体"/>
                <w:b w:val="0"/>
                <w:bCs w:val="0"/>
                <w:color w:val="auto"/>
                <w:sz w:val="24"/>
                <w:szCs w:val="24"/>
                <w:u w:val="none"/>
                <w:lang w:eastAsia="zh-CN"/>
              </w:rPr>
              <w:t>（</w:t>
            </w:r>
            <w:r>
              <w:rPr>
                <w:rFonts w:hint="eastAsia" w:eastAsia="宋体"/>
                <w:b w:val="0"/>
                <w:bCs w:val="0"/>
                <w:color w:val="auto"/>
                <w:sz w:val="24"/>
                <w:szCs w:val="24"/>
                <w:u w:val="none"/>
              </w:rPr>
              <w:t>江苏</w:t>
            </w:r>
            <w:r>
              <w:rPr>
                <w:rFonts w:hint="eastAsia" w:eastAsia="宋体"/>
                <w:b w:val="0"/>
                <w:bCs w:val="0"/>
                <w:color w:val="auto"/>
                <w:sz w:val="24"/>
                <w:szCs w:val="24"/>
                <w:u w:val="none"/>
                <w:lang w:eastAsia="zh-CN"/>
              </w:rPr>
              <w:t>）</w:t>
            </w:r>
            <w:r>
              <w:rPr>
                <w:rFonts w:hint="eastAsia" w:eastAsia="宋体"/>
                <w:b w:val="0"/>
                <w:bCs w:val="0"/>
                <w:color w:val="auto"/>
                <w:sz w:val="24"/>
                <w:szCs w:val="24"/>
                <w:u w:val="none"/>
              </w:rPr>
              <w:t>有限公司等锂电池、电子元器件清洗</w:t>
            </w:r>
            <w:r>
              <w:rPr>
                <w:rFonts w:hint="eastAsia" w:eastAsia="宋体"/>
                <w:b w:val="0"/>
                <w:bCs w:val="0"/>
                <w:color w:val="auto"/>
                <w:sz w:val="24"/>
                <w:szCs w:val="24"/>
                <w:u w:val="none"/>
                <w:lang w:val="en-US" w:eastAsia="zh-CN"/>
              </w:rPr>
              <w:t>公司</w:t>
            </w:r>
            <w:r>
              <w:rPr>
                <w:rFonts w:hint="eastAsia" w:eastAsia="宋体"/>
                <w:b w:val="0"/>
                <w:bCs w:val="0"/>
                <w:color w:val="auto"/>
                <w:sz w:val="24"/>
                <w:szCs w:val="24"/>
                <w:u w:val="none"/>
              </w:rPr>
              <w:t>。NMP有机溶剂一般用作锂电子电池的电极辅助材料及清洗剂，根据《</w:t>
            </w:r>
            <w:r>
              <w:rPr>
                <w:rFonts w:hint="eastAsia" w:eastAsia="宋体"/>
                <w:b w:val="0"/>
                <w:bCs w:val="0"/>
                <w:color w:val="auto"/>
                <w:sz w:val="24"/>
                <w:szCs w:val="24"/>
                <w:u w:val="none"/>
                <w:lang w:val="en-US" w:eastAsia="zh-CN"/>
              </w:rPr>
              <w:t>福建省生态环境厅</w:t>
            </w:r>
            <w:r>
              <w:rPr>
                <w:rFonts w:hint="eastAsia" w:eastAsia="宋体"/>
                <w:b w:val="0"/>
                <w:bCs w:val="0"/>
                <w:color w:val="auto"/>
                <w:sz w:val="24"/>
                <w:szCs w:val="24"/>
                <w:u w:val="none"/>
              </w:rPr>
              <w:t>关于 N-甲基吡咯烷酮是否属于</w:t>
            </w:r>
            <w:r>
              <w:rPr>
                <w:rFonts w:hint="eastAsia" w:eastAsia="宋体"/>
                <w:b w:val="0"/>
                <w:bCs w:val="0"/>
                <w:color w:val="auto"/>
                <w:sz w:val="24"/>
                <w:szCs w:val="24"/>
                <w:u w:val="none"/>
                <w:lang w:val="en-US" w:eastAsia="zh-CN"/>
              </w:rPr>
              <w:t>危险废物</w:t>
            </w:r>
            <w:r>
              <w:rPr>
                <w:rFonts w:hint="eastAsia" w:eastAsia="宋体"/>
                <w:b w:val="0"/>
                <w:bCs w:val="0"/>
                <w:color w:val="auto"/>
                <w:sz w:val="24"/>
                <w:szCs w:val="24"/>
                <w:u w:val="none"/>
              </w:rPr>
              <w:t>事项的答复》和《关于废旧锂电池收集处置有关问题的复函》（环办函[2014]1621号），</w:t>
            </w:r>
            <w:r>
              <w:rPr>
                <w:rFonts w:hint="eastAsia" w:eastAsia="宋体"/>
                <w:b w:val="0"/>
                <w:bCs w:val="0"/>
                <w:color w:val="auto"/>
                <w:sz w:val="24"/>
                <w:szCs w:val="24"/>
                <w:u w:val="none"/>
                <w:lang w:eastAsia="zh-CN"/>
              </w:rPr>
              <w:t>（</w:t>
            </w:r>
            <w:r>
              <w:rPr>
                <w:rFonts w:hint="eastAsia" w:eastAsia="宋体"/>
                <w:b w:val="0"/>
                <w:bCs w:val="0"/>
                <w:color w:val="auto"/>
                <w:sz w:val="24"/>
                <w:szCs w:val="24"/>
                <w:u w:val="none"/>
              </w:rPr>
              <w:t>详见附件6、7</w:t>
            </w:r>
            <w:r>
              <w:rPr>
                <w:rFonts w:hint="eastAsia" w:eastAsia="宋体"/>
                <w:b w:val="0"/>
                <w:bCs w:val="0"/>
                <w:color w:val="auto"/>
                <w:sz w:val="24"/>
                <w:szCs w:val="24"/>
                <w:u w:val="none"/>
                <w:lang w:eastAsia="zh-CN"/>
              </w:rPr>
              <w:t>）</w:t>
            </w:r>
            <w:r>
              <w:rPr>
                <w:rFonts w:hint="eastAsia" w:eastAsia="宋体"/>
                <w:b w:val="0"/>
                <w:bCs w:val="0"/>
                <w:color w:val="auto"/>
                <w:sz w:val="24"/>
                <w:szCs w:val="24"/>
                <w:u w:val="none"/>
              </w:rPr>
              <w:t>，NMP回收液不属于危险废物</w:t>
            </w:r>
            <w:r>
              <w:rPr>
                <w:rFonts w:hint="eastAsia" w:eastAsia="宋体"/>
                <w:b w:val="0"/>
                <w:bCs w:val="0"/>
                <w:color w:val="auto"/>
                <w:sz w:val="24"/>
                <w:szCs w:val="24"/>
                <w:u w:val="none"/>
                <w:lang w:eastAsia="zh-CN"/>
              </w:rPr>
              <w:t>，</w:t>
            </w:r>
            <w:r>
              <w:rPr>
                <w:rFonts w:hint="eastAsia" w:eastAsia="宋体"/>
                <w:b w:val="0"/>
                <w:bCs w:val="0"/>
                <w:color w:val="auto"/>
                <w:sz w:val="24"/>
                <w:szCs w:val="24"/>
                <w:u w:val="none"/>
                <w:lang w:val="en-US" w:eastAsia="zh-CN"/>
              </w:rPr>
              <w:t>同时，</w:t>
            </w:r>
            <w:r>
              <w:rPr>
                <w:rFonts w:hint="eastAsia" w:eastAsia="宋体"/>
                <w:b w:val="0"/>
                <w:bCs w:val="0"/>
                <w:color w:val="auto"/>
                <w:sz w:val="24"/>
                <w:szCs w:val="24"/>
                <w:u w:val="none"/>
              </w:rPr>
              <w:t>NMP回收液</w:t>
            </w:r>
            <w:r>
              <w:rPr>
                <w:rFonts w:hint="eastAsia" w:eastAsia="宋体"/>
                <w:b w:val="0"/>
                <w:bCs w:val="0"/>
                <w:color w:val="auto"/>
                <w:sz w:val="24"/>
                <w:szCs w:val="24"/>
                <w:u w:val="none"/>
                <w:lang w:val="en-US" w:eastAsia="zh-CN"/>
              </w:rPr>
              <w:t>不在</w:t>
            </w:r>
            <w:r>
              <w:rPr>
                <w:rFonts w:hint="eastAsia" w:eastAsia="宋体"/>
                <w:b w:val="0"/>
                <w:bCs w:val="0"/>
                <w:color w:val="auto"/>
                <w:sz w:val="24"/>
                <w:szCs w:val="24"/>
                <w:u w:val="none"/>
              </w:rPr>
              <w:t>《国家危险废物名录》（202</w:t>
            </w:r>
            <w:r>
              <w:rPr>
                <w:rFonts w:hint="eastAsia" w:eastAsia="宋体"/>
                <w:b w:val="0"/>
                <w:bCs w:val="0"/>
                <w:color w:val="auto"/>
                <w:sz w:val="24"/>
                <w:szCs w:val="24"/>
                <w:u w:val="none"/>
                <w:lang w:eastAsia="zh-CN"/>
              </w:rPr>
              <w:t>5</w:t>
            </w:r>
            <w:r>
              <w:rPr>
                <w:rFonts w:hint="eastAsia" w:eastAsia="宋体"/>
                <w:b w:val="0"/>
                <w:bCs w:val="0"/>
                <w:color w:val="auto"/>
                <w:sz w:val="24"/>
                <w:szCs w:val="24"/>
                <w:u w:val="none"/>
              </w:rPr>
              <w:t>）</w:t>
            </w:r>
            <w:r>
              <w:rPr>
                <w:rFonts w:hint="eastAsia" w:eastAsia="宋体"/>
                <w:b w:val="0"/>
                <w:bCs w:val="0"/>
                <w:color w:val="auto"/>
                <w:sz w:val="24"/>
                <w:szCs w:val="24"/>
                <w:u w:val="none"/>
                <w:lang w:val="en-US" w:eastAsia="zh-CN"/>
              </w:rPr>
              <w:t>中。</w:t>
            </w:r>
          </w:p>
          <w:p w14:paraId="4AA5701A">
            <w:pPr>
              <w:keepNext w:val="0"/>
              <w:keepLines w:val="0"/>
              <w:widowControl/>
              <w:suppressLineNumbers w:val="0"/>
              <w:spacing w:line="360" w:lineRule="auto"/>
              <w:ind w:firstLine="480" w:firstLineChars="200"/>
              <w:jc w:val="left"/>
            </w:pPr>
            <w:r>
              <w:rPr>
                <w:rFonts w:hint="default" w:ascii="Times New Roman" w:hAnsi="Times New Roman" w:eastAsia="宋体" w:cs="Times New Roman"/>
                <w:color w:val="000000"/>
                <w:kern w:val="0"/>
                <w:sz w:val="24"/>
                <w:szCs w:val="24"/>
                <w:lang w:val="en-US" w:eastAsia="zh-CN" w:bidi="ar"/>
              </w:rPr>
              <w:t>建设单位于202</w:t>
            </w:r>
            <w:r>
              <w:rPr>
                <w:rFonts w:hint="eastAsia" w:ascii="Times New Roman" w:hAnsi="Times New Roman" w:eastAsia="宋体" w:cs="Times New Roman"/>
                <w:color w:val="000000"/>
                <w:kern w:val="0"/>
                <w:sz w:val="24"/>
                <w:szCs w:val="24"/>
                <w:lang w:val="en-US" w:eastAsia="zh-CN" w:bidi="ar"/>
              </w:rPr>
              <w:t>5</w:t>
            </w:r>
            <w:r>
              <w:rPr>
                <w:rFonts w:hint="default" w:ascii="Times New Roman" w:hAnsi="Times New Roman" w:eastAsia="宋体" w:cs="Times New Roman"/>
                <w:color w:val="000000"/>
                <w:kern w:val="0"/>
                <w:sz w:val="24"/>
                <w:szCs w:val="24"/>
                <w:lang w:val="en-US" w:eastAsia="zh-CN" w:bidi="ar"/>
              </w:rPr>
              <w:t>年6月16日委托湖南中鑫检测技术有限公司对</w:t>
            </w:r>
            <w:r>
              <w:rPr>
                <w:rFonts w:hint="eastAsia" w:eastAsia="宋体"/>
                <w:b w:val="0"/>
                <w:bCs w:val="0"/>
                <w:color w:val="auto"/>
                <w:sz w:val="24"/>
                <w:szCs w:val="24"/>
                <w:u w:val="none"/>
              </w:rPr>
              <w:t>湖北金泉新材料有限公司</w:t>
            </w:r>
            <w:r>
              <w:rPr>
                <w:rFonts w:hint="eastAsia" w:eastAsia="宋体"/>
                <w:b w:val="0"/>
                <w:bCs w:val="0"/>
                <w:color w:val="auto"/>
                <w:sz w:val="24"/>
                <w:szCs w:val="24"/>
                <w:u w:val="none"/>
                <w:lang w:eastAsia="zh-CN"/>
              </w:rPr>
              <w:t>、东莞市华盛新能源科技</w:t>
            </w:r>
            <w:r>
              <w:rPr>
                <w:rFonts w:hint="eastAsia" w:eastAsia="宋体"/>
                <w:b w:val="0"/>
                <w:bCs w:val="0"/>
                <w:color w:val="auto"/>
                <w:sz w:val="24"/>
                <w:szCs w:val="24"/>
                <w:u w:val="none"/>
                <w:lang w:val="en-US" w:eastAsia="zh-CN"/>
              </w:rPr>
              <w:t>有限公司</w:t>
            </w:r>
            <w:r>
              <w:rPr>
                <w:rFonts w:hint="eastAsia"/>
                <w:b w:val="0"/>
                <w:bCs w:val="0"/>
                <w:color w:val="auto"/>
                <w:sz w:val="24"/>
                <w:szCs w:val="24"/>
                <w:u w:val="none"/>
                <w:lang w:val="en-US" w:eastAsia="zh-CN"/>
              </w:rPr>
              <w:t>的</w:t>
            </w:r>
            <w:r>
              <w:rPr>
                <w:rFonts w:hint="eastAsia" w:eastAsia="宋体"/>
                <w:b w:val="0"/>
                <w:bCs w:val="0"/>
                <w:color w:val="auto"/>
                <w:sz w:val="24"/>
                <w:szCs w:val="24"/>
                <w:u w:val="none"/>
              </w:rPr>
              <w:t>废NMP浆料</w:t>
            </w:r>
            <w:r>
              <w:rPr>
                <w:rFonts w:hint="default" w:ascii="Times New Roman" w:hAnsi="Times New Roman" w:eastAsia="宋体" w:cs="Times New Roman"/>
                <w:color w:val="000000"/>
                <w:kern w:val="0"/>
                <w:sz w:val="24"/>
                <w:szCs w:val="24"/>
                <w:lang w:val="en-US" w:eastAsia="zh-CN" w:bidi="ar"/>
              </w:rPr>
              <w:t>主要金属成分含量进行了检测分析（详见附件5），具体结果如下。</w:t>
            </w:r>
          </w:p>
          <w:p w14:paraId="14C882E6">
            <w:pPr>
              <w:pStyle w:val="2"/>
              <w:spacing w:before="0" w:after="0" w:line="240" w:lineRule="auto"/>
              <w:ind w:left="0" w:firstLine="0" w:firstLineChars="0"/>
              <w:jc w:val="center"/>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表2-</w:t>
            </w:r>
            <w:r>
              <w:rPr>
                <w:rFonts w:hint="eastAsia" w:eastAsia="宋体" w:cs="Times New Roman"/>
                <w:color w:val="auto"/>
                <w:sz w:val="24"/>
                <w:szCs w:val="24"/>
                <w:u w:val="none"/>
                <w:lang w:val="en-US" w:eastAsia="zh-CN"/>
              </w:rPr>
              <w:t xml:space="preserve">6 </w:t>
            </w:r>
            <w:r>
              <w:rPr>
                <w:rFonts w:hint="default"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b/>
                <w:bCs/>
                <w:spacing w:val="-4"/>
                <w:sz w:val="24"/>
                <w:szCs w:val="24"/>
              </w:rPr>
              <w:t>固废（酸浸）检测结果</w:t>
            </w:r>
          </w:p>
          <w:tbl>
            <w:tblPr>
              <w:tblStyle w:val="122"/>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9"/>
              <w:gridCol w:w="1085"/>
              <w:gridCol w:w="2038"/>
              <w:gridCol w:w="2260"/>
              <w:gridCol w:w="1662"/>
            </w:tblGrid>
            <w:tr w14:paraId="3D84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616" w:type="pct"/>
                  <w:vAlign w:val="center"/>
                </w:tcPr>
                <w:p w14:paraId="4BEB2E07">
                  <w:pPr>
                    <w:pStyle w:val="121"/>
                    <w:spacing w:before="0" w:line="240" w:lineRule="auto"/>
                    <w:ind w:left="0"/>
                    <w:jc w:val="center"/>
                    <w:rPr>
                      <w:rFonts w:ascii="Times New Roman" w:hAnsi="Times New Roman" w:cs="Times New Roman"/>
                      <w:sz w:val="21"/>
                      <w:szCs w:val="21"/>
                    </w:rPr>
                  </w:pPr>
                  <w:r>
                    <w:rPr>
                      <w:rFonts w:ascii="Times New Roman" w:hAnsi="Times New Roman" w:cs="Times New Roman"/>
                      <w:b/>
                      <w:bCs/>
                      <w:spacing w:val="-4"/>
                      <w:sz w:val="21"/>
                      <w:szCs w:val="21"/>
                    </w:rPr>
                    <w:t>送样日期</w:t>
                  </w:r>
                </w:p>
              </w:tc>
              <w:tc>
                <w:tcPr>
                  <w:tcW w:w="675" w:type="pct"/>
                  <w:vAlign w:val="center"/>
                </w:tcPr>
                <w:p w14:paraId="4D8B62EC">
                  <w:pPr>
                    <w:pStyle w:val="121"/>
                    <w:spacing w:before="0" w:line="240" w:lineRule="auto"/>
                    <w:ind w:left="0"/>
                    <w:jc w:val="center"/>
                    <w:rPr>
                      <w:rFonts w:ascii="Times New Roman" w:hAnsi="Times New Roman" w:cs="Times New Roman"/>
                      <w:sz w:val="21"/>
                      <w:szCs w:val="21"/>
                    </w:rPr>
                  </w:pPr>
                  <w:r>
                    <w:rPr>
                      <w:rFonts w:ascii="Times New Roman" w:hAnsi="Times New Roman" w:cs="Times New Roman"/>
                      <w:b/>
                      <w:bCs/>
                      <w:spacing w:val="-5"/>
                      <w:sz w:val="21"/>
                      <w:szCs w:val="21"/>
                    </w:rPr>
                    <w:t>来样标识</w:t>
                  </w:r>
                </w:p>
              </w:tc>
              <w:tc>
                <w:tcPr>
                  <w:tcW w:w="1268" w:type="pct"/>
                  <w:vAlign w:val="center"/>
                </w:tcPr>
                <w:p w14:paraId="1FC2B08F">
                  <w:pPr>
                    <w:pStyle w:val="121"/>
                    <w:spacing w:before="0" w:line="240" w:lineRule="auto"/>
                    <w:ind w:left="0"/>
                    <w:jc w:val="center"/>
                    <w:rPr>
                      <w:rFonts w:ascii="Times New Roman" w:hAnsi="Times New Roman" w:cs="Times New Roman"/>
                      <w:sz w:val="21"/>
                      <w:szCs w:val="21"/>
                    </w:rPr>
                  </w:pPr>
                  <w:r>
                    <w:rPr>
                      <w:rFonts w:ascii="Times New Roman" w:hAnsi="Times New Roman" w:cs="Times New Roman"/>
                      <w:b/>
                      <w:bCs/>
                      <w:spacing w:val="-5"/>
                      <w:sz w:val="21"/>
                      <w:szCs w:val="21"/>
                    </w:rPr>
                    <w:t>检测项目</w:t>
                  </w:r>
                </w:p>
              </w:tc>
              <w:tc>
                <w:tcPr>
                  <w:tcW w:w="1406" w:type="pct"/>
                  <w:vAlign w:val="center"/>
                </w:tcPr>
                <w:p w14:paraId="04694192">
                  <w:pPr>
                    <w:pStyle w:val="121"/>
                    <w:spacing w:before="0" w:line="240" w:lineRule="auto"/>
                    <w:ind w:left="0"/>
                    <w:jc w:val="center"/>
                    <w:rPr>
                      <w:rFonts w:ascii="Times New Roman" w:hAnsi="Times New Roman" w:cs="Times New Roman"/>
                      <w:sz w:val="21"/>
                      <w:szCs w:val="21"/>
                    </w:rPr>
                  </w:pPr>
                  <w:r>
                    <w:rPr>
                      <w:rFonts w:ascii="Times New Roman" w:hAnsi="Times New Roman" w:cs="Times New Roman"/>
                      <w:b/>
                      <w:bCs/>
                      <w:spacing w:val="-5"/>
                      <w:sz w:val="21"/>
                      <w:szCs w:val="21"/>
                    </w:rPr>
                    <w:t>检测结果</w:t>
                  </w:r>
                </w:p>
              </w:tc>
              <w:tc>
                <w:tcPr>
                  <w:tcW w:w="1032" w:type="pct"/>
                  <w:vAlign w:val="center"/>
                </w:tcPr>
                <w:p w14:paraId="59482731">
                  <w:pPr>
                    <w:pStyle w:val="121"/>
                    <w:spacing w:before="0" w:line="240" w:lineRule="auto"/>
                    <w:ind w:left="0"/>
                    <w:jc w:val="center"/>
                    <w:rPr>
                      <w:rFonts w:ascii="Times New Roman" w:hAnsi="Times New Roman" w:cs="Times New Roman"/>
                      <w:sz w:val="21"/>
                      <w:szCs w:val="21"/>
                    </w:rPr>
                  </w:pPr>
                  <w:r>
                    <w:rPr>
                      <w:rFonts w:ascii="Times New Roman" w:hAnsi="Times New Roman" w:cs="Times New Roman"/>
                      <w:b/>
                      <w:bCs/>
                      <w:spacing w:val="-5"/>
                      <w:sz w:val="21"/>
                      <w:szCs w:val="21"/>
                    </w:rPr>
                    <w:t>参考限值</w:t>
                  </w:r>
                </w:p>
              </w:tc>
            </w:tr>
            <w:tr w14:paraId="08A8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Merge w:val="restart"/>
                  <w:vAlign w:val="center"/>
                </w:tcPr>
                <w:p w14:paraId="2271447F">
                  <w:pPr>
                    <w:widowControl/>
                    <w:jc w:val="center"/>
                    <w:rPr>
                      <w:rFonts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06</w:t>
                  </w:r>
                  <w:r>
                    <w:rPr>
                      <w:rFonts w:ascii="Times New Roman" w:hAnsi="Times New Roman" w:eastAsia="宋体" w:cs="Times New Roman"/>
                      <w:color w:val="000000"/>
                      <w:spacing w:val="0"/>
                      <w:kern w:val="0"/>
                      <w:sz w:val="21"/>
                      <w:szCs w:val="21"/>
                      <w:lang w:bidi="ar"/>
                    </w:rPr>
                    <w:t>月</w:t>
                  </w:r>
                  <w:r>
                    <w:rPr>
                      <w:rFonts w:hint="default" w:ascii="Times New Roman" w:hAnsi="Times New Roman" w:eastAsia="宋体" w:cs="Times New Roman"/>
                      <w:color w:val="000000"/>
                      <w:spacing w:val="0"/>
                      <w:kern w:val="0"/>
                      <w:sz w:val="21"/>
                      <w:szCs w:val="21"/>
                      <w:lang w:bidi="ar"/>
                    </w:rPr>
                    <w:t>16</w:t>
                  </w:r>
                  <w:r>
                    <w:rPr>
                      <w:rFonts w:ascii="Times New Roman" w:hAnsi="Times New Roman" w:eastAsia="宋体" w:cs="Times New Roman"/>
                      <w:color w:val="000000"/>
                      <w:spacing w:val="0"/>
                      <w:kern w:val="0"/>
                      <w:sz w:val="21"/>
                      <w:szCs w:val="21"/>
                      <w:lang w:bidi="ar"/>
                    </w:rPr>
                    <w:t>日</w:t>
                  </w:r>
                </w:p>
              </w:tc>
              <w:tc>
                <w:tcPr>
                  <w:tcW w:w="675" w:type="pct"/>
                  <w:vMerge w:val="restart"/>
                  <w:vAlign w:val="center"/>
                </w:tcPr>
                <w:p w14:paraId="4583D159">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NMP</w:t>
                  </w:r>
                  <w:r>
                    <w:rPr>
                      <w:rFonts w:hint="default" w:ascii="Times New Roman" w:hAnsi="Times New Roman" w:eastAsia="宋体" w:cs="Times New Roman"/>
                      <w:color w:val="000000"/>
                      <w:spacing w:val="0"/>
                      <w:kern w:val="0"/>
                      <w:sz w:val="21"/>
                      <w:szCs w:val="21"/>
                      <w:lang w:bidi="ar"/>
                    </w:rPr>
                    <w:t>1</w:t>
                  </w:r>
                </w:p>
              </w:tc>
              <w:tc>
                <w:tcPr>
                  <w:tcW w:w="1268" w:type="pct"/>
                  <w:vAlign w:val="center"/>
                </w:tcPr>
                <w:p w14:paraId="46206967">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铜（</w:t>
                  </w:r>
                  <w:r>
                    <w:rPr>
                      <w:rFonts w:hint="default" w:ascii="Times New Roman" w:hAnsi="Times New Roman" w:eastAsia="宋体" w:cs="Times New Roman"/>
                      <w:color w:val="000000"/>
                      <w:spacing w:val="0"/>
                      <w:kern w:val="0"/>
                      <w:sz w:val="21"/>
                      <w:szCs w:val="21"/>
                      <w:lang w:bidi="ar"/>
                    </w:rPr>
                    <w:t>mg/L</w:t>
                  </w:r>
                  <w:r>
                    <w:rPr>
                      <w:rFonts w:ascii="Times New Roman" w:hAnsi="Times New Roman" w:eastAsia="宋体" w:cs="Times New Roman"/>
                      <w:color w:val="000000"/>
                      <w:spacing w:val="0"/>
                      <w:kern w:val="0"/>
                      <w:sz w:val="21"/>
                      <w:szCs w:val="21"/>
                      <w:lang w:bidi="ar"/>
                    </w:rPr>
                    <w:t>）</w:t>
                  </w:r>
                </w:p>
              </w:tc>
              <w:tc>
                <w:tcPr>
                  <w:tcW w:w="1406" w:type="pct"/>
                  <w:vAlign w:val="center"/>
                </w:tcPr>
                <w:p w14:paraId="2B8A822A">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0.02L</w:t>
                  </w:r>
                </w:p>
              </w:tc>
              <w:tc>
                <w:tcPr>
                  <w:tcW w:w="1032" w:type="pct"/>
                  <w:vAlign w:val="center"/>
                </w:tcPr>
                <w:p w14:paraId="191B17A5">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100</w:t>
                  </w:r>
                </w:p>
              </w:tc>
            </w:tr>
            <w:tr w14:paraId="6BEE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Merge w:val="continue"/>
                  <w:vAlign w:val="center"/>
                </w:tcPr>
                <w:p w14:paraId="3A78961B">
                  <w:pPr>
                    <w:widowControl/>
                    <w:jc w:val="center"/>
                    <w:rPr>
                      <w:rFonts w:hint="default" w:ascii="Times New Roman" w:hAnsi="Times New Roman" w:eastAsia="宋体" w:cs="Times New Roman"/>
                      <w:color w:val="000000"/>
                      <w:kern w:val="0"/>
                      <w:sz w:val="21"/>
                      <w:szCs w:val="21"/>
                      <w:lang w:bidi="ar"/>
                    </w:rPr>
                  </w:pPr>
                </w:p>
              </w:tc>
              <w:tc>
                <w:tcPr>
                  <w:tcW w:w="675" w:type="pct"/>
                  <w:vMerge w:val="continue"/>
                  <w:vAlign w:val="center"/>
                </w:tcPr>
                <w:p w14:paraId="43F382D1">
                  <w:pPr>
                    <w:widowControl/>
                    <w:jc w:val="center"/>
                    <w:rPr>
                      <w:rFonts w:hint="default" w:ascii="Times New Roman" w:hAnsi="Times New Roman" w:eastAsia="宋体" w:cs="Times New Roman"/>
                      <w:color w:val="000000"/>
                      <w:kern w:val="0"/>
                      <w:sz w:val="21"/>
                      <w:szCs w:val="21"/>
                      <w:lang w:bidi="ar"/>
                    </w:rPr>
                  </w:pPr>
                </w:p>
              </w:tc>
              <w:tc>
                <w:tcPr>
                  <w:tcW w:w="1268" w:type="pct"/>
                  <w:vAlign w:val="center"/>
                </w:tcPr>
                <w:p w14:paraId="11406B2A">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锌（</w:t>
                  </w:r>
                  <w:r>
                    <w:rPr>
                      <w:rFonts w:hint="default" w:ascii="Times New Roman" w:hAnsi="Times New Roman" w:eastAsia="宋体" w:cs="Times New Roman"/>
                      <w:color w:val="000000"/>
                      <w:spacing w:val="0"/>
                      <w:kern w:val="0"/>
                      <w:sz w:val="21"/>
                      <w:szCs w:val="21"/>
                      <w:lang w:bidi="ar"/>
                    </w:rPr>
                    <w:t>mg/L</w:t>
                  </w:r>
                  <w:r>
                    <w:rPr>
                      <w:rFonts w:ascii="Times New Roman" w:hAnsi="Times New Roman" w:eastAsia="宋体" w:cs="Times New Roman"/>
                      <w:color w:val="000000"/>
                      <w:spacing w:val="0"/>
                      <w:kern w:val="0"/>
                      <w:sz w:val="21"/>
                      <w:szCs w:val="21"/>
                      <w:lang w:bidi="ar"/>
                    </w:rPr>
                    <w:t>）</w:t>
                  </w:r>
                </w:p>
              </w:tc>
              <w:tc>
                <w:tcPr>
                  <w:tcW w:w="1406" w:type="pct"/>
                  <w:vAlign w:val="center"/>
                </w:tcPr>
                <w:p w14:paraId="771D731F">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0.06L</w:t>
                  </w:r>
                </w:p>
              </w:tc>
              <w:tc>
                <w:tcPr>
                  <w:tcW w:w="1032" w:type="pct"/>
                  <w:vAlign w:val="center"/>
                </w:tcPr>
                <w:p w14:paraId="4496C62F">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100</w:t>
                  </w:r>
                </w:p>
              </w:tc>
            </w:tr>
            <w:tr w14:paraId="6ADD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Merge w:val="continue"/>
                  <w:vAlign w:val="center"/>
                </w:tcPr>
                <w:p w14:paraId="42A27845">
                  <w:pPr>
                    <w:widowControl/>
                    <w:jc w:val="center"/>
                    <w:rPr>
                      <w:rFonts w:hint="default" w:ascii="Times New Roman" w:hAnsi="Times New Roman" w:eastAsia="宋体" w:cs="Times New Roman"/>
                      <w:color w:val="000000"/>
                      <w:kern w:val="0"/>
                      <w:sz w:val="21"/>
                      <w:szCs w:val="21"/>
                      <w:lang w:bidi="ar"/>
                    </w:rPr>
                  </w:pPr>
                </w:p>
              </w:tc>
              <w:tc>
                <w:tcPr>
                  <w:tcW w:w="675" w:type="pct"/>
                  <w:vMerge w:val="continue"/>
                  <w:vAlign w:val="center"/>
                </w:tcPr>
                <w:p w14:paraId="216D9823">
                  <w:pPr>
                    <w:widowControl/>
                    <w:jc w:val="center"/>
                    <w:rPr>
                      <w:rFonts w:hint="default" w:ascii="Times New Roman" w:hAnsi="Times New Roman" w:eastAsia="宋体" w:cs="Times New Roman"/>
                      <w:color w:val="000000"/>
                      <w:kern w:val="0"/>
                      <w:sz w:val="21"/>
                      <w:szCs w:val="21"/>
                      <w:lang w:bidi="ar"/>
                    </w:rPr>
                  </w:pPr>
                </w:p>
              </w:tc>
              <w:tc>
                <w:tcPr>
                  <w:tcW w:w="1268" w:type="pct"/>
                  <w:vAlign w:val="center"/>
                </w:tcPr>
                <w:p w14:paraId="5972B868">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铬（</w:t>
                  </w:r>
                  <w:r>
                    <w:rPr>
                      <w:rFonts w:hint="default" w:ascii="Times New Roman" w:hAnsi="Times New Roman" w:eastAsia="宋体" w:cs="Times New Roman"/>
                      <w:color w:val="000000"/>
                      <w:spacing w:val="0"/>
                      <w:kern w:val="0"/>
                      <w:sz w:val="21"/>
                      <w:szCs w:val="21"/>
                      <w:lang w:bidi="ar"/>
                    </w:rPr>
                    <w:t>mg/L</w:t>
                  </w:r>
                  <w:r>
                    <w:rPr>
                      <w:rFonts w:ascii="Times New Roman" w:hAnsi="Times New Roman" w:eastAsia="宋体" w:cs="Times New Roman"/>
                      <w:color w:val="000000"/>
                      <w:spacing w:val="0"/>
                      <w:kern w:val="0"/>
                      <w:sz w:val="21"/>
                      <w:szCs w:val="21"/>
                      <w:lang w:bidi="ar"/>
                    </w:rPr>
                    <w:t>）</w:t>
                  </w:r>
                </w:p>
              </w:tc>
              <w:tc>
                <w:tcPr>
                  <w:tcW w:w="1406" w:type="pct"/>
                  <w:vAlign w:val="center"/>
                </w:tcPr>
                <w:p w14:paraId="26DA95A0">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0.04</w:t>
                  </w:r>
                </w:p>
              </w:tc>
              <w:tc>
                <w:tcPr>
                  <w:tcW w:w="1032" w:type="pct"/>
                  <w:vAlign w:val="center"/>
                </w:tcPr>
                <w:p w14:paraId="7E6914D1">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15</w:t>
                  </w:r>
                </w:p>
              </w:tc>
            </w:tr>
            <w:tr w14:paraId="1DE9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Merge w:val="continue"/>
                  <w:vAlign w:val="center"/>
                </w:tcPr>
                <w:p w14:paraId="6E3236DC">
                  <w:pPr>
                    <w:widowControl/>
                    <w:jc w:val="center"/>
                    <w:rPr>
                      <w:rFonts w:hint="default" w:ascii="Times New Roman" w:hAnsi="Times New Roman" w:eastAsia="宋体" w:cs="Times New Roman"/>
                      <w:color w:val="000000"/>
                      <w:kern w:val="0"/>
                      <w:sz w:val="21"/>
                      <w:szCs w:val="21"/>
                      <w:lang w:bidi="ar"/>
                    </w:rPr>
                  </w:pPr>
                </w:p>
              </w:tc>
              <w:tc>
                <w:tcPr>
                  <w:tcW w:w="675" w:type="pct"/>
                  <w:vMerge w:val="continue"/>
                  <w:vAlign w:val="center"/>
                </w:tcPr>
                <w:p w14:paraId="5F7050DB">
                  <w:pPr>
                    <w:widowControl/>
                    <w:jc w:val="center"/>
                    <w:rPr>
                      <w:rFonts w:hint="default" w:ascii="Times New Roman" w:hAnsi="Times New Roman" w:eastAsia="宋体" w:cs="Times New Roman"/>
                      <w:color w:val="000000"/>
                      <w:kern w:val="0"/>
                      <w:sz w:val="21"/>
                      <w:szCs w:val="21"/>
                      <w:lang w:bidi="ar"/>
                    </w:rPr>
                  </w:pPr>
                </w:p>
              </w:tc>
              <w:tc>
                <w:tcPr>
                  <w:tcW w:w="1268" w:type="pct"/>
                  <w:vAlign w:val="center"/>
                </w:tcPr>
                <w:p w14:paraId="567FB702">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镍（</w:t>
                  </w:r>
                  <w:r>
                    <w:rPr>
                      <w:rFonts w:hint="default" w:ascii="Times New Roman" w:hAnsi="Times New Roman" w:eastAsia="宋体" w:cs="Times New Roman"/>
                      <w:color w:val="000000"/>
                      <w:spacing w:val="0"/>
                      <w:kern w:val="0"/>
                      <w:sz w:val="21"/>
                      <w:szCs w:val="21"/>
                      <w:lang w:bidi="ar"/>
                    </w:rPr>
                    <w:t>mg/L</w:t>
                  </w:r>
                  <w:r>
                    <w:rPr>
                      <w:rFonts w:ascii="Times New Roman" w:hAnsi="Times New Roman" w:eastAsia="宋体" w:cs="Times New Roman"/>
                      <w:color w:val="000000"/>
                      <w:spacing w:val="0"/>
                      <w:kern w:val="0"/>
                      <w:sz w:val="21"/>
                      <w:szCs w:val="21"/>
                      <w:lang w:bidi="ar"/>
                    </w:rPr>
                    <w:t>）</w:t>
                  </w:r>
                </w:p>
              </w:tc>
              <w:tc>
                <w:tcPr>
                  <w:tcW w:w="1406" w:type="pct"/>
                  <w:vAlign w:val="center"/>
                </w:tcPr>
                <w:p w14:paraId="32B1917D">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0.134</w:t>
                  </w:r>
                </w:p>
              </w:tc>
              <w:tc>
                <w:tcPr>
                  <w:tcW w:w="1032" w:type="pct"/>
                  <w:vAlign w:val="center"/>
                </w:tcPr>
                <w:p w14:paraId="1F564286">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w:t>
                  </w:r>
                </w:p>
              </w:tc>
            </w:tr>
            <w:tr w14:paraId="70D8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Merge w:val="continue"/>
                  <w:vAlign w:val="center"/>
                </w:tcPr>
                <w:p w14:paraId="5D3748DF">
                  <w:pPr>
                    <w:widowControl/>
                    <w:jc w:val="center"/>
                    <w:rPr>
                      <w:rFonts w:hint="default" w:ascii="Times New Roman" w:hAnsi="Times New Roman" w:eastAsia="宋体" w:cs="Times New Roman"/>
                      <w:color w:val="000000"/>
                      <w:kern w:val="0"/>
                      <w:sz w:val="21"/>
                      <w:szCs w:val="21"/>
                      <w:lang w:bidi="ar"/>
                    </w:rPr>
                  </w:pPr>
                </w:p>
              </w:tc>
              <w:tc>
                <w:tcPr>
                  <w:tcW w:w="675" w:type="pct"/>
                  <w:vMerge w:val="continue"/>
                  <w:vAlign w:val="center"/>
                </w:tcPr>
                <w:p w14:paraId="779B12C3">
                  <w:pPr>
                    <w:widowControl/>
                    <w:jc w:val="center"/>
                    <w:rPr>
                      <w:rFonts w:hint="default" w:ascii="Times New Roman" w:hAnsi="Times New Roman" w:eastAsia="宋体" w:cs="Times New Roman"/>
                      <w:color w:val="000000"/>
                      <w:kern w:val="0"/>
                      <w:sz w:val="21"/>
                      <w:szCs w:val="21"/>
                      <w:lang w:bidi="ar"/>
                    </w:rPr>
                  </w:pPr>
                </w:p>
              </w:tc>
              <w:tc>
                <w:tcPr>
                  <w:tcW w:w="1268" w:type="pct"/>
                  <w:vAlign w:val="center"/>
                </w:tcPr>
                <w:p w14:paraId="0C350382">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锰（</w:t>
                  </w:r>
                  <w:r>
                    <w:rPr>
                      <w:rFonts w:hint="default" w:ascii="Times New Roman" w:hAnsi="Times New Roman" w:eastAsia="宋体" w:cs="Times New Roman"/>
                      <w:color w:val="000000"/>
                      <w:spacing w:val="0"/>
                      <w:kern w:val="0"/>
                      <w:sz w:val="21"/>
                      <w:szCs w:val="21"/>
                      <w:lang w:bidi="ar"/>
                    </w:rPr>
                    <w:t>mg/L</w:t>
                  </w:r>
                  <w:r>
                    <w:rPr>
                      <w:rFonts w:ascii="Times New Roman" w:hAnsi="Times New Roman" w:eastAsia="宋体" w:cs="Times New Roman"/>
                      <w:color w:val="000000"/>
                      <w:spacing w:val="0"/>
                      <w:kern w:val="0"/>
                      <w:sz w:val="21"/>
                      <w:szCs w:val="21"/>
                      <w:lang w:bidi="ar"/>
                    </w:rPr>
                    <w:t>）</w:t>
                  </w:r>
                </w:p>
              </w:tc>
              <w:tc>
                <w:tcPr>
                  <w:tcW w:w="1406" w:type="pct"/>
                  <w:vAlign w:val="center"/>
                </w:tcPr>
                <w:p w14:paraId="1A51D1A2">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0.0884</w:t>
                  </w:r>
                </w:p>
              </w:tc>
              <w:tc>
                <w:tcPr>
                  <w:tcW w:w="1032" w:type="pct"/>
                  <w:vAlign w:val="center"/>
                </w:tcPr>
                <w:p w14:paraId="13D4D899">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w:t>
                  </w:r>
                </w:p>
              </w:tc>
            </w:tr>
            <w:tr w14:paraId="0E0D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Merge w:val="continue"/>
                  <w:vAlign w:val="center"/>
                </w:tcPr>
                <w:p w14:paraId="6F78AA9D">
                  <w:pPr>
                    <w:widowControl/>
                    <w:jc w:val="center"/>
                    <w:rPr>
                      <w:rFonts w:hint="default" w:ascii="Times New Roman" w:hAnsi="Times New Roman" w:eastAsia="宋体" w:cs="Times New Roman"/>
                      <w:color w:val="000000"/>
                      <w:kern w:val="0"/>
                      <w:sz w:val="21"/>
                      <w:szCs w:val="21"/>
                      <w:lang w:bidi="ar"/>
                    </w:rPr>
                  </w:pPr>
                </w:p>
              </w:tc>
              <w:tc>
                <w:tcPr>
                  <w:tcW w:w="675" w:type="pct"/>
                  <w:vMerge w:val="continue"/>
                  <w:vAlign w:val="center"/>
                </w:tcPr>
                <w:p w14:paraId="5A186203">
                  <w:pPr>
                    <w:widowControl/>
                    <w:jc w:val="center"/>
                    <w:rPr>
                      <w:rFonts w:hint="default" w:ascii="Times New Roman" w:hAnsi="Times New Roman" w:eastAsia="宋体" w:cs="Times New Roman"/>
                      <w:color w:val="000000"/>
                      <w:kern w:val="0"/>
                      <w:sz w:val="21"/>
                      <w:szCs w:val="21"/>
                      <w:lang w:bidi="ar"/>
                    </w:rPr>
                  </w:pPr>
                </w:p>
              </w:tc>
              <w:tc>
                <w:tcPr>
                  <w:tcW w:w="1268" w:type="pct"/>
                  <w:vAlign w:val="center"/>
                </w:tcPr>
                <w:p w14:paraId="60A0CBE3">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钴（</w:t>
                  </w:r>
                  <w:r>
                    <w:rPr>
                      <w:rFonts w:hint="default" w:ascii="Times New Roman" w:hAnsi="Times New Roman" w:eastAsia="宋体" w:cs="Times New Roman"/>
                      <w:color w:val="000000"/>
                      <w:spacing w:val="0"/>
                      <w:kern w:val="0"/>
                      <w:sz w:val="21"/>
                      <w:szCs w:val="21"/>
                      <w:lang w:bidi="ar"/>
                    </w:rPr>
                    <w:t>mg/L</w:t>
                  </w:r>
                  <w:r>
                    <w:rPr>
                      <w:rFonts w:ascii="Times New Roman" w:hAnsi="Times New Roman" w:eastAsia="宋体" w:cs="Times New Roman"/>
                      <w:color w:val="000000"/>
                      <w:spacing w:val="0"/>
                      <w:kern w:val="0"/>
                      <w:sz w:val="21"/>
                      <w:szCs w:val="21"/>
                      <w:lang w:bidi="ar"/>
                    </w:rPr>
                    <w:t>）</w:t>
                  </w:r>
                </w:p>
              </w:tc>
              <w:tc>
                <w:tcPr>
                  <w:tcW w:w="1406" w:type="pct"/>
                  <w:vAlign w:val="center"/>
                </w:tcPr>
                <w:p w14:paraId="784EEDD0">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0.0572</w:t>
                  </w:r>
                </w:p>
              </w:tc>
              <w:tc>
                <w:tcPr>
                  <w:tcW w:w="1032" w:type="pct"/>
                  <w:vAlign w:val="center"/>
                </w:tcPr>
                <w:p w14:paraId="74F6FB83">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w:t>
                  </w:r>
                </w:p>
              </w:tc>
            </w:tr>
            <w:tr w14:paraId="5F5D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Merge w:val="continue"/>
                  <w:vAlign w:val="center"/>
                </w:tcPr>
                <w:p w14:paraId="19BAD47D">
                  <w:pPr>
                    <w:widowControl/>
                    <w:jc w:val="center"/>
                    <w:rPr>
                      <w:rFonts w:hint="default" w:ascii="Times New Roman" w:hAnsi="Times New Roman" w:eastAsia="宋体" w:cs="Times New Roman"/>
                      <w:color w:val="000000"/>
                      <w:kern w:val="0"/>
                      <w:sz w:val="21"/>
                      <w:szCs w:val="21"/>
                      <w:lang w:bidi="ar"/>
                    </w:rPr>
                  </w:pPr>
                </w:p>
              </w:tc>
              <w:tc>
                <w:tcPr>
                  <w:tcW w:w="675" w:type="pct"/>
                  <w:vMerge w:val="continue"/>
                  <w:vAlign w:val="center"/>
                </w:tcPr>
                <w:p w14:paraId="0A49BE64">
                  <w:pPr>
                    <w:widowControl/>
                    <w:jc w:val="center"/>
                    <w:rPr>
                      <w:rFonts w:hint="default" w:ascii="Times New Roman" w:hAnsi="Times New Roman" w:eastAsia="宋体" w:cs="Times New Roman"/>
                      <w:color w:val="000000"/>
                      <w:kern w:val="0"/>
                      <w:sz w:val="21"/>
                      <w:szCs w:val="21"/>
                      <w:lang w:bidi="ar"/>
                    </w:rPr>
                  </w:pPr>
                </w:p>
              </w:tc>
              <w:tc>
                <w:tcPr>
                  <w:tcW w:w="1268" w:type="pct"/>
                  <w:vAlign w:val="center"/>
                </w:tcPr>
                <w:p w14:paraId="04737BCB">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铅（</w:t>
                  </w:r>
                  <w:r>
                    <w:rPr>
                      <w:rFonts w:hint="default" w:ascii="Times New Roman" w:hAnsi="Times New Roman" w:eastAsia="宋体" w:cs="Times New Roman"/>
                      <w:color w:val="000000"/>
                      <w:spacing w:val="0"/>
                      <w:kern w:val="0"/>
                      <w:sz w:val="21"/>
                      <w:szCs w:val="21"/>
                      <w:lang w:bidi="ar"/>
                    </w:rPr>
                    <w:t>mg/L</w:t>
                  </w:r>
                  <w:r>
                    <w:rPr>
                      <w:rFonts w:ascii="Times New Roman" w:hAnsi="Times New Roman" w:eastAsia="宋体" w:cs="Times New Roman"/>
                      <w:color w:val="000000"/>
                      <w:spacing w:val="0"/>
                      <w:kern w:val="0"/>
                      <w:sz w:val="21"/>
                      <w:szCs w:val="21"/>
                      <w:lang w:bidi="ar"/>
                    </w:rPr>
                    <w:t>）</w:t>
                  </w:r>
                </w:p>
              </w:tc>
              <w:tc>
                <w:tcPr>
                  <w:tcW w:w="1406" w:type="pct"/>
                  <w:vAlign w:val="center"/>
                </w:tcPr>
                <w:p w14:paraId="0214DFB9">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0.06L</w:t>
                  </w:r>
                </w:p>
              </w:tc>
              <w:tc>
                <w:tcPr>
                  <w:tcW w:w="1032" w:type="pct"/>
                  <w:vAlign w:val="center"/>
                </w:tcPr>
                <w:p w14:paraId="0AFC4DEB">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w:t>
                  </w:r>
                </w:p>
              </w:tc>
            </w:tr>
            <w:tr w14:paraId="5F08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Merge w:val="continue"/>
                  <w:vAlign w:val="center"/>
                </w:tcPr>
                <w:p w14:paraId="0740452A">
                  <w:pPr>
                    <w:widowControl/>
                    <w:jc w:val="center"/>
                    <w:rPr>
                      <w:rFonts w:hint="default" w:ascii="Times New Roman" w:hAnsi="Times New Roman" w:eastAsia="宋体" w:cs="Times New Roman"/>
                      <w:color w:val="000000"/>
                      <w:kern w:val="0"/>
                      <w:sz w:val="21"/>
                      <w:szCs w:val="21"/>
                      <w:lang w:bidi="ar"/>
                    </w:rPr>
                  </w:pPr>
                </w:p>
              </w:tc>
              <w:tc>
                <w:tcPr>
                  <w:tcW w:w="675" w:type="pct"/>
                  <w:vMerge w:val="continue"/>
                  <w:vAlign w:val="center"/>
                </w:tcPr>
                <w:p w14:paraId="6A189616">
                  <w:pPr>
                    <w:widowControl/>
                    <w:jc w:val="center"/>
                    <w:rPr>
                      <w:rFonts w:hint="default" w:ascii="Times New Roman" w:hAnsi="Times New Roman" w:eastAsia="宋体" w:cs="Times New Roman"/>
                      <w:color w:val="000000"/>
                      <w:kern w:val="0"/>
                      <w:sz w:val="21"/>
                      <w:szCs w:val="21"/>
                      <w:lang w:bidi="ar"/>
                    </w:rPr>
                  </w:pPr>
                </w:p>
              </w:tc>
              <w:tc>
                <w:tcPr>
                  <w:tcW w:w="1268" w:type="pct"/>
                  <w:vAlign w:val="center"/>
                </w:tcPr>
                <w:p w14:paraId="4299504F">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镉（</w:t>
                  </w:r>
                  <w:r>
                    <w:rPr>
                      <w:rFonts w:hint="default" w:ascii="Times New Roman" w:hAnsi="Times New Roman" w:eastAsia="宋体" w:cs="Times New Roman"/>
                      <w:color w:val="000000"/>
                      <w:spacing w:val="0"/>
                      <w:kern w:val="0"/>
                      <w:sz w:val="21"/>
                      <w:szCs w:val="21"/>
                      <w:lang w:bidi="ar"/>
                    </w:rPr>
                    <w:t>mg/L</w:t>
                  </w:r>
                  <w:r>
                    <w:rPr>
                      <w:rFonts w:ascii="Times New Roman" w:hAnsi="Times New Roman" w:eastAsia="宋体" w:cs="Times New Roman"/>
                      <w:color w:val="000000"/>
                      <w:spacing w:val="0"/>
                      <w:kern w:val="0"/>
                      <w:sz w:val="21"/>
                      <w:szCs w:val="21"/>
                      <w:lang w:bidi="ar"/>
                    </w:rPr>
                    <w:t>）</w:t>
                  </w:r>
                </w:p>
              </w:tc>
              <w:tc>
                <w:tcPr>
                  <w:tcW w:w="1406" w:type="pct"/>
                  <w:vAlign w:val="center"/>
                </w:tcPr>
                <w:p w14:paraId="06A0FCB0">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0.05L</w:t>
                  </w:r>
                </w:p>
              </w:tc>
              <w:tc>
                <w:tcPr>
                  <w:tcW w:w="1032" w:type="pct"/>
                  <w:vAlign w:val="center"/>
                </w:tcPr>
                <w:p w14:paraId="6A73C8A9">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w:t>
                  </w:r>
                </w:p>
              </w:tc>
            </w:tr>
            <w:tr w14:paraId="36D3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Merge w:val="continue"/>
                  <w:vAlign w:val="center"/>
                </w:tcPr>
                <w:p w14:paraId="3AD914C8">
                  <w:pPr>
                    <w:widowControl/>
                    <w:jc w:val="center"/>
                    <w:rPr>
                      <w:rFonts w:hint="default" w:ascii="Times New Roman" w:hAnsi="Times New Roman" w:eastAsia="宋体" w:cs="Times New Roman"/>
                      <w:color w:val="000000"/>
                      <w:kern w:val="0"/>
                      <w:sz w:val="21"/>
                      <w:szCs w:val="21"/>
                      <w:lang w:bidi="ar"/>
                    </w:rPr>
                  </w:pPr>
                </w:p>
              </w:tc>
              <w:tc>
                <w:tcPr>
                  <w:tcW w:w="675" w:type="pct"/>
                  <w:vMerge w:val="continue"/>
                  <w:vAlign w:val="center"/>
                </w:tcPr>
                <w:p w14:paraId="5679C808">
                  <w:pPr>
                    <w:widowControl/>
                    <w:jc w:val="center"/>
                    <w:rPr>
                      <w:rFonts w:hint="default" w:ascii="Times New Roman" w:hAnsi="Times New Roman" w:eastAsia="宋体" w:cs="Times New Roman"/>
                      <w:color w:val="000000"/>
                      <w:kern w:val="0"/>
                      <w:sz w:val="21"/>
                      <w:szCs w:val="21"/>
                      <w:lang w:bidi="ar"/>
                    </w:rPr>
                  </w:pPr>
                </w:p>
              </w:tc>
              <w:tc>
                <w:tcPr>
                  <w:tcW w:w="1268" w:type="pct"/>
                  <w:vAlign w:val="center"/>
                </w:tcPr>
                <w:p w14:paraId="42C12976">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砷（</w:t>
                  </w:r>
                  <w:r>
                    <w:rPr>
                      <w:rFonts w:hint="default" w:ascii="Times New Roman" w:hAnsi="Times New Roman" w:eastAsia="宋体" w:cs="Times New Roman"/>
                      <w:color w:val="000000"/>
                      <w:spacing w:val="0"/>
                      <w:kern w:val="0"/>
                      <w:sz w:val="21"/>
                      <w:szCs w:val="21"/>
                      <w:lang w:bidi="ar"/>
                    </w:rPr>
                    <w:t>mg/L</w:t>
                  </w:r>
                  <w:r>
                    <w:rPr>
                      <w:rFonts w:ascii="Times New Roman" w:hAnsi="Times New Roman" w:eastAsia="宋体" w:cs="Times New Roman"/>
                      <w:color w:val="000000"/>
                      <w:spacing w:val="0"/>
                      <w:kern w:val="0"/>
                      <w:sz w:val="21"/>
                      <w:szCs w:val="21"/>
                      <w:lang w:bidi="ar"/>
                    </w:rPr>
                    <w:t>）</w:t>
                  </w:r>
                </w:p>
              </w:tc>
              <w:tc>
                <w:tcPr>
                  <w:tcW w:w="1406" w:type="pct"/>
                  <w:vAlign w:val="center"/>
                </w:tcPr>
                <w:p w14:paraId="1E4C0054">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0.0860</w:t>
                  </w:r>
                </w:p>
              </w:tc>
              <w:tc>
                <w:tcPr>
                  <w:tcW w:w="1032" w:type="pct"/>
                  <w:vAlign w:val="center"/>
                </w:tcPr>
                <w:p w14:paraId="3CC08F78">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w:t>
                  </w:r>
                </w:p>
              </w:tc>
            </w:tr>
            <w:tr w14:paraId="5786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Merge w:val="continue"/>
                  <w:vAlign w:val="center"/>
                </w:tcPr>
                <w:p w14:paraId="65658E26">
                  <w:pPr>
                    <w:widowControl/>
                    <w:jc w:val="center"/>
                    <w:rPr>
                      <w:rFonts w:hint="default" w:ascii="Times New Roman" w:hAnsi="Times New Roman" w:eastAsia="宋体" w:cs="Times New Roman"/>
                      <w:color w:val="000000"/>
                      <w:kern w:val="0"/>
                      <w:sz w:val="21"/>
                      <w:szCs w:val="21"/>
                      <w:lang w:bidi="ar"/>
                    </w:rPr>
                  </w:pPr>
                </w:p>
              </w:tc>
              <w:tc>
                <w:tcPr>
                  <w:tcW w:w="675" w:type="pct"/>
                  <w:vMerge w:val="restart"/>
                  <w:vAlign w:val="center"/>
                </w:tcPr>
                <w:p w14:paraId="2E146748">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NMP</w:t>
                  </w:r>
                  <w:r>
                    <w:rPr>
                      <w:rFonts w:hint="default" w:ascii="Times New Roman" w:hAnsi="Times New Roman" w:eastAsia="宋体" w:cs="Times New Roman"/>
                      <w:color w:val="000000"/>
                      <w:spacing w:val="0"/>
                      <w:kern w:val="0"/>
                      <w:sz w:val="21"/>
                      <w:szCs w:val="21"/>
                      <w:lang w:bidi="ar"/>
                    </w:rPr>
                    <w:t>2</w:t>
                  </w:r>
                </w:p>
              </w:tc>
              <w:tc>
                <w:tcPr>
                  <w:tcW w:w="1268" w:type="pct"/>
                  <w:vAlign w:val="center"/>
                </w:tcPr>
                <w:p w14:paraId="2499B317">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铜（</w:t>
                  </w:r>
                  <w:r>
                    <w:rPr>
                      <w:rFonts w:hint="default" w:ascii="Times New Roman" w:hAnsi="Times New Roman" w:eastAsia="宋体" w:cs="Times New Roman"/>
                      <w:color w:val="000000"/>
                      <w:spacing w:val="0"/>
                      <w:kern w:val="0"/>
                      <w:sz w:val="21"/>
                      <w:szCs w:val="21"/>
                      <w:lang w:bidi="ar"/>
                    </w:rPr>
                    <w:t>mg/L</w:t>
                  </w:r>
                  <w:r>
                    <w:rPr>
                      <w:rFonts w:ascii="Times New Roman" w:hAnsi="Times New Roman" w:eastAsia="宋体" w:cs="Times New Roman"/>
                      <w:color w:val="000000"/>
                      <w:spacing w:val="0"/>
                      <w:kern w:val="0"/>
                      <w:sz w:val="21"/>
                      <w:szCs w:val="21"/>
                      <w:lang w:bidi="ar"/>
                    </w:rPr>
                    <w:t>）</w:t>
                  </w:r>
                </w:p>
              </w:tc>
              <w:tc>
                <w:tcPr>
                  <w:tcW w:w="1406" w:type="pct"/>
                  <w:vAlign w:val="center"/>
                </w:tcPr>
                <w:p w14:paraId="2B42B3D0">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0.02L</w:t>
                  </w:r>
                </w:p>
              </w:tc>
              <w:tc>
                <w:tcPr>
                  <w:tcW w:w="1032" w:type="pct"/>
                  <w:vAlign w:val="center"/>
                </w:tcPr>
                <w:p w14:paraId="1A93276E">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100</w:t>
                  </w:r>
                </w:p>
              </w:tc>
            </w:tr>
            <w:tr w14:paraId="404F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Merge w:val="continue"/>
                  <w:vAlign w:val="center"/>
                </w:tcPr>
                <w:p w14:paraId="5305171C">
                  <w:pPr>
                    <w:widowControl/>
                    <w:jc w:val="center"/>
                    <w:rPr>
                      <w:rFonts w:hint="default" w:ascii="Times New Roman" w:hAnsi="Times New Roman" w:eastAsia="宋体" w:cs="Times New Roman"/>
                      <w:color w:val="000000"/>
                      <w:kern w:val="0"/>
                      <w:sz w:val="21"/>
                      <w:szCs w:val="21"/>
                      <w:lang w:bidi="ar"/>
                    </w:rPr>
                  </w:pPr>
                </w:p>
              </w:tc>
              <w:tc>
                <w:tcPr>
                  <w:tcW w:w="675" w:type="pct"/>
                  <w:vMerge w:val="continue"/>
                  <w:vAlign w:val="center"/>
                </w:tcPr>
                <w:p w14:paraId="635D390F">
                  <w:pPr>
                    <w:widowControl/>
                    <w:jc w:val="center"/>
                    <w:rPr>
                      <w:rFonts w:hint="default" w:ascii="Times New Roman" w:hAnsi="Times New Roman" w:eastAsia="宋体" w:cs="Times New Roman"/>
                      <w:color w:val="000000"/>
                      <w:kern w:val="0"/>
                      <w:sz w:val="21"/>
                      <w:szCs w:val="21"/>
                      <w:lang w:bidi="ar"/>
                    </w:rPr>
                  </w:pPr>
                </w:p>
              </w:tc>
              <w:tc>
                <w:tcPr>
                  <w:tcW w:w="1268" w:type="pct"/>
                  <w:vAlign w:val="center"/>
                </w:tcPr>
                <w:p w14:paraId="68228879">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锌（</w:t>
                  </w:r>
                  <w:r>
                    <w:rPr>
                      <w:rFonts w:hint="default" w:ascii="Times New Roman" w:hAnsi="Times New Roman" w:eastAsia="宋体" w:cs="Times New Roman"/>
                      <w:color w:val="000000"/>
                      <w:spacing w:val="0"/>
                      <w:kern w:val="0"/>
                      <w:sz w:val="21"/>
                      <w:szCs w:val="21"/>
                      <w:lang w:bidi="ar"/>
                    </w:rPr>
                    <w:t>mg/L</w:t>
                  </w:r>
                  <w:r>
                    <w:rPr>
                      <w:rFonts w:ascii="Times New Roman" w:hAnsi="Times New Roman" w:eastAsia="宋体" w:cs="Times New Roman"/>
                      <w:color w:val="000000"/>
                      <w:spacing w:val="0"/>
                      <w:kern w:val="0"/>
                      <w:sz w:val="21"/>
                      <w:szCs w:val="21"/>
                      <w:lang w:bidi="ar"/>
                    </w:rPr>
                    <w:t>）</w:t>
                  </w:r>
                </w:p>
              </w:tc>
              <w:tc>
                <w:tcPr>
                  <w:tcW w:w="1406" w:type="pct"/>
                  <w:vAlign w:val="center"/>
                </w:tcPr>
                <w:p w14:paraId="66CE0C50">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0.06L</w:t>
                  </w:r>
                </w:p>
              </w:tc>
              <w:tc>
                <w:tcPr>
                  <w:tcW w:w="1032" w:type="pct"/>
                  <w:vAlign w:val="center"/>
                </w:tcPr>
                <w:p w14:paraId="506FE7D5">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100</w:t>
                  </w:r>
                </w:p>
              </w:tc>
            </w:tr>
            <w:tr w14:paraId="1C3A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Merge w:val="continue"/>
                  <w:vAlign w:val="center"/>
                </w:tcPr>
                <w:p w14:paraId="3266BE0C">
                  <w:pPr>
                    <w:widowControl/>
                    <w:jc w:val="center"/>
                    <w:rPr>
                      <w:rFonts w:hint="default" w:ascii="Times New Roman" w:hAnsi="Times New Roman" w:eastAsia="宋体" w:cs="Times New Roman"/>
                      <w:color w:val="000000"/>
                      <w:kern w:val="0"/>
                      <w:sz w:val="21"/>
                      <w:szCs w:val="21"/>
                      <w:lang w:bidi="ar"/>
                    </w:rPr>
                  </w:pPr>
                </w:p>
              </w:tc>
              <w:tc>
                <w:tcPr>
                  <w:tcW w:w="675" w:type="pct"/>
                  <w:vMerge w:val="continue"/>
                  <w:vAlign w:val="center"/>
                </w:tcPr>
                <w:p w14:paraId="3398B92D">
                  <w:pPr>
                    <w:widowControl/>
                    <w:jc w:val="center"/>
                    <w:rPr>
                      <w:rFonts w:hint="default" w:ascii="Times New Roman" w:hAnsi="Times New Roman" w:eastAsia="宋体" w:cs="Times New Roman"/>
                      <w:color w:val="000000"/>
                      <w:kern w:val="0"/>
                      <w:sz w:val="21"/>
                      <w:szCs w:val="21"/>
                      <w:lang w:bidi="ar"/>
                    </w:rPr>
                  </w:pPr>
                </w:p>
              </w:tc>
              <w:tc>
                <w:tcPr>
                  <w:tcW w:w="1268" w:type="pct"/>
                  <w:vAlign w:val="center"/>
                </w:tcPr>
                <w:p w14:paraId="22E47CE9">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铬（</w:t>
                  </w:r>
                  <w:r>
                    <w:rPr>
                      <w:rFonts w:hint="default" w:ascii="Times New Roman" w:hAnsi="Times New Roman" w:eastAsia="宋体" w:cs="Times New Roman"/>
                      <w:color w:val="000000"/>
                      <w:spacing w:val="0"/>
                      <w:kern w:val="0"/>
                      <w:sz w:val="21"/>
                      <w:szCs w:val="21"/>
                      <w:lang w:bidi="ar"/>
                    </w:rPr>
                    <w:t>mg/L</w:t>
                  </w:r>
                  <w:r>
                    <w:rPr>
                      <w:rFonts w:ascii="Times New Roman" w:hAnsi="Times New Roman" w:eastAsia="宋体" w:cs="Times New Roman"/>
                      <w:color w:val="000000"/>
                      <w:spacing w:val="0"/>
                      <w:kern w:val="0"/>
                      <w:sz w:val="21"/>
                      <w:szCs w:val="21"/>
                      <w:lang w:bidi="ar"/>
                    </w:rPr>
                    <w:t>）</w:t>
                  </w:r>
                </w:p>
              </w:tc>
              <w:tc>
                <w:tcPr>
                  <w:tcW w:w="1406" w:type="pct"/>
                  <w:vAlign w:val="center"/>
                </w:tcPr>
                <w:p w14:paraId="54D9CCB2">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0.03</w:t>
                  </w:r>
                </w:p>
              </w:tc>
              <w:tc>
                <w:tcPr>
                  <w:tcW w:w="1032" w:type="pct"/>
                  <w:vAlign w:val="center"/>
                </w:tcPr>
                <w:p w14:paraId="7C8B96B9">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15</w:t>
                  </w:r>
                </w:p>
              </w:tc>
            </w:tr>
            <w:tr w14:paraId="1D1A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Merge w:val="continue"/>
                  <w:vAlign w:val="center"/>
                </w:tcPr>
                <w:p w14:paraId="29A6E747">
                  <w:pPr>
                    <w:widowControl/>
                    <w:jc w:val="center"/>
                    <w:rPr>
                      <w:rFonts w:hint="default" w:ascii="Times New Roman" w:hAnsi="Times New Roman" w:eastAsia="宋体" w:cs="Times New Roman"/>
                      <w:color w:val="000000"/>
                      <w:kern w:val="0"/>
                      <w:sz w:val="21"/>
                      <w:szCs w:val="21"/>
                      <w:lang w:bidi="ar"/>
                    </w:rPr>
                  </w:pPr>
                </w:p>
              </w:tc>
              <w:tc>
                <w:tcPr>
                  <w:tcW w:w="675" w:type="pct"/>
                  <w:vMerge w:val="continue"/>
                  <w:vAlign w:val="center"/>
                </w:tcPr>
                <w:p w14:paraId="65B7DAE8">
                  <w:pPr>
                    <w:widowControl/>
                    <w:jc w:val="center"/>
                    <w:rPr>
                      <w:rFonts w:hint="default" w:ascii="Times New Roman" w:hAnsi="Times New Roman" w:eastAsia="宋体" w:cs="Times New Roman"/>
                      <w:color w:val="000000"/>
                      <w:kern w:val="0"/>
                      <w:sz w:val="21"/>
                      <w:szCs w:val="21"/>
                      <w:lang w:bidi="ar"/>
                    </w:rPr>
                  </w:pPr>
                </w:p>
              </w:tc>
              <w:tc>
                <w:tcPr>
                  <w:tcW w:w="1268" w:type="pct"/>
                  <w:vAlign w:val="center"/>
                </w:tcPr>
                <w:p w14:paraId="504A4C1A">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镍（</w:t>
                  </w:r>
                  <w:r>
                    <w:rPr>
                      <w:rFonts w:hint="default" w:ascii="Times New Roman" w:hAnsi="Times New Roman" w:eastAsia="宋体" w:cs="Times New Roman"/>
                      <w:color w:val="000000"/>
                      <w:spacing w:val="0"/>
                      <w:kern w:val="0"/>
                      <w:sz w:val="21"/>
                      <w:szCs w:val="21"/>
                      <w:lang w:bidi="ar"/>
                    </w:rPr>
                    <w:t>mg/L</w:t>
                  </w:r>
                  <w:r>
                    <w:rPr>
                      <w:rFonts w:ascii="Times New Roman" w:hAnsi="Times New Roman" w:eastAsia="宋体" w:cs="Times New Roman"/>
                      <w:color w:val="000000"/>
                      <w:spacing w:val="0"/>
                      <w:kern w:val="0"/>
                      <w:sz w:val="21"/>
                      <w:szCs w:val="21"/>
                      <w:lang w:bidi="ar"/>
                    </w:rPr>
                    <w:t>）</w:t>
                  </w:r>
                </w:p>
              </w:tc>
              <w:tc>
                <w:tcPr>
                  <w:tcW w:w="1406" w:type="pct"/>
                  <w:vAlign w:val="center"/>
                </w:tcPr>
                <w:p w14:paraId="1022A53F">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0.525</w:t>
                  </w:r>
                </w:p>
              </w:tc>
              <w:tc>
                <w:tcPr>
                  <w:tcW w:w="1032" w:type="pct"/>
                  <w:vAlign w:val="center"/>
                </w:tcPr>
                <w:p w14:paraId="4D9C5C6F">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w:t>
                  </w:r>
                </w:p>
              </w:tc>
            </w:tr>
            <w:tr w14:paraId="70E5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Merge w:val="continue"/>
                  <w:vAlign w:val="center"/>
                </w:tcPr>
                <w:p w14:paraId="558A9CBA">
                  <w:pPr>
                    <w:widowControl/>
                    <w:jc w:val="center"/>
                    <w:rPr>
                      <w:rFonts w:hint="default" w:ascii="Times New Roman" w:hAnsi="Times New Roman" w:eastAsia="宋体" w:cs="Times New Roman"/>
                      <w:color w:val="000000"/>
                      <w:kern w:val="0"/>
                      <w:sz w:val="21"/>
                      <w:szCs w:val="21"/>
                      <w:lang w:bidi="ar"/>
                    </w:rPr>
                  </w:pPr>
                </w:p>
              </w:tc>
              <w:tc>
                <w:tcPr>
                  <w:tcW w:w="675" w:type="pct"/>
                  <w:vMerge w:val="continue"/>
                  <w:vAlign w:val="center"/>
                </w:tcPr>
                <w:p w14:paraId="64D9C8F8">
                  <w:pPr>
                    <w:widowControl/>
                    <w:jc w:val="center"/>
                    <w:rPr>
                      <w:rFonts w:hint="default" w:ascii="Times New Roman" w:hAnsi="Times New Roman" w:eastAsia="宋体" w:cs="Times New Roman"/>
                      <w:color w:val="000000"/>
                      <w:kern w:val="0"/>
                      <w:sz w:val="21"/>
                      <w:szCs w:val="21"/>
                      <w:lang w:bidi="ar"/>
                    </w:rPr>
                  </w:pPr>
                </w:p>
              </w:tc>
              <w:tc>
                <w:tcPr>
                  <w:tcW w:w="1268" w:type="pct"/>
                  <w:vAlign w:val="center"/>
                </w:tcPr>
                <w:p w14:paraId="25C72EDC">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锰（</w:t>
                  </w:r>
                  <w:r>
                    <w:rPr>
                      <w:rFonts w:hint="default" w:ascii="Times New Roman" w:hAnsi="Times New Roman" w:eastAsia="宋体" w:cs="Times New Roman"/>
                      <w:color w:val="000000"/>
                      <w:spacing w:val="0"/>
                      <w:kern w:val="0"/>
                      <w:sz w:val="21"/>
                      <w:szCs w:val="21"/>
                      <w:lang w:bidi="ar"/>
                    </w:rPr>
                    <w:t>mg/L</w:t>
                  </w:r>
                  <w:r>
                    <w:rPr>
                      <w:rFonts w:ascii="Times New Roman" w:hAnsi="Times New Roman" w:eastAsia="宋体" w:cs="Times New Roman"/>
                      <w:color w:val="000000"/>
                      <w:spacing w:val="0"/>
                      <w:kern w:val="0"/>
                      <w:sz w:val="21"/>
                      <w:szCs w:val="21"/>
                      <w:lang w:bidi="ar"/>
                    </w:rPr>
                    <w:t>）</w:t>
                  </w:r>
                </w:p>
              </w:tc>
              <w:tc>
                <w:tcPr>
                  <w:tcW w:w="1406" w:type="pct"/>
                  <w:vAlign w:val="center"/>
                </w:tcPr>
                <w:p w14:paraId="23BC4C27">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5.16</w:t>
                  </w:r>
                </w:p>
              </w:tc>
              <w:tc>
                <w:tcPr>
                  <w:tcW w:w="1032" w:type="pct"/>
                  <w:vAlign w:val="center"/>
                </w:tcPr>
                <w:p w14:paraId="109DA554">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w:t>
                  </w:r>
                </w:p>
              </w:tc>
            </w:tr>
            <w:tr w14:paraId="1E5A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Merge w:val="continue"/>
                  <w:vAlign w:val="center"/>
                </w:tcPr>
                <w:p w14:paraId="2EB94912">
                  <w:pPr>
                    <w:widowControl/>
                    <w:jc w:val="center"/>
                    <w:rPr>
                      <w:rFonts w:hint="default" w:ascii="Times New Roman" w:hAnsi="Times New Roman" w:eastAsia="宋体" w:cs="Times New Roman"/>
                      <w:color w:val="000000"/>
                      <w:kern w:val="0"/>
                      <w:sz w:val="21"/>
                      <w:szCs w:val="21"/>
                      <w:lang w:bidi="ar"/>
                    </w:rPr>
                  </w:pPr>
                </w:p>
              </w:tc>
              <w:tc>
                <w:tcPr>
                  <w:tcW w:w="675" w:type="pct"/>
                  <w:vMerge w:val="continue"/>
                  <w:vAlign w:val="center"/>
                </w:tcPr>
                <w:p w14:paraId="10467E70">
                  <w:pPr>
                    <w:widowControl/>
                    <w:jc w:val="center"/>
                    <w:rPr>
                      <w:rFonts w:hint="default" w:ascii="Times New Roman" w:hAnsi="Times New Roman" w:eastAsia="宋体" w:cs="Times New Roman"/>
                      <w:color w:val="000000"/>
                      <w:kern w:val="0"/>
                      <w:sz w:val="21"/>
                      <w:szCs w:val="21"/>
                      <w:lang w:bidi="ar"/>
                    </w:rPr>
                  </w:pPr>
                </w:p>
              </w:tc>
              <w:tc>
                <w:tcPr>
                  <w:tcW w:w="1268" w:type="pct"/>
                  <w:vAlign w:val="center"/>
                </w:tcPr>
                <w:p w14:paraId="1C3CF0A0">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钴（</w:t>
                  </w:r>
                  <w:r>
                    <w:rPr>
                      <w:rFonts w:hint="default" w:ascii="Times New Roman" w:hAnsi="Times New Roman" w:eastAsia="宋体" w:cs="Times New Roman"/>
                      <w:color w:val="000000"/>
                      <w:spacing w:val="0"/>
                      <w:kern w:val="0"/>
                      <w:sz w:val="21"/>
                      <w:szCs w:val="21"/>
                      <w:lang w:bidi="ar"/>
                    </w:rPr>
                    <w:t>mg/L</w:t>
                  </w:r>
                  <w:r>
                    <w:rPr>
                      <w:rFonts w:ascii="Times New Roman" w:hAnsi="Times New Roman" w:eastAsia="宋体" w:cs="Times New Roman"/>
                      <w:color w:val="000000"/>
                      <w:spacing w:val="0"/>
                      <w:kern w:val="0"/>
                      <w:sz w:val="21"/>
                      <w:szCs w:val="21"/>
                      <w:lang w:bidi="ar"/>
                    </w:rPr>
                    <w:t>）</w:t>
                  </w:r>
                </w:p>
              </w:tc>
              <w:tc>
                <w:tcPr>
                  <w:tcW w:w="1406" w:type="pct"/>
                  <w:vAlign w:val="center"/>
                </w:tcPr>
                <w:p w14:paraId="1DBC6DEF">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0.212</w:t>
                  </w:r>
                </w:p>
              </w:tc>
              <w:tc>
                <w:tcPr>
                  <w:tcW w:w="1032" w:type="pct"/>
                  <w:vAlign w:val="center"/>
                </w:tcPr>
                <w:p w14:paraId="651504B4">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w:t>
                  </w:r>
                </w:p>
              </w:tc>
            </w:tr>
            <w:tr w14:paraId="04FA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Merge w:val="continue"/>
                  <w:vAlign w:val="center"/>
                </w:tcPr>
                <w:p w14:paraId="10ACC190">
                  <w:pPr>
                    <w:widowControl/>
                    <w:jc w:val="center"/>
                    <w:rPr>
                      <w:rFonts w:hint="default" w:ascii="Times New Roman" w:hAnsi="Times New Roman" w:eastAsia="宋体" w:cs="Times New Roman"/>
                      <w:color w:val="000000"/>
                      <w:kern w:val="0"/>
                      <w:sz w:val="21"/>
                      <w:szCs w:val="21"/>
                      <w:lang w:bidi="ar"/>
                    </w:rPr>
                  </w:pPr>
                </w:p>
              </w:tc>
              <w:tc>
                <w:tcPr>
                  <w:tcW w:w="675" w:type="pct"/>
                  <w:vMerge w:val="continue"/>
                  <w:vAlign w:val="center"/>
                </w:tcPr>
                <w:p w14:paraId="77A5C3F7">
                  <w:pPr>
                    <w:widowControl/>
                    <w:jc w:val="center"/>
                    <w:rPr>
                      <w:rFonts w:hint="default" w:ascii="Times New Roman" w:hAnsi="Times New Roman" w:eastAsia="宋体" w:cs="Times New Roman"/>
                      <w:color w:val="000000"/>
                      <w:kern w:val="0"/>
                      <w:sz w:val="21"/>
                      <w:szCs w:val="21"/>
                      <w:lang w:bidi="ar"/>
                    </w:rPr>
                  </w:pPr>
                </w:p>
              </w:tc>
              <w:tc>
                <w:tcPr>
                  <w:tcW w:w="1268" w:type="pct"/>
                  <w:vAlign w:val="center"/>
                </w:tcPr>
                <w:p w14:paraId="1005A004">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铅（</w:t>
                  </w:r>
                  <w:r>
                    <w:rPr>
                      <w:rFonts w:hint="default" w:ascii="Times New Roman" w:hAnsi="Times New Roman" w:eastAsia="宋体" w:cs="Times New Roman"/>
                      <w:color w:val="000000"/>
                      <w:spacing w:val="0"/>
                      <w:kern w:val="0"/>
                      <w:sz w:val="21"/>
                      <w:szCs w:val="21"/>
                      <w:lang w:bidi="ar"/>
                    </w:rPr>
                    <w:t>mg/L</w:t>
                  </w:r>
                  <w:r>
                    <w:rPr>
                      <w:rFonts w:ascii="Times New Roman" w:hAnsi="Times New Roman" w:eastAsia="宋体" w:cs="Times New Roman"/>
                      <w:color w:val="000000"/>
                      <w:spacing w:val="0"/>
                      <w:kern w:val="0"/>
                      <w:sz w:val="21"/>
                      <w:szCs w:val="21"/>
                      <w:lang w:bidi="ar"/>
                    </w:rPr>
                    <w:t>）</w:t>
                  </w:r>
                </w:p>
              </w:tc>
              <w:tc>
                <w:tcPr>
                  <w:tcW w:w="1406" w:type="pct"/>
                  <w:vAlign w:val="center"/>
                </w:tcPr>
                <w:p w14:paraId="581ADABC">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0.06L</w:t>
                  </w:r>
                </w:p>
              </w:tc>
              <w:tc>
                <w:tcPr>
                  <w:tcW w:w="1032" w:type="pct"/>
                  <w:vAlign w:val="center"/>
                </w:tcPr>
                <w:p w14:paraId="48086848">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w:t>
                  </w:r>
                </w:p>
              </w:tc>
            </w:tr>
            <w:tr w14:paraId="4231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Merge w:val="continue"/>
                  <w:vAlign w:val="center"/>
                </w:tcPr>
                <w:p w14:paraId="7EF5C242">
                  <w:pPr>
                    <w:widowControl/>
                    <w:jc w:val="center"/>
                    <w:rPr>
                      <w:rFonts w:hint="default" w:ascii="Times New Roman" w:hAnsi="Times New Roman" w:eastAsia="宋体" w:cs="Times New Roman"/>
                      <w:color w:val="000000"/>
                      <w:kern w:val="0"/>
                      <w:sz w:val="21"/>
                      <w:szCs w:val="21"/>
                      <w:lang w:bidi="ar"/>
                    </w:rPr>
                  </w:pPr>
                </w:p>
              </w:tc>
              <w:tc>
                <w:tcPr>
                  <w:tcW w:w="675" w:type="pct"/>
                  <w:vMerge w:val="continue"/>
                  <w:vAlign w:val="center"/>
                </w:tcPr>
                <w:p w14:paraId="118716EE">
                  <w:pPr>
                    <w:widowControl/>
                    <w:jc w:val="center"/>
                    <w:rPr>
                      <w:rFonts w:hint="default" w:ascii="Times New Roman" w:hAnsi="Times New Roman" w:eastAsia="宋体" w:cs="Times New Roman"/>
                      <w:color w:val="000000"/>
                      <w:kern w:val="0"/>
                      <w:sz w:val="21"/>
                      <w:szCs w:val="21"/>
                      <w:lang w:bidi="ar"/>
                    </w:rPr>
                  </w:pPr>
                </w:p>
              </w:tc>
              <w:tc>
                <w:tcPr>
                  <w:tcW w:w="1268" w:type="pct"/>
                  <w:vAlign w:val="center"/>
                </w:tcPr>
                <w:p w14:paraId="577BD547">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镉（</w:t>
                  </w:r>
                  <w:r>
                    <w:rPr>
                      <w:rFonts w:hint="default" w:ascii="Times New Roman" w:hAnsi="Times New Roman" w:eastAsia="宋体" w:cs="Times New Roman"/>
                      <w:color w:val="000000"/>
                      <w:spacing w:val="0"/>
                      <w:kern w:val="0"/>
                      <w:sz w:val="21"/>
                      <w:szCs w:val="21"/>
                      <w:lang w:bidi="ar"/>
                    </w:rPr>
                    <w:t>mg/L</w:t>
                  </w:r>
                  <w:r>
                    <w:rPr>
                      <w:rFonts w:ascii="Times New Roman" w:hAnsi="Times New Roman" w:eastAsia="宋体" w:cs="Times New Roman"/>
                      <w:color w:val="000000"/>
                      <w:spacing w:val="0"/>
                      <w:kern w:val="0"/>
                      <w:sz w:val="21"/>
                      <w:szCs w:val="21"/>
                      <w:lang w:bidi="ar"/>
                    </w:rPr>
                    <w:t>）</w:t>
                  </w:r>
                </w:p>
              </w:tc>
              <w:tc>
                <w:tcPr>
                  <w:tcW w:w="1406" w:type="pct"/>
                  <w:vAlign w:val="center"/>
                </w:tcPr>
                <w:p w14:paraId="1288C70F">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0.05L</w:t>
                  </w:r>
                </w:p>
              </w:tc>
              <w:tc>
                <w:tcPr>
                  <w:tcW w:w="1032" w:type="pct"/>
                  <w:vAlign w:val="center"/>
                </w:tcPr>
                <w:p w14:paraId="06AABA4E">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w:t>
                  </w:r>
                </w:p>
              </w:tc>
            </w:tr>
            <w:tr w14:paraId="0EFE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Merge w:val="continue"/>
                  <w:vAlign w:val="center"/>
                </w:tcPr>
                <w:p w14:paraId="5D11E587">
                  <w:pPr>
                    <w:widowControl/>
                    <w:jc w:val="center"/>
                    <w:rPr>
                      <w:rFonts w:hint="default" w:ascii="Times New Roman" w:hAnsi="Times New Roman" w:eastAsia="宋体" w:cs="Times New Roman"/>
                      <w:color w:val="000000"/>
                      <w:kern w:val="0"/>
                      <w:sz w:val="21"/>
                      <w:szCs w:val="21"/>
                      <w:lang w:bidi="ar"/>
                    </w:rPr>
                  </w:pPr>
                </w:p>
              </w:tc>
              <w:tc>
                <w:tcPr>
                  <w:tcW w:w="675" w:type="pct"/>
                  <w:vMerge w:val="continue"/>
                  <w:vAlign w:val="center"/>
                </w:tcPr>
                <w:p w14:paraId="5134E887">
                  <w:pPr>
                    <w:widowControl/>
                    <w:jc w:val="center"/>
                    <w:rPr>
                      <w:rFonts w:hint="default" w:ascii="Times New Roman" w:hAnsi="Times New Roman" w:eastAsia="宋体" w:cs="Times New Roman"/>
                      <w:color w:val="000000"/>
                      <w:kern w:val="0"/>
                      <w:sz w:val="21"/>
                      <w:szCs w:val="21"/>
                      <w:lang w:bidi="ar"/>
                    </w:rPr>
                  </w:pPr>
                </w:p>
              </w:tc>
              <w:tc>
                <w:tcPr>
                  <w:tcW w:w="1268" w:type="pct"/>
                  <w:vAlign w:val="center"/>
                </w:tcPr>
                <w:p w14:paraId="1F70A1ED">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砷（</w:t>
                  </w:r>
                  <w:r>
                    <w:rPr>
                      <w:rFonts w:hint="default" w:ascii="Times New Roman" w:hAnsi="Times New Roman" w:eastAsia="宋体" w:cs="Times New Roman"/>
                      <w:color w:val="000000"/>
                      <w:spacing w:val="0"/>
                      <w:kern w:val="0"/>
                      <w:sz w:val="21"/>
                      <w:szCs w:val="21"/>
                      <w:lang w:bidi="ar"/>
                    </w:rPr>
                    <w:t>mg/L</w:t>
                  </w:r>
                  <w:r>
                    <w:rPr>
                      <w:rFonts w:ascii="Times New Roman" w:hAnsi="Times New Roman" w:eastAsia="宋体" w:cs="Times New Roman"/>
                      <w:color w:val="000000"/>
                      <w:spacing w:val="0"/>
                      <w:kern w:val="0"/>
                      <w:sz w:val="21"/>
                      <w:szCs w:val="21"/>
                      <w:lang w:bidi="ar"/>
                    </w:rPr>
                    <w:t>）</w:t>
                  </w:r>
                </w:p>
              </w:tc>
              <w:tc>
                <w:tcPr>
                  <w:tcW w:w="1406" w:type="pct"/>
                  <w:vAlign w:val="center"/>
                </w:tcPr>
                <w:p w14:paraId="59F04E40">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0.0278</w:t>
                  </w:r>
                </w:p>
              </w:tc>
              <w:tc>
                <w:tcPr>
                  <w:tcW w:w="1032" w:type="pct"/>
                  <w:vAlign w:val="center"/>
                </w:tcPr>
                <w:p w14:paraId="61BEDB0E">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w:t>
                  </w:r>
                </w:p>
              </w:tc>
            </w:tr>
            <w:tr w14:paraId="664A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16" w:type="pct"/>
                  <w:vAlign w:val="center"/>
                </w:tcPr>
                <w:p w14:paraId="52E38CAE">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备注</w:t>
                  </w:r>
                </w:p>
              </w:tc>
              <w:tc>
                <w:tcPr>
                  <w:tcW w:w="4383" w:type="pct"/>
                  <w:gridSpan w:val="4"/>
                  <w:vAlign w:val="center"/>
                </w:tcPr>
                <w:p w14:paraId="1CFC1FFB">
                  <w:pPr>
                    <w:widowControl/>
                    <w:jc w:val="left"/>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spacing w:val="0"/>
                      <w:kern w:val="0"/>
                      <w:sz w:val="21"/>
                      <w:szCs w:val="21"/>
                      <w:lang w:bidi="ar"/>
                    </w:rPr>
                    <w:t>参考限值来源于《危险废物鉴别标准 浸出毒性鉴别》</w:t>
                  </w:r>
                  <w:r>
                    <w:rPr>
                      <w:rFonts w:hint="default" w:ascii="Times New Roman" w:hAnsi="Times New Roman" w:eastAsia="宋体" w:cs="Times New Roman"/>
                      <w:color w:val="000000"/>
                      <w:spacing w:val="0"/>
                      <w:kern w:val="0"/>
                      <w:sz w:val="21"/>
                      <w:szCs w:val="21"/>
                      <w:lang w:bidi="ar"/>
                    </w:rPr>
                    <w:t>GB 5085.3-2007</w:t>
                  </w:r>
                  <w:r>
                    <w:rPr>
                      <w:rFonts w:ascii="Times New Roman" w:hAnsi="Times New Roman" w:eastAsia="宋体" w:cs="Times New Roman"/>
                      <w:color w:val="000000"/>
                      <w:spacing w:val="0"/>
                      <w:kern w:val="0"/>
                      <w:sz w:val="21"/>
                      <w:szCs w:val="21"/>
                      <w:lang w:bidi="ar"/>
                    </w:rPr>
                    <w:t>表</w:t>
                  </w:r>
                  <w:r>
                    <w:rPr>
                      <w:rFonts w:hint="default" w:ascii="Times New Roman" w:hAnsi="Times New Roman" w:eastAsia="宋体" w:cs="Times New Roman"/>
                      <w:color w:val="000000"/>
                      <w:spacing w:val="0"/>
                      <w:kern w:val="0"/>
                      <w:sz w:val="21"/>
                      <w:szCs w:val="21"/>
                      <w:lang w:bidi="ar"/>
                    </w:rPr>
                    <w:t>1</w:t>
                  </w:r>
                  <w:r>
                    <w:rPr>
                      <w:rFonts w:ascii="Times New Roman" w:hAnsi="Times New Roman" w:eastAsia="宋体" w:cs="Times New Roman"/>
                      <w:color w:val="000000"/>
                      <w:spacing w:val="0"/>
                      <w:kern w:val="0"/>
                      <w:sz w:val="21"/>
                      <w:szCs w:val="21"/>
                      <w:lang w:bidi="ar"/>
                    </w:rPr>
                    <w:t>中标准限值。</w:t>
                  </w:r>
                </w:p>
              </w:tc>
            </w:tr>
          </w:tbl>
          <w:p w14:paraId="7155BA81">
            <w:pPr>
              <w:pStyle w:val="2"/>
              <w:spacing w:before="0" w:after="0" w:line="240" w:lineRule="auto"/>
              <w:ind w:left="0" w:firstLine="0" w:firstLineChars="0"/>
              <w:jc w:val="center"/>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表2-</w:t>
            </w:r>
            <w:r>
              <w:rPr>
                <w:rFonts w:hint="eastAsia" w:eastAsia="宋体" w:cs="Times New Roman"/>
                <w:color w:val="auto"/>
                <w:sz w:val="24"/>
                <w:szCs w:val="24"/>
                <w:u w:val="none"/>
                <w:lang w:val="en-US" w:eastAsia="zh-CN"/>
              </w:rPr>
              <w:t xml:space="preserve">7 </w:t>
            </w:r>
            <w:r>
              <w:rPr>
                <w:rFonts w:hint="default"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b/>
                <w:bCs/>
                <w:spacing w:val="-4"/>
                <w:sz w:val="24"/>
                <w:szCs w:val="24"/>
              </w:rPr>
              <w:t>固废（</w:t>
            </w:r>
            <w:r>
              <w:rPr>
                <w:rFonts w:hint="eastAsia" w:ascii="Times New Roman" w:hAnsi="Times New Roman" w:eastAsia="宋体" w:cs="Times New Roman"/>
                <w:b/>
                <w:bCs/>
                <w:spacing w:val="-4"/>
                <w:sz w:val="24"/>
                <w:szCs w:val="24"/>
                <w:lang w:val="en-US" w:eastAsia="zh-CN"/>
              </w:rPr>
              <w:t>水</w:t>
            </w:r>
            <w:r>
              <w:rPr>
                <w:rFonts w:hint="default" w:ascii="Times New Roman" w:hAnsi="Times New Roman" w:eastAsia="宋体" w:cs="Times New Roman"/>
                <w:b/>
                <w:bCs/>
                <w:spacing w:val="-4"/>
                <w:sz w:val="24"/>
                <w:szCs w:val="24"/>
              </w:rPr>
              <w:t>浸）检测结果</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1"/>
              <w:gridCol w:w="1078"/>
              <w:gridCol w:w="1610"/>
              <w:gridCol w:w="1639"/>
              <w:gridCol w:w="2736"/>
            </w:tblGrid>
            <w:tr w14:paraId="04ED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Align w:val="center"/>
                </w:tcPr>
                <w:p w14:paraId="632EBA76">
                  <w:pPr>
                    <w:pStyle w:val="121"/>
                    <w:spacing w:before="0" w:line="240" w:lineRule="auto"/>
                    <w:ind w:left="0"/>
                    <w:jc w:val="center"/>
                    <w:rPr>
                      <w:rFonts w:hint="default" w:ascii="Times New Roman" w:hAnsi="Times New Roman" w:cs="Times New Roman"/>
                      <w:sz w:val="21"/>
                      <w:szCs w:val="21"/>
                    </w:rPr>
                  </w:pPr>
                  <w:r>
                    <w:rPr>
                      <w:rFonts w:hint="default" w:ascii="Times New Roman" w:hAnsi="Times New Roman" w:cs="Times New Roman"/>
                      <w:b/>
                      <w:bCs/>
                      <w:spacing w:val="-4"/>
                      <w:sz w:val="21"/>
                      <w:szCs w:val="21"/>
                    </w:rPr>
                    <w:t>送样日期</w:t>
                  </w:r>
                </w:p>
              </w:tc>
              <w:tc>
                <w:tcPr>
                  <w:tcW w:w="671" w:type="pct"/>
                  <w:vAlign w:val="center"/>
                </w:tcPr>
                <w:p w14:paraId="2D2433E7">
                  <w:pPr>
                    <w:pStyle w:val="121"/>
                    <w:spacing w:before="0" w:line="240" w:lineRule="auto"/>
                    <w:ind w:left="0"/>
                    <w:jc w:val="center"/>
                    <w:rPr>
                      <w:rFonts w:hint="default" w:ascii="Times New Roman" w:hAnsi="Times New Roman" w:cs="Times New Roman"/>
                      <w:sz w:val="21"/>
                      <w:szCs w:val="21"/>
                    </w:rPr>
                  </w:pPr>
                  <w:r>
                    <w:rPr>
                      <w:rFonts w:hint="default" w:ascii="Times New Roman" w:hAnsi="Times New Roman" w:cs="Times New Roman"/>
                      <w:b/>
                      <w:bCs/>
                      <w:spacing w:val="-5"/>
                      <w:sz w:val="21"/>
                      <w:szCs w:val="21"/>
                    </w:rPr>
                    <w:t>来样标识</w:t>
                  </w:r>
                </w:p>
              </w:tc>
              <w:tc>
                <w:tcPr>
                  <w:tcW w:w="1002" w:type="pct"/>
                  <w:vAlign w:val="center"/>
                </w:tcPr>
                <w:p w14:paraId="0CB55783">
                  <w:pPr>
                    <w:pStyle w:val="121"/>
                    <w:spacing w:before="0" w:line="240" w:lineRule="auto"/>
                    <w:ind w:left="0"/>
                    <w:jc w:val="center"/>
                    <w:rPr>
                      <w:rFonts w:hint="default" w:ascii="Times New Roman" w:hAnsi="Times New Roman" w:cs="Times New Roman"/>
                      <w:sz w:val="21"/>
                      <w:szCs w:val="21"/>
                    </w:rPr>
                  </w:pPr>
                  <w:r>
                    <w:rPr>
                      <w:rFonts w:hint="default" w:ascii="Times New Roman" w:hAnsi="Times New Roman" w:cs="Times New Roman"/>
                      <w:b/>
                      <w:bCs/>
                      <w:spacing w:val="-5"/>
                      <w:sz w:val="21"/>
                      <w:szCs w:val="21"/>
                    </w:rPr>
                    <w:t>检测项目</w:t>
                  </w:r>
                </w:p>
              </w:tc>
              <w:tc>
                <w:tcPr>
                  <w:tcW w:w="1020" w:type="pct"/>
                  <w:vAlign w:val="center"/>
                </w:tcPr>
                <w:p w14:paraId="4912CAE0">
                  <w:pPr>
                    <w:pStyle w:val="121"/>
                    <w:spacing w:before="0" w:line="240" w:lineRule="auto"/>
                    <w:ind w:left="0"/>
                    <w:jc w:val="center"/>
                    <w:rPr>
                      <w:rFonts w:hint="default" w:ascii="Times New Roman" w:hAnsi="Times New Roman" w:cs="Times New Roman"/>
                      <w:sz w:val="21"/>
                      <w:szCs w:val="21"/>
                    </w:rPr>
                  </w:pPr>
                  <w:r>
                    <w:rPr>
                      <w:rFonts w:hint="default" w:ascii="Times New Roman" w:hAnsi="Times New Roman" w:cs="Times New Roman"/>
                      <w:b/>
                      <w:bCs/>
                      <w:spacing w:val="-5"/>
                      <w:sz w:val="21"/>
                      <w:szCs w:val="21"/>
                    </w:rPr>
                    <w:t>检测结果</w:t>
                  </w:r>
                </w:p>
              </w:tc>
              <w:tc>
                <w:tcPr>
                  <w:tcW w:w="1701" w:type="pct"/>
                  <w:vAlign w:val="center"/>
                </w:tcPr>
                <w:p w14:paraId="59DA6525">
                  <w:pPr>
                    <w:pStyle w:val="121"/>
                    <w:spacing w:before="0" w:line="240" w:lineRule="auto"/>
                    <w:ind w:left="0"/>
                    <w:jc w:val="center"/>
                    <w:rPr>
                      <w:rFonts w:hint="default" w:ascii="Times New Roman" w:hAnsi="Times New Roman" w:cs="Times New Roman"/>
                      <w:sz w:val="21"/>
                      <w:szCs w:val="21"/>
                    </w:rPr>
                  </w:pPr>
                  <w:r>
                    <w:rPr>
                      <w:rFonts w:hint="default" w:ascii="Times New Roman" w:hAnsi="Times New Roman" w:cs="Times New Roman"/>
                      <w:b/>
                      <w:bCs/>
                      <w:spacing w:val="-5"/>
                      <w:sz w:val="21"/>
                      <w:szCs w:val="21"/>
                    </w:rPr>
                    <w:t>参考限值</w:t>
                  </w:r>
                </w:p>
              </w:tc>
            </w:tr>
            <w:tr w14:paraId="4AF7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restart"/>
                  <w:vAlign w:val="center"/>
                </w:tcPr>
                <w:p w14:paraId="743E96AD">
                  <w:pPr>
                    <w:widowControl/>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06月16日</w:t>
                  </w:r>
                </w:p>
              </w:tc>
              <w:tc>
                <w:tcPr>
                  <w:tcW w:w="671" w:type="pct"/>
                  <w:vMerge w:val="restart"/>
                  <w:vAlign w:val="center"/>
                </w:tcPr>
                <w:p w14:paraId="5323D0CC">
                  <w:pPr>
                    <w:widowControl/>
                    <w:spacing w:before="0" w:line="240" w:lineRule="auto"/>
                    <w:ind w:left="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NMP</w:t>
                  </w:r>
                  <w:r>
                    <w:rPr>
                      <w:rFonts w:hint="default" w:ascii="Times New Roman" w:hAnsi="Times New Roman" w:eastAsia="宋体" w:cs="Times New Roman"/>
                      <w:color w:val="000000"/>
                      <w:spacing w:val="0"/>
                      <w:kern w:val="0"/>
                      <w:sz w:val="21"/>
                      <w:szCs w:val="21"/>
                      <w:lang w:bidi="ar"/>
                    </w:rPr>
                    <w:t>1</w:t>
                  </w:r>
                </w:p>
              </w:tc>
              <w:tc>
                <w:tcPr>
                  <w:tcW w:w="1002" w:type="pct"/>
                  <w:shd w:val="clear" w:color="auto" w:fill="auto"/>
                  <w:vAlign w:val="center"/>
                </w:tcPr>
                <w:p w14:paraId="2ADD01DB">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铜（</w:t>
                  </w:r>
                  <w:r>
                    <w:rPr>
                      <w:rFonts w:hint="default" w:ascii="Times New Roman" w:hAnsi="Times New Roman" w:eastAsia="宋体" w:cs="Times New Roman"/>
                      <w:spacing w:val="-2"/>
                      <w:sz w:val="21"/>
                      <w:szCs w:val="21"/>
                    </w:rPr>
                    <w:t>mg/L</w:t>
                  </w:r>
                  <w:r>
                    <w:rPr>
                      <w:rFonts w:ascii="Times New Roman" w:hAnsi="Times New Roman" w:cs="Times New Roman"/>
                      <w:spacing w:val="-2"/>
                      <w:sz w:val="21"/>
                      <w:szCs w:val="21"/>
                    </w:rPr>
                    <w:t>）</w:t>
                  </w:r>
                </w:p>
              </w:tc>
              <w:tc>
                <w:tcPr>
                  <w:tcW w:w="1020" w:type="pct"/>
                  <w:shd w:val="clear" w:color="auto" w:fill="auto"/>
                  <w:vAlign w:val="center"/>
                </w:tcPr>
                <w:p w14:paraId="468789A8">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0.02L</w:t>
                  </w:r>
                </w:p>
              </w:tc>
              <w:tc>
                <w:tcPr>
                  <w:tcW w:w="1701" w:type="pct"/>
                  <w:shd w:val="clear" w:color="auto" w:fill="auto"/>
                  <w:vAlign w:val="center"/>
                </w:tcPr>
                <w:p w14:paraId="49D36B59">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3"/>
                      <w:sz w:val="21"/>
                      <w:szCs w:val="21"/>
                    </w:rPr>
                    <w:t>0.5</w:t>
                  </w:r>
                </w:p>
              </w:tc>
            </w:tr>
            <w:tr w14:paraId="27A3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34B38DF9">
                  <w:pPr>
                    <w:widowControl/>
                    <w:jc w:val="center"/>
                    <w:rPr>
                      <w:rFonts w:hint="default" w:ascii="Times New Roman" w:hAnsi="Times New Roman" w:eastAsia="宋体" w:cs="Times New Roman"/>
                      <w:color w:val="000000"/>
                      <w:kern w:val="0"/>
                      <w:sz w:val="21"/>
                      <w:szCs w:val="21"/>
                      <w:lang w:bidi="ar"/>
                    </w:rPr>
                  </w:pPr>
                </w:p>
              </w:tc>
              <w:tc>
                <w:tcPr>
                  <w:tcW w:w="671" w:type="pct"/>
                  <w:vMerge w:val="continue"/>
                  <w:vAlign w:val="center"/>
                </w:tcPr>
                <w:p w14:paraId="00063E8B">
                  <w:pPr>
                    <w:widowControl/>
                    <w:jc w:val="center"/>
                    <w:rPr>
                      <w:rFonts w:hint="default" w:ascii="Times New Roman" w:hAnsi="Times New Roman" w:eastAsia="宋体" w:cs="Times New Roman"/>
                      <w:color w:val="000000"/>
                      <w:kern w:val="0"/>
                      <w:sz w:val="21"/>
                      <w:szCs w:val="21"/>
                      <w:lang w:bidi="ar"/>
                    </w:rPr>
                  </w:pPr>
                </w:p>
              </w:tc>
              <w:tc>
                <w:tcPr>
                  <w:tcW w:w="1002" w:type="pct"/>
                  <w:shd w:val="clear" w:color="auto" w:fill="auto"/>
                  <w:vAlign w:val="center"/>
                </w:tcPr>
                <w:p w14:paraId="017BFF32">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锌（</w:t>
                  </w:r>
                  <w:r>
                    <w:rPr>
                      <w:rFonts w:hint="default" w:ascii="Times New Roman" w:hAnsi="Times New Roman" w:eastAsia="宋体" w:cs="Times New Roman"/>
                      <w:spacing w:val="-2"/>
                      <w:sz w:val="21"/>
                      <w:szCs w:val="21"/>
                    </w:rPr>
                    <w:t>mg/L</w:t>
                  </w:r>
                  <w:r>
                    <w:rPr>
                      <w:rFonts w:ascii="Times New Roman" w:hAnsi="Times New Roman" w:cs="Times New Roman"/>
                      <w:spacing w:val="-2"/>
                      <w:sz w:val="21"/>
                      <w:szCs w:val="21"/>
                    </w:rPr>
                    <w:t>）</w:t>
                  </w:r>
                </w:p>
              </w:tc>
              <w:tc>
                <w:tcPr>
                  <w:tcW w:w="1020" w:type="pct"/>
                  <w:shd w:val="clear" w:color="auto" w:fill="auto"/>
                  <w:vAlign w:val="center"/>
                </w:tcPr>
                <w:p w14:paraId="4E36E991">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0.06L</w:t>
                  </w:r>
                </w:p>
              </w:tc>
              <w:tc>
                <w:tcPr>
                  <w:tcW w:w="1701" w:type="pct"/>
                  <w:shd w:val="clear" w:color="auto" w:fill="auto"/>
                  <w:vAlign w:val="center"/>
                </w:tcPr>
                <w:p w14:paraId="39818386">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2.0</w:t>
                  </w:r>
                </w:p>
              </w:tc>
            </w:tr>
            <w:tr w14:paraId="1F30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0A1AB83F">
                  <w:pPr>
                    <w:widowControl/>
                    <w:jc w:val="center"/>
                    <w:rPr>
                      <w:rFonts w:hint="default" w:ascii="Times New Roman" w:hAnsi="Times New Roman" w:eastAsia="宋体" w:cs="Times New Roman"/>
                      <w:color w:val="000000"/>
                      <w:kern w:val="0"/>
                      <w:sz w:val="21"/>
                      <w:szCs w:val="21"/>
                      <w:lang w:bidi="ar"/>
                    </w:rPr>
                  </w:pPr>
                </w:p>
              </w:tc>
              <w:tc>
                <w:tcPr>
                  <w:tcW w:w="671" w:type="pct"/>
                  <w:vMerge w:val="continue"/>
                  <w:vAlign w:val="center"/>
                </w:tcPr>
                <w:p w14:paraId="48E156DE">
                  <w:pPr>
                    <w:widowControl/>
                    <w:jc w:val="center"/>
                    <w:rPr>
                      <w:rFonts w:hint="default" w:ascii="Times New Roman" w:hAnsi="Times New Roman" w:eastAsia="宋体" w:cs="Times New Roman"/>
                      <w:color w:val="000000"/>
                      <w:kern w:val="0"/>
                      <w:sz w:val="21"/>
                      <w:szCs w:val="21"/>
                      <w:lang w:bidi="ar"/>
                    </w:rPr>
                  </w:pPr>
                </w:p>
              </w:tc>
              <w:tc>
                <w:tcPr>
                  <w:tcW w:w="1002" w:type="pct"/>
                  <w:shd w:val="clear" w:color="auto" w:fill="auto"/>
                  <w:vAlign w:val="center"/>
                </w:tcPr>
                <w:p w14:paraId="75A645B2">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铬（</w:t>
                  </w:r>
                  <w:r>
                    <w:rPr>
                      <w:rFonts w:hint="default" w:ascii="Times New Roman" w:hAnsi="Times New Roman" w:eastAsia="宋体" w:cs="Times New Roman"/>
                      <w:spacing w:val="-2"/>
                      <w:sz w:val="21"/>
                      <w:szCs w:val="21"/>
                    </w:rPr>
                    <w:t>mg/L</w:t>
                  </w:r>
                  <w:r>
                    <w:rPr>
                      <w:rFonts w:ascii="Times New Roman" w:hAnsi="Times New Roman" w:cs="Times New Roman"/>
                      <w:spacing w:val="-2"/>
                      <w:sz w:val="21"/>
                      <w:szCs w:val="21"/>
                    </w:rPr>
                    <w:t>）</w:t>
                  </w:r>
                </w:p>
              </w:tc>
              <w:tc>
                <w:tcPr>
                  <w:tcW w:w="1020" w:type="pct"/>
                  <w:shd w:val="clear" w:color="auto" w:fill="auto"/>
                  <w:vAlign w:val="center"/>
                </w:tcPr>
                <w:p w14:paraId="268A3872">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0.03L</w:t>
                  </w:r>
                </w:p>
              </w:tc>
              <w:tc>
                <w:tcPr>
                  <w:tcW w:w="1701" w:type="pct"/>
                  <w:shd w:val="clear" w:color="auto" w:fill="auto"/>
                  <w:vAlign w:val="center"/>
                </w:tcPr>
                <w:p w14:paraId="1815A3CE">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10"/>
                      <w:sz w:val="21"/>
                      <w:szCs w:val="21"/>
                    </w:rPr>
                    <w:t>1.5</w:t>
                  </w:r>
                </w:p>
              </w:tc>
            </w:tr>
            <w:tr w14:paraId="7988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7451C01D">
                  <w:pPr>
                    <w:widowControl/>
                    <w:jc w:val="center"/>
                    <w:rPr>
                      <w:rFonts w:hint="default" w:ascii="Times New Roman" w:hAnsi="Times New Roman" w:eastAsia="宋体" w:cs="Times New Roman"/>
                      <w:color w:val="000000"/>
                      <w:kern w:val="0"/>
                      <w:sz w:val="21"/>
                      <w:szCs w:val="21"/>
                      <w:lang w:bidi="ar"/>
                    </w:rPr>
                  </w:pPr>
                </w:p>
              </w:tc>
              <w:tc>
                <w:tcPr>
                  <w:tcW w:w="671" w:type="pct"/>
                  <w:vMerge w:val="continue"/>
                  <w:vAlign w:val="center"/>
                </w:tcPr>
                <w:p w14:paraId="0F035E5F">
                  <w:pPr>
                    <w:widowControl/>
                    <w:jc w:val="center"/>
                    <w:rPr>
                      <w:rFonts w:hint="default" w:ascii="Times New Roman" w:hAnsi="Times New Roman" w:eastAsia="宋体" w:cs="Times New Roman"/>
                      <w:color w:val="000000"/>
                      <w:kern w:val="0"/>
                      <w:sz w:val="21"/>
                      <w:szCs w:val="21"/>
                      <w:lang w:bidi="ar"/>
                    </w:rPr>
                  </w:pPr>
                </w:p>
              </w:tc>
              <w:tc>
                <w:tcPr>
                  <w:tcW w:w="1002" w:type="pct"/>
                  <w:shd w:val="clear" w:color="auto" w:fill="auto"/>
                  <w:vAlign w:val="center"/>
                </w:tcPr>
                <w:p w14:paraId="5685D111">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镍（</w:t>
                  </w:r>
                  <w:r>
                    <w:rPr>
                      <w:rFonts w:hint="default" w:ascii="Times New Roman" w:hAnsi="Times New Roman" w:eastAsia="宋体" w:cs="Times New Roman"/>
                      <w:spacing w:val="-2"/>
                      <w:sz w:val="21"/>
                      <w:szCs w:val="21"/>
                    </w:rPr>
                    <w:t>mg/L</w:t>
                  </w:r>
                  <w:r>
                    <w:rPr>
                      <w:rFonts w:ascii="Times New Roman" w:hAnsi="Times New Roman" w:cs="Times New Roman"/>
                      <w:spacing w:val="-2"/>
                      <w:sz w:val="21"/>
                      <w:szCs w:val="21"/>
                    </w:rPr>
                    <w:t>）</w:t>
                  </w:r>
                </w:p>
              </w:tc>
              <w:tc>
                <w:tcPr>
                  <w:tcW w:w="1020" w:type="pct"/>
                  <w:shd w:val="clear" w:color="auto" w:fill="auto"/>
                  <w:vAlign w:val="center"/>
                </w:tcPr>
                <w:p w14:paraId="0EE61DBC">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0.0312</w:t>
                  </w:r>
                </w:p>
              </w:tc>
              <w:tc>
                <w:tcPr>
                  <w:tcW w:w="1701" w:type="pct"/>
                  <w:shd w:val="clear" w:color="auto" w:fill="auto"/>
                  <w:vAlign w:val="center"/>
                </w:tcPr>
                <w:p w14:paraId="0A652861">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10"/>
                      <w:sz w:val="21"/>
                      <w:szCs w:val="21"/>
                    </w:rPr>
                    <w:t>1.0</w:t>
                  </w:r>
                </w:p>
              </w:tc>
            </w:tr>
            <w:tr w14:paraId="538A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621E17D2">
                  <w:pPr>
                    <w:widowControl/>
                    <w:jc w:val="center"/>
                    <w:rPr>
                      <w:rFonts w:hint="default" w:ascii="Times New Roman" w:hAnsi="Times New Roman" w:eastAsia="宋体" w:cs="Times New Roman"/>
                      <w:color w:val="000000"/>
                      <w:kern w:val="0"/>
                      <w:sz w:val="21"/>
                      <w:szCs w:val="21"/>
                      <w:lang w:bidi="ar"/>
                    </w:rPr>
                  </w:pPr>
                </w:p>
              </w:tc>
              <w:tc>
                <w:tcPr>
                  <w:tcW w:w="671" w:type="pct"/>
                  <w:vMerge w:val="continue"/>
                  <w:vAlign w:val="center"/>
                </w:tcPr>
                <w:p w14:paraId="1B4813C7">
                  <w:pPr>
                    <w:widowControl/>
                    <w:jc w:val="center"/>
                    <w:rPr>
                      <w:rFonts w:hint="default" w:ascii="Times New Roman" w:hAnsi="Times New Roman" w:eastAsia="宋体" w:cs="Times New Roman"/>
                      <w:color w:val="000000"/>
                      <w:kern w:val="0"/>
                      <w:sz w:val="21"/>
                      <w:szCs w:val="21"/>
                      <w:lang w:bidi="ar"/>
                    </w:rPr>
                  </w:pPr>
                </w:p>
              </w:tc>
              <w:tc>
                <w:tcPr>
                  <w:tcW w:w="1002" w:type="pct"/>
                  <w:shd w:val="clear" w:color="auto" w:fill="auto"/>
                  <w:vAlign w:val="center"/>
                </w:tcPr>
                <w:p w14:paraId="291F797D">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锰（</w:t>
                  </w:r>
                  <w:r>
                    <w:rPr>
                      <w:rFonts w:hint="default" w:ascii="Times New Roman" w:hAnsi="Times New Roman" w:eastAsia="宋体" w:cs="Times New Roman"/>
                      <w:spacing w:val="-2"/>
                      <w:sz w:val="21"/>
                      <w:szCs w:val="21"/>
                    </w:rPr>
                    <w:t>mg/L</w:t>
                  </w:r>
                  <w:r>
                    <w:rPr>
                      <w:rFonts w:ascii="Times New Roman" w:hAnsi="Times New Roman" w:cs="Times New Roman"/>
                      <w:spacing w:val="-2"/>
                      <w:sz w:val="21"/>
                      <w:szCs w:val="21"/>
                    </w:rPr>
                    <w:t>）</w:t>
                  </w:r>
                </w:p>
              </w:tc>
              <w:tc>
                <w:tcPr>
                  <w:tcW w:w="1020" w:type="pct"/>
                  <w:shd w:val="clear" w:color="auto" w:fill="auto"/>
                  <w:vAlign w:val="center"/>
                </w:tcPr>
                <w:p w14:paraId="55F8F7CC">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0.0146</w:t>
                  </w:r>
                </w:p>
              </w:tc>
              <w:tc>
                <w:tcPr>
                  <w:tcW w:w="1701" w:type="pct"/>
                  <w:shd w:val="clear" w:color="auto" w:fill="auto"/>
                  <w:vAlign w:val="center"/>
                </w:tcPr>
                <w:p w14:paraId="00B63E64">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2.0</w:t>
                  </w:r>
                </w:p>
              </w:tc>
            </w:tr>
            <w:tr w14:paraId="6F92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57A79266">
                  <w:pPr>
                    <w:widowControl/>
                    <w:jc w:val="center"/>
                    <w:rPr>
                      <w:rFonts w:hint="default" w:ascii="Times New Roman" w:hAnsi="Times New Roman" w:eastAsia="宋体" w:cs="Times New Roman"/>
                      <w:color w:val="000000"/>
                      <w:kern w:val="0"/>
                      <w:sz w:val="21"/>
                      <w:szCs w:val="21"/>
                      <w:lang w:bidi="ar"/>
                    </w:rPr>
                  </w:pPr>
                </w:p>
              </w:tc>
              <w:tc>
                <w:tcPr>
                  <w:tcW w:w="671" w:type="pct"/>
                  <w:vMerge w:val="continue"/>
                  <w:vAlign w:val="center"/>
                </w:tcPr>
                <w:p w14:paraId="27C6D6E7">
                  <w:pPr>
                    <w:widowControl/>
                    <w:jc w:val="center"/>
                    <w:rPr>
                      <w:rFonts w:hint="default" w:ascii="Times New Roman" w:hAnsi="Times New Roman" w:eastAsia="宋体" w:cs="Times New Roman"/>
                      <w:color w:val="000000"/>
                      <w:kern w:val="0"/>
                      <w:sz w:val="21"/>
                      <w:szCs w:val="21"/>
                      <w:lang w:bidi="ar"/>
                    </w:rPr>
                  </w:pPr>
                </w:p>
              </w:tc>
              <w:tc>
                <w:tcPr>
                  <w:tcW w:w="1002" w:type="pct"/>
                  <w:shd w:val="clear" w:color="auto" w:fill="auto"/>
                  <w:vAlign w:val="center"/>
                </w:tcPr>
                <w:p w14:paraId="08CF42CD">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钴（</w:t>
                  </w:r>
                  <w:r>
                    <w:rPr>
                      <w:rFonts w:hint="default" w:ascii="Times New Roman" w:hAnsi="Times New Roman" w:eastAsia="宋体" w:cs="Times New Roman"/>
                      <w:spacing w:val="-2"/>
                      <w:sz w:val="21"/>
                      <w:szCs w:val="21"/>
                    </w:rPr>
                    <w:t>mg/L</w:t>
                  </w:r>
                  <w:r>
                    <w:rPr>
                      <w:rFonts w:ascii="Times New Roman" w:hAnsi="Times New Roman" w:cs="Times New Roman"/>
                      <w:spacing w:val="-2"/>
                      <w:sz w:val="21"/>
                      <w:szCs w:val="21"/>
                    </w:rPr>
                    <w:t>）</w:t>
                  </w:r>
                </w:p>
              </w:tc>
              <w:tc>
                <w:tcPr>
                  <w:tcW w:w="1020" w:type="pct"/>
                  <w:shd w:val="clear" w:color="auto" w:fill="auto"/>
                  <w:vAlign w:val="center"/>
                </w:tcPr>
                <w:p w14:paraId="76397BD0">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0.0164</w:t>
                  </w:r>
                </w:p>
              </w:tc>
              <w:tc>
                <w:tcPr>
                  <w:tcW w:w="1701" w:type="pct"/>
                  <w:shd w:val="clear" w:color="auto" w:fill="auto"/>
                  <w:vAlign w:val="center"/>
                </w:tcPr>
                <w:p w14:paraId="08E52938">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r>
            <w:tr w14:paraId="4748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5119AAEF">
                  <w:pPr>
                    <w:widowControl/>
                    <w:jc w:val="center"/>
                    <w:rPr>
                      <w:rFonts w:hint="default" w:ascii="Times New Roman" w:hAnsi="Times New Roman" w:eastAsia="宋体" w:cs="Times New Roman"/>
                      <w:color w:val="000000"/>
                      <w:kern w:val="0"/>
                      <w:sz w:val="21"/>
                      <w:szCs w:val="21"/>
                      <w:lang w:bidi="ar"/>
                    </w:rPr>
                  </w:pPr>
                </w:p>
              </w:tc>
              <w:tc>
                <w:tcPr>
                  <w:tcW w:w="671" w:type="pct"/>
                  <w:vMerge w:val="continue"/>
                  <w:vAlign w:val="center"/>
                </w:tcPr>
                <w:p w14:paraId="5427F733">
                  <w:pPr>
                    <w:widowControl/>
                    <w:jc w:val="center"/>
                    <w:rPr>
                      <w:rFonts w:hint="default" w:ascii="Times New Roman" w:hAnsi="Times New Roman" w:eastAsia="宋体" w:cs="Times New Roman"/>
                      <w:color w:val="000000"/>
                      <w:kern w:val="0"/>
                      <w:sz w:val="21"/>
                      <w:szCs w:val="21"/>
                      <w:lang w:bidi="ar"/>
                    </w:rPr>
                  </w:pPr>
                </w:p>
              </w:tc>
              <w:tc>
                <w:tcPr>
                  <w:tcW w:w="1002" w:type="pct"/>
                  <w:shd w:val="clear" w:color="auto" w:fill="auto"/>
                  <w:vAlign w:val="center"/>
                </w:tcPr>
                <w:p w14:paraId="38F33465">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铅（</w:t>
                  </w:r>
                  <w:r>
                    <w:rPr>
                      <w:rFonts w:hint="default" w:ascii="Times New Roman" w:hAnsi="Times New Roman" w:eastAsia="宋体" w:cs="Times New Roman"/>
                      <w:spacing w:val="-2"/>
                      <w:sz w:val="21"/>
                      <w:szCs w:val="21"/>
                    </w:rPr>
                    <w:t>mg/L</w:t>
                  </w:r>
                  <w:r>
                    <w:rPr>
                      <w:rFonts w:ascii="Times New Roman" w:hAnsi="Times New Roman" w:cs="Times New Roman"/>
                      <w:spacing w:val="-2"/>
                      <w:sz w:val="21"/>
                      <w:szCs w:val="21"/>
                    </w:rPr>
                    <w:t>）</w:t>
                  </w:r>
                </w:p>
              </w:tc>
              <w:tc>
                <w:tcPr>
                  <w:tcW w:w="1020" w:type="pct"/>
                  <w:shd w:val="clear" w:color="auto" w:fill="auto"/>
                  <w:vAlign w:val="center"/>
                </w:tcPr>
                <w:p w14:paraId="3E095DE4">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0.06L</w:t>
                  </w:r>
                </w:p>
              </w:tc>
              <w:tc>
                <w:tcPr>
                  <w:tcW w:w="1701" w:type="pct"/>
                  <w:shd w:val="clear" w:color="auto" w:fill="auto"/>
                  <w:vAlign w:val="center"/>
                </w:tcPr>
                <w:p w14:paraId="2AAA5EB7">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10"/>
                      <w:sz w:val="21"/>
                      <w:szCs w:val="21"/>
                    </w:rPr>
                    <w:t>1.0</w:t>
                  </w:r>
                </w:p>
              </w:tc>
            </w:tr>
            <w:tr w14:paraId="7BFD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101840BD">
                  <w:pPr>
                    <w:widowControl/>
                    <w:jc w:val="center"/>
                    <w:rPr>
                      <w:rFonts w:hint="default" w:ascii="Times New Roman" w:hAnsi="Times New Roman" w:eastAsia="宋体" w:cs="Times New Roman"/>
                      <w:color w:val="000000"/>
                      <w:kern w:val="0"/>
                      <w:sz w:val="21"/>
                      <w:szCs w:val="21"/>
                      <w:lang w:bidi="ar"/>
                    </w:rPr>
                  </w:pPr>
                </w:p>
              </w:tc>
              <w:tc>
                <w:tcPr>
                  <w:tcW w:w="671" w:type="pct"/>
                  <w:vMerge w:val="continue"/>
                  <w:vAlign w:val="center"/>
                </w:tcPr>
                <w:p w14:paraId="558CD55A">
                  <w:pPr>
                    <w:widowControl/>
                    <w:jc w:val="center"/>
                    <w:rPr>
                      <w:rFonts w:hint="default" w:ascii="Times New Roman" w:hAnsi="Times New Roman" w:eastAsia="宋体" w:cs="Times New Roman"/>
                      <w:color w:val="000000"/>
                      <w:kern w:val="0"/>
                      <w:sz w:val="21"/>
                      <w:szCs w:val="21"/>
                      <w:lang w:bidi="ar"/>
                    </w:rPr>
                  </w:pPr>
                </w:p>
              </w:tc>
              <w:tc>
                <w:tcPr>
                  <w:tcW w:w="1002" w:type="pct"/>
                  <w:shd w:val="clear" w:color="auto" w:fill="auto"/>
                  <w:vAlign w:val="center"/>
                </w:tcPr>
                <w:p w14:paraId="6598A352">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镉（</w:t>
                  </w:r>
                  <w:r>
                    <w:rPr>
                      <w:rFonts w:hint="default" w:ascii="Times New Roman" w:hAnsi="Times New Roman" w:eastAsia="宋体" w:cs="Times New Roman"/>
                      <w:spacing w:val="-2"/>
                      <w:sz w:val="21"/>
                      <w:szCs w:val="21"/>
                    </w:rPr>
                    <w:t>mg/L</w:t>
                  </w:r>
                  <w:r>
                    <w:rPr>
                      <w:rFonts w:ascii="Times New Roman" w:hAnsi="Times New Roman" w:cs="Times New Roman"/>
                      <w:spacing w:val="-2"/>
                      <w:sz w:val="21"/>
                      <w:szCs w:val="21"/>
                    </w:rPr>
                    <w:t>）</w:t>
                  </w:r>
                </w:p>
              </w:tc>
              <w:tc>
                <w:tcPr>
                  <w:tcW w:w="1020" w:type="pct"/>
                  <w:shd w:val="clear" w:color="auto" w:fill="auto"/>
                  <w:vAlign w:val="center"/>
                </w:tcPr>
                <w:p w14:paraId="39DED83B">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0.05L</w:t>
                  </w:r>
                </w:p>
              </w:tc>
              <w:tc>
                <w:tcPr>
                  <w:tcW w:w="1701" w:type="pct"/>
                  <w:shd w:val="clear" w:color="auto" w:fill="auto"/>
                  <w:vAlign w:val="center"/>
                </w:tcPr>
                <w:p w14:paraId="4B2B761E">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3"/>
                      <w:sz w:val="21"/>
                      <w:szCs w:val="21"/>
                    </w:rPr>
                    <w:t>0.1</w:t>
                  </w:r>
                </w:p>
              </w:tc>
            </w:tr>
            <w:tr w14:paraId="3620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2FF24AD4">
                  <w:pPr>
                    <w:widowControl/>
                    <w:jc w:val="center"/>
                    <w:rPr>
                      <w:rFonts w:hint="default" w:ascii="Times New Roman" w:hAnsi="Times New Roman" w:eastAsia="宋体" w:cs="Times New Roman"/>
                      <w:color w:val="000000"/>
                      <w:kern w:val="0"/>
                      <w:sz w:val="21"/>
                      <w:szCs w:val="21"/>
                      <w:lang w:bidi="ar"/>
                    </w:rPr>
                  </w:pPr>
                </w:p>
              </w:tc>
              <w:tc>
                <w:tcPr>
                  <w:tcW w:w="671" w:type="pct"/>
                  <w:vMerge w:val="continue"/>
                  <w:vAlign w:val="center"/>
                </w:tcPr>
                <w:p w14:paraId="4880ABCF">
                  <w:pPr>
                    <w:widowControl/>
                    <w:jc w:val="center"/>
                    <w:rPr>
                      <w:rFonts w:hint="default" w:ascii="Times New Roman" w:hAnsi="Times New Roman" w:eastAsia="宋体" w:cs="Times New Roman"/>
                      <w:color w:val="000000"/>
                      <w:kern w:val="0"/>
                      <w:sz w:val="21"/>
                      <w:szCs w:val="21"/>
                      <w:lang w:bidi="ar"/>
                    </w:rPr>
                  </w:pPr>
                </w:p>
              </w:tc>
              <w:tc>
                <w:tcPr>
                  <w:tcW w:w="1002" w:type="pct"/>
                  <w:shd w:val="clear" w:color="auto" w:fill="auto"/>
                  <w:vAlign w:val="center"/>
                </w:tcPr>
                <w:p w14:paraId="2F2CB94E">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砷（</w:t>
                  </w:r>
                  <w:r>
                    <w:rPr>
                      <w:rFonts w:hint="default" w:ascii="Times New Roman" w:hAnsi="Times New Roman" w:eastAsia="宋体" w:cs="Times New Roman"/>
                      <w:spacing w:val="-2"/>
                      <w:sz w:val="21"/>
                      <w:szCs w:val="21"/>
                    </w:rPr>
                    <w:t>mg/L</w:t>
                  </w:r>
                  <w:r>
                    <w:rPr>
                      <w:rFonts w:ascii="Times New Roman" w:hAnsi="Times New Roman" w:cs="Times New Roman"/>
                      <w:spacing w:val="-2"/>
                      <w:sz w:val="21"/>
                      <w:szCs w:val="21"/>
                    </w:rPr>
                    <w:t>）</w:t>
                  </w:r>
                </w:p>
              </w:tc>
              <w:tc>
                <w:tcPr>
                  <w:tcW w:w="1020" w:type="pct"/>
                  <w:shd w:val="clear" w:color="auto" w:fill="auto"/>
                  <w:vAlign w:val="center"/>
                </w:tcPr>
                <w:p w14:paraId="5853F937">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0.0462</w:t>
                  </w:r>
                </w:p>
              </w:tc>
              <w:tc>
                <w:tcPr>
                  <w:tcW w:w="1701" w:type="pct"/>
                  <w:shd w:val="clear" w:color="auto" w:fill="auto"/>
                  <w:vAlign w:val="center"/>
                </w:tcPr>
                <w:p w14:paraId="77392387">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3"/>
                      <w:sz w:val="21"/>
                      <w:szCs w:val="21"/>
                    </w:rPr>
                    <w:t>0.5</w:t>
                  </w:r>
                </w:p>
              </w:tc>
            </w:tr>
            <w:tr w14:paraId="0938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31EC1787">
                  <w:pPr>
                    <w:widowControl/>
                    <w:jc w:val="center"/>
                    <w:rPr>
                      <w:rFonts w:hint="default" w:ascii="Times New Roman" w:hAnsi="Times New Roman" w:eastAsia="宋体" w:cs="Times New Roman"/>
                      <w:color w:val="000000"/>
                      <w:kern w:val="0"/>
                      <w:sz w:val="21"/>
                      <w:szCs w:val="21"/>
                      <w:lang w:bidi="ar"/>
                    </w:rPr>
                  </w:pPr>
                </w:p>
              </w:tc>
              <w:tc>
                <w:tcPr>
                  <w:tcW w:w="671" w:type="pct"/>
                  <w:vMerge w:val="continue"/>
                  <w:vAlign w:val="center"/>
                </w:tcPr>
                <w:p w14:paraId="77A8BA49">
                  <w:pPr>
                    <w:widowControl/>
                    <w:spacing w:before="0" w:line="240" w:lineRule="auto"/>
                    <w:ind w:left="0"/>
                    <w:jc w:val="center"/>
                    <w:rPr>
                      <w:rFonts w:hint="default" w:ascii="Times New Roman" w:hAnsi="Times New Roman" w:eastAsia="宋体" w:cs="Times New Roman"/>
                      <w:color w:val="000000"/>
                      <w:kern w:val="0"/>
                      <w:sz w:val="21"/>
                      <w:szCs w:val="21"/>
                      <w:lang w:bidi="ar"/>
                    </w:rPr>
                  </w:pPr>
                </w:p>
              </w:tc>
              <w:tc>
                <w:tcPr>
                  <w:tcW w:w="1002" w:type="pct"/>
                  <w:shd w:val="clear" w:color="auto" w:fill="auto"/>
                  <w:vAlign w:val="center"/>
                </w:tcPr>
                <w:p w14:paraId="655054F7">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腐蚀性（</w:t>
                  </w:r>
                  <w:r>
                    <w:rPr>
                      <w:rFonts w:hint="default" w:ascii="Times New Roman" w:hAnsi="Times New Roman" w:eastAsia="宋体" w:cs="Times New Roman"/>
                      <w:spacing w:val="-2"/>
                      <w:sz w:val="21"/>
                      <w:szCs w:val="21"/>
                    </w:rPr>
                    <w:t>pH</w:t>
                  </w:r>
                  <w:r>
                    <w:rPr>
                      <w:rFonts w:ascii="Times New Roman" w:hAnsi="Times New Roman" w:cs="Times New Roman"/>
                      <w:spacing w:val="-2"/>
                      <w:sz w:val="21"/>
                      <w:szCs w:val="21"/>
                    </w:rPr>
                    <w:t>值）</w:t>
                  </w:r>
                </w:p>
              </w:tc>
              <w:tc>
                <w:tcPr>
                  <w:tcW w:w="1020" w:type="pct"/>
                  <w:shd w:val="clear" w:color="auto" w:fill="auto"/>
                  <w:vAlign w:val="center"/>
                </w:tcPr>
                <w:p w14:paraId="0DBB4C9D">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4"/>
                      <w:sz w:val="21"/>
                      <w:szCs w:val="21"/>
                    </w:rPr>
                    <w:t>9.5</w:t>
                  </w:r>
                </w:p>
              </w:tc>
              <w:tc>
                <w:tcPr>
                  <w:tcW w:w="1701" w:type="pct"/>
                  <w:shd w:val="clear" w:color="auto" w:fill="auto"/>
                  <w:vAlign w:val="center"/>
                </w:tcPr>
                <w:p w14:paraId="01905D76">
                  <w:pPr>
                    <w:pStyle w:val="121"/>
                    <w:spacing w:before="0" w:line="240" w:lineRule="auto"/>
                    <w:ind w:left="0" w:leftChars="0" w:right="0" w:rightChars="0" w:firstLine="0" w:firstLineChars="0"/>
                    <w:jc w:val="center"/>
                    <w:rPr>
                      <w:rFonts w:hint="default" w:ascii="Times New Roman" w:hAnsi="Times New Roman" w:eastAsia="宋体" w:cs="Times New Roman"/>
                      <w:kern w:val="2"/>
                      <w:sz w:val="21"/>
                      <w:szCs w:val="21"/>
                      <w:lang w:val="en-US" w:eastAsia="en-US" w:bidi="ar-SA"/>
                    </w:rPr>
                  </w:pPr>
                  <w:r>
                    <w:rPr>
                      <w:rFonts w:hint="default" w:ascii="Times New Roman" w:hAnsi="Times New Roman" w:eastAsia="宋体" w:cs="Times New Roman"/>
                      <w:spacing w:val="-3"/>
                      <w:sz w:val="21"/>
                      <w:szCs w:val="21"/>
                    </w:rPr>
                    <w:t>pH</w:t>
                  </w:r>
                  <w:r>
                    <w:rPr>
                      <w:rFonts w:ascii="Times New Roman" w:hAnsi="Times New Roman" w:cs="Times New Roman"/>
                      <w:spacing w:val="-3"/>
                      <w:sz w:val="21"/>
                      <w:szCs w:val="21"/>
                    </w:rPr>
                    <w:t>值</w:t>
                  </w:r>
                  <w:r>
                    <w:rPr>
                      <w:rFonts w:hint="default" w:ascii="Times New Roman" w:hAnsi="Times New Roman" w:eastAsia="宋体" w:cs="Times New Roman"/>
                      <w:spacing w:val="-3"/>
                      <w:sz w:val="21"/>
                      <w:szCs w:val="21"/>
                    </w:rPr>
                    <w:t>≥12.5</w:t>
                  </w:r>
                  <w:r>
                    <w:rPr>
                      <w:rFonts w:ascii="Times New Roman" w:hAnsi="Times New Roman" w:cs="Times New Roman"/>
                      <w:spacing w:val="-3"/>
                      <w:sz w:val="21"/>
                      <w:szCs w:val="21"/>
                    </w:rPr>
                    <w:t>，或者</w:t>
                  </w:r>
                  <w:r>
                    <w:rPr>
                      <w:rFonts w:hint="default" w:ascii="Times New Roman" w:hAnsi="Times New Roman" w:eastAsia="宋体" w:cs="Times New Roman"/>
                      <w:spacing w:val="-2"/>
                      <w:sz w:val="21"/>
                      <w:szCs w:val="21"/>
                    </w:rPr>
                    <w:t>pH</w:t>
                  </w:r>
                  <w:r>
                    <w:rPr>
                      <w:rFonts w:ascii="Times New Roman" w:hAnsi="Times New Roman" w:cs="Times New Roman"/>
                      <w:spacing w:val="-2"/>
                      <w:sz w:val="21"/>
                      <w:szCs w:val="21"/>
                    </w:rPr>
                    <w:t>值</w:t>
                  </w:r>
                  <w:r>
                    <w:rPr>
                      <w:rFonts w:hint="default" w:ascii="Times New Roman" w:hAnsi="Times New Roman" w:eastAsia="宋体" w:cs="Times New Roman"/>
                      <w:spacing w:val="-2"/>
                      <w:sz w:val="21"/>
                      <w:szCs w:val="21"/>
                    </w:rPr>
                    <w:t>≤2.0</w:t>
                  </w:r>
                </w:p>
              </w:tc>
            </w:tr>
            <w:tr w14:paraId="3138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5C576ADF">
                  <w:pPr>
                    <w:widowControl/>
                    <w:jc w:val="center"/>
                    <w:rPr>
                      <w:rFonts w:hint="default" w:ascii="Times New Roman" w:hAnsi="Times New Roman" w:eastAsia="宋体" w:cs="Times New Roman"/>
                      <w:color w:val="000000"/>
                      <w:kern w:val="0"/>
                      <w:sz w:val="21"/>
                      <w:szCs w:val="21"/>
                      <w:lang w:bidi="ar"/>
                    </w:rPr>
                  </w:pPr>
                </w:p>
              </w:tc>
              <w:tc>
                <w:tcPr>
                  <w:tcW w:w="671" w:type="pct"/>
                  <w:vMerge w:val="restart"/>
                  <w:vAlign w:val="center"/>
                </w:tcPr>
                <w:p w14:paraId="2BFA6E66">
                  <w:pPr>
                    <w:widowControl/>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NMP</w:t>
                  </w:r>
                  <w:r>
                    <w:rPr>
                      <w:rFonts w:hint="default" w:ascii="Times New Roman" w:hAnsi="Times New Roman" w:eastAsia="宋体" w:cs="Times New Roman"/>
                      <w:color w:val="000000"/>
                      <w:spacing w:val="0"/>
                      <w:kern w:val="0"/>
                      <w:sz w:val="21"/>
                      <w:szCs w:val="21"/>
                      <w:lang w:bidi="ar"/>
                    </w:rPr>
                    <w:t>2</w:t>
                  </w:r>
                </w:p>
              </w:tc>
              <w:tc>
                <w:tcPr>
                  <w:tcW w:w="1002" w:type="pct"/>
                  <w:shd w:val="clear" w:color="auto" w:fill="auto"/>
                  <w:vAlign w:val="center"/>
                </w:tcPr>
                <w:p w14:paraId="299C5EC2">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铜（</w:t>
                  </w:r>
                  <w:r>
                    <w:rPr>
                      <w:rFonts w:hint="default" w:ascii="Times New Roman" w:hAnsi="Times New Roman" w:eastAsia="宋体" w:cs="Times New Roman"/>
                      <w:spacing w:val="-2"/>
                      <w:sz w:val="21"/>
                      <w:szCs w:val="21"/>
                    </w:rPr>
                    <w:t>mg/L</w:t>
                  </w:r>
                  <w:r>
                    <w:rPr>
                      <w:rFonts w:ascii="Times New Roman" w:hAnsi="Times New Roman" w:cs="Times New Roman"/>
                      <w:spacing w:val="-2"/>
                      <w:sz w:val="21"/>
                      <w:szCs w:val="21"/>
                    </w:rPr>
                    <w:t>）</w:t>
                  </w:r>
                </w:p>
              </w:tc>
              <w:tc>
                <w:tcPr>
                  <w:tcW w:w="1020" w:type="pct"/>
                  <w:shd w:val="clear" w:color="auto" w:fill="auto"/>
                  <w:vAlign w:val="center"/>
                </w:tcPr>
                <w:p w14:paraId="6CAF6CB4">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0.02L</w:t>
                  </w:r>
                </w:p>
              </w:tc>
              <w:tc>
                <w:tcPr>
                  <w:tcW w:w="1701" w:type="pct"/>
                  <w:shd w:val="clear" w:color="auto" w:fill="auto"/>
                  <w:vAlign w:val="center"/>
                </w:tcPr>
                <w:p w14:paraId="4E22873D">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3"/>
                      <w:sz w:val="21"/>
                      <w:szCs w:val="21"/>
                    </w:rPr>
                    <w:t>0.5</w:t>
                  </w:r>
                </w:p>
              </w:tc>
            </w:tr>
            <w:tr w14:paraId="42FC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68D7A649">
                  <w:pPr>
                    <w:widowControl/>
                    <w:jc w:val="center"/>
                    <w:rPr>
                      <w:rFonts w:hint="default" w:ascii="Times New Roman" w:hAnsi="Times New Roman" w:eastAsia="宋体" w:cs="Times New Roman"/>
                      <w:color w:val="000000"/>
                      <w:kern w:val="0"/>
                      <w:sz w:val="21"/>
                      <w:szCs w:val="21"/>
                      <w:lang w:bidi="ar"/>
                    </w:rPr>
                  </w:pPr>
                </w:p>
              </w:tc>
              <w:tc>
                <w:tcPr>
                  <w:tcW w:w="671" w:type="pct"/>
                  <w:vMerge w:val="continue"/>
                  <w:vAlign w:val="center"/>
                </w:tcPr>
                <w:p w14:paraId="67D71968">
                  <w:pPr>
                    <w:widowControl/>
                    <w:jc w:val="center"/>
                    <w:rPr>
                      <w:rFonts w:hint="default" w:ascii="Times New Roman" w:hAnsi="Times New Roman" w:eastAsia="宋体" w:cs="Times New Roman"/>
                      <w:color w:val="000000"/>
                      <w:kern w:val="0"/>
                      <w:sz w:val="21"/>
                      <w:szCs w:val="21"/>
                      <w:lang w:bidi="ar"/>
                    </w:rPr>
                  </w:pPr>
                </w:p>
              </w:tc>
              <w:tc>
                <w:tcPr>
                  <w:tcW w:w="1002" w:type="pct"/>
                  <w:shd w:val="clear" w:color="auto" w:fill="auto"/>
                  <w:vAlign w:val="center"/>
                </w:tcPr>
                <w:p w14:paraId="7ECDF8AF">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锌（</w:t>
                  </w:r>
                  <w:r>
                    <w:rPr>
                      <w:rFonts w:hint="default" w:ascii="Times New Roman" w:hAnsi="Times New Roman" w:eastAsia="宋体" w:cs="Times New Roman"/>
                      <w:spacing w:val="-2"/>
                      <w:sz w:val="21"/>
                      <w:szCs w:val="21"/>
                    </w:rPr>
                    <w:t>mg/L</w:t>
                  </w:r>
                  <w:r>
                    <w:rPr>
                      <w:rFonts w:ascii="Times New Roman" w:hAnsi="Times New Roman" w:cs="Times New Roman"/>
                      <w:spacing w:val="-2"/>
                      <w:sz w:val="21"/>
                      <w:szCs w:val="21"/>
                    </w:rPr>
                    <w:t>）</w:t>
                  </w:r>
                </w:p>
              </w:tc>
              <w:tc>
                <w:tcPr>
                  <w:tcW w:w="1020" w:type="pct"/>
                  <w:shd w:val="clear" w:color="auto" w:fill="auto"/>
                  <w:vAlign w:val="center"/>
                </w:tcPr>
                <w:p w14:paraId="6A30A7FA">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0.06L</w:t>
                  </w:r>
                </w:p>
              </w:tc>
              <w:tc>
                <w:tcPr>
                  <w:tcW w:w="1701" w:type="pct"/>
                  <w:shd w:val="clear" w:color="auto" w:fill="auto"/>
                  <w:vAlign w:val="center"/>
                </w:tcPr>
                <w:p w14:paraId="563055E6">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2.0</w:t>
                  </w:r>
                </w:p>
              </w:tc>
            </w:tr>
            <w:tr w14:paraId="009C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13F930A0">
                  <w:pPr>
                    <w:widowControl/>
                    <w:jc w:val="center"/>
                    <w:rPr>
                      <w:rFonts w:hint="default" w:ascii="Times New Roman" w:hAnsi="Times New Roman" w:eastAsia="宋体" w:cs="Times New Roman"/>
                      <w:color w:val="000000"/>
                      <w:kern w:val="0"/>
                      <w:sz w:val="21"/>
                      <w:szCs w:val="21"/>
                      <w:lang w:bidi="ar"/>
                    </w:rPr>
                  </w:pPr>
                </w:p>
              </w:tc>
              <w:tc>
                <w:tcPr>
                  <w:tcW w:w="671" w:type="pct"/>
                  <w:vMerge w:val="continue"/>
                  <w:vAlign w:val="center"/>
                </w:tcPr>
                <w:p w14:paraId="18E4315B">
                  <w:pPr>
                    <w:widowControl/>
                    <w:jc w:val="center"/>
                    <w:rPr>
                      <w:rFonts w:hint="default" w:ascii="Times New Roman" w:hAnsi="Times New Roman" w:eastAsia="宋体" w:cs="Times New Roman"/>
                      <w:color w:val="000000"/>
                      <w:kern w:val="0"/>
                      <w:sz w:val="21"/>
                      <w:szCs w:val="21"/>
                      <w:lang w:bidi="ar"/>
                    </w:rPr>
                  </w:pPr>
                </w:p>
              </w:tc>
              <w:tc>
                <w:tcPr>
                  <w:tcW w:w="1002" w:type="pct"/>
                  <w:shd w:val="clear" w:color="auto" w:fill="auto"/>
                  <w:vAlign w:val="center"/>
                </w:tcPr>
                <w:p w14:paraId="151656B2">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铬（</w:t>
                  </w:r>
                  <w:r>
                    <w:rPr>
                      <w:rFonts w:hint="default" w:ascii="Times New Roman" w:hAnsi="Times New Roman" w:eastAsia="宋体" w:cs="Times New Roman"/>
                      <w:spacing w:val="-2"/>
                      <w:sz w:val="21"/>
                      <w:szCs w:val="21"/>
                    </w:rPr>
                    <w:t>mg/L</w:t>
                  </w:r>
                  <w:r>
                    <w:rPr>
                      <w:rFonts w:ascii="Times New Roman" w:hAnsi="Times New Roman" w:cs="Times New Roman"/>
                      <w:spacing w:val="-2"/>
                      <w:sz w:val="21"/>
                      <w:szCs w:val="21"/>
                    </w:rPr>
                    <w:t>）</w:t>
                  </w:r>
                </w:p>
              </w:tc>
              <w:tc>
                <w:tcPr>
                  <w:tcW w:w="1020" w:type="pct"/>
                  <w:shd w:val="clear" w:color="auto" w:fill="auto"/>
                  <w:vAlign w:val="center"/>
                </w:tcPr>
                <w:p w14:paraId="29C16EE9">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0.03L</w:t>
                  </w:r>
                </w:p>
              </w:tc>
              <w:tc>
                <w:tcPr>
                  <w:tcW w:w="1701" w:type="pct"/>
                  <w:shd w:val="clear" w:color="auto" w:fill="auto"/>
                  <w:vAlign w:val="center"/>
                </w:tcPr>
                <w:p w14:paraId="19EAF4DE">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10"/>
                      <w:sz w:val="21"/>
                      <w:szCs w:val="21"/>
                    </w:rPr>
                    <w:t>1.5</w:t>
                  </w:r>
                </w:p>
              </w:tc>
            </w:tr>
            <w:tr w14:paraId="2545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2579A0E4">
                  <w:pPr>
                    <w:widowControl/>
                    <w:jc w:val="center"/>
                    <w:rPr>
                      <w:rFonts w:hint="default" w:ascii="Times New Roman" w:hAnsi="Times New Roman" w:eastAsia="宋体" w:cs="Times New Roman"/>
                      <w:color w:val="000000"/>
                      <w:kern w:val="0"/>
                      <w:sz w:val="21"/>
                      <w:szCs w:val="21"/>
                      <w:lang w:bidi="ar"/>
                    </w:rPr>
                  </w:pPr>
                </w:p>
              </w:tc>
              <w:tc>
                <w:tcPr>
                  <w:tcW w:w="671" w:type="pct"/>
                  <w:vMerge w:val="continue"/>
                  <w:vAlign w:val="center"/>
                </w:tcPr>
                <w:p w14:paraId="1BAD077D">
                  <w:pPr>
                    <w:widowControl/>
                    <w:jc w:val="center"/>
                    <w:rPr>
                      <w:rFonts w:hint="default" w:ascii="Times New Roman" w:hAnsi="Times New Roman" w:eastAsia="宋体" w:cs="Times New Roman"/>
                      <w:color w:val="000000"/>
                      <w:kern w:val="0"/>
                      <w:sz w:val="21"/>
                      <w:szCs w:val="21"/>
                      <w:lang w:bidi="ar"/>
                    </w:rPr>
                  </w:pPr>
                </w:p>
              </w:tc>
              <w:tc>
                <w:tcPr>
                  <w:tcW w:w="1002" w:type="pct"/>
                  <w:shd w:val="clear" w:color="auto" w:fill="auto"/>
                  <w:vAlign w:val="center"/>
                </w:tcPr>
                <w:p w14:paraId="0307FB17">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镍（</w:t>
                  </w:r>
                  <w:r>
                    <w:rPr>
                      <w:rFonts w:hint="default" w:ascii="Times New Roman" w:hAnsi="Times New Roman" w:eastAsia="宋体" w:cs="Times New Roman"/>
                      <w:spacing w:val="-2"/>
                      <w:sz w:val="21"/>
                      <w:szCs w:val="21"/>
                    </w:rPr>
                    <w:t>mg/L</w:t>
                  </w:r>
                  <w:r>
                    <w:rPr>
                      <w:rFonts w:ascii="Times New Roman" w:hAnsi="Times New Roman" w:cs="Times New Roman"/>
                      <w:spacing w:val="-2"/>
                      <w:sz w:val="21"/>
                      <w:szCs w:val="21"/>
                    </w:rPr>
                    <w:t>）</w:t>
                  </w:r>
                </w:p>
              </w:tc>
              <w:tc>
                <w:tcPr>
                  <w:tcW w:w="1020" w:type="pct"/>
                  <w:shd w:val="clear" w:color="auto" w:fill="auto"/>
                  <w:vAlign w:val="center"/>
                </w:tcPr>
                <w:p w14:paraId="1D8AC4C9">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0.181</w:t>
                  </w:r>
                </w:p>
              </w:tc>
              <w:tc>
                <w:tcPr>
                  <w:tcW w:w="1701" w:type="pct"/>
                  <w:shd w:val="clear" w:color="auto" w:fill="auto"/>
                  <w:vAlign w:val="center"/>
                </w:tcPr>
                <w:p w14:paraId="23D2F237">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10"/>
                      <w:sz w:val="21"/>
                      <w:szCs w:val="21"/>
                    </w:rPr>
                    <w:t>1.0</w:t>
                  </w:r>
                </w:p>
              </w:tc>
            </w:tr>
            <w:tr w14:paraId="1594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49531031">
                  <w:pPr>
                    <w:widowControl/>
                    <w:jc w:val="center"/>
                    <w:rPr>
                      <w:rFonts w:hint="default" w:ascii="Times New Roman" w:hAnsi="Times New Roman" w:eastAsia="宋体" w:cs="Times New Roman"/>
                      <w:color w:val="000000"/>
                      <w:kern w:val="0"/>
                      <w:sz w:val="21"/>
                      <w:szCs w:val="21"/>
                      <w:lang w:bidi="ar"/>
                    </w:rPr>
                  </w:pPr>
                </w:p>
              </w:tc>
              <w:tc>
                <w:tcPr>
                  <w:tcW w:w="671" w:type="pct"/>
                  <w:vMerge w:val="continue"/>
                  <w:vAlign w:val="center"/>
                </w:tcPr>
                <w:p w14:paraId="4FA30127">
                  <w:pPr>
                    <w:widowControl/>
                    <w:jc w:val="center"/>
                    <w:rPr>
                      <w:rFonts w:hint="default" w:ascii="Times New Roman" w:hAnsi="Times New Roman" w:eastAsia="宋体" w:cs="Times New Roman"/>
                      <w:color w:val="000000"/>
                      <w:kern w:val="0"/>
                      <w:sz w:val="21"/>
                      <w:szCs w:val="21"/>
                      <w:lang w:bidi="ar"/>
                    </w:rPr>
                  </w:pPr>
                </w:p>
              </w:tc>
              <w:tc>
                <w:tcPr>
                  <w:tcW w:w="1002" w:type="pct"/>
                  <w:shd w:val="clear" w:color="auto" w:fill="auto"/>
                  <w:vAlign w:val="center"/>
                </w:tcPr>
                <w:p w14:paraId="22083FC9">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锰（</w:t>
                  </w:r>
                  <w:r>
                    <w:rPr>
                      <w:rFonts w:hint="default" w:ascii="Times New Roman" w:hAnsi="Times New Roman" w:eastAsia="宋体" w:cs="Times New Roman"/>
                      <w:spacing w:val="-2"/>
                      <w:sz w:val="21"/>
                      <w:szCs w:val="21"/>
                    </w:rPr>
                    <w:t>mg/L</w:t>
                  </w:r>
                  <w:r>
                    <w:rPr>
                      <w:rFonts w:ascii="Times New Roman" w:hAnsi="Times New Roman" w:cs="Times New Roman"/>
                      <w:spacing w:val="-2"/>
                      <w:sz w:val="21"/>
                      <w:szCs w:val="21"/>
                    </w:rPr>
                    <w:t>）</w:t>
                  </w:r>
                </w:p>
              </w:tc>
              <w:tc>
                <w:tcPr>
                  <w:tcW w:w="1020" w:type="pct"/>
                  <w:shd w:val="clear" w:color="auto" w:fill="auto"/>
                  <w:vAlign w:val="center"/>
                </w:tcPr>
                <w:p w14:paraId="6B34D19B">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0.0260</w:t>
                  </w:r>
                </w:p>
              </w:tc>
              <w:tc>
                <w:tcPr>
                  <w:tcW w:w="1701" w:type="pct"/>
                  <w:shd w:val="clear" w:color="auto" w:fill="auto"/>
                  <w:vAlign w:val="center"/>
                </w:tcPr>
                <w:p w14:paraId="14EEFDF0">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2.0</w:t>
                  </w:r>
                </w:p>
              </w:tc>
            </w:tr>
            <w:tr w14:paraId="574F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3F6A69BD">
                  <w:pPr>
                    <w:widowControl/>
                    <w:jc w:val="center"/>
                    <w:rPr>
                      <w:rFonts w:hint="default" w:ascii="Times New Roman" w:hAnsi="Times New Roman" w:eastAsia="宋体" w:cs="Times New Roman"/>
                      <w:color w:val="000000"/>
                      <w:kern w:val="0"/>
                      <w:sz w:val="21"/>
                      <w:szCs w:val="21"/>
                      <w:lang w:bidi="ar"/>
                    </w:rPr>
                  </w:pPr>
                </w:p>
              </w:tc>
              <w:tc>
                <w:tcPr>
                  <w:tcW w:w="671" w:type="pct"/>
                  <w:vMerge w:val="continue"/>
                  <w:vAlign w:val="center"/>
                </w:tcPr>
                <w:p w14:paraId="5A750ACA">
                  <w:pPr>
                    <w:widowControl/>
                    <w:jc w:val="center"/>
                    <w:rPr>
                      <w:rFonts w:hint="default" w:ascii="Times New Roman" w:hAnsi="Times New Roman" w:eastAsia="宋体" w:cs="Times New Roman"/>
                      <w:color w:val="000000"/>
                      <w:kern w:val="0"/>
                      <w:sz w:val="21"/>
                      <w:szCs w:val="21"/>
                      <w:lang w:bidi="ar"/>
                    </w:rPr>
                  </w:pPr>
                </w:p>
              </w:tc>
              <w:tc>
                <w:tcPr>
                  <w:tcW w:w="1002" w:type="pct"/>
                  <w:shd w:val="clear" w:color="auto" w:fill="auto"/>
                  <w:vAlign w:val="center"/>
                </w:tcPr>
                <w:p w14:paraId="1D0AE071">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钴（</w:t>
                  </w:r>
                  <w:r>
                    <w:rPr>
                      <w:rFonts w:hint="default" w:ascii="Times New Roman" w:hAnsi="Times New Roman" w:eastAsia="宋体" w:cs="Times New Roman"/>
                      <w:spacing w:val="-2"/>
                      <w:sz w:val="21"/>
                      <w:szCs w:val="21"/>
                    </w:rPr>
                    <w:t>mg/L</w:t>
                  </w:r>
                  <w:r>
                    <w:rPr>
                      <w:rFonts w:ascii="Times New Roman" w:hAnsi="Times New Roman" w:cs="Times New Roman"/>
                      <w:spacing w:val="-2"/>
                      <w:sz w:val="21"/>
                      <w:szCs w:val="21"/>
                    </w:rPr>
                    <w:t>）</w:t>
                  </w:r>
                </w:p>
              </w:tc>
              <w:tc>
                <w:tcPr>
                  <w:tcW w:w="1020" w:type="pct"/>
                  <w:shd w:val="clear" w:color="auto" w:fill="auto"/>
                  <w:vAlign w:val="center"/>
                </w:tcPr>
                <w:p w14:paraId="3CD72B91">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0.0981</w:t>
                  </w:r>
                </w:p>
              </w:tc>
              <w:tc>
                <w:tcPr>
                  <w:tcW w:w="1701" w:type="pct"/>
                  <w:shd w:val="clear" w:color="auto" w:fill="auto"/>
                  <w:vAlign w:val="center"/>
                </w:tcPr>
                <w:p w14:paraId="545FFC2C">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r>
            <w:tr w14:paraId="3860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0A541A48">
                  <w:pPr>
                    <w:widowControl/>
                    <w:jc w:val="center"/>
                    <w:rPr>
                      <w:rFonts w:hint="default" w:ascii="Times New Roman" w:hAnsi="Times New Roman" w:eastAsia="宋体" w:cs="Times New Roman"/>
                      <w:color w:val="000000"/>
                      <w:kern w:val="0"/>
                      <w:sz w:val="21"/>
                      <w:szCs w:val="21"/>
                      <w:lang w:bidi="ar"/>
                    </w:rPr>
                  </w:pPr>
                </w:p>
              </w:tc>
              <w:tc>
                <w:tcPr>
                  <w:tcW w:w="671" w:type="pct"/>
                  <w:vMerge w:val="continue"/>
                  <w:vAlign w:val="center"/>
                </w:tcPr>
                <w:p w14:paraId="72D646E9">
                  <w:pPr>
                    <w:widowControl/>
                    <w:jc w:val="center"/>
                    <w:rPr>
                      <w:rFonts w:hint="default" w:ascii="Times New Roman" w:hAnsi="Times New Roman" w:eastAsia="宋体" w:cs="Times New Roman"/>
                      <w:color w:val="000000"/>
                      <w:kern w:val="0"/>
                      <w:sz w:val="21"/>
                      <w:szCs w:val="21"/>
                      <w:lang w:bidi="ar"/>
                    </w:rPr>
                  </w:pPr>
                </w:p>
              </w:tc>
              <w:tc>
                <w:tcPr>
                  <w:tcW w:w="1002" w:type="pct"/>
                  <w:shd w:val="clear" w:color="auto" w:fill="auto"/>
                  <w:vAlign w:val="center"/>
                </w:tcPr>
                <w:p w14:paraId="1D932D20">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铅（</w:t>
                  </w:r>
                  <w:r>
                    <w:rPr>
                      <w:rFonts w:hint="default" w:ascii="Times New Roman" w:hAnsi="Times New Roman" w:eastAsia="宋体" w:cs="Times New Roman"/>
                      <w:spacing w:val="-2"/>
                      <w:sz w:val="21"/>
                      <w:szCs w:val="21"/>
                    </w:rPr>
                    <w:t>mg/L</w:t>
                  </w:r>
                  <w:r>
                    <w:rPr>
                      <w:rFonts w:ascii="Times New Roman" w:hAnsi="Times New Roman" w:cs="Times New Roman"/>
                      <w:spacing w:val="-2"/>
                      <w:sz w:val="21"/>
                      <w:szCs w:val="21"/>
                    </w:rPr>
                    <w:t>）</w:t>
                  </w:r>
                </w:p>
              </w:tc>
              <w:tc>
                <w:tcPr>
                  <w:tcW w:w="1020" w:type="pct"/>
                  <w:shd w:val="clear" w:color="auto" w:fill="auto"/>
                  <w:vAlign w:val="center"/>
                </w:tcPr>
                <w:p w14:paraId="4E6262F3">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0.06L</w:t>
                  </w:r>
                </w:p>
              </w:tc>
              <w:tc>
                <w:tcPr>
                  <w:tcW w:w="1701" w:type="pct"/>
                  <w:shd w:val="clear" w:color="auto" w:fill="auto"/>
                  <w:vAlign w:val="center"/>
                </w:tcPr>
                <w:p w14:paraId="143D164F">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10"/>
                      <w:sz w:val="21"/>
                      <w:szCs w:val="21"/>
                    </w:rPr>
                    <w:t>1.0</w:t>
                  </w:r>
                </w:p>
              </w:tc>
            </w:tr>
            <w:tr w14:paraId="208F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150A711F">
                  <w:pPr>
                    <w:widowControl/>
                    <w:jc w:val="center"/>
                    <w:rPr>
                      <w:rFonts w:hint="default" w:ascii="Times New Roman" w:hAnsi="Times New Roman" w:eastAsia="宋体" w:cs="Times New Roman"/>
                      <w:color w:val="000000"/>
                      <w:kern w:val="0"/>
                      <w:sz w:val="21"/>
                      <w:szCs w:val="21"/>
                      <w:lang w:bidi="ar"/>
                    </w:rPr>
                  </w:pPr>
                </w:p>
              </w:tc>
              <w:tc>
                <w:tcPr>
                  <w:tcW w:w="671" w:type="pct"/>
                  <w:vMerge w:val="continue"/>
                  <w:vAlign w:val="center"/>
                </w:tcPr>
                <w:p w14:paraId="0B4C96FD">
                  <w:pPr>
                    <w:widowControl/>
                    <w:jc w:val="center"/>
                    <w:rPr>
                      <w:rFonts w:hint="default" w:ascii="Times New Roman" w:hAnsi="Times New Roman" w:eastAsia="宋体" w:cs="Times New Roman"/>
                      <w:color w:val="000000"/>
                      <w:kern w:val="0"/>
                      <w:sz w:val="21"/>
                      <w:szCs w:val="21"/>
                      <w:lang w:bidi="ar"/>
                    </w:rPr>
                  </w:pPr>
                </w:p>
              </w:tc>
              <w:tc>
                <w:tcPr>
                  <w:tcW w:w="1002" w:type="pct"/>
                  <w:shd w:val="clear" w:color="auto" w:fill="auto"/>
                  <w:vAlign w:val="center"/>
                </w:tcPr>
                <w:p w14:paraId="596956B5">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镉（</w:t>
                  </w:r>
                  <w:r>
                    <w:rPr>
                      <w:rFonts w:hint="default" w:ascii="Times New Roman" w:hAnsi="Times New Roman" w:eastAsia="宋体" w:cs="Times New Roman"/>
                      <w:spacing w:val="-2"/>
                      <w:sz w:val="21"/>
                      <w:szCs w:val="21"/>
                    </w:rPr>
                    <w:t>mg/L</w:t>
                  </w:r>
                  <w:r>
                    <w:rPr>
                      <w:rFonts w:ascii="Times New Roman" w:hAnsi="Times New Roman" w:cs="Times New Roman"/>
                      <w:spacing w:val="-2"/>
                      <w:sz w:val="21"/>
                      <w:szCs w:val="21"/>
                    </w:rPr>
                    <w:t>）</w:t>
                  </w:r>
                </w:p>
              </w:tc>
              <w:tc>
                <w:tcPr>
                  <w:tcW w:w="1020" w:type="pct"/>
                  <w:shd w:val="clear" w:color="auto" w:fill="auto"/>
                  <w:vAlign w:val="center"/>
                </w:tcPr>
                <w:p w14:paraId="54F14E8B">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0.05L</w:t>
                  </w:r>
                </w:p>
              </w:tc>
              <w:tc>
                <w:tcPr>
                  <w:tcW w:w="1701" w:type="pct"/>
                  <w:shd w:val="clear" w:color="auto" w:fill="auto"/>
                  <w:vAlign w:val="center"/>
                </w:tcPr>
                <w:p w14:paraId="5441C97D">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3"/>
                      <w:sz w:val="21"/>
                      <w:szCs w:val="21"/>
                    </w:rPr>
                    <w:t>0.1</w:t>
                  </w:r>
                </w:p>
              </w:tc>
            </w:tr>
            <w:tr w14:paraId="0A2F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53D4728D">
                  <w:pPr>
                    <w:widowControl/>
                    <w:jc w:val="center"/>
                    <w:rPr>
                      <w:rFonts w:hint="default" w:ascii="Times New Roman" w:hAnsi="Times New Roman" w:eastAsia="宋体" w:cs="Times New Roman"/>
                      <w:color w:val="000000"/>
                      <w:kern w:val="0"/>
                      <w:sz w:val="21"/>
                      <w:szCs w:val="21"/>
                      <w:lang w:bidi="ar"/>
                    </w:rPr>
                  </w:pPr>
                </w:p>
              </w:tc>
              <w:tc>
                <w:tcPr>
                  <w:tcW w:w="671" w:type="pct"/>
                  <w:vMerge w:val="continue"/>
                  <w:vAlign w:val="center"/>
                </w:tcPr>
                <w:p w14:paraId="1448C39B">
                  <w:pPr>
                    <w:widowControl/>
                    <w:jc w:val="center"/>
                    <w:rPr>
                      <w:rFonts w:hint="default" w:ascii="Times New Roman" w:hAnsi="Times New Roman" w:eastAsia="宋体" w:cs="Times New Roman"/>
                      <w:color w:val="000000"/>
                      <w:kern w:val="0"/>
                      <w:sz w:val="21"/>
                      <w:szCs w:val="21"/>
                      <w:lang w:bidi="ar"/>
                    </w:rPr>
                  </w:pPr>
                </w:p>
              </w:tc>
              <w:tc>
                <w:tcPr>
                  <w:tcW w:w="1002" w:type="pct"/>
                  <w:shd w:val="clear" w:color="auto" w:fill="auto"/>
                  <w:vAlign w:val="center"/>
                </w:tcPr>
                <w:p w14:paraId="1C47AA84">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砷（</w:t>
                  </w:r>
                  <w:r>
                    <w:rPr>
                      <w:rFonts w:hint="default" w:ascii="Times New Roman" w:hAnsi="Times New Roman" w:eastAsia="宋体" w:cs="Times New Roman"/>
                      <w:spacing w:val="-2"/>
                      <w:sz w:val="21"/>
                      <w:szCs w:val="21"/>
                    </w:rPr>
                    <w:t>mg/L</w:t>
                  </w:r>
                  <w:r>
                    <w:rPr>
                      <w:rFonts w:ascii="Times New Roman" w:hAnsi="Times New Roman" w:cs="Times New Roman"/>
                      <w:spacing w:val="-2"/>
                      <w:sz w:val="21"/>
                      <w:szCs w:val="21"/>
                    </w:rPr>
                    <w:t>）</w:t>
                  </w:r>
                </w:p>
              </w:tc>
              <w:tc>
                <w:tcPr>
                  <w:tcW w:w="1020" w:type="pct"/>
                  <w:shd w:val="clear" w:color="auto" w:fill="auto"/>
                  <w:vAlign w:val="center"/>
                </w:tcPr>
                <w:p w14:paraId="7B88ACBF">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2"/>
                      <w:sz w:val="21"/>
                      <w:szCs w:val="21"/>
                    </w:rPr>
                    <w:t>0.0131</w:t>
                  </w:r>
                </w:p>
              </w:tc>
              <w:tc>
                <w:tcPr>
                  <w:tcW w:w="1701" w:type="pct"/>
                  <w:shd w:val="clear" w:color="auto" w:fill="auto"/>
                  <w:vAlign w:val="center"/>
                </w:tcPr>
                <w:p w14:paraId="71DE6238">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3"/>
                      <w:sz w:val="21"/>
                      <w:szCs w:val="21"/>
                    </w:rPr>
                    <w:t>0.5</w:t>
                  </w:r>
                </w:p>
              </w:tc>
            </w:tr>
            <w:tr w14:paraId="5E9B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Merge w:val="continue"/>
                  <w:vAlign w:val="center"/>
                </w:tcPr>
                <w:p w14:paraId="71AD6A6A">
                  <w:pPr>
                    <w:widowControl/>
                    <w:jc w:val="center"/>
                    <w:rPr>
                      <w:rFonts w:hint="default" w:ascii="Times New Roman" w:hAnsi="Times New Roman" w:eastAsia="宋体" w:cs="Times New Roman"/>
                      <w:color w:val="000000"/>
                      <w:kern w:val="0"/>
                      <w:sz w:val="21"/>
                      <w:szCs w:val="21"/>
                      <w:lang w:bidi="ar"/>
                    </w:rPr>
                  </w:pPr>
                </w:p>
              </w:tc>
              <w:tc>
                <w:tcPr>
                  <w:tcW w:w="671" w:type="pct"/>
                  <w:vMerge w:val="continue"/>
                  <w:vAlign w:val="center"/>
                </w:tcPr>
                <w:p w14:paraId="1659C9F8">
                  <w:pPr>
                    <w:widowControl/>
                    <w:jc w:val="center"/>
                    <w:rPr>
                      <w:rFonts w:hint="default" w:ascii="Times New Roman" w:hAnsi="Times New Roman" w:eastAsia="宋体" w:cs="Times New Roman"/>
                      <w:color w:val="000000"/>
                      <w:kern w:val="0"/>
                      <w:sz w:val="21"/>
                      <w:szCs w:val="21"/>
                      <w:lang w:bidi="ar"/>
                    </w:rPr>
                  </w:pPr>
                </w:p>
              </w:tc>
              <w:tc>
                <w:tcPr>
                  <w:tcW w:w="1002" w:type="pct"/>
                  <w:shd w:val="clear" w:color="auto" w:fill="auto"/>
                  <w:vAlign w:val="center"/>
                </w:tcPr>
                <w:p w14:paraId="5BAB11DD">
                  <w:pPr>
                    <w:pStyle w:val="121"/>
                    <w:spacing w:before="0" w:line="240" w:lineRule="auto"/>
                    <w:ind w:left="0" w:leftChars="0"/>
                    <w:jc w:val="center"/>
                    <w:rPr>
                      <w:rFonts w:ascii="Times New Roman" w:hAnsi="Times New Roman" w:eastAsia="宋体" w:cs="Times New Roman"/>
                      <w:kern w:val="2"/>
                      <w:sz w:val="21"/>
                      <w:szCs w:val="21"/>
                      <w:lang w:val="en-US" w:eastAsia="en-US" w:bidi="ar-SA"/>
                    </w:rPr>
                  </w:pPr>
                  <w:r>
                    <w:rPr>
                      <w:rFonts w:ascii="Times New Roman" w:hAnsi="Times New Roman" w:cs="Times New Roman"/>
                      <w:spacing w:val="-2"/>
                      <w:sz w:val="21"/>
                      <w:szCs w:val="21"/>
                    </w:rPr>
                    <w:t>腐蚀性（</w:t>
                  </w:r>
                  <w:r>
                    <w:rPr>
                      <w:rFonts w:hint="default" w:ascii="Times New Roman" w:hAnsi="Times New Roman" w:eastAsia="宋体" w:cs="Times New Roman"/>
                      <w:spacing w:val="-2"/>
                      <w:sz w:val="21"/>
                      <w:szCs w:val="21"/>
                    </w:rPr>
                    <w:t>pH</w:t>
                  </w:r>
                  <w:r>
                    <w:rPr>
                      <w:rFonts w:ascii="Times New Roman" w:hAnsi="Times New Roman" w:cs="Times New Roman"/>
                      <w:spacing w:val="-2"/>
                      <w:sz w:val="21"/>
                      <w:szCs w:val="21"/>
                    </w:rPr>
                    <w:t>值）</w:t>
                  </w:r>
                </w:p>
              </w:tc>
              <w:tc>
                <w:tcPr>
                  <w:tcW w:w="1020" w:type="pct"/>
                  <w:shd w:val="clear" w:color="auto" w:fill="auto"/>
                  <w:vAlign w:val="center"/>
                </w:tcPr>
                <w:p w14:paraId="478FF24E">
                  <w:pPr>
                    <w:spacing w:before="0" w:line="240" w:lineRule="auto"/>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8"/>
                      <w:sz w:val="21"/>
                      <w:szCs w:val="21"/>
                    </w:rPr>
                    <w:t>10.1</w:t>
                  </w:r>
                </w:p>
              </w:tc>
              <w:tc>
                <w:tcPr>
                  <w:tcW w:w="1701" w:type="pct"/>
                  <w:shd w:val="clear" w:color="auto" w:fill="auto"/>
                  <w:vAlign w:val="center"/>
                </w:tcPr>
                <w:p w14:paraId="136C295B">
                  <w:pPr>
                    <w:pStyle w:val="121"/>
                    <w:spacing w:before="0" w:line="240" w:lineRule="auto"/>
                    <w:ind w:left="0" w:leftChars="0" w:right="0" w:rightChars="0" w:firstLine="0" w:firstLineChars="0"/>
                    <w:jc w:val="center"/>
                    <w:rPr>
                      <w:rFonts w:hint="default" w:ascii="Times New Roman" w:hAnsi="Times New Roman" w:eastAsia="宋体" w:cs="Times New Roman"/>
                      <w:kern w:val="2"/>
                      <w:sz w:val="21"/>
                      <w:szCs w:val="21"/>
                      <w:lang w:val="en-US" w:eastAsia="en-US" w:bidi="ar-SA"/>
                    </w:rPr>
                  </w:pPr>
                  <w:r>
                    <w:rPr>
                      <w:rFonts w:hint="default" w:ascii="Times New Roman" w:hAnsi="Times New Roman" w:eastAsia="宋体" w:cs="Times New Roman"/>
                      <w:spacing w:val="-3"/>
                      <w:sz w:val="21"/>
                      <w:szCs w:val="21"/>
                    </w:rPr>
                    <w:t>pH</w:t>
                  </w:r>
                  <w:r>
                    <w:rPr>
                      <w:rFonts w:ascii="Times New Roman" w:hAnsi="Times New Roman" w:cs="Times New Roman"/>
                      <w:spacing w:val="-3"/>
                      <w:sz w:val="21"/>
                      <w:szCs w:val="21"/>
                    </w:rPr>
                    <w:t>值</w:t>
                  </w:r>
                  <w:r>
                    <w:rPr>
                      <w:rFonts w:hint="default" w:ascii="Times New Roman" w:hAnsi="Times New Roman" w:eastAsia="宋体" w:cs="Times New Roman"/>
                      <w:spacing w:val="-3"/>
                      <w:sz w:val="21"/>
                      <w:szCs w:val="21"/>
                    </w:rPr>
                    <w:t>≥12.5</w:t>
                  </w:r>
                  <w:r>
                    <w:rPr>
                      <w:rFonts w:ascii="Times New Roman" w:hAnsi="Times New Roman" w:cs="Times New Roman"/>
                      <w:spacing w:val="-3"/>
                      <w:sz w:val="21"/>
                      <w:szCs w:val="21"/>
                    </w:rPr>
                    <w:t>，或者</w:t>
                  </w:r>
                  <w:r>
                    <w:rPr>
                      <w:rFonts w:hint="default" w:ascii="Times New Roman" w:hAnsi="Times New Roman" w:eastAsia="宋体" w:cs="Times New Roman"/>
                      <w:spacing w:val="-2"/>
                      <w:sz w:val="21"/>
                      <w:szCs w:val="21"/>
                    </w:rPr>
                    <w:t>pH</w:t>
                  </w:r>
                  <w:r>
                    <w:rPr>
                      <w:rFonts w:ascii="Times New Roman" w:hAnsi="Times New Roman" w:cs="Times New Roman"/>
                      <w:spacing w:val="-2"/>
                      <w:sz w:val="21"/>
                      <w:szCs w:val="21"/>
                    </w:rPr>
                    <w:t>值</w:t>
                  </w:r>
                  <w:r>
                    <w:rPr>
                      <w:rFonts w:hint="default" w:ascii="Times New Roman" w:hAnsi="Times New Roman" w:eastAsia="宋体" w:cs="Times New Roman"/>
                      <w:spacing w:val="-2"/>
                      <w:sz w:val="21"/>
                      <w:szCs w:val="21"/>
                    </w:rPr>
                    <w:t>≤2.0</w:t>
                  </w:r>
                </w:p>
              </w:tc>
            </w:tr>
            <w:tr w14:paraId="4C75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04" w:type="pct"/>
                  <w:vAlign w:val="center"/>
                </w:tcPr>
                <w:p w14:paraId="6B105C49">
                  <w:pPr>
                    <w:widowControl/>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pacing w:val="0"/>
                      <w:kern w:val="0"/>
                      <w:sz w:val="21"/>
                      <w:szCs w:val="21"/>
                      <w:lang w:bidi="ar"/>
                    </w:rPr>
                    <w:t>备注</w:t>
                  </w:r>
                </w:p>
              </w:tc>
              <w:tc>
                <w:tcPr>
                  <w:tcW w:w="4395" w:type="pct"/>
                  <w:gridSpan w:val="4"/>
                  <w:vAlign w:val="center"/>
                </w:tcPr>
                <w:p w14:paraId="43114F18">
                  <w:pPr>
                    <w:widowControl/>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spacing w:val="-3"/>
                      <w:sz w:val="21"/>
                      <w:szCs w:val="21"/>
                    </w:rPr>
                    <w:t>参考限值来源于《污水综合排放标准》GB</w:t>
                  </w:r>
                  <w:r>
                    <w:rPr>
                      <w:rFonts w:hint="default" w:ascii="Times New Roman" w:hAnsi="Times New Roman" w:eastAsia="宋体" w:cs="Times New Roman"/>
                      <w:spacing w:val="15"/>
                      <w:w w:val="101"/>
                      <w:sz w:val="21"/>
                      <w:szCs w:val="21"/>
                    </w:rPr>
                    <w:t xml:space="preserve"> </w:t>
                  </w:r>
                  <w:r>
                    <w:rPr>
                      <w:rFonts w:hint="default" w:ascii="Times New Roman" w:hAnsi="Times New Roman" w:eastAsia="宋体" w:cs="Times New Roman"/>
                      <w:spacing w:val="-3"/>
                      <w:sz w:val="21"/>
                      <w:szCs w:val="21"/>
                    </w:rPr>
                    <w:t>8978-1996 表1和表4中一级排放标准</w:t>
                  </w:r>
                  <w:r>
                    <w:rPr>
                      <w:rFonts w:hint="default" w:ascii="Times New Roman" w:hAnsi="Times New Roman" w:eastAsia="宋体" w:cs="Times New Roman"/>
                      <w:spacing w:val="13"/>
                      <w:sz w:val="21"/>
                      <w:szCs w:val="21"/>
                    </w:rPr>
                    <w:t>限值，腐蚀性（</w:t>
                  </w:r>
                  <w:r>
                    <w:rPr>
                      <w:rFonts w:hint="default" w:ascii="Times New Roman" w:hAnsi="Times New Roman" w:eastAsia="宋体" w:cs="Times New Roman"/>
                      <w:sz w:val="21"/>
                      <w:szCs w:val="21"/>
                    </w:rPr>
                    <w:t>pH</w:t>
                  </w:r>
                  <w:r>
                    <w:rPr>
                      <w:rFonts w:hint="default" w:ascii="Times New Roman" w:hAnsi="Times New Roman" w:eastAsia="宋体" w:cs="Times New Roman"/>
                      <w:spacing w:val="13"/>
                      <w:sz w:val="21"/>
                      <w:szCs w:val="21"/>
                    </w:rPr>
                    <w:t>值）参考限值来源于《危险废物鉴别标准</w:t>
                  </w:r>
                  <w:r>
                    <w:rPr>
                      <w:rFonts w:hint="default" w:ascii="Times New Roman" w:hAnsi="Times New Roman" w:eastAsia="宋体" w:cs="Times New Roman"/>
                      <w:spacing w:val="41"/>
                      <w:sz w:val="21"/>
                      <w:szCs w:val="21"/>
                    </w:rPr>
                    <w:t xml:space="preserve"> </w:t>
                  </w:r>
                  <w:r>
                    <w:rPr>
                      <w:rFonts w:hint="default" w:ascii="Times New Roman" w:hAnsi="Times New Roman" w:eastAsia="宋体" w:cs="Times New Roman"/>
                      <w:spacing w:val="13"/>
                      <w:sz w:val="21"/>
                      <w:szCs w:val="21"/>
                    </w:rPr>
                    <w:t>腐蚀性鉴别》</w:t>
                  </w:r>
                  <w:r>
                    <w:rPr>
                      <w:rFonts w:hint="default" w:ascii="Times New Roman" w:hAnsi="Times New Roman" w:eastAsia="宋体" w:cs="Times New Roman"/>
                      <w:spacing w:val="-3"/>
                      <w:sz w:val="21"/>
                      <w:szCs w:val="21"/>
                    </w:rPr>
                    <w:t>GB5085.1-2007鉴别标准中3.1。</w:t>
                  </w:r>
                </w:p>
              </w:tc>
            </w:tr>
          </w:tbl>
          <w:p w14:paraId="1641ECCC">
            <w:pPr>
              <w:spacing w:line="360" w:lineRule="auto"/>
              <w:ind w:firstLine="480" w:firstLineChars="200"/>
              <w:rPr>
                <w:rFonts w:hint="default"/>
                <w:lang w:val="en-US" w:eastAsia="zh-CN"/>
              </w:rPr>
            </w:pPr>
            <w:r>
              <w:rPr>
                <w:rFonts w:hint="eastAsia"/>
              </w:rPr>
              <w:t>根据上述检测结果，本项目原料不属于危险废物，属于第I类一般工业固体废物。</w:t>
            </w:r>
          </w:p>
          <w:p w14:paraId="12E06D5B">
            <w:pPr>
              <w:pStyle w:val="2"/>
              <w:spacing w:before="0" w:after="0" w:line="360" w:lineRule="auto"/>
              <w:ind w:left="0" w:firstLine="0" w:firstLineChars="0"/>
              <w:rPr>
                <w:rFonts w:eastAsia="宋体"/>
                <w:color w:val="auto"/>
                <w:sz w:val="24"/>
                <w:szCs w:val="24"/>
                <w:u w:val="none"/>
              </w:rPr>
            </w:pPr>
            <w:r>
              <w:rPr>
                <w:rFonts w:eastAsia="宋体"/>
                <w:color w:val="auto"/>
                <w:sz w:val="24"/>
                <w:szCs w:val="24"/>
                <w:u w:val="none"/>
              </w:rPr>
              <w:t>2.</w:t>
            </w:r>
            <w:r>
              <w:rPr>
                <w:rFonts w:hint="eastAsia" w:eastAsia="宋体"/>
                <w:color w:val="auto"/>
                <w:sz w:val="24"/>
                <w:szCs w:val="24"/>
                <w:u w:val="none"/>
                <w:lang w:val="en-US" w:eastAsia="zh-CN"/>
              </w:rPr>
              <w:t>4</w:t>
            </w:r>
            <w:r>
              <w:rPr>
                <w:rFonts w:hint="eastAsia" w:eastAsia="宋体"/>
                <w:color w:val="auto"/>
                <w:sz w:val="24"/>
                <w:szCs w:val="24"/>
                <w:u w:val="none"/>
              </w:rPr>
              <w:t xml:space="preserve"> </w:t>
            </w:r>
            <w:r>
              <w:rPr>
                <w:rFonts w:eastAsia="宋体"/>
                <w:color w:val="auto"/>
                <w:sz w:val="24"/>
                <w:szCs w:val="24"/>
                <w:u w:val="none"/>
              </w:rPr>
              <w:t>公用工程</w:t>
            </w:r>
            <w:bookmarkEnd w:id="25"/>
          </w:p>
          <w:p w14:paraId="36B9AD5A">
            <w:pPr>
              <w:spacing w:line="360" w:lineRule="auto"/>
              <w:ind w:firstLine="480" w:firstLineChars="200"/>
              <w:rPr>
                <w:b/>
                <w:bCs/>
                <w:u w:val="none"/>
              </w:rPr>
            </w:pPr>
            <w:r>
              <w:rPr>
                <w:rFonts w:hint="eastAsia"/>
                <w:u w:val="none"/>
              </w:rPr>
              <w:t>1、</w:t>
            </w:r>
            <w:r>
              <w:rPr>
                <w:u w:val="none"/>
              </w:rPr>
              <w:t>给排水</w:t>
            </w:r>
          </w:p>
          <w:p w14:paraId="74B2A238">
            <w:pPr>
              <w:spacing w:line="360" w:lineRule="auto"/>
              <w:ind w:firstLine="480" w:firstLineChars="200"/>
              <w:rPr>
                <w:u w:val="none"/>
              </w:rPr>
            </w:pPr>
            <w:r>
              <w:rPr>
                <w:u w:val="none"/>
              </w:rPr>
              <w:t>（1）</w:t>
            </w:r>
            <w:r>
              <w:rPr>
                <w:rFonts w:hint="eastAsia"/>
                <w:u w:val="none"/>
                <w:lang w:val="en-US" w:eastAsia="zh-CN"/>
              </w:rPr>
              <w:t>用水</w:t>
            </w:r>
          </w:p>
          <w:p w14:paraId="3CF7F4E4">
            <w:pPr>
              <w:spacing w:line="360" w:lineRule="auto"/>
              <w:ind w:firstLine="480" w:firstLineChars="200"/>
              <w:rPr>
                <w:rFonts w:hint="default"/>
                <w:b w:val="0"/>
                <w:bCs w:val="0"/>
                <w:u w:val="none"/>
                <w:lang w:val="en-US" w:eastAsia="zh-CN"/>
              </w:rPr>
            </w:pPr>
            <w:r>
              <w:rPr>
                <w:rFonts w:hint="eastAsia"/>
                <w:b w:val="0"/>
                <w:bCs w:val="0"/>
                <w:u w:val="none"/>
                <w:lang w:val="en-US" w:eastAsia="zh-CN"/>
              </w:rPr>
              <w:t>①生活用水</w:t>
            </w:r>
          </w:p>
          <w:p w14:paraId="146AF23E">
            <w:pPr>
              <w:spacing w:line="360" w:lineRule="auto"/>
              <w:ind w:firstLine="480" w:firstLineChars="200"/>
              <w:rPr>
                <w:rFonts w:hint="eastAsia" w:ascii="Times New Roman" w:hAnsi="Times New Roman" w:cs="Times New Roman"/>
                <w:kern w:val="0"/>
                <w:u w:val="none"/>
                <w:lang w:val="zh-CN" w:bidi="ar"/>
              </w:rPr>
            </w:pPr>
            <w:r>
              <w:rPr>
                <w:rFonts w:hint="eastAsia"/>
                <w:b w:val="0"/>
                <w:bCs w:val="0"/>
                <w:u w:val="none"/>
                <w:lang w:val="en-US" w:eastAsia="zh-CN"/>
              </w:rPr>
              <w:t>本项目</w:t>
            </w:r>
            <w:r>
              <w:rPr>
                <w:rStyle w:val="37"/>
                <w:rFonts w:hint="eastAsia"/>
                <w:kern w:val="0"/>
                <w:sz w:val="24"/>
                <w:u w:val="none"/>
                <w:lang w:val="en-US" w:eastAsia="zh-CN"/>
              </w:rPr>
              <w:t>员工人数为9人，</w:t>
            </w:r>
            <w:r>
              <w:rPr>
                <w:rFonts w:hint="eastAsia"/>
                <w:kern w:val="0"/>
                <w:u w:val="none"/>
                <w:lang w:val="zh-CN" w:bidi="ar"/>
              </w:rPr>
              <w:t>参照《湖南省地方标准用水定额》（DB43/T388-2020）表31公共事业及公共建筑用水定额中“国家行政机构—办公楼”标准中的通用值（办公楼用水包括办公室、食堂、浴室、锅炉、空调、集体宿舍和绿化等），为38m</w:t>
            </w:r>
            <w:r>
              <w:rPr>
                <w:rFonts w:hint="eastAsia"/>
                <w:kern w:val="0"/>
                <w:u w:val="none"/>
                <w:vertAlign w:val="superscript"/>
                <w:lang w:val="zh-CN" w:bidi="ar"/>
              </w:rPr>
              <w:t>3</w:t>
            </w:r>
            <w:r>
              <w:rPr>
                <w:rFonts w:hint="eastAsia"/>
                <w:kern w:val="0"/>
                <w:u w:val="none"/>
                <w:lang w:val="zh-CN" w:bidi="ar"/>
              </w:rPr>
              <w:t>/人</w:t>
            </w:r>
            <w:r>
              <w:rPr>
                <w:rFonts w:hint="default" w:ascii="Times New Roman" w:hAnsi="Times New Roman" w:cs="Times New Roman"/>
                <w:kern w:val="0"/>
                <w:u w:val="none"/>
                <w:lang w:val="en-US" w:eastAsia="zh-CN" w:bidi="ar"/>
              </w:rPr>
              <w:t>·</w:t>
            </w:r>
            <w:r>
              <w:rPr>
                <w:rFonts w:hint="eastAsia"/>
                <w:kern w:val="0"/>
                <w:u w:val="none"/>
                <w:lang w:val="zh-CN" w:bidi="ar"/>
              </w:rPr>
              <w:t>a，则项目生活用水量为</w:t>
            </w:r>
            <w:r>
              <w:rPr>
                <w:rFonts w:hint="eastAsia"/>
                <w:kern w:val="0"/>
                <w:u w:val="none"/>
                <w:lang w:val="en-US" w:eastAsia="zh-CN" w:bidi="ar"/>
              </w:rPr>
              <w:t>342</w:t>
            </w:r>
            <w:r>
              <w:rPr>
                <w:rFonts w:hint="eastAsia"/>
                <w:kern w:val="0"/>
                <w:u w:val="none"/>
                <w:lang w:val="zh-CN" w:bidi="ar"/>
              </w:rPr>
              <w:t>m</w:t>
            </w:r>
            <w:r>
              <w:rPr>
                <w:rFonts w:hint="eastAsia"/>
                <w:kern w:val="0"/>
                <w:u w:val="none"/>
                <w:vertAlign w:val="superscript"/>
                <w:lang w:val="zh-CN" w:bidi="ar"/>
              </w:rPr>
              <w:t>3</w:t>
            </w:r>
            <w:r>
              <w:rPr>
                <w:rFonts w:hint="eastAsia"/>
                <w:kern w:val="0"/>
                <w:u w:val="none"/>
                <w:lang w:val="zh-CN" w:bidi="ar"/>
              </w:rPr>
              <w:t>/a，废水产生按其使用量80%计算，</w:t>
            </w:r>
            <w:r>
              <w:rPr>
                <w:rFonts w:hint="eastAsia"/>
                <w:kern w:val="0"/>
                <w:u w:val="none"/>
                <w:lang w:val="en-US" w:eastAsia="zh-CN" w:bidi="ar"/>
              </w:rPr>
              <w:t>因此，本项目</w:t>
            </w:r>
            <w:r>
              <w:rPr>
                <w:rFonts w:hint="eastAsia"/>
                <w:kern w:val="0"/>
                <w:u w:val="none"/>
                <w:lang w:val="zh-CN" w:bidi="ar"/>
              </w:rPr>
              <w:t>生活</w:t>
            </w:r>
            <w:r>
              <w:rPr>
                <w:rFonts w:hint="eastAsia"/>
                <w:kern w:val="0"/>
                <w:u w:val="none"/>
                <w:lang w:val="en-US" w:eastAsia="zh-CN" w:bidi="ar"/>
              </w:rPr>
              <w:t>废水</w:t>
            </w:r>
            <w:r>
              <w:rPr>
                <w:rFonts w:hint="eastAsia"/>
                <w:kern w:val="0"/>
                <w:u w:val="none"/>
                <w:lang w:val="zh-CN" w:bidi="ar"/>
              </w:rPr>
              <w:t>的排放量</w:t>
            </w:r>
            <w:r>
              <w:rPr>
                <w:rFonts w:hint="default" w:ascii="Times New Roman" w:hAnsi="Times New Roman" w:cs="Times New Roman"/>
                <w:kern w:val="0"/>
                <w:u w:val="none"/>
                <w:lang w:val="zh-CN" w:bidi="ar"/>
              </w:rPr>
              <w:t>为</w:t>
            </w:r>
            <w:r>
              <w:rPr>
                <w:rFonts w:hint="eastAsia" w:cs="Times New Roman"/>
                <w:kern w:val="0"/>
                <w:u w:val="none"/>
                <w:lang w:val="en-US" w:eastAsia="zh-CN" w:bidi="ar"/>
              </w:rPr>
              <w:t>273.6</w:t>
            </w:r>
            <w:r>
              <w:rPr>
                <w:rFonts w:hint="eastAsia"/>
                <w:kern w:val="0"/>
                <w:u w:val="none"/>
                <w:lang w:val="zh-CN" w:bidi="ar"/>
              </w:rPr>
              <w:t>m</w:t>
            </w:r>
            <w:r>
              <w:rPr>
                <w:rFonts w:hint="eastAsia"/>
                <w:kern w:val="0"/>
                <w:u w:val="none"/>
                <w:vertAlign w:val="superscript"/>
                <w:lang w:val="zh-CN" w:bidi="ar"/>
              </w:rPr>
              <w:t>3</w:t>
            </w:r>
            <w:r>
              <w:rPr>
                <w:rFonts w:hint="eastAsia"/>
                <w:kern w:val="0"/>
                <w:u w:val="none"/>
                <w:lang w:val="zh-CN" w:bidi="ar"/>
              </w:rPr>
              <w:t>/a</w:t>
            </w:r>
            <w:r>
              <w:rPr>
                <w:rFonts w:hint="eastAsia" w:cs="Times New Roman"/>
                <w:kern w:val="0"/>
                <w:u w:val="none"/>
                <w:lang w:val="zh-CN" w:bidi="ar"/>
              </w:rPr>
              <w:t>（</w:t>
            </w:r>
            <w:r>
              <w:rPr>
                <w:rFonts w:hint="eastAsia" w:cs="Times New Roman"/>
                <w:kern w:val="0"/>
                <w:u w:val="none"/>
                <w:lang w:val="en-US" w:eastAsia="zh-CN" w:bidi="ar"/>
              </w:rPr>
              <w:t>0.912</w:t>
            </w:r>
            <w:r>
              <w:rPr>
                <w:rFonts w:hint="eastAsia"/>
                <w:kern w:val="0"/>
                <w:u w:val="none"/>
                <w:lang w:val="zh-CN" w:bidi="ar"/>
              </w:rPr>
              <w:t>m</w:t>
            </w:r>
            <w:r>
              <w:rPr>
                <w:rFonts w:hint="eastAsia"/>
                <w:kern w:val="0"/>
                <w:u w:val="none"/>
                <w:vertAlign w:val="superscript"/>
                <w:lang w:val="zh-CN" w:bidi="ar"/>
              </w:rPr>
              <w:t>3</w:t>
            </w:r>
            <w:r>
              <w:rPr>
                <w:rFonts w:hint="eastAsia"/>
                <w:kern w:val="0"/>
                <w:u w:val="none"/>
                <w:lang w:val="zh-CN" w:bidi="ar"/>
              </w:rPr>
              <w:t>/</w:t>
            </w:r>
            <w:r>
              <w:rPr>
                <w:rFonts w:hint="eastAsia"/>
                <w:kern w:val="0"/>
                <w:u w:val="none"/>
                <w:lang w:val="en-US" w:eastAsia="zh-CN" w:bidi="ar"/>
              </w:rPr>
              <w:t>d</w:t>
            </w:r>
            <w:r>
              <w:rPr>
                <w:rFonts w:hint="eastAsia" w:cs="Times New Roman"/>
                <w:kern w:val="0"/>
                <w:u w:val="none"/>
                <w:lang w:val="zh-CN" w:bidi="ar"/>
              </w:rPr>
              <w:t>）</w:t>
            </w:r>
            <w:r>
              <w:rPr>
                <w:rFonts w:hint="eastAsia" w:ascii="Times New Roman" w:hAnsi="Times New Roman" w:cs="Times New Roman"/>
                <w:kern w:val="0"/>
                <w:u w:val="none"/>
                <w:lang w:val="zh-CN" w:bidi="ar"/>
              </w:rPr>
              <w:t>。</w:t>
            </w:r>
          </w:p>
          <w:p w14:paraId="1D1CB78C">
            <w:pPr>
              <w:spacing w:line="360" w:lineRule="auto"/>
              <w:ind w:firstLine="480" w:firstLineChars="200"/>
              <w:rPr>
                <w:rFonts w:hint="default" w:ascii="Times New Roman" w:hAnsi="Times New Roman" w:cs="Times New Roman"/>
                <w:kern w:val="0"/>
                <w:u w:val="none"/>
                <w:lang w:val="en-US" w:eastAsia="zh-CN" w:bidi="ar"/>
              </w:rPr>
            </w:pPr>
            <w:r>
              <w:rPr>
                <w:rFonts w:hint="eastAsia" w:ascii="Times New Roman" w:hAnsi="Times New Roman" w:cs="Times New Roman"/>
                <w:kern w:val="0"/>
                <w:u w:val="none"/>
                <w:lang w:val="en-US" w:eastAsia="zh-CN" w:bidi="ar"/>
              </w:rPr>
              <w:t>②</w:t>
            </w:r>
            <w:r>
              <w:rPr>
                <w:rFonts w:hint="eastAsia"/>
                <w:u w:val="none"/>
                <w:lang w:val="en-US" w:eastAsia="zh-CN"/>
              </w:rPr>
              <w:t>生产用水</w:t>
            </w:r>
          </w:p>
          <w:p w14:paraId="6D0A6909">
            <w:pPr>
              <w:pStyle w:val="30"/>
              <w:spacing w:after="0" w:line="360" w:lineRule="auto"/>
              <w:ind w:firstLine="480" w:firstLineChars="200"/>
              <w:rPr>
                <w:rFonts w:hint="eastAsia"/>
                <w:u w:val="none"/>
                <w:lang w:val="en-US" w:eastAsia="zh-CN"/>
              </w:rPr>
            </w:pPr>
            <w:r>
              <w:rPr>
                <w:rFonts w:hint="eastAsia"/>
                <w:kern w:val="0"/>
                <w:u w:val="none"/>
                <w:lang w:val="en-US" w:eastAsia="zh-CN" w:bidi="ar"/>
              </w:rPr>
              <w:t>本项目生产用水主要为</w:t>
            </w:r>
            <w:r>
              <w:rPr>
                <w:rFonts w:hint="eastAsia"/>
                <w:u w:val="none"/>
                <w:lang w:val="en-US" w:eastAsia="zh-CN"/>
              </w:rPr>
              <w:t>冷却循环水，冷却循环水经冷却水箱收集后，通过冷却水循环塔循环使用，</w:t>
            </w:r>
            <w:r>
              <w:rPr>
                <w:rFonts w:hint="eastAsia"/>
                <w:u w:val="none"/>
              </w:rPr>
              <w:t>根据</w:t>
            </w:r>
            <w:r>
              <w:rPr>
                <w:rFonts w:hint="eastAsia"/>
                <w:u w:val="none"/>
                <w:lang w:val="en-US" w:eastAsia="zh-CN"/>
              </w:rPr>
              <w:t>建设单位提供的资料，冷却水箱储水量</w:t>
            </w:r>
            <w:r>
              <w:rPr>
                <w:rFonts w:hint="eastAsia"/>
                <w:lang w:val="en-US" w:eastAsia="zh-CN"/>
              </w:rPr>
              <w:t>为224m</w:t>
            </w:r>
            <w:r>
              <w:rPr>
                <w:rFonts w:hint="eastAsia"/>
                <w:vertAlign w:val="superscript"/>
                <w:lang w:val="en-US" w:eastAsia="zh-CN"/>
              </w:rPr>
              <w:t>3</w:t>
            </w:r>
            <w:r>
              <w:rPr>
                <w:rFonts w:hint="eastAsia"/>
                <w:lang w:val="en-US" w:eastAsia="zh-CN"/>
              </w:rPr>
              <w:t>，流量约为200m</w:t>
            </w:r>
            <w:r>
              <w:rPr>
                <w:rFonts w:hint="eastAsia"/>
                <w:vertAlign w:val="superscript"/>
                <w:lang w:val="en-US" w:eastAsia="zh-CN"/>
              </w:rPr>
              <w:t>3</w:t>
            </w:r>
            <w:r>
              <w:rPr>
                <w:rFonts w:hint="eastAsia"/>
                <w:lang w:val="en-US" w:eastAsia="zh-CN"/>
              </w:rPr>
              <w:t>/d，</w:t>
            </w:r>
            <w:r>
              <w:rPr>
                <w:rFonts w:hint="eastAsia"/>
                <w:u w:val="none"/>
                <w:lang w:val="en-US" w:eastAsia="zh-CN"/>
              </w:rPr>
              <w:t>因此冷却循环水用水量为200m</w:t>
            </w:r>
            <w:r>
              <w:rPr>
                <w:rFonts w:hint="eastAsia"/>
                <w:u w:val="none"/>
                <w:vertAlign w:val="superscript"/>
                <w:lang w:val="en-US" w:eastAsia="zh-CN"/>
              </w:rPr>
              <w:t>3</w:t>
            </w:r>
            <w:r>
              <w:rPr>
                <w:rFonts w:hint="eastAsia"/>
                <w:u w:val="none"/>
                <w:lang w:val="en-US" w:eastAsia="zh-CN"/>
              </w:rPr>
              <w:t>/d，水循环利用过程中会产生少量损耗，根据《</w:t>
            </w:r>
            <w:r>
              <w:rPr>
                <w:rFonts w:hint="eastAsia"/>
                <w:u w:val="none"/>
              </w:rPr>
              <w:t>建筑给水排水设计标准</w:t>
            </w:r>
            <w:r>
              <w:rPr>
                <w:rFonts w:hint="eastAsia"/>
                <w:u w:val="none"/>
                <w:lang w:val="en-US" w:eastAsia="zh-CN"/>
              </w:rPr>
              <w:t>》（</w:t>
            </w:r>
            <w:r>
              <w:rPr>
                <w:rFonts w:hint="eastAsia"/>
                <w:u w:val="none"/>
              </w:rPr>
              <w:t>GB50015–2019</w:t>
            </w:r>
            <w:r>
              <w:rPr>
                <w:rFonts w:hint="eastAsia"/>
                <w:u w:val="none"/>
                <w:lang w:val="en-US" w:eastAsia="zh-CN"/>
              </w:rPr>
              <w:t>）可知，室内工程损耗量为循环水量的3%，本项目冷却循环水用水量为60000m</w:t>
            </w:r>
            <w:r>
              <w:rPr>
                <w:rFonts w:hint="eastAsia"/>
                <w:u w:val="none"/>
                <w:vertAlign w:val="superscript"/>
                <w:lang w:val="en-US" w:eastAsia="zh-CN"/>
              </w:rPr>
              <w:t>3</w:t>
            </w:r>
            <w:r>
              <w:rPr>
                <w:rFonts w:hint="eastAsia"/>
                <w:u w:val="none"/>
                <w:lang w:val="en-US" w:eastAsia="zh-CN"/>
              </w:rPr>
              <w:t>/a，则损耗量为1800m</w:t>
            </w:r>
            <w:r>
              <w:rPr>
                <w:rFonts w:hint="eastAsia"/>
                <w:u w:val="none"/>
                <w:vertAlign w:val="superscript"/>
                <w:lang w:val="en-US" w:eastAsia="zh-CN"/>
              </w:rPr>
              <w:t>3</w:t>
            </w:r>
            <w:r>
              <w:rPr>
                <w:rFonts w:hint="eastAsia"/>
                <w:u w:val="none"/>
                <w:lang w:val="en-US" w:eastAsia="zh-CN"/>
              </w:rPr>
              <w:t>/a。</w:t>
            </w:r>
          </w:p>
          <w:p w14:paraId="36D0DDDD">
            <w:pPr>
              <w:jc w:val="center"/>
              <w:rPr>
                <w:b/>
                <w:bCs/>
                <w:sz w:val="24"/>
                <w:szCs w:val="24"/>
                <w:u w:val="none"/>
              </w:rPr>
            </w:pPr>
            <w:r>
              <w:rPr>
                <w:b/>
                <w:bCs/>
                <w:sz w:val="24"/>
                <w:szCs w:val="24"/>
                <w:u w:val="none"/>
              </w:rPr>
              <w:t>表</w:t>
            </w:r>
            <w:r>
              <w:rPr>
                <w:rFonts w:hint="eastAsia"/>
                <w:b/>
                <w:bCs/>
                <w:sz w:val="24"/>
                <w:szCs w:val="24"/>
                <w:u w:val="none"/>
              </w:rPr>
              <w:t>2</w:t>
            </w:r>
            <w:r>
              <w:rPr>
                <w:b/>
                <w:bCs/>
                <w:sz w:val="24"/>
                <w:szCs w:val="24"/>
                <w:u w:val="none"/>
              </w:rPr>
              <w:t>-</w:t>
            </w:r>
            <w:r>
              <w:rPr>
                <w:rFonts w:hint="eastAsia"/>
                <w:b/>
                <w:bCs/>
                <w:sz w:val="24"/>
                <w:szCs w:val="24"/>
                <w:u w:val="none"/>
                <w:lang w:val="en-US" w:eastAsia="zh-CN"/>
              </w:rPr>
              <w:t>8</w:t>
            </w:r>
            <w:r>
              <w:rPr>
                <w:b/>
                <w:bCs/>
                <w:sz w:val="24"/>
                <w:szCs w:val="24"/>
                <w:u w:val="none"/>
              </w:rPr>
              <w:t xml:space="preserve">  营运期用水量估算表</w:t>
            </w:r>
          </w:p>
          <w:tbl>
            <w:tblPr>
              <w:tblStyle w:val="3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150"/>
              <w:gridCol w:w="1199"/>
              <w:gridCol w:w="860"/>
              <w:gridCol w:w="1119"/>
              <w:gridCol w:w="1158"/>
              <w:gridCol w:w="941"/>
              <w:gridCol w:w="947"/>
            </w:tblGrid>
            <w:tr w14:paraId="5AB4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409" w:type="pct"/>
                  <w:noWrap w:val="0"/>
                  <w:vAlign w:val="center"/>
                </w:tcPr>
                <w:p w14:paraId="283B153E">
                  <w:pPr>
                    <w:jc w:val="center"/>
                    <w:rPr>
                      <w:sz w:val="21"/>
                      <w:szCs w:val="21"/>
                      <w:u w:val="none"/>
                    </w:rPr>
                  </w:pPr>
                  <w:r>
                    <w:rPr>
                      <w:sz w:val="21"/>
                      <w:szCs w:val="21"/>
                      <w:u w:val="none"/>
                    </w:rPr>
                    <w:t>序号</w:t>
                  </w:r>
                </w:p>
              </w:tc>
              <w:tc>
                <w:tcPr>
                  <w:tcW w:w="715" w:type="pct"/>
                  <w:noWrap w:val="0"/>
                  <w:vAlign w:val="center"/>
                </w:tcPr>
                <w:p w14:paraId="1D6EB4D9">
                  <w:pPr>
                    <w:jc w:val="center"/>
                    <w:rPr>
                      <w:sz w:val="21"/>
                      <w:szCs w:val="21"/>
                      <w:u w:val="none"/>
                    </w:rPr>
                  </w:pPr>
                  <w:r>
                    <w:rPr>
                      <w:rFonts w:hint="eastAsia"/>
                      <w:sz w:val="21"/>
                      <w:szCs w:val="21"/>
                      <w:u w:val="none"/>
                    </w:rPr>
                    <w:t>用水单位</w:t>
                  </w:r>
                </w:p>
              </w:tc>
              <w:tc>
                <w:tcPr>
                  <w:tcW w:w="746" w:type="pct"/>
                  <w:noWrap w:val="0"/>
                  <w:vAlign w:val="center"/>
                </w:tcPr>
                <w:p w14:paraId="1E1EC26D">
                  <w:pPr>
                    <w:jc w:val="center"/>
                    <w:rPr>
                      <w:sz w:val="21"/>
                      <w:szCs w:val="21"/>
                      <w:u w:val="none"/>
                    </w:rPr>
                  </w:pPr>
                  <w:r>
                    <w:rPr>
                      <w:sz w:val="21"/>
                      <w:szCs w:val="21"/>
                      <w:u w:val="none"/>
                    </w:rPr>
                    <w:t>用水定额</w:t>
                  </w:r>
                </w:p>
              </w:tc>
              <w:tc>
                <w:tcPr>
                  <w:tcW w:w="535" w:type="pct"/>
                  <w:noWrap w:val="0"/>
                  <w:vAlign w:val="center"/>
                </w:tcPr>
                <w:p w14:paraId="6E9FD91F">
                  <w:pPr>
                    <w:jc w:val="center"/>
                    <w:rPr>
                      <w:sz w:val="21"/>
                      <w:szCs w:val="21"/>
                      <w:u w:val="none"/>
                    </w:rPr>
                  </w:pPr>
                  <w:r>
                    <w:rPr>
                      <w:sz w:val="21"/>
                      <w:szCs w:val="21"/>
                      <w:u w:val="none"/>
                    </w:rPr>
                    <w:t>数量</w:t>
                  </w:r>
                </w:p>
              </w:tc>
              <w:tc>
                <w:tcPr>
                  <w:tcW w:w="696" w:type="pct"/>
                  <w:noWrap w:val="0"/>
                  <w:vAlign w:val="center"/>
                </w:tcPr>
                <w:p w14:paraId="543B93EA">
                  <w:pPr>
                    <w:jc w:val="center"/>
                    <w:rPr>
                      <w:sz w:val="21"/>
                      <w:szCs w:val="21"/>
                      <w:u w:val="none"/>
                    </w:rPr>
                  </w:pPr>
                  <w:r>
                    <w:rPr>
                      <w:rFonts w:hint="eastAsia"/>
                      <w:sz w:val="21"/>
                      <w:szCs w:val="21"/>
                      <w:u w:val="none"/>
                    </w:rPr>
                    <w:t>年</w:t>
                  </w:r>
                  <w:r>
                    <w:rPr>
                      <w:sz w:val="21"/>
                      <w:szCs w:val="21"/>
                      <w:u w:val="none"/>
                    </w:rPr>
                    <w:t>用水量</w:t>
                  </w:r>
                </w:p>
                <w:p w14:paraId="2865264D">
                  <w:pPr>
                    <w:jc w:val="center"/>
                    <w:rPr>
                      <w:sz w:val="21"/>
                      <w:szCs w:val="21"/>
                      <w:u w:val="none"/>
                    </w:rPr>
                  </w:pPr>
                  <w:r>
                    <w:rPr>
                      <w:sz w:val="21"/>
                      <w:szCs w:val="21"/>
                      <w:u w:val="none"/>
                    </w:rPr>
                    <w:t>（m</w:t>
                  </w:r>
                  <w:r>
                    <w:rPr>
                      <w:sz w:val="21"/>
                      <w:szCs w:val="21"/>
                      <w:u w:val="none"/>
                      <w:vertAlign w:val="superscript"/>
                    </w:rPr>
                    <w:t>3</w:t>
                  </w:r>
                  <w:r>
                    <w:rPr>
                      <w:sz w:val="21"/>
                      <w:szCs w:val="21"/>
                      <w:u w:val="none"/>
                    </w:rPr>
                    <w:t>/</w:t>
                  </w:r>
                  <w:r>
                    <w:rPr>
                      <w:rFonts w:hint="eastAsia"/>
                      <w:sz w:val="21"/>
                      <w:szCs w:val="21"/>
                      <w:u w:val="none"/>
                    </w:rPr>
                    <w:t>a</w:t>
                  </w:r>
                  <w:r>
                    <w:rPr>
                      <w:sz w:val="21"/>
                      <w:szCs w:val="21"/>
                      <w:u w:val="none"/>
                    </w:rPr>
                    <w:t>）</w:t>
                  </w:r>
                </w:p>
              </w:tc>
              <w:tc>
                <w:tcPr>
                  <w:tcW w:w="720" w:type="pct"/>
                  <w:noWrap w:val="0"/>
                  <w:vAlign w:val="center"/>
                </w:tcPr>
                <w:p w14:paraId="3D4EB52A">
                  <w:pPr>
                    <w:jc w:val="center"/>
                    <w:rPr>
                      <w:sz w:val="21"/>
                      <w:szCs w:val="21"/>
                      <w:u w:val="none"/>
                    </w:rPr>
                  </w:pPr>
                  <w:r>
                    <w:rPr>
                      <w:rFonts w:hint="eastAsia"/>
                      <w:sz w:val="21"/>
                      <w:szCs w:val="21"/>
                      <w:u w:val="none"/>
                    </w:rPr>
                    <w:t>循环用水量</w:t>
                  </w:r>
                  <w:r>
                    <w:rPr>
                      <w:sz w:val="21"/>
                      <w:szCs w:val="21"/>
                      <w:u w:val="none"/>
                    </w:rPr>
                    <w:t>（m</w:t>
                  </w:r>
                  <w:r>
                    <w:rPr>
                      <w:sz w:val="21"/>
                      <w:szCs w:val="21"/>
                      <w:u w:val="none"/>
                      <w:vertAlign w:val="superscript"/>
                    </w:rPr>
                    <w:t>3</w:t>
                  </w:r>
                  <w:r>
                    <w:rPr>
                      <w:sz w:val="21"/>
                      <w:szCs w:val="21"/>
                      <w:u w:val="none"/>
                    </w:rPr>
                    <w:t>/</w:t>
                  </w:r>
                  <w:r>
                    <w:rPr>
                      <w:rFonts w:hint="eastAsia"/>
                      <w:sz w:val="21"/>
                      <w:szCs w:val="21"/>
                      <w:u w:val="none"/>
                      <w:lang w:val="en-US" w:eastAsia="zh-CN"/>
                    </w:rPr>
                    <w:t>a</w:t>
                  </w:r>
                  <w:r>
                    <w:rPr>
                      <w:sz w:val="21"/>
                      <w:szCs w:val="21"/>
                      <w:u w:val="none"/>
                    </w:rPr>
                    <w:t>）</w:t>
                  </w:r>
                </w:p>
              </w:tc>
              <w:tc>
                <w:tcPr>
                  <w:tcW w:w="585" w:type="pct"/>
                  <w:noWrap w:val="0"/>
                  <w:vAlign w:val="center"/>
                </w:tcPr>
                <w:p w14:paraId="1F4F6F25">
                  <w:pPr>
                    <w:jc w:val="center"/>
                    <w:rPr>
                      <w:sz w:val="21"/>
                      <w:szCs w:val="21"/>
                      <w:u w:val="none"/>
                    </w:rPr>
                  </w:pPr>
                  <w:r>
                    <w:rPr>
                      <w:rFonts w:hint="eastAsia"/>
                      <w:sz w:val="21"/>
                      <w:szCs w:val="21"/>
                      <w:u w:val="none"/>
                    </w:rPr>
                    <w:t>年实际</w:t>
                  </w:r>
                  <w:r>
                    <w:rPr>
                      <w:sz w:val="21"/>
                      <w:szCs w:val="21"/>
                      <w:u w:val="none"/>
                    </w:rPr>
                    <w:t>用水量</w:t>
                  </w:r>
                </w:p>
                <w:p w14:paraId="75747FCB">
                  <w:pPr>
                    <w:jc w:val="center"/>
                    <w:rPr>
                      <w:sz w:val="21"/>
                      <w:szCs w:val="21"/>
                      <w:u w:val="none"/>
                    </w:rPr>
                  </w:pPr>
                  <w:r>
                    <w:rPr>
                      <w:sz w:val="21"/>
                      <w:szCs w:val="21"/>
                      <w:u w:val="none"/>
                    </w:rPr>
                    <w:t>（m</w:t>
                  </w:r>
                  <w:r>
                    <w:rPr>
                      <w:sz w:val="21"/>
                      <w:szCs w:val="21"/>
                      <w:u w:val="none"/>
                      <w:vertAlign w:val="superscript"/>
                    </w:rPr>
                    <w:t>3</w:t>
                  </w:r>
                  <w:r>
                    <w:rPr>
                      <w:sz w:val="21"/>
                      <w:szCs w:val="21"/>
                      <w:u w:val="none"/>
                    </w:rPr>
                    <w:t>/</w:t>
                  </w:r>
                  <w:r>
                    <w:rPr>
                      <w:rFonts w:hint="eastAsia"/>
                      <w:sz w:val="21"/>
                      <w:szCs w:val="21"/>
                      <w:u w:val="none"/>
                    </w:rPr>
                    <w:t>a</w:t>
                  </w:r>
                  <w:r>
                    <w:rPr>
                      <w:sz w:val="21"/>
                      <w:szCs w:val="21"/>
                      <w:u w:val="none"/>
                    </w:rPr>
                    <w:t>）</w:t>
                  </w:r>
                </w:p>
              </w:tc>
              <w:tc>
                <w:tcPr>
                  <w:tcW w:w="589" w:type="pct"/>
                  <w:noWrap w:val="0"/>
                  <w:vAlign w:val="center"/>
                </w:tcPr>
                <w:p w14:paraId="7FE7FA59">
                  <w:pPr>
                    <w:jc w:val="center"/>
                    <w:rPr>
                      <w:sz w:val="21"/>
                      <w:szCs w:val="21"/>
                      <w:u w:val="none"/>
                    </w:rPr>
                  </w:pPr>
                  <w:r>
                    <w:rPr>
                      <w:rFonts w:hint="eastAsia"/>
                      <w:sz w:val="21"/>
                      <w:szCs w:val="21"/>
                      <w:u w:val="none"/>
                    </w:rPr>
                    <w:t>废水</w:t>
                  </w:r>
                  <w:r>
                    <w:rPr>
                      <w:sz w:val="21"/>
                      <w:szCs w:val="21"/>
                      <w:u w:val="none"/>
                    </w:rPr>
                    <w:t>量</w:t>
                  </w:r>
                </w:p>
                <w:p w14:paraId="16EBFD47">
                  <w:pPr>
                    <w:jc w:val="center"/>
                    <w:rPr>
                      <w:sz w:val="21"/>
                      <w:szCs w:val="21"/>
                      <w:u w:val="none"/>
                    </w:rPr>
                  </w:pPr>
                  <w:r>
                    <w:rPr>
                      <w:sz w:val="21"/>
                      <w:szCs w:val="21"/>
                      <w:u w:val="none"/>
                    </w:rPr>
                    <w:t>（m</w:t>
                  </w:r>
                  <w:r>
                    <w:rPr>
                      <w:sz w:val="21"/>
                      <w:szCs w:val="21"/>
                      <w:u w:val="none"/>
                      <w:vertAlign w:val="superscript"/>
                    </w:rPr>
                    <w:t>3</w:t>
                  </w:r>
                  <w:r>
                    <w:rPr>
                      <w:sz w:val="21"/>
                      <w:szCs w:val="21"/>
                      <w:u w:val="none"/>
                    </w:rPr>
                    <w:t>/</w:t>
                  </w:r>
                  <w:r>
                    <w:rPr>
                      <w:rFonts w:hint="eastAsia"/>
                      <w:sz w:val="21"/>
                      <w:szCs w:val="21"/>
                      <w:u w:val="none"/>
                    </w:rPr>
                    <w:t>a</w:t>
                  </w:r>
                  <w:r>
                    <w:rPr>
                      <w:sz w:val="21"/>
                      <w:szCs w:val="21"/>
                      <w:u w:val="none"/>
                    </w:rPr>
                    <w:t>）</w:t>
                  </w:r>
                </w:p>
              </w:tc>
            </w:tr>
            <w:tr w14:paraId="1480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noWrap w:val="0"/>
                  <w:vAlign w:val="center"/>
                </w:tcPr>
                <w:p w14:paraId="7011B0EE">
                  <w:pPr>
                    <w:jc w:val="center"/>
                    <w:rPr>
                      <w:sz w:val="21"/>
                      <w:szCs w:val="21"/>
                      <w:u w:val="none"/>
                    </w:rPr>
                  </w:pPr>
                  <w:r>
                    <w:rPr>
                      <w:sz w:val="21"/>
                      <w:szCs w:val="21"/>
                      <w:u w:val="none"/>
                    </w:rPr>
                    <w:t>1</w:t>
                  </w:r>
                </w:p>
              </w:tc>
              <w:tc>
                <w:tcPr>
                  <w:tcW w:w="715" w:type="pct"/>
                  <w:noWrap w:val="0"/>
                  <w:vAlign w:val="center"/>
                </w:tcPr>
                <w:p w14:paraId="38437713">
                  <w:pPr>
                    <w:jc w:val="center"/>
                    <w:rPr>
                      <w:sz w:val="21"/>
                      <w:szCs w:val="21"/>
                      <w:u w:val="none"/>
                    </w:rPr>
                  </w:pPr>
                  <w:r>
                    <w:rPr>
                      <w:rFonts w:hint="eastAsia"/>
                      <w:sz w:val="21"/>
                      <w:szCs w:val="21"/>
                      <w:u w:val="none"/>
                    </w:rPr>
                    <w:t>员工生活</w:t>
                  </w:r>
                </w:p>
              </w:tc>
              <w:tc>
                <w:tcPr>
                  <w:tcW w:w="746" w:type="pct"/>
                  <w:noWrap w:val="0"/>
                  <w:vAlign w:val="center"/>
                </w:tcPr>
                <w:p w14:paraId="745DE8CA">
                  <w:pPr>
                    <w:widowControl/>
                    <w:jc w:val="center"/>
                    <w:textAlignment w:val="center"/>
                    <w:rPr>
                      <w:sz w:val="21"/>
                      <w:szCs w:val="21"/>
                      <w:u w:val="none"/>
                    </w:rPr>
                  </w:pPr>
                  <w:r>
                    <w:rPr>
                      <w:rFonts w:hint="eastAsia"/>
                      <w:sz w:val="21"/>
                      <w:szCs w:val="21"/>
                      <w:u w:val="none"/>
                    </w:rPr>
                    <w:t>38</w:t>
                  </w:r>
                  <w:r>
                    <w:rPr>
                      <w:sz w:val="21"/>
                      <w:szCs w:val="21"/>
                      <w:u w:val="none"/>
                    </w:rPr>
                    <w:t>m</w:t>
                  </w:r>
                  <w:r>
                    <w:rPr>
                      <w:sz w:val="21"/>
                      <w:szCs w:val="21"/>
                      <w:u w:val="none"/>
                      <w:vertAlign w:val="superscript"/>
                    </w:rPr>
                    <w:t>3</w:t>
                  </w:r>
                  <w:r>
                    <w:rPr>
                      <w:sz w:val="21"/>
                      <w:szCs w:val="21"/>
                      <w:u w:val="none"/>
                    </w:rPr>
                    <w:t>/</w:t>
                  </w:r>
                  <w:r>
                    <w:rPr>
                      <w:rFonts w:hint="eastAsia"/>
                      <w:sz w:val="21"/>
                      <w:szCs w:val="21"/>
                      <w:u w:val="none"/>
                    </w:rPr>
                    <w:t>人</w:t>
                  </w:r>
                  <w:r>
                    <w:rPr>
                      <w:sz w:val="21"/>
                      <w:szCs w:val="21"/>
                      <w:u w:val="none"/>
                    </w:rPr>
                    <w:t>·</w:t>
                  </w:r>
                  <w:r>
                    <w:rPr>
                      <w:rFonts w:hint="eastAsia"/>
                      <w:sz w:val="21"/>
                      <w:szCs w:val="21"/>
                      <w:u w:val="none"/>
                    </w:rPr>
                    <w:t>a</w:t>
                  </w:r>
                </w:p>
              </w:tc>
              <w:tc>
                <w:tcPr>
                  <w:tcW w:w="535" w:type="pct"/>
                  <w:noWrap w:val="0"/>
                  <w:vAlign w:val="center"/>
                </w:tcPr>
                <w:p w14:paraId="447370C7">
                  <w:pPr>
                    <w:widowControl/>
                    <w:jc w:val="center"/>
                    <w:textAlignment w:val="center"/>
                    <w:rPr>
                      <w:sz w:val="21"/>
                      <w:szCs w:val="21"/>
                      <w:u w:val="none"/>
                    </w:rPr>
                  </w:pPr>
                  <w:r>
                    <w:rPr>
                      <w:rFonts w:hint="eastAsia"/>
                      <w:sz w:val="21"/>
                      <w:szCs w:val="21"/>
                      <w:u w:val="none"/>
                      <w:lang w:val="en-US" w:eastAsia="zh-CN"/>
                    </w:rPr>
                    <w:t>6</w:t>
                  </w:r>
                  <w:r>
                    <w:rPr>
                      <w:rFonts w:hint="eastAsia"/>
                      <w:sz w:val="21"/>
                      <w:szCs w:val="21"/>
                      <w:u w:val="none"/>
                    </w:rPr>
                    <w:t>人</w:t>
                  </w:r>
                </w:p>
              </w:tc>
              <w:tc>
                <w:tcPr>
                  <w:tcW w:w="696" w:type="pct"/>
                  <w:noWrap w:val="0"/>
                  <w:vAlign w:val="center"/>
                </w:tcPr>
                <w:p w14:paraId="4738F73D">
                  <w:pPr>
                    <w:widowControl/>
                    <w:jc w:val="center"/>
                    <w:textAlignment w:val="center"/>
                    <w:rPr>
                      <w:rFonts w:hint="default"/>
                      <w:sz w:val="21"/>
                      <w:szCs w:val="21"/>
                      <w:u w:val="none"/>
                      <w:lang w:val="en-US"/>
                    </w:rPr>
                  </w:pPr>
                  <w:r>
                    <w:rPr>
                      <w:rFonts w:hint="eastAsia"/>
                      <w:sz w:val="21"/>
                      <w:szCs w:val="21"/>
                      <w:u w:val="none"/>
                      <w:lang w:val="en-US" w:eastAsia="zh-CN"/>
                    </w:rPr>
                    <w:t>342</w:t>
                  </w:r>
                </w:p>
              </w:tc>
              <w:tc>
                <w:tcPr>
                  <w:tcW w:w="720" w:type="pct"/>
                  <w:noWrap w:val="0"/>
                  <w:vAlign w:val="center"/>
                </w:tcPr>
                <w:p w14:paraId="6F40CD74">
                  <w:pPr>
                    <w:widowControl/>
                    <w:jc w:val="center"/>
                    <w:textAlignment w:val="center"/>
                    <w:rPr>
                      <w:sz w:val="21"/>
                      <w:szCs w:val="21"/>
                      <w:u w:val="none"/>
                    </w:rPr>
                  </w:pPr>
                  <w:r>
                    <w:rPr>
                      <w:rFonts w:hint="eastAsia"/>
                      <w:sz w:val="21"/>
                      <w:szCs w:val="21"/>
                      <w:u w:val="none"/>
                    </w:rPr>
                    <w:t>/</w:t>
                  </w:r>
                </w:p>
              </w:tc>
              <w:tc>
                <w:tcPr>
                  <w:tcW w:w="585" w:type="pct"/>
                  <w:noWrap w:val="0"/>
                  <w:vAlign w:val="center"/>
                </w:tcPr>
                <w:p w14:paraId="74E32EA1">
                  <w:pPr>
                    <w:widowControl/>
                    <w:jc w:val="center"/>
                    <w:textAlignment w:val="center"/>
                    <w:rPr>
                      <w:rFonts w:hint="default"/>
                      <w:sz w:val="21"/>
                      <w:szCs w:val="21"/>
                      <w:u w:val="none"/>
                      <w:lang w:val="en-US"/>
                    </w:rPr>
                  </w:pPr>
                  <w:r>
                    <w:rPr>
                      <w:rFonts w:hint="eastAsia"/>
                      <w:sz w:val="21"/>
                      <w:szCs w:val="21"/>
                      <w:u w:val="none"/>
                      <w:lang w:val="en-US" w:eastAsia="zh-CN"/>
                    </w:rPr>
                    <w:t>342</w:t>
                  </w:r>
                </w:p>
              </w:tc>
              <w:tc>
                <w:tcPr>
                  <w:tcW w:w="589" w:type="pct"/>
                  <w:noWrap w:val="0"/>
                  <w:vAlign w:val="center"/>
                </w:tcPr>
                <w:p w14:paraId="14F50CB3">
                  <w:pPr>
                    <w:widowControl/>
                    <w:jc w:val="center"/>
                    <w:textAlignment w:val="center"/>
                    <w:rPr>
                      <w:rFonts w:hint="default"/>
                      <w:sz w:val="21"/>
                      <w:szCs w:val="21"/>
                      <w:u w:val="none"/>
                      <w:lang w:val="en-US"/>
                    </w:rPr>
                  </w:pPr>
                  <w:r>
                    <w:rPr>
                      <w:rFonts w:hint="eastAsia"/>
                      <w:sz w:val="21"/>
                      <w:szCs w:val="21"/>
                      <w:u w:val="none"/>
                      <w:lang w:val="en-US" w:eastAsia="zh-CN"/>
                    </w:rPr>
                    <w:t>273.6</w:t>
                  </w:r>
                </w:p>
              </w:tc>
            </w:tr>
            <w:tr w14:paraId="00A9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noWrap w:val="0"/>
                  <w:vAlign w:val="center"/>
                </w:tcPr>
                <w:p w14:paraId="49B5DE0A">
                  <w:pPr>
                    <w:jc w:val="center"/>
                    <w:rPr>
                      <w:rFonts w:hint="eastAsia" w:eastAsia="宋体"/>
                      <w:sz w:val="21"/>
                      <w:szCs w:val="21"/>
                      <w:u w:val="none"/>
                      <w:lang w:val="en-US" w:eastAsia="zh-CN"/>
                    </w:rPr>
                  </w:pPr>
                  <w:r>
                    <w:rPr>
                      <w:rFonts w:hint="eastAsia"/>
                      <w:sz w:val="21"/>
                      <w:szCs w:val="21"/>
                      <w:u w:val="none"/>
                      <w:lang w:val="en-US" w:eastAsia="zh-CN"/>
                    </w:rPr>
                    <w:t>2</w:t>
                  </w:r>
                </w:p>
              </w:tc>
              <w:tc>
                <w:tcPr>
                  <w:tcW w:w="715" w:type="pct"/>
                  <w:noWrap w:val="0"/>
                  <w:vAlign w:val="center"/>
                </w:tcPr>
                <w:p w14:paraId="06F7024A">
                  <w:pPr>
                    <w:jc w:val="center"/>
                    <w:rPr>
                      <w:rFonts w:hint="default" w:eastAsia="宋体"/>
                      <w:sz w:val="21"/>
                      <w:szCs w:val="21"/>
                      <w:u w:val="none"/>
                      <w:lang w:val="en-US" w:eastAsia="zh-CN"/>
                    </w:rPr>
                  </w:pPr>
                  <w:r>
                    <w:rPr>
                      <w:rFonts w:hint="eastAsia"/>
                      <w:sz w:val="21"/>
                      <w:szCs w:val="21"/>
                      <w:u w:val="none"/>
                      <w:lang w:val="en-US" w:eastAsia="zh-CN"/>
                    </w:rPr>
                    <w:t>生产用水</w:t>
                  </w:r>
                </w:p>
              </w:tc>
              <w:tc>
                <w:tcPr>
                  <w:tcW w:w="746" w:type="pct"/>
                  <w:noWrap w:val="0"/>
                  <w:vAlign w:val="center"/>
                </w:tcPr>
                <w:p w14:paraId="280F90EF">
                  <w:pPr>
                    <w:widowControl/>
                    <w:jc w:val="center"/>
                    <w:textAlignment w:val="center"/>
                    <w:rPr>
                      <w:rFonts w:hint="eastAsia" w:eastAsia="宋体"/>
                      <w:sz w:val="21"/>
                      <w:szCs w:val="21"/>
                      <w:u w:val="none"/>
                      <w:lang w:eastAsia="zh-CN"/>
                    </w:rPr>
                  </w:pPr>
                  <w:r>
                    <w:rPr>
                      <w:rFonts w:hint="eastAsia"/>
                      <w:sz w:val="21"/>
                      <w:szCs w:val="21"/>
                      <w:lang w:val="en-US" w:eastAsia="zh-CN"/>
                    </w:rPr>
                    <w:t>112m</w:t>
                  </w:r>
                  <w:r>
                    <w:rPr>
                      <w:rFonts w:hint="eastAsia"/>
                      <w:sz w:val="21"/>
                      <w:szCs w:val="21"/>
                      <w:vertAlign w:val="superscript"/>
                      <w:lang w:val="en-US" w:eastAsia="zh-CN"/>
                    </w:rPr>
                    <w:t>3</w:t>
                  </w:r>
                  <w:r>
                    <w:rPr>
                      <w:rFonts w:hint="eastAsia"/>
                      <w:sz w:val="21"/>
                      <w:szCs w:val="21"/>
                      <w:lang w:val="en-US" w:eastAsia="zh-CN"/>
                    </w:rPr>
                    <w:t>/d</w:t>
                  </w:r>
                </w:p>
              </w:tc>
              <w:tc>
                <w:tcPr>
                  <w:tcW w:w="535" w:type="pct"/>
                  <w:shd w:val="clear" w:color="auto" w:fill="auto"/>
                  <w:noWrap w:val="0"/>
                  <w:vAlign w:val="center"/>
                </w:tcPr>
                <w:p w14:paraId="39ED0CB0">
                  <w:pPr>
                    <w:widowControl/>
                    <w:jc w:val="center"/>
                    <w:textAlignment w:val="center"/>
                    <w:rPr>
                      <w:rFonts w:hint="default" w:ascii="Times New Roman" w:hAnsi="Times New Roman" w:eastAsia="宋体" w:cs="Times New Roman"/>
                      <w:kern w:val="2"/>
                      <w:sz w:val="21"/>
                      <w:szCs w:val="21"/>
                      <w:u w:val="none"/>
                      <w:lang w:val="en-US" w:eastAsia="zh-CN" w:bidi="ar-SA"/>
                    </w:rPr>
                  </w:pPr>
                  <w:r>
                    <w:rPr>
                      <w:rFonts w:hint="eastAsia"/>
                      <w:sz w:val="21"/>
                      <w:szCs w:val="21"/>
                      <w:u w:val="none"/>
                      <w:lang w:val="en-US" w:eastAsia="zh-CN"/>
                    </w:rPr>
                    <w:t>3个</w:t>
                  </w:r>
                </w:p>
              </w:tc>
              <w:tc>
                <w:tcPr>
                  <w:tcW w:w="696" w:type="pct"/>
                  <w:noWrap w:val="0"/>
                  <w:vAlign w:val="center"/>
                </w:tcPr>
                <w:p w14:paraId="01484FE4">
                  <w:pPr>
                    <w:widowControl/>
                    <w:jc w:val="center"/>
                    <w:textAlignment w:val="center"/>
                    <w:rPr>
                      <w:rFonts w:hint="default"/>
                      <w:sz w:val="21"/>
                      <w:szCs w:val="21"/>
                      <w:u w:val="none"/>
                      <w:lang w:val="en-US" w:eastAsia="zh-CN"/>
                    </w:rPr>
                  </w:pPr>
                  <w:r>
                    <w:rPr>
                      <w:rFonts w:hint="eastAsia"/>
                      <w:sz w:val="21"/>
                      <w:szCs w:val="21"/>
                      <w:u w:val="none"/>
                      <w:lang w:val="en-US" w:eastAsia="zh-CN"/>
                    </w:rPr>
                    <w:t>60000</w:t>
                  </w:r>
                </w:p>
              </w:tc>
              <w:tc>
                <w:tcPr>
                  <w:tcW w:w="720" w:type="pct"/>
                  <w:noWrap w:val="0"/>
                  <w:vAlign w:val="center"/>
                </w:tcPr>
                <w:p w14:paraId="7402C37C">
                  <w:pPr>
                    <w:widowControl/>
                    <w:jc w:val="center"/>
                    <w:textAlignment w:val="center"/>
                    <w:rPr>
                      <w:rFonts w:hint="default" w:eastAsia="宋体"/>
                      <w:sz w:val="21"/>
                      <w:szCs w:val="21"/>
                      <w:u w:val="none"/>
                      <w:lang w:val="en-US" w:eastAsia="zh-CN"/>
                    </w:rPr>
                  </w:pPr>
                  <w:r>
                    <w:rPr>
                      <w:rFonts w:hint="eastAsia"/>
                      <w:sz w:val="21"/>
                      <w:szCs w:val="21"/>
                      <w:u w:val="none"/>
                      <w:lang w:val="en-US" w:eastAsia="zh-CN"/>
                    </w:rPr>
                    <w:t>58200</w:t>
                  </w:r>
                </w:p>
              </w:tc>
              <w:tc>
                <w:tcPr>
                  <w:tcW w:w="585" w:type="pct"/>
                  <w:noWrap w:val="0"/>
                  <w:vAlign w:val="center"/>
                </w:tcPr>
                <w:p w14:paraId="6150560F">
                  <w:pPr>
                    <w:widowControl/>
                    <w:jc w:val="center"/>
                    <w:textAlignment w:val="center"/>
                    <w:rPr>
                      <w:rFonts w:hint="default"/>
                      <w:sz w:val="21"/>
                      <w:szCs w:val="21"/>
                      <w:u w:val="none"/>
                      <w:lang w:val="en-US" w:eastAsia="zh-CN"/>
                    </w:rPr>
                  </w:pPr>
                  <w:r>
                    <w:rPr>
                      <w:rFonts w:hint="eastAsia"/>
                      <w:sz w:val="21"/>
                      <w:szCs w:val="21"/>
                      <w:u w:val="none"/>
                      <w:lang w:val="en-US" w:eastAsia="zh-CN"/>
                    </w:rPr>
                    <w:t>1800</w:t>
                  </w:r>
                </w:p>
              </w:tc>
              <w:tc>
                <w:tcPr>
                  <w:tcW w:w="589" w:type="pct"/>
                  <w:noWrap w:val="0"/>
                  <w:vAlign w:val="center"/>
                </w:tcPr>
                <w:p w14:paraId="5302E29F">
                  <w:pPr>
                    <w:widowControl/>
                    <w:jc w:val="center"/>
                    <w:textAlignment w:val="center"/>
                    <w:rPr>
                      <w:rFonts w:hint="default"/>
                      <w:sz w:val="21"/>
                      <w:szCs w:val="21"/>
                      <w:u w:val="none"/>
                      <w:lang w:val="en-US" w:eastAsia="zh-CN"/>
                    </w:rPr>
                  </w:pPr>
                  <w:r>
                    <w:rPr>
                      <w:rFonts w:hint="eastAsia"/>
                      <w:sz w:val="21"/>
                      <w:szCs w:val="21"/>
                      <w:u w:val="none"/>
                      <w:lang w:val="en-US" w:eastAsia="zh-CN"/>
                    </w:rPr>
                    <w:t>/</w:t>
                  </w:r>
                </w:p>
              </w:tc>
            </w:tr>
            <w:tr w14:paraId="110C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noWrap w:val="0"/>
                  <w:vAlign w:val="center"/>
                </w:tcPr>
                <w:p w14:paraId="543EB3F7">
                  <w:pPr>
                    <w:jc w:val="center"/>
                    <w:rPr>
                      <w:rFonts w:hint="eastAsia" w:eastAsia="宋体"/>
                      <w:sz w:val="21"/>
                      <w:szCs w:val="21"/>
                      <w:u w:val="none"/>
                      <w:lang w:eastAsia="zh-CN"/>
                    </w:rPr>
                  </w:pPr>
                  <w:r>
                    <w:rPr>
                      <w:rFonts w:hint="eastAsia"/>
                      <w:sz w:val="21"/>
                      <w:szCs w:val="21"/>
                      <w:u w:val="none"/>
                      <w:lang w:val="en-US" w:eastAsia="zh-CN"/>
                    </w:rPr>
                    <w:t>3</w:t>
                  </w:r>
                </w:p>
              </w:tc>
              <w:tc>
                <w:tcPr>
                  <w:tcW w:w="715" w:type="pct"/>
                  <w:noWrap w:val="0"/>
                  <w:vAlign w:val="center"/>
                </w:tcPr>
                <w:p w14:paraId="47502BB4">
                  <w:pPr>
                    <w:jc w:val="center"/>
                    <w:rPr>
                      <w:sz w:val="21"/>
                      <w:szCs w:val="21"/>
                      <w:u w:val="none"/>
                    </w:rPr>
                  </w:pPr>
                  <w:r>
                    <w:rPr>
                      <w:sz w:val="21"/>
                      <w:szCs w:val="21"/>
                      <w:u w:val="none"/>
                    </w:rPr>
                    <w:t>合计</w:t>
                  </w:r>
                </w:p>
              </w:tc>
              <w:tc>
                <w:tcPr>
                  <w:tcW w:w="746" w:type="pct"/>
                  <w:noWrap w:val="0"/>
                  <w:vAlign w:val="center"/>
                </w:tcPr>
                <w:p w14:paraId="7A6ABB5A">
                  <w:pPr>
                    <w:widowControl/>
                    <w:jc w:val="center"/>
                    <w:textAlignment w:val="center"/>
                    <w:rPr>
                      <w:sz w:val="21"/>
                      <w:szCs w:val="21"/>
                      <w:u w:val="none"/>
                    </w:rPr>
                  </w:pPr>
                  <w:r>
                    <w:rPr>
                      <w:sz w:val="21"/>
                      <w:szCs w:val="21"/>
                      <w:u w:val="none"/>
                    </w:rPr>
                    <w:t>/</w:t>
                  </w:r>
                </w:p>
              </w:tc>
              <w:tc>
                <w:tcPr>
                  <w:tcW w:w="535" w:type="pct"/>
                  <w:shd w:val="clear" w:color="auto" w:fill="auto"/>
                  <w:noWrap w:val="0"/>
                  <w:vAlign w:val="center"/>
                </w:tcPr>
                <w:p w14:paraId="22F54E3D">
                  <w:pPr>
                    <w:widowControl/>
                    <w:jc w:val="center"/>
                    <w:textAlignment w:val="center"/>
                    <w:rPr>
                      <w:rFonts w:ascii="Times New Roman" w:hAnsi="Times New Roman" w:eastAsia="宋体" w:cs="Times New Roman"/>
                      <w:kern w:val="2"/>
                      <w:sz w:val="21"/>
                      <w:szCs w:val="21"/>
                      <w:u w:val="none"/>
                      <w:lang w:val="en-US" w:eastAsia="zh-CN" w:bidi="ar-SA"/>
                    </w:rPr>
                  </w:pPr>
                  <w:r>
                    <w:rPr>
                      <w:sz w:val="21"/>
                      <w:szCs w:val="21"/>
                      <w:u w:val="none"/>
                    </w:rPr>
                    <w:t>/</w:t>
                  </w:r>
                </w:p>
              </w:tc>
              <w:tc>
                <w:tcPr>
                  <w:tcW w:w="696" w:type="pct"/>
                  <w:noWrap w:val="0"/>
                  <w:vAlign w:val="center"/>
                </w:tcPr>
                <w:p w14:paraId="5B4E060D">
                  <w:pPr>
                    <w:widowControl/>
                    <w:jc w:val="center"/>
                    <w:textAlignment w:val="center"/>
                    <w:rPr>
                      <w:rFonts w:hint="default" w:eastAsia="宋体"/>
                      <w:sz w:val="21"/>
                      <w:szCs w:val="21"/>
                      <w:u w:val="none"/>
                      <w:lang w:val="en-US" w:eastAsia="zh-CN"/>
                    </w:rPr>
                  </w:pPr>
                  <w:r>
                    <w:rPr>
                      <w:rFonts w:hint="eastAsia"/>
                      <w:sz w:val="21"/>
                      <w:szCs w:val="21"/>
                      <w:u w:val="none"/>
                      <w:lang w:val="en-US" w:eastAsia="zh-CN"/>
                    </w:rPr>
                    <w:t>60342</w:t>
                  </w:r>
                </w:p>
              </w:tc>
              <w:tc>
                <w:tcPr>
                  <w:tcW w:w="720" w:type="pct"/>
                  <w:noWrap w:val="0"/>
                  <w:vAlign w:val="center"/>
                </w:tcPr>
                <w:p w14:paraId="37F570B5">
                  <w:pPr>
                    <w:widowControl/>
                    <w:jc w:val="center"/>
                    <w:textAlignment w:val="center"/>
                    <w:rPr>
                      <w:rFonts w:hint="default" w:eastAsia="宋体"/>
                      <w:sz w:val="21"/>
                      <w:szCs w:val="21"/>
                      <w:u w:val="none"/>
                      <w:lang w:val="en-US" w:eastAsia="zh-CN"/>
                    </w:rPr>
                  </w:pPr>
                  <w:r>
                    <w:rPr>
                      <w:rFonts w:hint="eastAsia"/>
                      <w:sz w:val="21"/>
                      <w:szCs w:val="21"/>
                      <w:u w:val="none"/>
                      <w:lang w:val="en-US" w:eastAsia="zh-CN"/>
                    </w:rPr>
                    <w:t>58200</w:t>
                  </w:r>
                </w:p>
              </w:tc>
              <w:tc>
                <w:tcPr>
                  <w:tcW w:w="585" w:type="pct"/>
                  <w:noWrap w:val="0"/>
                  <w:vAlign w:val="center"/>
                </w:tcPr>
                <w:p w14:paraId="18A88426">
                  <w:pPr>
                    <w:widowControl/>
                    <w:jc w:val="center"/>
                    <w:textAlignment w:val="center"/>
                    <w:rPr>
                      <w:rFonts w:hint="default" w:eastAsia="宋体"/>
                      <w:sz w:val="21"/>
                      <w:szCs w:val="21"/>
                      <w:u w:val="none"/>
                      <w:lang w:val="en-US" w:eastAsia="zh-CN"/>
                    </w:rPr>
                  </w:pPr>
                  <w:r>
                    <w:rPr>
                      <w:rFonts w:hint="eastAsia"/>
                      <w:sz w:val="21"/>
                      <w:szCs w:val="21"/>
                      <w:u w:val="none"/>
                      <w:lang w:val="en-US" w:eastAsia="zh-CN"/>
                    </w:rPr>
                    <w:t>2142</w:t>
                  </w:r>
                </w:p>
              </w:tc>
              <w:tc>
                <w:tcPr>
                  <w:tcW w:w="589" w:type="pct"/>
                  <w:noWrap w:val="0"/>
                  <w:vAlign w:val="center"/>
                </w:tcPr>
                <w:p w14:paraId="0A9F7B43">
                  <w:pPr>
                    <w:widowControl/>
                    <w:jc w:val="center"/>
                    <w:textAlignment w:val="center"/>
                    <w:rPr>
                      <w:rFonts w:hint="default" w:eastAsia="宋体"/>
                      <w:sz w:val="21"/>
                      <w:szCs w:val="21"/>
                      <w:u w:val="none"/>
                      <w:lang w:val="en-US" w:eastAsia="zh-CN"/>
                    </w:rPr>
                  </w:pPr>
                  <w:r>
                    <w:rPr>
                      <w:rFonts w:hint="eastAsia"/>
                      <w:sz w:val="21"/>
                      <w:szCs w:val="21"/>
                      <w:u w:val="none"/>
                      <w:lang w:val="en-US" w:eastAsia="zh-CN"/>
                    </w:rPr>
                    <w:t>273.6</w:t>
                  </w:r>
                </w:p>
              </w:tc>
            </w:tr>
          </w:tbl>
          <w:p w14:paraId="647E1037">
            <w:pPr>
              <w:spacing w:line="360" w:lineRule="auto"/>
              <w:ind w:firstLine="480" w:firstLineChars="200"/>
              <w:rPr>
                <w:u w:val="none"/>
              </w:rPr>
            </w:pPr>
            <w:r>
              <w:rPr>
                <w:u w:val="none"/>
              </w:rPr>
              <w:t>（</w:t>
            </w:r>
            <w:r>
              <w:rPr>
                <w:rFonts w:hint="eastAsia"/>
                <w:u w:val="none"/>
              </w:rPr>
              <w:t>2</w:t>
            </w:r>
            <w:r>
              <w:rPr>
                <w:u w:val="none"/>
              </w:rPr>
              <w:t>）排水</w:t>
            </w:r>
          </w:p>
          <w:p w14:paraId="3527D1C6">
            <w:pPr>
              <w:widowControl/>
              <w:spacing w:line="360" w:lineRule="auto"/>
              <w:ind w:firstLine="480" w:firstLineChars="200"/>
              <w:jc w:val="left"/>
              <w:rPr>
                <w:rFonts w:hint="eastAsia" w:ascii="Times New Roman" w:hAnsi="Times New Roman" w:eastAsia="宋体" w:cs="Times New Roman"/>
                <w:color w:val="auto"/>
                <w:kern w:val="2"/>
                <w:sz w:val="24"/>
                <w:szCs w:val="24"/>
                <w:u w:val="none"/>
                <w:lang w:val="en-US" w:eastAsia="zh-CN" w:bidi="ar"/>
              </w:rPr>
            </w:pPr>
            <w:r>
              <w:rPr>
                <w:rFonts w:hint="eastAsia" w:cs="Times New Roman"/>
                <w:color w:val="auto"/>
                <w:kern w:val="2"/>
                <w:sz w:val="24"/>
                <w:szCs w:val="24"/>
                <w:u w:val="none"/>
                <w:lang w:val="en-US" w:eastAsia="zh-CN" w:bidi="ar"/>
              </w:rPr>
              <w:t>本项目已做好雨污分流，雨水经雨水渠排入园区雨水管网；</w:t>
            </w:r>
            <w:r>
              <w:rPr>
                <w:rFonts w:hint="eastAsia" w:ascii="Times New Roman" w:hAnsi="Times New Roman" w:eastAsia="宋体" w:cs="Times New Roman"/>
                <w:color w:val="auto"/>
                <w:kern w:val="2"/>
                <w:sz w:val="24"/>
                <w:szCs w:val="24"/>
                <w:u w:val="none"/>
                <w:lang w:val="en-US" w:eastAsia="zh-CN" w:bidi="ar"/>
              </w:rPr>
              <w:t>本项目无生产废水排放，生活</w:t>
            </w:r>
            <w:r>
              <w:rPr>
                <w:rFonts w:hint="eastAsia" w:cs="Times New Roman"/>
                <w:color w:val="auto"/>
                <w:kern w:val="2"/>
                <w:sz w:val="24"/>
                <w:szCs w:val="24"/>
                <w:u w:val="none"/>
                <w:lang w:val="en-US" w:eastAsia="zh-CN" w:bidi="ar"/>
              </w:rPr>
              <w:t>废水经</w:t>
            </w:r>
            <w:r>
              <w:rPr>
                <w:rFonts w:hint="eastAsia" w:ascii="Times New Roman" w:hAnsi="Times New Roman" w:eastAsia="宋体" w:cs="Times New Roman"/>
                <w:color w:val="auto"/>
                <w:kern w:val="2"/>
                <w:sz w:val="24"/>
                <w:szCs w:val="24"/>
                <w:u w:val="none"/>
                <w:lang w:val="en-US" w:eastAsia="zh-CN" w:bidi="ar"/>
              </w:rPr>
              <w:t>化粪池处理达到《污水综合排放标准》（GB8978-1996）中三级标准后排入园区污水管网，经园区污水管网再排入</w:t>
            </w:r>
            <w:r>
              <w:rPr>
                <w:rFonts w:hint="eastAsia" w:cs="Times New Roman"/>
                <w:color w:val="auto"/>
                <w:u w:val="none"/>
                <w:lang w:eastAsia="zh-CN" w:bidi="ar"/>
              </w:rPr>
              <w:t>岳阳市三峡水环境综合治理有限责任公司临港水质净化厂</w:t>
            </w:r>
            <w:r>
              <w:rPr>
                <w:rFonts w:hint="eastAsia" w:ascii="Times New Roman" w:hAnsi="Times New Roman" w:eastAsia="宋体" w:cs="Times New Roman"/>
                <w:color w:val="auto"/>
                <w:kern w:val="2"/>
                <w:sz w:val="24"/>
                <w:szCs w:val="24"/>
                <w:u w:val="none"/>
                <w:lang w:val="en-US" w:eastAsia="zh-CN" w:bidi="ar"/>
              </w:rPr>
              <w:t>进行处理。</w:t>
            </w:r>
          </w:p>
          <w:p w14:paraId="6FF72C39">
            <w:pPr>
              <w:pStyle w:val="12"/>
              <w:spacing w:before="0" w:after="0" w:line="360" w:lineRule="auto"/>
              <w:ind w:left="0" w:leftChars="0" w:right="0" w:firstLine="480" w:firstLineChars="200"/>
              <w:rPr>
                <w:rFonts w:hint="default"/>
                <w:lang w:val="en-US"/>
              </w:rPr>
            </w:pPr>
            <w:r>
              <w:rPr>
                <w:rFonts w:hint="eastAsia" w:cs="Times New Roman"/>
                <w:color w:val="auto"/>
                <w:kern w:val="2"/>
                <w:sz w:val="24"/>
                <w:szCs w:val="24"/>
                <w:u w:val="none"/>
                <w:lang w:val="en-US" w:eastAsia="zh-CN" w:bidi="ar"/>
              </w:rPr>
              <w:t>根据建设单位提供的资料，本项目蒸汽用量为6500t，损耗量约为20%，因此产生的冷凝水约为5200t/a，</w:t>
            </w:r>
            <w:r>
              <w:rPr>
                <w:rFonts w:hint="eastAsia"/>
                <w:color w:val="auto"/>
                <w:kern w:val="2"/>
                <w:sz w:val="24"/>
                <w:szCs w:val="24"/>
                <w:u w:val="none"/>
                <w:lang w:bidi="ar"/>
              </w:rPr>
              <w:t>排入岳阳市三峡水环境综合治理有限责任公司临港水质净化厂进行处理。</w:t>
            </w:r>
          </w:p>
          <w:p w14:paraId="1B129005">
            <w:pPr>
              <w:pStyle w:val="41"/>
              <w:rPr>
                <w:u w:val="none"/>
              </w:rPr>
            </w:pPr>
            <w:r>
              <w:rPr>
                <w:u w:val="none"/>
              </w:rPr>
              <mc:AlternateContent>
                <mc:Choice Requires="wpc">
                  <w:drawing>
                    <wp:inline distT="0" distB="0" distL="114300" distR="114300">
                      <wp:extent cx="5180330" cy="2165985"/>
                      <wp:effectExtent l="0" t="0" r="0" b="0"/>
                      <wp:docPr id="19" name="画布 2"/>
                      <wp:cNvGraphicFramePr/>
                      <a:graphic xmlns:a="http://schemas.openxmlformats.org/drawingml/2006/main">
                        <a:graphicData uri="http://schemas.microsoft.com/office/word/2010/wordprocessingCanvas">
                          <wpc:wpc>
                            <wpc:bg>
                              <a:noFill/>
                            </wpc:bg>
                            <wpc:whole>
                              <a:ln>
                                <a:noFill/>
                              </a:ln>
                            </wpc:whole>
                            <wps:wsp>
                              <wps:cNvPr id="1" name="矩形 3"/>
                              <wps:cNvSpPr/>
                              <wps:spPr>
                                <a:xfrm>
                                  <a:off x="90805" y="1064260"/>
                                  <a:ext cx="603885" cy="2755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4504FC">
                                    <w:pPr>
                                      <w:jc w:val="center"/>
                                    </w:pPr>
                                    <w:r>
                                      <w:rPr>
                                        <w:rFonts w:hint="eastAsia"/>
                                      </w:rPr>
                                      <w:t>水</w:t>
                                    </w:r>
                                  </w:p>
                                </w:txbxContent>
                              </wps:txbx>
                              <wps:bodyPr upright="1"/>
                            </wps:wsp>
                            <wps:wsp>
                              <wps:cNvPr id="7" name="文本框 4"/>
                              <wps:cNvSpPr txBox="1"/>
                              <wps:spPr>
                                <a:xfrm>
                                  <a:off x="1600835" y="28575"/>
                                  <a:ext cx="879475" cy="267970"/>
                                </a:xfrm>
                                <a:prstGeom prst="rect">
                                  <a:avLst/>
                                </a:prstGeom>
                                <a:noFill/>
                                <a:ln>
                                  <a:noFill/>
                                </a:ln>
                              </wps:spPr>
                              <wps:txbx>
                                <w:txbxContent>
                                  <w:p w14:paraId="35DBAC1B">
                                    <w:pPr>
                                      <w:jc w:val="center"/>
                                    </w:pPr>
                                    <w:r>
                                      <w:rPr>
                                        <w:rFonts w:hint="eastAsia"/>
                                      </w:rPr>
                                      <w:t>损耗</w:t>
                                    </w:r>
                                  </w:p>
                                </w:txbxContent>
                              </wps:txbx>
                              <wps:bodyPr upright="1"/>
                            </wps:wsp>
                            <wps:wsp>
                              <wps:cNvPr id="8" name="文本框 5"/>
                              <wps:cNvSpPr txBox="1"/>
                              <wps:spPr>
                                <a:xfrm>
                                  <a:off x="1409700" y="302895"/>
                                  <a:ext cx="628650" cy="266700"/>
                                </a:xfrm>
                                <a:prstGeom prst="rect">
                                  <a:avLst/>
                                </a:prstGeom>
                                <a:noFill/>
                                <a:ln>
                                  <a:noFill/>
                                </a:ln>
                              </wps:spPr>
                              <wps:txbx>
                                <w:txbxContent>
                                  <w:p w14:paraId="4B92C159">
                                    <w:pPr>
                                      <w:jc w:val="center"/>
                                      <w:rPr>
                                        <w:rFonts w:hint="default"/>
                                        <w:lang w:val="en-US"/>
                                      </w:rPr>
                                    </w:pPr>
                                    <w:r>
                                      <w:rPr>
                                        <w:rFonts w:hint="eastAsia"/>
                                        <w:lang w:val="en-US" w:eastAsia="zh-CN"/>
                                      </w:rPr>
                                      <w:t>68.4</w:t>
                                    </w:r>
                                  </w:p>
                                </w:txbxContent>
                              </wps:txbx>
                              <wps:bodyPr upright="1"/>
                            </wps:wsp>
                            <wps:wsp>
                              <wps:cNvPr id="9" name="文本框 6"/>
                              <wps:cNvSpPr txBox="1"/>
                              <wps:spPr>
                                <a:xfrm>
                                  <a:off x="878205" y="448310"/>
                                  <a:ext cx="619125" cy="266700"/>
                                </a:xfrm>
                                <a:prstGeom prst="rect">
                                  <a:avLst/>
                                </a:prstGeom>
                                <a:noFill/>
                                <a:ln>
                                  <a:noFill/>
                                </a:ln>
                              </wps:spPr>
                              <wps:txbx>
                                <w:txbxContent>
                                  <w:p w14:paraId="46ACDB83">
                                    <w:pPr>
                                      <w:jc w:val="center"/>
                                      <w:rPr>
                                        <w:rFonts w:hint="default"/>
                                        <w:lang w:val="en-US"/>
                                      </w:rPr>
                                    </w:pPr>
                                    <w:r>
                                      <w:rPr>
                                        <w:rFonts w:hint="eastAsia"/>
                                        <w:lang w:val="en-US" w:eastAsia="zh-CN"/>
                                      </w:rPr>
                                      <w:t>342</w:t>
                                    </w:r>
                                  </w:p>
                                </w:txbxContent>
                              </wps:txbx>
                              <wps:bodyPr upright="1"/>
                            </wps:wsp>
                            <wps:wsp>
                              <wps:cNvPr id="12" name="自选图形 10"/>
                              <wps:cNvCnPr/>
                              <wps:spPr>
                                <a:xfrm flipV="1">
                                  <a:off x="1855470" y="266700"/>
                                  <a:ext cx="151130" cy="259715"/>
                                </a:xfrm>
                                <a:prstGeom prst="straightConnector1">
                                  <a:avLst/>
                                </a:prstGeom>
                                <a:ln w="9525" cap="flat" cmpd="sng">
                                  <a:solidFill>
                                    <a:srgbClr val="000000"/>
                                  </a:solidFill>
                                  <a:prstDash val="dash"/>
                                  <a:headEnd type="none" w="med" len="med"/>
                                  <a:tailEnd type="arrow" w="med" len="med"/>
                                </a:ln>
                              </wps:spPr>
                              <wps:bodyPr/>
                            </wps:wsp>
                            <wps:wsp>
                              <wps:cNvPr id="13" name="矩形 13"/>
                              <wps:cNvSpPr/>
                              <wps:spPr>
                                <a:xfrm>
                                  <a:off x="1403350" y="541655"/>
                                  <a:ext cx="80899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06A780">
                                    <w:pPr>
                                      <w:jc w:val="center"/>
                                      <w:rPr>
                                        <w:rFonts w:hint="default" w:eastAsia="宋体"/>
                                        <w:lang w:val="en-US" w:eastAsia="zh-CN"/>
                                      </w:rPr>
                                    </w:pPr>
                                    <w:r>
                                      <w:rPr>
                                        <w:rFonts w:hint="eastAsia"/>
                                        <w:lang w:val="en-US" w:eastAsia="zh-CN"/>
                                      </w:rPr>
                                      <w:t>生活用水</w:t>
                                    </w:r>
                                  </w:p>
                                </w:txbxContent>
                              </wps:txbx>
                              <wps:bodyPr upright="1"/>
                            </wps:wsp>
                            <wps:wsp>
                              <wps:cNvPr id="14" name="文本框 14"/>
                              <wps:cNvSpPr txBox="1"/>
                              <wps:spPr>
                                <a:xfrm>
                                  <a:off x="2056130" y="434340"/>
                                  <a:ext cx="697230" cy="266700"/>
                                </a:xfrm>
                                <a:prstGeom prst="rect">
                                  <a:avLst/>
                                </a:prstGeom>
                                <a:noFill/>
                                <a:ln>
                                  <a:noFill/>
                                </a:ln>
                              </wps:spPr>
                              <wps:txbx>
                                <w:txbxContent>
                                  <w:p w14:paraId="5AA7DF30">
                                    <w:pPr>
                                      <w:jc w:val="center"/>
                                      <w:rPr>
                                        <w:rFonts w:hint="default"/>
                                        <w:lang w:val="en-US"/>
                                      </w:rPr>
                                    </w:pPr>
                                    <w:r>
                                      <w:rPr>
                                        <w:rFonts w:hint="eastAsia"/>
                                        <w:lang w:val="en-US" w:eastAsia="zh-CN"/>
                                      </w:rPr>
                                      <w:t>273.6</w:t>
                                    </w:r>
                                  </w:p>
                                </w:txbxContent>
                              </wps:txbx>
                              <wps:bodyPr upright="1"/>
                            </wps:wsp>
                            <wps:wsp>
                              <wps:cNvPr id="15" name="矩形 29"/>
                              <wps:cNvSpPr/>
                              <wps:spPr>
                                <a:xfrm>
                                  <a:off x="2590800" y="534035"/>
                                  <a:ext cx="838200" cy="34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951EBF">
                                    <w:pPr>
                                      <w:jc w:val="center"/>
                                      <w:rPr>
                                        <w:rFonts w:hint="default" w:eastAsia="宋体"/>
                                        <w:lang w:val="en-US" w:eastAsia="zh-CN"/>
                                      </w:rPr>
                                    </w:pPr>
                                    <w:r>
                                      <w:rPr>
                                        <w:rFonts w:hint="eastAsia"/>
                                        <w:lang w:val="en-US" w:eastAsia="zh-CN"/>
                                      </w:rPr>
                                      <w:t>化粪池</w:t>
                                    </w:r>
                                  </w:p>
                                </w:txbxContent>
                              </wps:txbx>
                              <wps:bodyPr upright="1"/>
                            </wps:wsp>
                            <wps:wsp>
                              <wps:cNvPr id="16" name="矩形 30"/>
                              <wps:cNvSpPr/>
                              <wps:spPr>
                                <a:xfrm>
                                  <a:off x="3815715" y="238760"/>
                                  <a:ext cx="1299845" cy="9486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980391">
                                    <w:pPr>
                                      <w:jc w:val="center"/>
                                      <w:rPr>
                                        <w:rFonts w:hint="eastAsia" w:eastAsia="宋体"/>
                                        <w:lang w:val="en-US" w:eastAsia="zh-CN"/>
                                      </w:rPr>
                                    </w:pPr>
                                    <w:r>
                                      <w:rPr>
                                        <w:rFonts w:hint="eastAsia" w:cs="Times New Roman"/>
                                        <w:color w:val="auto"/>
                                        <w:u w:val="none"/>
                                        <w:lang w:eastAsia="zh-CN" w:bidi="ar"/>
                                      </w:rPr>
                                      <w:t>岳阳市三峡水环境综合治理有限责任公司临港水质净化厂</w:t>
                                    </w:r>
                                  </w:p>
                                </w:txbxContent>
                              </wps:txbx>
                              <wps:bodyPr upright="1"/>
                            </wps:wsp>
                            <wps:wsp>
                              <wps:cNvPr id="18" name="文本框 32"/>
                              <wps:cNvSpPr txBox="1"/>
                              <wps:spPr>
                                <a:xfrm>
                                  <a:off x="890270" y="1429385"/>
                                  <a:ext cx="660400" cy="266700"/>
                                </a:xfrm>
                                <a:prstGeom prst="rect">
                                  <a:avLst/>
                                </a:prstGeom>
                                <a:noFill/>
                                <a:ln>
                                  <a:noFill/>
                                </a:ln>
                              </wps:spPr>
                              <wps:txbx>
                                <w:txbxContent>
                                  <w:p w14:paraId="0C45B9F3">
                                    <w:pPr>
                                      <w:jc w:val="center"/>
                                      <w:rPr>
                                        <w:rFonts w:hint="default"/>
                                        <w:lang w:val="en-US"/>
                                      </w:rPr>
                                    </w:pPr>
                                    <w:r>
                                      <w:rPr>
                                        <w:rFonts w:hint="eastAsia"/>
                                        <w:lang w:val="en-US" w:eastAsia="zh-CN"/>
                                      </w:rPr>
                                      <w:t>1800</w:t>
                                    </w:r>
                                  </w:p>
                                </w:txbxContent>
                              </wps:txbx>
                              <wps:bodyPr upright="1"/>
                            </wps:wsp>
                            <wps:wsp>
                              <wps:cNvPr id="54" name="矩形 54"/>
                              <wps:cNvSpPr/>
                              <wps:spPr>
                                <a:xfrm>
                                  <a:off x="1403350" y="1529715"/>
                                  <a:ext cx="98933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9118ED">
                                    <w:pPr>
                                      <w:jc w:val="center"/>
                                      <w:rPr>
                                        <w:rFonts w:hint="default" w:eastAsia="宋体"/>
                                        <w:lang w:val="en-US" w:eastAsia="zh-CN"/>
                                      </w:rPr>
                                    </w:pPr>
                                    <w:r>
                                      <w:rPr>
                                        <w:rFonts w:hint="eastAsia"/>
                                        <w:lang w:val="en-US" w:eastAsia="zh-CN"/>
                                      </w:rPr>
                                      <w:t>冷却循环水</w:t>
                                    </w:r>
                                  </w:p>
                                </w:txbxContent>
                              </wps:txbx>
                              <wps:bodyPr upright="1"/>
                            </wps:wsp>
                            <wps:wsp>
                              <wps:cNvPr id="57" name="肘形连接符 57"/>
                              <wps:cNvCnPr>
                                <a:stCxn id="1" idx="3"/>
                                <a:endCxn id="13" idx="1"/>
                              </wps:cNvCnPr>
                              <wps:spPr>
                                <a:xfrm flipV="1">
                                  <a:off x="694690" y="694055"/>
                                  <a:ext cx="708660" cy="508000"/>
                                </a:xfrm>
                                <a:prstGeom prst="bentConnector3">
                                  <a:avLst>
                                    <a:gd name="adj1" fmla="val 50000"/>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8" name="肘形连接符 58"/>
                              <wps:cNvCnPr>
                                <a:stCxn id="1" idx="3"/>
                                <a:endCxn id="54" idx="1"/>
                              </wps:cNvCnPr>
                              <wps:spPr>
                                <a:xfrm>
                                  <a:off x="694690" y="1202055"/>
                                  <a:ext cx="708660" cy="480060"/>
                                </a:xfrm>
                                <a:prstGeom prst="bentConnector3">
                                  <a:avLst>
                                    <a:gd name="adj1" fmla="val 50000"/>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9" name="直接箭头连接符 59"/>
                              <wps:cNvCnPr>
                                <a:stCxn id="13" idx="3"/>
                                <a:endCxn id="15" idx="1"/>
                              </wps:cNvCnPr>
                              <wps:spPr>
                                <a:xfrm>
                                  <a:off x="2212340" y="694055"/>
                                  <a:ext cx="378460" cy="1079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0" name="直接箭头连接符 60"/>
                              <wps:cNvCnPr>
                                <a:stCxn id="15" idx="3"/>
                                <a:endCxn id="16" idx="1"/>
                              </wps:cNvCnPr>
                              <wps:spPr>
                                <a:xfrm>
                                  <a:off x="3429000" y="704850"/>
                                  <a:ext cx="386715" cy="825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2" name="文本框 62"/>
                              <wps:cNvSpPr txBox="1"/>
                              <wps:spPr>
                                <a:xfrm>
                                  <a:off x="3294380" y="453390"/>
                                  <a:ext cx="668655" cy="266700"/>
                                </a:xfrm>
                                <a:prstGeom prst="rect">
                                  <a:avLst/>
                                </a:prstGeom>
                                <a:noFill/>
                                <a:ln>
                                  <a:noFill/>
                                </a:ln>
                              </wps:spPr>
                              <wps:txbx>
                                <w:txbxContent>
                                  <w:p w14:paraId="7BC209E7">
                                    <w:pPr>
                                      <w:jc w:val="center"/>
                                      <w:rPr>
                                        <w:rFonts w:hint="default"/>
                                        <w:lang w:val="en-US"/>
                                      </w:rPr>
                                    </w:pPr>
                                    <w:r>
                                      <w:rPr>
                                        <w:rFonts w:hint="eastAsia"/>
                                        <w:lang w:val="en-US" w:eastAsia="zh-CN"/>
                                      </w:rPr>
                                      <w:t>273.6</w:t>
                                    </w:r>
                                  </w:p>
                                  <w:p w14:paraId="780B2B28">
                                    <w:pPr>
                                      <w:jc w:val="center"/>
                                      <w:rPr>
                                        <w:rFonts w:hint="default"/>
                                        <w:lang w:val="en-US"/>
                                      </w:rPr>
                                    </w:pPr>
                                  </w:p>
                                </w:txbxContent>
                              </wps:txbx>
                              <wps:bodyPr upright="1"/>
                            </wps:wsp>
                            <wps:wsp>
                              <wps:cNvPr id="63" name="文本框 4"/>
                              <wps:cNvSpPr txBox="1"/>
                              <wps:spPr>
                                <a:xfrm>
                                  <a:off x="1689735" y="974090"/>
                                  <a:ext cx="879475" cy="267970"/>
                                </a:xfrm>
                                <a:prstGeom prst="rect">
                                  <a:avLst/>
                                </a:prstGeom>
                                <a:noFill/>
                                <a:ln>
                                  <a:noFill/>
                                </a:ln>
                              </wps:spPr>
                              <wps:txbx>
                                <w:txbxContent>
                                  <w:p w14:paraId="10502992">
                                    <w:pPr>
                                      <w:jc w:val="center"/>
                                    </w:pPr>
                                    <w:r>
                                      <w:rPr>
                                        <w:rFonts w:hint="eastAsia"/>
                                      </w:rPr>
                                      <w:t>损耗</w:t>
                                    </w:r>
                                  </w:p>
                                </w:txbxContent>
                              </wps:txbx>
                              <wps:bodyPr upright="1"/>
                            </wps:wsp>
                            <wps:wsp>
                              <wps:cNvPr id="64" name="自选图形 10"/>
                              <wps:cNvCnPr/>
                              <wps:spPr>
                                <a:xfrm flipV="1">
                                  <a:off x="1936115" y="1254760"/>
                                  <a:ext cx="151130" cy="259715"/>
                                </a:xfrm>
                                <a:prstGeom prst="straightConnector1">
                                  <a:avLst/>
                                </a:prstGeom>
                                <a:ln w="9525" cap="flat" cmpd="sng">
                                  <a:solidFill>
                                    <a:srgbClr val="000000"/>
                                  </a:solidFill>
                                  <a:prstDash val="dash"/>
                                  <a:headEnd type="none" w="med" len="med"/>
                                  <a:tailEnd type="arrow" w="med" len="med"/>
                                </a:ln>
                              </wps:spPr>
                              <wps:bodyPr/>
                            </wps:wsp>
                            <wps:wsp>
                              <wps:cNvPr id="65" name="文本框 32"/>
                              <wps:cNvSpPr txBox="1"/>
                              <wps:spPr>
                                <a:xfrm>
                                  <a:off x="1428750" y="1284605"/>
                                  <a:ext cx="660400" cy="266700"/>
                                </a:xfrm>
                                <a:prstGeom prst="rect">
                                  <a:avLst/>
                                </a:prstGeom>
                                <a:noFill/>
                                <a:ln>
                                  <a:noFill/>
                                </a:ln>
                              </wps:spPr>
                              <wps:txbx>
                                <w:txbxContent>
                                  <w:p w14:paraId="3F812048">
                                    <w:pPr>
                                      <w:jc w:val="center"/>
                                      <w:rPr>
                                        <w:rFonts w:hint="default"/>
                                        <w:lang w:val="en-US"/>
                                      </w:rPr>
                                    </w:pPr>
                                    <w:r>
                                      <w:rPr>
                                        <w:rFonts w:hint="eastAsia"/>
                                        <w:lang w:val="en-US" w:eastAsia="zh-CN"/>
                                      </w:rPr>
                                      <w:t>1800</w:t>
                                    </w:r>
                                  </w:p>
                                </w:txbxContent>
                              </wps:txbx>
                              <wps:bodyPr upright="1"/>
                            </wps:wsp>
                            <wps:wsp>
                              <wps:cNvPr id="67" name="肘形连接符 67"/>
                              <wps:cNvCnPr>
                                <a:stCxn id="54" idx="3"/>
                                <a:endCxn id="54" idx="2"/>
                              </wps:cNvCnPr>
                              <wps:spPr>
                                <a:xfrm flipH="1">
                                  <a:off x="1898015" y="1682115"/>
                                  <a:ext cx="494665" cy="152400"/>
                                </a:xfrm>
                                <a:prstGeom prst="bentConnector4">
                                  <a:avLst>
                                    <a:gd name="adj1" fmla="val -48139"/>
                                    <a:gd name="adj2" fmla="val 256250"/>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8" name="文本框 32"/>
                              <wps:cNvSpPr txBox="1"/>
                              <wps:spPr>
                                <a:xfrm>
                                  <a:off x="1941830" y="1824990"/>
                                  <a:ext cx="660400" cy="266700"/>
                                </a:xfrm>
                                <a:prstGeom prst="rect">
                                  <a:avLst/>
                                </a:prstGeom>
                                <a:noFill/>
                                <a:ln>
                                  <a:noFill/>
                                </a:ln>
                              </wps:spPr>
                              <wps:txbx>
                                <w:txbxContent>
                                  <w:p w14:paraId="4B87711B">
                                    <w:pPr>
                                      <w:jc w:val="center"/>
                                      <w:rPr>
                                        <w:rFonts w:hint="default"/>
                                        <w:lang w:val="en-US"/>
                                      </w:rPr>
                                    </w:pPr>
                                    <w:r>
                                      <w:rPr>
                                        <w:rFonts w:hint="eastAsia"/>
                                        <w:lang w:val="en-US" w:eastAsia="zh-CN"/>
                                      </w:rPr>
                                      <w:t>58200</w:t>
                                    </w:r>
                                  </w:p>
                                </w:txbxContent>
                              </wps:txbx>
                              <wps:bodyPr upright="1"/>
                            </wps:wsp>
                            <wps:wsp>
                              <wps:cNvPr id="38" name="文本框 32"/>
                              <wps:cNvSpPr txBox="1"/>
                              <wps:spPr>
                                <a:xfrm>
                                  <a:off x="541655" y="986790"/>
                                  <a:ext cx="660400" cy="266700"/>
                                </a:xfrm>
                                <a:prstGeom prst="rect">
                                  <a:avLst/>
                                </a:prstGeom>
                                <a:noFill/>
                                <a:ln>
                                  <a:noFill/>
                                </a:ln>
                              </wps:spPr>
                              <wps:txbx>
                                <w:txbxContent>
                                  <w:p w14:paraId="2046D5D2">
                                    <w:pPr>
                                      <w:jc w:val="center"/>
                                      <w:rPr>
                                        <w:rFonts w:hint="default"/>
                                        <w:lang w:val="en-US"/>
                                      </w:rPr>
                                    </w:pPr>
                                    <w:r>
                                      <w:rPr>
                                        <w:rFonts w:hint="eastAsia"/>
                                        <w:lang w:val="en-US" w:eastAsia="zh-CN"/>
                                      </w:rPr>
                                      <w:t>2142</w:t>
                                    </w:r>
                                  </w:p>
                                </w:txbxContent>
                              </wps:txbx>
                              <wps:bodyPr upright="1"/>
                            </wps:wsp>
                            <wps:wsp>
                              <wps:cNvPr id="11" name="矩形 29"/>
                              <wps:cNvSpPr/>
                              <wps:spPr>
                                <a:xfrm>
                                  <a:off x="4053205" y="1649095"/>
                                  <a:ext cx="838200" cy="34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73A4E5">
                                    <w:pPr>
                                      <w:jc w:val="center"/>
                                      <w:rPr>
                                        <w:rFonts w:hint="default" w:eastAsia="宋体"/>
                                        <w:lang w:val="en-US" w:eastAsia="zh-CN"/>
                                      </w:rPr>
                                    </w:pPr>
                                    <w:r>
                                      <w:rPr>
                                        <w:rFonts w:hint="eastAsia"/>
                                        <w:lang w:val="en-US" w:eastAsia="zh-CN"/>
                                      </w:rPr>
                                      <w:t>冷凝水</w:t>
                                    </w:r>
                                  </w:p>
                                </w:txbxContent>
                              </wps:txbx>
                              <wps:bodyPr upright="1"/>
                            </wps:wsp>
                            <wps:wsp>
                              <wps:cNvPr id="43" name="文本框 43"/>
                              <wps:cNvSpPr txBox="1"/>
                              <wps:spPr>
                                <a:xfrm>
                                  <a:off x="3975100" y="1344930"/>
                                  <a:ext cx="668655" cy="266700"/>
                                </a:xfrm>
                                <a:prstGeom prst="rect">
                                  <a:avLst/>
                                </a:prstGeom>
                                <a:noFill/>
                                <a:ln>
                                  <a:noFill/>
                                </a:ln>
                              </wps:spPr>
                              <wps:txbx>
                                <w:txbxContent>
                                  <w:p w14:paraId="3D218533">
                                    <w:pPr>
                                      <w:jc w:val="center"/>
                                      <w:rPr>
                                        <w:rFonts w:hint="default"/>
                                        <w:lang w:val="en-US"/>
                                      </w:rPr>
                                    </w:pPr>
                                    <w:r>
                                      <w:rPr>
                                        <w:rFonts w:hint="eastAsia"/>
                                        <w:lang w:val="en-US" w:eastAsia="zh-CN"/>
                                      </w:rPr>
                                      <w:t>5200</w:t>
                                    </w:r>
                                  </w:p>
                                </w:txbxContent>
                              </wps:txbx>
                              <wps:bodyPr upright="1"/>
                            </wps:wsp>
                            <wps:wsp>
                              <wps:cNvPr id="44" name="直接箭头连接符 44"/>
                              <wps:cNvCnPr>
                                <a:stCxn id="11" idx="0"/>
                                <a:endCxn id="16" idx="2"/>
                              </wps:cNvCnPr>
                              <wps:spPr>
                                <a:xfrm flipH="1" flipV="1">
                                  <a:off x="4465955" y="1187450"/>
                                  <a:ext cx="6350" cy="46164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c:wpc>
                        </a:graphicData>
                      </a:graphic>
                    </wp:inline>
                  </w:drawing>
                </mc:Choice>
                <mc:Fallback>
                  <w:pict>
                    <v:group id="画布 2" o:spid="_x0000_s1026" o:spt="203" style="height:170.55pt;width:407.9pt;" coordsize="5180330,2165985" editas="canvas" o:gfxdata="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">
                      <o:lock v:ext="edit" aspectratio="f"/>
                      <v:shape id="画布 2" o:spid="_x0000_s1026" style="position:absolute;left:0;top:0;height:2165985;width:5180330;" filled="f" stroked="f" coordsize="21600,21600" o:gfxdata="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">
                        <v:fill on="f" focussize="0,0"/>
                        <v:stroke on="f"/>
                        <v:imagedata o:title=""/>
                        <o:lock v:ext="edit" aspectratio="f"/>
                      </v:shape>
                      <v:rect id="矩形 3" o:spid="_x0000_s1026" o:spt="1" style="position:absolute;left:90805;top:1064260;height:275590;width:603885;" fillcolor="#FFFFFF" filled="t" stroked="t" coordsize="21600,21600" o:gfxdata="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F5UJ9QAAAAFAQAADwAAAAAAAAABACAAAAAiAAAA&#10;ZHJzL2Rvd25yZXYueG1sUEsBAhQAFAAAAAgAh07iQHfravcLAgAAMgQAAA4AAAAAAAAAAQAgAAAA&#10;IwEAAGRycy9lMm9Eb2MueG1sUEsFBgAAAAAGAAYAWQEAAKAFAAAAAA==&#10;">
                        <v:fill on="t" focussize="0,0"/>
                        <v:stroke color="#000000" joinstyle="miter"/>
                        <v:imagedata o:title=""/>
                        <o:lock v:ext="edit" aspectratio="f"/>
                        <v:textbox>
                          <w:txbxContent>
                            <w:p w14:paraId="764504FC">
                              <w:pPr>
                                <w:jc w:val="center"/>
                              </w:pPr>
                              <w:r>
                                <w:rPr>
                                  <w:rFonts w:hint="eastAsia"/>
                                </w:rPr>
                                <w:t>水</w:t>
                              </w:r>
                            </w:p>
                          </w:txbxContent>
                        </v:textbox>
                      </v:rect>
                      <v:shape id="文本框 4" o:spid="_x0000_s1026" o:spt="202" type="#_x0000_t202" style="position:absolute;left:1600835;top:28575;height:267970;width:879475;" filled="f" stroked="f" coordsize="21600,21600" o:gfxdata="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nh&#10;NzDTAAAABQEAAA8AAAAAAAAAAQAgAAAAIgAAAGRycy9kb3ducmV2LnhtbFBLAQIUABQAAAAIAIdO&#10;4kBA6lL+tgEAAFcDAAAOAAAAAAAAAAEAIAAAACIBAABkcnMvZTJvRG9jLnhtbFBLBQYAAAAABgAG&#10;AFkBAABKBQAAAAA=&#10;">
                        <v:fill on="f" focussize="0,0"/>
                        <v:stroke on="f"/>
                        <v:imagedata o:title=""/>
                        <o:lock v:ext="edit" aspectratio="f"/>
                        <v:textbox>
                          <w:txbxContent>
                            <w:p w14:paraId="35DBAC1B">
                              <w:pPr>
                                <w:jc w:val="center"/>
                              </w:pPr>
                              <w:r>
                                <w:rPr>
                                  <w:rFonts w:hint="eastAsia"/>
                                </w:rPr>
                                <w:t>损耗</w:t>
                              </w:r>
                            </w:p>
                          </w:txbxContent>
                        </v:textbox>
                      </v:shape>
                      <v:shape id="文本框 5" o:spid="_x0000_s1026" o:spt="202" type="#_x0000_t202" style="position:absolute;left:1409700;top:302895;height:266700;width:628650;" filled="f" stroked="f" coordsize="21600,21600" o:gfxdata="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eE3&#10;MNMAAAAFAQAADwAAAAAAAAABACAAAAAiAAAAZHJzL2Rvd25yZXYueG1sUEsBAhQAFAAAAAgAh07i&#10;QIg/ay21AQAAWAMAAA4AAAAAAAAAAQAgAAAAIgEAAGRycy9lMm9Eb2MueG1sUEsFBgAAAAAGAAYA&#10;WQEAAEkFAAAAAA==&#10;">
                        <v:fill on="f" focussize="0,0"/>
                        <v:stroke on="f"/>
                        <v:imagedata o:title=""/>
                        <o:lock v:ext="edit" aspectratio="f"/>
                        <v:textbox>
                          <w:txbxContent>
                            <w:p w14:paraId="4B92C159">
                              <w:pPr>
                                <w:jc w:val="center"/>
                                <w:rPr>
                                  <w:rFonts w:hint="default"/>
                                  <w:lang w:val="en-US"/>
                                </w:rPr>
                              </w:pPr>
                              <w:r>
                                <w:rPr>
                                  <w:rFonts w:hint="eastAsia"/>
                                  <w:lang w:val="en-US" w:eastAsia="zh-CN"/>
                                </w:rPr>
                                <w:t>68.4</w:t>
                              </w:r>
                            </w:p>
                          </w:txbxContent>
                        </v:textbox>
                      </v:shape>
                      <v:shape id="文本框 6" o:spid="_x0000_s1026" o:spt="202" type="#_x0000_t202" style="position:absolute;left:878205;top:448310;height:266700;width:619125;" filled="f" stroked="f" coordsize="21600,21600" o:gfxdata="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nh&#10;NzDTAAAABQEAAA8AAAAAAAAAAQAgAAAAIgAAAGRycy9kb3ducmV2LnhtbFBLAQIUABQAAAAIAIdO&#10;4kA7LO5htgEAAFcDAAAOAAAAAAAAAAEAIAAAACIBAABkcnMvZTJvRG9jLnhtbFBLBQYAAAAABgAG&#10;AFkBAABKBQAAAAA=&#10;">
                        <v:fill on="f" focussize="0,0"/>
                        <v:stroke on="f"/>
                        <v:imagedata o:title=""/>
                        <o:lock v:ext="edit" aspectratio="f"/>
                        <v:textbox>
                          <w:txbxContent>
                            <w:p w14:paraId="46ACDB83">
                              <w:pPr>
                                <w:jc w:val="center"/>
                                <w:rPr>
                                  <w:rFonts w:hint="default"/>
                                  <w:lang w:val="en-US"/>
                                </w:rPr>
                              </w:pPr>
                              <w:r>
                                <w:rPr>
                                  <w:rFonts w:hint="eastAsia"/>
                                  <w:lang w:val="en-US" w:eastAsia="zh-CN"/>
                                </w:rPr>
                                <w:t>342</w:t>
                              </w:r>
                            </w:p>
                          </w:txbxContent>
                        </v:textbox>
                      </v:shape>
                      <v:shape id="自选图形 10" o:spid="_x0000_s1026" o:spt="32" type="#_x0000_t32" style="position:absolute;left:1855470;top:266700;flip:y;height:259715;width:151130;" filled="f" stroked="t" coordsize="21600,21600" o:gfxdata="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vue/TUAAAABQEAAA8AAAAAAAAAAQAgAAAA&#10;IgAAAGRycy9kb3ducmV2LnhtbFBLAQIUABQAAAAIAIdO4kA5Rxb1DwIAAP4DAAAOAAAAAAAAAAEA&#10;IAAAACMBAABkcnMvZTJvRG9jLnhtbFBLBQYAAAAABgAGAFkBAACkBQAAAAA=&#10;">
                        <v:fill on="f" focussize="0,0"/>
                        <v:stroke color="#000000" joinstyle="round" dashstyle="dash" endarrow="open"/>
                        <v:imagedata o:title=""/>
                        <o:lock v:ext="edit" aspectratio="f"/>
                      </v:shape>
                      <v:rect id="_x0000_s1026" o:spid="_x0000_s1026" o:spt="1" style="position:absolute;left:1403350;top:541655;height:304800;width:808990;" fillcolor="#FFFFFF" filled="t" stroked="t" coordsize="21600,21600" o:gfxdata="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F5UJ9QAAAAFAQAADwAAAAAAAAABACAAAAAi&#10;AAAAZHJzL2Rvd25yZXYueG1sUEsBAhQAFAAAAAgAh07iQMNH5LsOAgAANQQAAA4AAAAAAAAAAQAg&#10;AAAAIwEAAGRycy9lMm9Eb2MueG1sUEsFBgAAAAAGAAYAWQEAAKMFAAAAAA==&#10;">
                        <v:fill on="t" focussize="0,0"/>
                        <v:stroke color="#000000" joinstyle="miter"/>
                        <v:imagedata o:title=""/>
                        <o:lock v:ext="edit" aspectratio="f"/>
                        <v:textbox>
                          <w:txbxContent>
                            <w:p w14:paraId="5106A780">
                              <w:pPr>
                                <w:jc w:val="center"/>
                                <w:rPr>
                                  <w:rFonts w:hint="default" w:eastAsia="宋体"/>
                                  <w:lang w:val="en-US" w:eastAsia="zh-CN"/>
                                </w:rPr>
                              </w:pPr>
                              <w:r>
                                <w:rPr>
                                  <w:rFonts w:hint="eastAsia"/>
                                  <w:lang w:val="en-US" w:eastAsia="zh-CN"/>
                                </w:rPr>
                                <w:t>生活用水</w:t>
                              </w:r>
                            </w:p>
                          </w:txbxContent>
                        </v:textbox>
                      </v:rect>
                      <v:shape id="_x0000_s1026" o:spid="_x0000_s1026" o:spt="202" type="#_x0000_t202" style="position:absolute;left:2056130;top:434340;height:266700;width:697230;" filled="f" stroked="f" coordsize="21600,21600" o:gfxdata="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nh&#10;NzDTAAAABQEAAA8AAAAAAAAAAQAgAAAAIgAAAGRycy9kb3ducmV2LnhtbFBLAQIUABQAAAAIAIdO&#10;4kCFkr5AtgEAAFoDAAAOAAAAAAAAAAEAIAAAACIBAABkcnMvZTJvRG9jLnhtbFBLBQYAAAAABgAG&#10;AFkBAABKBQAAAAA=&#10;">
                        <v:fill on="f" focussize="0,0"/>
                        <v:stroke on="f"/>
                        <v:imagedata o:title=""/>
                        <o:lock v:ext="edit" aspectratio="f"/>
                        <v:textbox>
                          <w:txbxContent>
                            <w:p w14:paraId="5AA7DF30">
                              <w:pPr>
                                <w:jc w:val="center"/>
                                <w:rPr>
                                  <w:rFonts w:hint="default"/>
                                  <w:lang w:val="en-US"/>
                                </w:rPr>
                              </w:pPr>
                              <w:r>
                                <w:rPr>
                                  <w:rFonts w:hint="eastAsia"/>
                                  <w:lang w:val="en-US" w:eastAsia="zh-CN"/>
                                </w:rPr>
                                <w:t>273.6</w:t>
                              </w:r>
                            </w:p>
                          </w:txbxContent>
                        </v:textbox>
                      </v:shape>
                      <v:rect id="矩形 29" o:spid="_x0000_s1026" o:spt="1" style="position:absolute;left:2590800;top:534035;height:341630;width:838200;" fillcolor="#FFFFFF" filled="t" stroked="t" coordsize="21600,21600" o:gfxdata="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gXlQn1AAAAAUBAAAPAAAAAAAAAAEAIAAA&#10;ACIAAABkcnMvZG93bnJldi54bWxQSwECFAAUAAAACACHTuJApDq9wRACAAA1BAAADgAAAAAAAAAB&#10;ACAAAAAjAQAAZHJzL2Uyb0RvYy54bWxQSwUGAAAAAAYABgBZAQAApQUAAAAA&#10;">
                        <v:fill on="t" focussize="0,0"/>
                        <v:stroke color="#000000" joinstyle="miter"/>
                        <v:imagedata o:title=""/>
                        <o:lock v:ext="edit" aspectratio="f"/>
                        <v:textbox>
                          <w:txbxContent>
                            <w:p w14:paraId="1F951EBF">
                              <w:pPr>
                                <w:jc w:val="center"/>
                                <w:rPr>
                                  <w:rFonts w:hint="default" w:eastAsia="宋体"/>
                                  <w:lang w:val="en-US" w:eastAsia="zh-CN"/>
                                </w:rPr>
                              </w:pPr>
                              <w:r>
                                <w:rPr>
                                  <w:rFonts w:hint="eastAsia"/>
                                  <w:lang w:val="en-US" w:eastAsia="zh-CN"/>
                                </w:rPr>
                                <w:t>化粪池</w:t>
                              </w:r>
                            </w:p>
                          </w:txbxContent>
                        </v:textbox>
                      </v:rect>
                      <v:rect id="矩形 30" o:spid="_x0000_s1026" o:spt="1" style="position:absolute;left:3815715;top:238760;height:948690;width:1299845;" fillcolor="#FFFFFF" filled="t" stroked="t" coordsize="21600,21600" o:gfxdata="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BeVCfUAAAABQEAAA8AAAAAAAAAAQAgAAAA&#10;IgAAAGRycy9kb3ducmV2LnhtbFBLAQIUABQAAAAIAIdO4kApr15KDwIAADYEAAAOAAAAAAAAAAEA&#10;IAAAACMBAABkcnMvZTJvRG9jLnhtbFBLBQYAAAAABgAGAFkBAACkBQAAAAA=&#10;">
                        <v:fill on="t" focussize="0,0"/>
                        <v:stroke color="#000000" joinstyle="miter"/>
                        <v:imagedata o:title=""/>
                        <o:lock v:ext="edit" aspectratio="f"/>
                        <v:textbox>
                          <w:txbxContent>
                            <w:p w14:paraId="55980391">
                              <w:pPr>
                                <w:jc w:val="center"/>
                                <w:rPr>
                                  <w:rFonts w:hint="eastAsia" w:eastAsia="宋体"/>
                                  <w:lang w:val="en-US" w:eastAsia="zh-CN"/>
                                </w:rPr>
                              </w:pPr>
                              <w:r>
                                <w:rPr>
                                  <w:rFonts w:hint="eastAsia" w:cs="Times New Roman"/>
                                  <w:color w:val="auto"/>
                                  <w:u w:val="none"/>
                                  <w:lang w:eastAsia="zh-CN" w:bidi="ar"/>
                                </w:rPr>
                                <w:t>岳阳市三峡水环境综合治理有限责任公司临港水质净化厂</w:t>
                              </w:r>
                            </w:p>
                          </w:txbxContent>
                        </v:textbox>
                      </v:rect>
                      <v:shape id="文本框 32" o:spid="_x0000_s1026" o:spt="202" type="#_x0000_t202" style="position:absolute;left:890270;top:1429385;height:266700;width:660400;" filled="f" stroked="f" coordsize="21600,21600" o:gfxdata="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nh&#10;NzDTAAAABQEAAA8AAAAAAAAAAQAgAAAAIgAAAGRycy9kb3ducmV2LnhtbFBLAQIUABQAAAAIAIdO&#10;4kDGPj8BtgEAAFoDAAAOAAAAAAAAAAEAIAAAACIBAABkcnMvZTJvRG9jLnhtbFBLBQYAAAAABgAG&#10;AFkBAABKBQAAAAA=&#10;">
                        <v:fill on="f" focussize="0,0"/>
                        <v:stroke on="f"/>
                        <v:imagedata o:title=""/>
                        <o:lock v:ext="edit" aspectratio="f"/>
                        <v:textbox>
                          <w:txbxContent>
                            <w:p w14:paraId="0C45B9F3">
                              <w:pPr>
                                <w:jc w:val="center"/>
                                <w:rPr>
                                  <w:rFonts w:hint="default"/>
                                  <w:lang w:val="en-US"/>
                                </w:rPr>
                              </w:pPr>
                              <w:r>
                                <w:rPr>
                                  <w:rFonts w:hint="eastAsia"/>
                                  <w:lang w:val="en-US" w:eastAsia="zh-CN"/>
                                </w:rPr>
                                <w:t>1800</w:t>
                              </w:r>
                            </w:p>
                          </w:txbxContent>
                        </v:textbox>
                      </v:shape>
                      <v:rect id="_x0000_s1026" o:spid="_x0000_s1026" o:spt="1" style="position:absolute;left:1403350;top:1529715;height:304800;width:989330;" fillcolor="#FFFFFF" filled="t" stroked="t" coordsize="21600,21600" o:gfxdata="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BeVCfUAAAABQEAAA8AAAAAAAAAAQAgAAAA&#10;IgAAAGRycy9kb3ducmV2LnhtbFBLAQIUABQAAAAIAIdO4kC2RnaWDwIAADYEAAAOAAAAAAAAAAEA&#10;IAAAACMBAABkcnMvZTJvRG9jLnhtbFBLBQYAAAAABgAGAFkBAACkBQAAAAA=&#10;">
                        <v:fill on="t" focussize="0,0"/>
                        <v:stroke color="#000000" joinstyle="miter"/>
                        <v:imagedata o:title=""/>
                        <o:lock v:ext="edit" aspectratio="f"/>
                        <v:textbox>
                          <w:txbxContent>
                            <w:p w14:paraId="629118ED">
                              <w:pPr>
                                <w:jc w:val="center"/>
                                <w:rPr>
                                  <w:rFonts w:hint="default" w:eastAsia="宋体"/>
                                  <w:lang w:val="en-US" w:eastAsia="zh-CN"/>
                                </w:rPr>
                              </w:pPr>
                              <w:r>
                                <w:rPr>
                                  <w:rFonts w:hint="eastAsia"/>
                                  <w:lang w:val="en-US" w:eastAsia="zh-CN"/>
                                </w:rPr>
                                <w:t>冷却循环水</w:t>
                              </w:r>
                            </w:p>
                          </w:txbxContent>
                        </v:textbox>
                      </v:rect>
                      <v:shape id="_x0000_s1026" o:spid="_x0000_s1026" o:spt="34" type="#_x0000_t34" style="position:absolute;left:694690;top:694055;flip:y;height:508000;width:708660;" filled="f" stroked="t" coordsize="21600,21600" o:gfxdata="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SYD2dUAAAAFAQAADwAAAAAAAAABACAAAAAiAAAA&#10;ZHJzL2Rvd25yZXYueG1sUEsBAhQAFAAAAAgAh07iQHFsLRJDAgAAXQQAAA4AAAAAAAAAAQAgAAAA&#10;JAEAAGRycy9lMm9Eb2MueG1sUEsFBgAAAAAGAAYAWQEAANkFAAAAAA==&#10;" adj="10800">
                        <v:fill on="f" focussize="0,0"/>
                        <v:stroke weight="1pt" color="#000000 [3213]" miterlimit="8" joinstyle="miter" endarrow="open"/>
                        <v:imagedata o:title=""/>
                        <o:lock v:ext="edit" aspectratio="f"/>
                      </v:shape>
                      <v:shape id="_x0000_s1026" o:spid="_x0000_s1026" o:spt="34" type="#_x0000_t34" style="position:absolute;left:694690;top:1202055;height:480060;width:708660;" filled="f" stroked="t" coordsize="21600,21600" o:gfxdata="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tuj501AAAAAUBAAAPAAAAAAAAAAEAIAAAACIAAABkcnMvZG93&#10;bnJldi54bWxQSwECFAAUAAAACACHTuJA50ZFPz0CAABUBAAADgAAAAAAAAABACAAAAAjAQAAZHJz&#10;L2Uyb0RvYy54bWxQSwUGAAAAAAYABgBZAQAA0gUAAAAA&#10;" adj="10800">
                        <v:fill on="f" focussize="0,0"/>
                        <v:stroke weight="1pt" color="#000000 [3213]" miterlimit="8" joinstyle="miter" endarrow="open"/>
                        <v:imagedata o:title=""/>
                        <o:lock v:ext="edit" aspectratio="f"/>
                      </v:shape>
                      <v:shape id="_x0000_s1026" o:spid="_x0000_s1026" o:spt="32" type="#_x0000_t32" style="position:absolute;left:2212340;top:694055;height:10795;width:378460;" filled="f" stroked="t" coordsize="21600,21600" o:gfxdata="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1FX4W1AAAAAUBAAAPAAAAAAAAAAEAIAAAACIAAABkcnMvZG93bnJldi54bWxQSwECFAAU&#10;AAAACACHTuJA1sQffi4CAAAxBAAADgAAAAAAAAABACAAAAAjAQAAZHJzL2Uyb0RvYy54bWxQSwUG&#10;AAAAAAYABgBZAQAAwwUAAAAA&#10;">
                        <v:fill on="f" focussize="0,0"/>
                        <v:stroke weight="1pt" color="#000000 [3213]" miterlimit="8" joinstyle="miter" endarrow="open"/>
                        <v:imagedata o:title=""/>
                        <o:lock v:ext="edit" aspectratio="f"/>
                      </v:shape>
                      <v:shape id="_x0000_s1026" o:spid="_x0000_s1026" o:spt="32" type="#_x0000_t32" style="position:absolute;left:3429000;top:704850;height:8255;width:386715;" filled="f" stroked="t" coordsize="21600,21600" o:gfxdata="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RV+FtQAAAAFAQAADwAAAAAAAAABACAAAAAiAAAAZHJzL2Rvd25yZXYueG1sUEsBAhQAFAAAAAgA&#10;h07iQDgpyEEpAgAAMAQAAA4AAAAAAAAAAQAgAAAAIwEAAGRycy9lMm9Eb2MueG1sUEsFBgAAAAAG&#10;AAYAWQEAAL4FAAAAAA==&#10;">
                        <v:fill on="f" focussize="0,0"/>
                        <v:stroke weight="1pt" color="#000000 [3213]" miterlimit="8" joinstyle="miter" endarrow="open"/>
                        <v:imagedata o:title=""/>
                        <o:lock v:ext="edit" aspectratio="f"/>
                      </v:shape>
                      <v:shape id="_x0000_s1026" o:spid="_x0000_s1026" o:spt="202" type="#_x0000_t202" style="position:absolute;left:3294380;top:453390;height:266700;width:668655;" filled="f" stroked="f" coordsize="21600,21600" o:gfxdata="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nhNzDTAAAABQEAAA8AAAAAAAAAAQAgAAAAIgAAAGRycy9kb3ducmV2LnhtbFBLAQIUABQAAAAI&#10;AIdO4kBuqntouQEAAFoDAAAOAAAAAAAAAAEAIAAAACIBAABkcnMvZTJvRG9jLnhtbFBLBQYAAAAA&#10;BgAGAFkBAABNBQAAAAA=&#10;">
                        <v:fill on="f" focussize="0,0"/>
                        <v:stroke on="f"/>
                        <v:imagedata o:title=""/>
                        <o:lock v:ext="edit" aspectratio="f"/>
                        <v:textbox>
                          <w:txbxContent>
                            <w:p w14:paraId="7BC209E7">
                              <w:pPr>
                                <w:jc w:val="center"/>
                                <w:rPr>
                                  <w:rFonts w:hint="default"/>
                                  <w:lang w:val="en-US"/>
                                </w:rPr>
                              </w:pPr>
                              <w:r>
                                <w:rPr>
                                  <w:rFonts w:hint="eastAsia"/>
                                  <w:lang w:val="en-US" w:eastAsia="zh-CN"/>
                                </w:rPr>
                                <w:t>273.6</w:t>
                              </w:r>
                            </w:p>
                            <w:p w14:paraId="780B2B28">
                              <w:pPr>
                                <w:jc w:val="center"/>
                                <w:rPr>
                                  <w:rFonts w:hint="default"/>
                                  <w:lang w:val="en-US"/>
                                </w:rPr>
                              </w:pPr>
                            </w:p>
                          </w:txbxContent>
                        </v:textbox>
                      </v:shape>
                      <v:shape id="文本框 4" o:spid="_x0000_s1026" o:spt="202" type="#_x0000_t202" style="position:absolute;left:1689735;top:974090;height:267970;width:879475;" filled="f" stroked="f" coordsize="21600,21600" o:gfxdata="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eE3MNMAAAAFAQAADwAAAAAAAAABACAAAAAiAAAAZHJzL2Rvd25yZXYueG1sUEsBAhQAFAAAAAgA&#10;h07iQE54R2K4AQAAWQMAAA4AAAAAAAAAAQAgAAAAIgEAAGRycy9lMm9Eb2MueG1sUEsFBgAAAAAG&#10;AAYAWQEAAEwFAAAAAA==&#10;">
                        <v:fill on="f" focussize="0,0"/>
                        <v:stroke on="f"/>
                        <v:imagedata o:title=""/>
                        <o:lock v:ext="edit" aspectratio="f"/>
                        <v:textbox>
                          <w:txbxContent>
                            <w:p w14:paraId="10502992">
                              <w:pPr>
                                <w:jc w:val="center"/>
                              </w:pPr>
                              <w:r>
                                <w:rPr>
                                  <w:rFonts w:hint="eastAsia"/>
                                </w:rPr>
                                <w:t>损耗</w:t>
                              </w:r>
                            </w:p>
                          </w:txbxContent>
                        </v:textbox>
                      </v:shape>
                      <v:shape id="自选图形 10" o:spid="_x0000_s1026" o:spt="32" type="#_x0000_t32" style="position:absolute;left:1936115;top:1254760;flip:y;height:259715;width:151130;" filled="f" stroked="t" coordsize="21600,21600" o:gfxdata="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r7nv01AAAAAUBAAAPAAAAAAAAAAEAIAAA&#10;ACIAAABkcnMvZG93bnJldi54bWxQSwECFAAUAAAACACHTuJA+vN7ARACAAD/AwAADgAAAAAAAAAB&#10;ACAAAAAjAQAAZHJzL2Uyb0RvYy54bWxQSwUGAAAAAAYABgBZAQAApQUAAAAA&#10;">
                        <v:fill on="f" focussize="0,0"/>
                        <v:stroke color="#000000" joinstyle="round" dashstyle="dash" endarrow="open"/>
                        <v:imagedata o:title=""/>
                        <o:lock v:ext="edit" aspectratio="f"/>
                      </v:shape>
                      <v:shape id="文本框 32" o:spid="_x0000_s1026" o:spt="202" type="#_x0000_t202" style="position:absolute;left:1428750;top:1284605;height:266700;width:660400;" filled="f" stroked="f" coordsize="21600,21600" o:gfxdata="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eE3MNMAAAAFAQAADwAAAAAAAAABACAAAAAiAAAAZHJzL2Rvd25yZXYueG1sUEsBAhQAFAAAAAgA&#10;h07iQAP7XJO4AQAAWwMAAA4AAAAAAAAAAQAgAAAAIgEAAGRycy9lMm9Eb2MueG1sUEsFBgAAAAAG&#10;AAYAWQEAAEwFAAAAAA==&#10;">
                        <v:fill on="f" focussize="0,0"/>
                        <v:stroke on="f"/>
                        <v:imagedata o:title=""/>
                        <o:lock v:ext="edit" aspectratio="f"/>
                        <v:textbox>
                          <w:txbxContent>
                            <w:p w14:paraId="3F812048">
                              <w:pPr>
                                <w:jc w:val="center"/>
                                <w:rPr>
                                  <w:rFonts w:hint="default"/>
                                  <w:lang w:val="en-US"/>
                                </w:rPr>
                              </w:pPr>
                              <w:r>
                                <w:rPr>
                                  <w:rFonts w:hint="eastAsia"/>
                                  <w:lang w:val="en-US" w:eastAsia="zh-CN"/>
                                </w:rPr>
                                <w:t>1800</w:t>
                              </w:r>
                            </w:p>
                          </w:txbxContent>
                        </v:textbox>
                      </v:shape>
                      <v:shape id="_x0000_s1026" o:spid="_x0000_s1026" o:spt="35" type="#_x0000_t35" style="position:absolute;left:1898015;top:1682115;flip:x;height:152400;width:494665;" filled="f" stroked="t" coordsize="21600,21600" o:gfxdata="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Nfzyg1AAAAAUBAAAP&#10;AAAAAAAAAAEAIAAAACIAAABkcnMvZG93bnJldi54bWxQSwECFAAUAAAACACHTuJAavN3rVUCAACG&#10;BAAADgAAAAAAAAABACAAAAAjAQAAZHJzL2Uyb0RvYy54bWxQSwUGAAAAAAYABgBZAQAA6gUAAAAA&#10;" adj="-10398,55350">
                        <v:fill on="f" focussize="0,0"/>
                        <v:stroke weight="1pt" color="#000000 [3213]" miterlimit="8" joinstyle="miter" endarrow="open"/>
                        <v:imagedata o:title=""/>
                        <o:lock v:ext="edit" aspectratio="f"/>
                      </v:shape>
                      <v:shape id="文本框 32" o:spid="_x0000_s1026" o:spt="202" type="#_x0000_t202" style="position:absolute;left:1941830;top:1824990;height:266700;width:660400;" filled="f" stroked="f" coordsize="21600,21600" o:gfxdata="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J&#10;4Tcw0wAAAAUBAAAPAAAAAAAAAAEAIAAAACIAAABkcnMvZG93bnJldi54bWxQSwECFAAUAAAACACH&#10;TuJAH1EQFLcBAABbAwAADgAAAAAAAAABACAAAAAiAQAAZHJzL2Uyb0RvYy54bWxQSwUGAAAAAAYA&#10;BgBZAQAASwUAAAAA&#10;">
                        <v:fill on="f" focussize="0,0"/>
                        <v:stroke on="f"/>
                        <v:imagedata o:title=""/>
                        <o:lock v:ext="edit" aspectratio="f"/>
                        <v:textbox>
                          <w:txbxContent>
                            <w:p w14:paraId="4B87711B">
                              <w:pPr>
                                <w:jc w:val="center"/>
                                <w:rPr>
                                  <w:rFonts w:hint="default"/>
                                  <w:lang w:val="en-US"/>
                                </w:rPr>
                              </w:pPr>
                              <w:r>
                                <w:rPr>
                                  <w:rFonts w:hint="eastAsia"/>
                                  <w:lang w:val="en-US" w:eastAsia="zh-CN"/>
                                </w:rPr>
                                <w:t>58200</w:t>
                              </w:r>
                            </w:p>
                          </w:txbxContent>
                        </v:textbox>
                      </v:shape>
                      <v:shape id="文本框 32" o:spid="_x0000_s1026" o:spt="202" type="#_x0000_t202" style="position:absolute;left:541655;top:986790;height:266700;width:660400;" filled="f" stroked="f" coordsize="21600,21600" o:gfxdata="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eE3MNMAAAAFAQAADwAAAAAAAAABACAAAAAiAAAAZHJzL2Rvd25yZXYueG1sUEsBAhQAFAAAAAgA&#10;h07iQKlegI64AQAAWQMAAA4AAAAAAAAAAQAgAAAAIgEAAGRycy9lMm9Eb2MueG1sUEsFBgAAAAAG&#10;AAYAWQEAAEwFAAAAAA==&#10;">
                        <v:fill on="f" focussize="0,0"/>
                        <v:stroke on="f"/>
                        <v:imagedata o:title=""/>
                        <o:lock v:ext="edit" aspectratio="f"/>
                        <v:textbox>
                          <w:txbxContent>
                            <w:p w14:paraId="2046D5D2">
                              <w:pPr>
                                <w:jc w:val="center"/>
                                <w:rPr>
                                  <w:rFonts w:hint="default"/>
                                  <w:lang w:val="en-US"/>
                                </w:rPr>
                              </w:pPr>
                              <w:r>
                                <w:rPr>
                                  <w:rFonts w:hint="eastAsia"/>
                                  <w:lang w:val="en-US" w:eastAsia="zh-CN"/>
                                </w:rPr>
                                <w:t>2142</w:t>
                              </w:r>
                            </w:p>
                          </w:txbxContent>
                        </v:textbox>
                      </v:shape>
                      <v:rect id="矩形 29" o:spid="_x0000_s1026" o:spt="1" style="position:absolute;left:4053205;top:1649095;height:341630;width:838200;" fillcolor="#FFFFFF" filled="t" stroked="t" coordsize="21600,21600" o:gfxdata="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BeVCfUAAAABQEAAA8AAAAAAAAAAQAgAAAA&#10;IgAAAGRycy9kb3ducmV2LnhtbFBLAQIUABQAAAAIAIdO4kCLcI8oDwIAADYEAAAOAAAAAAAAAAEA&#10;IAAAACMBAABkcnMvZTJvRG9jLnhtbFBLBQYAAAAABgAGAFkBAACkBQAAAAA=&#10;">
                        <v:fill on="t" focussize="0,0"/>
                        <v:stroke color="#000000" joinstyle="miter"/>
                        <v:imagedata o:title=""/>
                        <o:lock v:ext="edit" aspectratio="f"/>
                        <v:textbox>
                          <w:txbxContent>
                            <w:p w14:paraId="2E73A4E5">
                              <w:pPr>
                                <w:jc w:val="center"/>
                                <w:rPr>
                                  <w:rFonts w:hint="default" w:eastAsia="宋体"/>
                                  <w:lang w:val="en-US" w:eastAsia="zh-CN"/>
                                </w:rPr>
                              </w:pPr>
                              <w:r>
                                <w:rPr>
                                  <w:rFonts w:hint="eastAsia"/>
                                  <w:lang w:val="en-US" w:eastAsia="zh-CN"/>
                                </w:rPr>
                                <w:t>冷凝水</w:t>
                              </w:r>
                            </w:p>
                          </w:txbxContent>
                        </v:textbox>
                      </v:rect>
                      <v:shape id="_x0000_s1026" o:spid="_x0000_s1026" o:spt="202" type="#_x0000_t202" style="position:absolute;left:3975100;top:1344930;height:266700;width:668655;" filled="f" stroked="f" coordsize="21600,21600" o:gfxdata="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eE3MNMAAAAFAQAADwAAAAAAAAABACAAAAAiAAAAZHJzL2Rvd25yZXYueG1sUEsBAhQAFAAAAAgA&#10;h07iQL6dt6a4AQAAWwMAAA4AAAAAAAAAAQAgAAAAIgEAAGRycy9lMm9Eb2MueG1sUEsFBgAAAAAG&#10;AAYAWQEAAEwFAAAAAA==&#10;">
                        <v:fill on="f" focussize="0,0"/>
                        <v:stroke on="f"/>
                        <v:imagedata o:title=""/>
                        <o:lock v:ext="edit" aspectratio="f"/>
                        <v:textbox>
                          <w:txbxContent>
                            <w:p w14:paraId="3D218533">
                              <w:pPr>
                                <w:jc w:val="center"/>
                                <w:rPr>
                                  <w:rFonts w:hint="default"/>
                                  <w:lang w:val="en-US"/>
                                </w:rPr>
                              </w:pPr>
                              <w:r>
                                <w:rPr>
                                  <w:rFonts w:hint="eastAsia"/>
                                  <w:lang w:val="en-US" w:eastAsia="zh-CN"/>
                                </w:rPr>
                                <w:t>5200</w:t>
                              </w:r>
                            </w:p>
                          </w:txbxContent>
                        </v:textbox>
                      </v:shape>
                      <v:shape id="_x0000_s1026" o:spid="_x0000_s1026" o:spt="32" type="#_x0000_t32" style="position:absolute;left:4465955;top:1187450;flip:x y;height:461645;width:6350;" filled="f" stroked="t" coordsize="21600,21600" o:gfxdata="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ymmuh1wAAAAUBAAAPAAAAAAAAAAEAIAAAACIAAABkcnMvZG93bnJl&#10;di54bWxQSwECFAAUAAAACACHTuJArJvRujcCAABFBAAADgAAAAAAAAABACAAAAAmAQAAZHJzL2Uy&#10;b0RvYy54bWxQSwUGAAAAAAYABgBZAQAAzwUAAAAA&#10;">
                        <v:fill on="f" focussize="0,0"/>
                        <v:stroke weight="1pt" color="#000000 [3213]" miterlimit="8" joinstyle="miter" endarrow="open"/>
                        <v:imagedata o:title=""/>
                        <o:lock v:ext="edit" aspectratio="f"/>
                      </v:shape>
                      <w10:wrap type="none"/>
                      <w10:anchorlock/>
                    </v:group>
                  </w:pict>
                </mc:Fallback>
              </mc:AlternateContent>
            </w:r>
          </w:p>
          <w:p w14:paraId="598F95CD">
            <w:pPr>
              <w:adjustRightInd w:val="0"/>
              <w:snapToGrid w:val="0"/>
              <w:spacing w:after="120" w:afterLines="50"/>
              <w:jc w:val="center"/>
              <w:rPr>
                <w:b/>
                <w:bCs/>
                <w:kern w:val="0"/>
                <w:u w:val="none"/>
              </w:rPr>
            </w:pPr>
            <w:r>
              <w:rPr>
                <w:rFonts w:hint="eastAsia"/>
                <w:b/>
                <w:bCs/>
                <w:kern w:val="0"/>
                <w:u w:val="none"/>
              </w:rPr>
              <w:t>图2-1  项目水平衡图  单位：t/a</w:t>
            </w:r>
          </w:p>
          <w:p w14:paraId="43EC57B0">
            <w:pPr>
              <w:spacing w:line="360" w:lineRule="auto"/>
              <w:ind w:firstLine="480" w:firstLineChars="200"/>
              <w:rPr>
                <w:b/>
                <w:bCs/>
              </w:rPr>
            </w:pPr>
            <w:r>
              <w:rPr>
                <w:rFonts w:hint="eastAsia"/>
              </w:rPr>
              <w:t>2、</w:t>
            </w:r>
            <w:r>
              <w:t>供电</w:t>
            </w:r>
          </w:p>
          <w:p w14:paraId="0C781AAD">
            <w:pPr>
              <w:spacing w:line="360" w:lineRule="auto"/>
              <w:ind w:firstLine="480" w:firstLineChars="200"/>
              <w:rPr>
                <w:rFonts w:hint="eastAsia"/>
              </w:rPr>
            </w:pPr>
            <w:r>
              <w:rPr>
                <w:rFonts w:hint="eastAsia"/>
                <w:lang w:val="en-US" w:eastAsia="zh-CN"/>
              </w:rPr>
              <w:t>本项目</w:t>
            </w:r>
            <w:r>
              <w:rPr>
                <w:rFonts w:hint="eastAsia"/>
              </w:rPr>
              <w:t>用电量为</w:t>
            </w:r>
            <w:r>
              <w:rPr>
                <w:rFonts w:hint="eastAsia"/>
                <w:lang w:val="en-US" w:eastAsia="zh-CN"/>
              </w:rPr>
              <w:t>1</w:t>
            </w:r>
            <w:r>
              <w:rPr>
                <w:rFonts w:hint="eastAsia"/>
              </w:rPr>
              <w:t>0</w:t>
            </w:r>
            <w:r>
              <w:t>万kw</w:t>
            </w:r>
            <w:r>
              <w:rPr>
                <w:rFonts w:hint="eastAsia"/>
              </w:rPr>
              <w:t>·h，使用</w:t>
            </w:r>
            <w:r>
              <w:rPr>
                <w:rFonts w:hint="eastAsia"/>
                <w:lang w:val="en-US" w:eastAsia="zh-CN"/>
              </w:rPr>
              <w:t>城市</w:t>
            </w:r>
            <w:r>
              <w:rPr>
                <w:rStyle w:val="37"/>
                <w:kern w:val="0"/>
                <w:sz w:val="24"/>
              </w:rPr>
              <w:t>电网</w:t>
            </w:r>
            <w:r>
              <w:rPr>
                <w:rFonts w:hint="eastAsia"/>
              </w:rPr>
              <w:t>。</w:t>
            </w:r>
          </w:p>
          <w:p w14:paraId="04A28BD7">
            <w:pPr>
              <w:pStyle w:val="2"/>
              <w:spacing w:before="0" w:after="0" w:line="360" w:lineRule="auto"/>
              <w:ind w:left="0" w:firstLine="0" w:firstLineChars="0"/>
              <w:rPr>
                <w:rFonts w:eastAsia="宋体"/>
                <w:color w:val="auto"/>
                <w:sz w:val="24"/>
                <w:szCs w:val="24"/>
              </w:rPr>
            </w:pPr>
            <w:bookmarkStart w:id="26" w:name="_Toc71631401"/>
            <w:r>
              <w:rPr>
                <w:rFonts w:eastAsia="宋体"/>
                <w:color w:val="auto"/>
                <w:sz w:val="24"/>
                <w:szCs w:val="24"/>
              </w:rPr>
              <w:t>2.</w:t>
            </w:r>
            <w:r>
              <w:rPr>
                <w:rFonts w:hint="eastAsia" w:eastAsia="宋体"/>
                <w:color w:val="auto"/>
                <w:sz w:val="24"/>
                <w:szCs w:val="24"/>
                <w:lang w:val="en-US" w:eastAsia="zh-CN"/>
              </w:rPr>
              <w:t>5</w:t>
            </w:r>
            <w:r>
              <w:rPr>
                <w:rFonts w:hint="eastAsia" w:eastAsia="宋体"/>
                <w:color w:val="auto"/>
                <w:sz w:val="24"/>
                <w:szCs w:val="24"/>
              </w:rPr>
              <w:t xml:space="preserve"> </w:t>
            </w:r>
            <w:r>
              <w:rPr>
                <w:rFonts w:eastAsia="宋体"/>
                <w:color w:val="auto"/>
                <w:sz w:val="24"/>
                <w:szCs w:val="24"/>
              </w:rPr>
              <w:t>生产制度及劳动定员</w:t>
            </w:r>
            <w:bookmarkEnd w:id="26"/>
          </w:p>
          <w:p w14:paraId="7B06C59F">
            <w:pPr>
              <w:pStyle w:val="8"/>
              <w:spacing w:line="360" w:lineRule="auto"/>
              <w:ind w:firstLine="480" w:firstLineChars="200"/>
              <w:rPr>
                <w:sz w:val="24"/>
              </w:rPr>
            </w:pPr>
            <w:r>
              <w:rPr>
                <w:rFonts w:hint="eastAsia"/>
                <w:sz w:val="24"/>
                <w:lang w:val="en-US" w:eastAsia="zh-CN"/>
              </w:rPr>
              <w:t>本项目</w:t>
            </w:r>
            <w:r>
              <w:rPr>
                <w:sz w:val="24"/>
              </w:rPr>
              <w:t>员工人数为</w:t>
            </w:r>
            <w:r>
              <w:rPr>
                <w:rFonts w:hint="eastAsia"/>
                <w:sz w:val="24"/>
                <w:lang w:val="en-US" w:eastAsia="zh-CN"/>
              </w:rPr>
              <w:t>9</w:t>
            </w:r>
            <w:r>
              <w:rPr>
                <w:sz w:val="24"/>
              </w:rPr>
              <w:t>人</w:t>
            </w:r>
            <w:r>
              <w:rPr>
                <w:rFonts w:hint="eastAsia"/>
                <w:sz w:val="24"/>
              </w:rPr>
              <w:t>，</w:t>
            </w:r>
            <w:r>
              <w:rPr>
                <w:sz w:val="24"/>
              </w:rPr>
              <w:t>年工作日为</w:t>
            </w:r>
            <w:r>
              <w:rPr>
                <w:rFonts w:hint="eastAsia"/>
                <w:sz w:val="24"/>
              </w:rPr>
              <w:t>3</w:t>
            </w:r>
            <w:r>
              <w:rPr>
                <w:rFonts w:hint="eastAsia"/>
                <w:sz w:val="24"/>
                <w:lang w:val="en-US" w:eastAsia="zh-CN"/>
              </w:rPr>
              <w:t>0</w:t>
            </w:r>
            <w:r>
              <w:rPr>
                <w:rFonts w:hint="eastAsia"/>
                <w:sz w:val="24"/>
              </w:rPr>
              <w:t>0</w:t>
            </w:r>
            <w:r>
              <w:rPr>
                <w:sz w:val="24"/>
              </w:rPr>
              <w:t>天，</w:t>
            </w:r>
            <w:r>
              <w:rPr>
                <w:rFonts w:hint="eastAsia"/>
                <w:sz w:val="24"/>
                <w:lang w:val="en-US" w:eastAsia="zh-CN"/>
              </w:rPr>
              <w:t>2</w:t>
            </w:r>
            <w:r>
              <w:rPr>
                <w:rFonts w:hint="eastAsia"/>
                <w:sz w:val="24"/>
              </w:rPr>
              <w:t>班制，每班</w:t>
            </w:r>
            <w:r>
              <w:rPr>
                <w:sz w:val="24"/>
              </w:rPr>
              <w:t>工作</w:t>
            </w:r>
            <w:r>
              <w:rPr>
                <w:rFonts w:hint="eastAsia"/>
                <w:sz w:val="24"/>
                <w:lang w:val="en-US" w:eastAsia="zh-CN"/>
              </w:rPr>
              <w:t>8</w:t>
            </w:r>
            <w:r>
              <w:rPr>
                <w:sz w:val="24"/>
              </w:rPr>
              <w:t>小时</w:t>
            </w:r>
            <w:r>
              <w:rPr>
                <w:rFonts w:hint="eastAsia"/>
                <w:sz w:val="24"/>
                <w:lang w:eastAsia="zh-CN"/>
              </w:rPr>
              <w:t>，</w:t>
            </w:r>
            <w:r>
              <w:rPr>
                <w:rFonts w:hint="eastAsia"/>
                <w:sz w:val="24"/>
                <w:lang w:val="en-US" w:eastAsia="zh-CN"/>
              </w:rPr>
              <w:t>工作时间段为8：00~24：00，厂区内不提供食宿</w:t>
            </w:r>
            <w:r>
              <w:rPr>
                <w:sz w:val="24"/>
              </w:rPr>
              <w:t>。</w:t>
            </w:r>
          </w:p>
          <w:p w14:paraId="462FA180">
            <w:pPr>
              <w:pStyle w:val="3"/>
              <w:rPr>
                <w:rFonts w:ascii="Times New Roman" w:hAnsi="Times New Roman"/>
                <w:color w:val="auto"/>
                <w:u w:val="none"/>
              </w:rPr>
            </w:pPr>
            <w:r>
              <w:rPr>
                <w:rFonts w:hint="eastAsia" w:ascii="Times New Roman" w:hAnsi="Times New Roman"/>
                <w:color w:val="auto"/>
                <w:u w:val="none"/>
              </w:rPr>
              <w:t>2.</w:t>
            </w:r>
            <w:r>
              <w:rPr>
                <w:rFonts w:hint="eastAsia" w:ascii="Times New Roman" w:hAnsi="Times New Roman"/>
                <w:color w:val="auto"/>
                <w:u w:val="none"/>
                <w:lang w:val="en-US" w:eastAsia="zh-CN"/>
              </w:rPr>
              <w:t xml:space="preserve">6 </w:t>
            </w:r>
            <w:r>
              <w:rPr>
                <w:rFonts w:hint="eastAsia" w:ascii="Times New Roman" w:hAnsi="Times New Roman"/>
                <w:color w:val="auto"/>
                <w:u w:val="none"/>
              </w:rPr>
              <w:t>平面布置合理性分析</w:t>
            </w:r>
          </w:p>
          <w:p w14:paraId="37D0F1D0">
            <w:pPr>
              <w:spacing w:line="360" w:lineRule="auto"/>
              <w:ind w:firstLine="480" w:firstLineChars="200"/>
              <w:rPr>
                <w:rFonts w:hint="default"/>
                <w:u w:val="none"/>
                <w:lang w:val="en-US" w:eastAsia="zh-CN"/>
              </w:rPr>
            </w:pPr>
            <w:r>
              <w:rPr>
                <w:rFonts w:hint="eastAsia"/>
                <w:b w:val="0"/>
                <w:bCs w:val="0"/>
                <w:u w:val="none"/>
                <w:lang w:val="en-US" w:eastAsia="zh-CN"/>
              </w:rPr>
              <w:t>本项目位于</w:t>
            </w:r>
            <w:r>
              <w:rPr>
                <w:rFonts w:hint="eastAsia"/>
                <w:color w:val="auto"/>
                <w:highlight w:val="none"/>
                <w:lang w:eastAsia="zh-CN"/>
              </w:rPr>
              <w:t>中国（湖南）自由贸易试验区岳阳片区长江大道际华高分子材料高科产业园10#工房</w:t>
            </w:r>
            <w:r>
              <w:rPr>
                <w:rFonts w:hint="eastAsia"/>
                <w:color w:val="auto"/>
                <w:highlight w:val="none"/>
                <w:lang w:val="en-US" w:eastAsia="zh-CN"/>
              </w:rPr>
              <w:t>。生产区位于厂房东北侧，储罐区位于生产区内南侧</w:t>
            </w:r>
            <w:r>
              <w:rPr>
                <w:rFonts w:hint="eastAsia"/>
                <w:b w:val="0"/>
                <w:bCs w:val="0"/>
                <w:u w:val="none"/>
                <w:lang w:val="en-US" w:eastAsia="zh-CN"/>
              </w:rPr>
              <w:t>；成品区位于生产区西侧；原料区位于厂房南侧；办公区位于厂房西侧；一般固废暂存间位于成品区西侧，</w:t>
            </w:r>
            <w:r>
              <w:rPr>
                <w:rFonts w:hint="eastAsia"/>
                <w:u w:val="none"/>
                <w:lang w:val="en-US" w:eastAsia="zh-CN"/>
              </w:rPr>
              <w:t>危废间位于办公区一楼，DA001排气筒位于生产区北侧。</w:t>
            </w:r>
          </w:p>
          <w:p w14:paraId="38D4E811">
            <w:pPr>
              <w:spacing w:line="360" w:lineRule="auto"/>
              <w:ind w:firstLine="480" w:firstLineChars="200"/>
              <w:rPr>
                <w:u w:val="single"/>
              </w:rPr>
            </w:pPr>
            <w:r>
              <w:rPr>
                <w:rFonts w:hint="eastAsia"/>
                <w:u w:val="none"/>
              </w:rPr>
              <w:t>此布局功能区相对独立设置，增加了厂内物流的连续性，缩短了运输时间，生产联系紧密，便于生产和管理，其平面布局合理。项目平面布置详见</w:t>
            </w:r>
            <w:r>
              <w:rPr>
                <w:rFonts w:hint="eastAsia"/>
                <w:u w:val="none"/>
                <w:shd w:val="clear" w:color="FFFFFF" w:fill="auto"/>
              </w:rPr>
              <w:t>附图</w:t>
            </w:r>
            <w:r>
              <w:rPr>
                <w:rFonts w:hint="eastAsia"/>
                <w:u w:val="none"/>
                <w:shd w:val="clear" w:color="FFFFFF" w:fill="auto"/>
                <w:lang w:val="en-US" w:eastAsia="zh-CN"/>
              </w:rPr>
              <w:t>3</w:t>
            </w:r>
            <w:r>
              <w:rPr>
                <w:rFonts w:hint="eastAsia"/>
                <w:u w:val="none"/>
              </w:rPr>
              <w:t>。</w:t>
            </w:r>
          </w:p>
          <w:p w14:paraId="6F47918C">
            <w:pPr>
              <w:pStyle w:val="3"/>
              <w:rPr>
                <w:rFonts w:ascii="Times New Roman" w:hAnsi="Times New Roman"/>
                <w:color w:val="auto"/>
              </w:rPr>
            </w:pPr>
            <w:r>
              <w:rPr>
                <w:rFonts w:hint="eastAsia" w:ascii="Times New Roman" w:hAnsi="Times New Roman"/>
                <w:color w:val="auto"/>
              </w:rPr>
              <w:t>2.</w:t>
            </w:r>
            <w:r>
              <w:rPr>
                <w:rFonts w:hint="eastAsia" w:ascii="Times New Roman" w:hAnsi="Times New Roman"/>
                <w:color w:val="auto"/>
                <w:lang w:val="en-US" w:eastAsia="zh-CN"/>
              </w:rPr>
              <w:t>7 物料平衡</w:t>
            </w:r>
            <w:r>
              <w:rPr>
                <w:rFonts w:hint="eastAsia" w:ascii="Times New Roman" w:hAnsi="Times New Roman"/>
                <w:color w:val="auto"/>
              </w:rPr>
              <w:t>分析</w:t>
            </w:r>
          </w:p>
          <w:p w14:paraId="1C53DB1F">
            <w:pPr>
              <w:pStyle w:val="11"/>
              <w:spacing w:after="0" w:line="360" w:lineRule="auto"/>
              <w:ind w:firstLine="480" w:firstLineChars="200"/>
              <w:rPr>
                <w:color w:val="auto"/>
                <w:kern w:val="0"/>
                <w:sz w:val="24"/>
                <w:szCs w:val="20"/>
                <w:u w:val="none"/>
              </w:rPr>
            </w:pPr>
            <w:r>
              <w:rPr>
                <w:rFonts w:hint="eastAsia"/>
                <w:color w:val="auto"/>
                <w:kern w:val="0"/>
                <w:sz w:val="24"/>
                <w:szCs w:val="20"/>
                <w:u w:val="none"/>
                <w:lang w:val="en-US" w:eastAsia="zh-CN"/>
              </w:rPr>
              <w:t>本项</w:t>
            </w:r>
            <w:r>
              <w:rPr>
                <w:rFonts w:hint="eastAsia"/>
                <w:color w:val="auto"/>
                <w:kern w:val="0"/>
                <w:sz w:val="24"/>
                <w:szCs w:val="20"/>
                <w:u w:val="none"/>
              </w:rPr>
              <w:t>项目</w:t>
            </w:r>
            <w:r>
              <w:rPr>
                <w:rFonts w:hint="eastAsia"/>
                <w:color w:val="auto"/>
                <w:kern w:val="0"/>
                <w:sz w:val="24"/>
                <w:szCs w:val="20"/>
                <w:u w:val="none"/>
                <w:lang w:val="en-US" w:eastAsia="zh-CN"/>
              </w:rPr>
              <w:t>物料</w:t>
            </w:r>
            <w:r>
              <w:rPr>
                <w:rFonts w:hint="eastAsia"/>
                <w:color w:val="auto"/>
                <w:kern w:val="0"/>
                <w:sz w:val="24"/>
                <w:szCs w:val="20"/>
                <w:u w:val="none"/>
              </w:rPr>
              <w:t>平衡详见下表。</w:t>
            </w:r>
          </w:p>
          <w:p w14:paraId="25179A19">
            <w:pPr>
              <w:spacing w:after="0" w:line="240" w:lineRule="auto"/>
              <w:ind w:firstLine="482"/>
              <w:jc w:val="center"/>
              <w:rPr>
                <w:rFonts w:hint="eastAsia" w:eastAsia="宋体"/>
                <w:b/>
                <w:bCs/>
                <w:u w:val="none"/>
                <w:lang w:eastAsia="zh-CN"/>
              </w:rPr>
            </w:pPr>
            <w:r>
              <w:rPr>
                <w:b/>
                <w:bCs/>
                <w:u w:val="none"/>
              </w:rPr>
              <w:t>表</w:t>
            </w:r>
            <w:r>
              <w:rPr>
                <w:rFonts w:hint="eastAsia"/>
                <w:b/>
                <w:bCs/>
                <w:u w:val="none"/>
                <w:lang w:val="en-US" w:eastAsia="zh-CN"/>
              </w:rPr>
              <w:t>2-9</w:t>
            </w:r>
            <w:r>
              <w:rPr>
                <w:b/>
                <w:bCs/>
                <w:u w:val="none"/>
              </w:rPr>
              <w:t xml:space="preserve">  </w:t>
            </w:r>
            <w:r>
              <w:rPr>
                <w:rFonts w:hint="eastAsia"/>
                <w:b/>
                <w:bCs/>
                <w:u w:val="none"/>
                <w:lang w:val="en-US" w:eastAsia="zh-CN"/>
              </w:rPr>
              <w:t>物料</w:t>
            </w:r>
            <w:r>
              <w:rPr>
                <w:b/>
                <w:bCs/>
                <w:u w:val="none"/>
              </w:rPr>
              <w:t>平衡表</w:t>
            </w:r>
            <w:r>
              <w:rPr>
                <w:rFonts w:hint="eastAsia"/>
                <w:b/>
                <w:bCs/>
                <w:u w:val="none"/>
                <w:lang w:eastAsia="zh-CN"/>
              </w:rPr>
              <w:t>（</w:t>
            </w:r>
            <w:r>
              <w:rPr>
                <w:rFonts w:hint="eastAsia"/>
                <w:b/>
                <w:bCs/>
                <w:u w:val="none"/>
                <w:lang w:val="en-US" w:eastAsia="zh-CN"/>
              </w:rPr>
              <w:t>单位：t/a</w:t>
            </w:r>
            <w:r>
              <w:rPr>
                <w:rFonts w:hint="eastAsia"/>
                <w:b/>
                <w:bCs/>
                <w:u w:val="none"/>
                <w:lang w:eastAsia="zh-CN"/>
              </w:rPr>
              <w:t>）</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889"/>
              <w:gridCol w:w="734"/>
              <w:gridCol w:w="1955"/>
              <w:gridCol w:w="1945"/>
              <w:gridCol w:w="1110"/>
            </w:tblGrid>
            <w:tr w14:paraId="1E31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82" w:type="pct"/>
                  <w:gridSpan w:val="3"/>
                  <w:vAlign w:val="center"/>
                </w:tcPr>
                <w:p w14:paraId="07F856F9">
                  <w:pPr>
                    <w:spacing w:after="0" w:line="240" w:lineRule="auto"/>
                    <w:ind w:firstLine="0"/>
                    <w:jc w:val="center"/>
                    <w:rPr>
                      <w:b/>
                      <w:bCs/>
                      <w:sz w:val="21"/>
                      <w:szCs w:val="21"/>
                      <w:u w:val="none"/>
                    </w:rPr>
                  </w:pPr>
                  <w:r>
                    <w:rPr>
                      <w:b/>
                      <w:bCs/>
                      <w:sz w:val="21"/>
                      <w:szCs w:val="21"/>
                      <w:u w:val="none"/>
                    </w:rPr>
                    <w:t>投入</w:t>
                  </w:r>
                </w:p>
              </w:tc>
              <w:tc>
                <w:tcPr>
                  <w:tcW w:w="3117" w:type="pct"/>
                  <w:gridSpan w:val="3"/>
                  <w:vAlign w:val="center"/>
                </w:tcPr>
                <w:p w14:paraId="218A52A6">
                  <w:pPr>
                    <w:spacing w:after="0" w:line="240" w:lineRule="auto"/>
                    <w:ind w:firstLine="0"/>
                    <w:jc w:val="center"/>
                    <w:rPr>
                      <w:b/>
                      <w:bCs/>
                      <w:sz w:val="21"/>
                      <w:szCs w:val="21"/>
                      <w:u w:val="none"/>
                    </w:rPr>
                  </w:pPr>
                  <w:r>
                    <w:rPr>
                      <w:b/>
                      <w:bCs/>
                      <w:sz w:val="21"/>
                      <w:szCs w:val="21"/>
                      <w:u w:val="none"/>
                    </w:rPr>
                    <w:t>产出</w:t>
                  </w:r>
                </w:p>
              </w:tc>
            </w:tr>
            <w:tr w14:paraId="4CFA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pct"/>
                  <w:vAlign w:val="center"/>
                </w:tcPr>
                <w:p w14:paraId="148E8C41">
                  <w:pPr>
                    <w:spacing w:after="0" w:line="240" w:lineRule="auto"/>
                    <w:jc w:val="center"/>
                    <w:rPr>
                      <w:sz w:val="21"/>
                      <w:szCs w:val="21"/>
                      <w:u w:val="none"/>
                    </w:rPr>
                  </w:pPr>
                  <w:r>
                    <w:rPr>
                      <w:sz w:val="21"/>
                      <w:szCs w:val="21"/>
                      <w:u w:val="none"/>
                    </w:rPr>
                    <w:t>物料名称</w:t>
                  </w:r>
                </w:p>
              </w:tc>
              <w:tc>
                <w:tcPr>
                  <w:tcW w:w="553" w:type="pct"/>
                  <w:vAlign w:val="center"/>
                </w:tcPr>
                <w:p w14:paraId="1703AC9A">
                  <w:pPr>
                    <w:spacing w:after="0" w:line="240" w:lineRule="auto"/>
                    <w:jc w:val="center"/>
                    <w:rPr>
                      <w:rFonts w:hint="eastAsia" w:eastAsia="宋体"/>
                      <w:sz w:val="21"/>
                      <w:szCs w:val="21"/>
                      <w:u w:val="none"/>
                      <w:lang w:eastAsia="zh-CN"/>
                    </w:rPr>
                  </w:pPr>
                  <w:r>
                    <w:rPr>
                      <w:sz w:val="21"/>
                      <w:szCs w:val="21"/>
                      <w:u w:val="none"/>
                    </w:rPr>
                    <w:t>成分</w:t>
                  </w:r>
                </w:p>
              </w:tc>
              <w:tc>
                <w:tcPr>
                  <w:tcW w:w="456" w:type="pct"/>
                  <w:vAlign w:val="center"/>
                </w:tcPr>
                <w:p w14:paraId="5FC399A2">
                  <w:pPr>
                    <w:spacing w:after="0" w:line="240" w:lineRule="auto"/>
                    <w:jc w:val="center"/>
                    <w:rPr>
                      <w:sz w:val="21"/>
                      <w:szCs w:val="21"/>
                      <w:u w:val="none"/>
                    </w:rPr>
                  </w:pPr>
                  <w:r>
                    <w:rPr>
                      <w:sz w:val="21"/>
                      <w:szCs w:val="21"/>
                      <w:u w:val="none"/>
                    </w:rPr>
                    <w:t>数量</w:t>
                  </w:r>
                </w:p>
              </w:tc>
              <w:tc>
                <w:tcPr>
                  <w:tcW w:w="1216" w:type="pct"/>
                  <w:vAlign w:val="center"/>
                </w:tcPr>
                <w:p w14:paraId="2B31AA3C">
                  <w:pPr>
                    <w:spacing w:after="0" w:line="240" w:lineRule="auto"/>
                    <w:jc w:val="center"/>
                    <w:rPr>
                      <w:rFonts w:hint="eastAsia" w:eastAsia="宋体"/>
                      <w:sz w:val="21"/>
                      <w:szCs w:val="21"/>
                      <w:u w:val="none"/>
                      <w:lang w:eastAsia="zh-CN"/>
                    </w:rPr>
                  </w:pPr>
                  <w:r>
                    <w:rPr>
                      <w:rFonts w:hint="eastAsia"/>
                      <w:sz w:val="21"/>
                      <w:szCs w:val="21"/>
                      <w:u w:val="none"/>
                      <w:lang w:val="en-US" w:eastAsia="zh-CN"/>
                    </w:rPr>
                    <w:t>成分</w:t>
                  </w:r>
                </w:p>
              </w:tc>
              <w:tc>
                <w:tcPr>
                  <w:tcW w:w="1210" w:type="pct"/>
                  <w:vAlign w:val="center"/>
                </w:tcPr>
                <w:p w14:paraId="77F708D8">
                  <w:pPr>
                    <w:spacing w:after="0" w:line="240" w:lineRule="auto"/>
                    <w:jc w:val="center"/>
                    <w:rPr>
                      <w:sz w:val="21"/>
                      <w:szCs w:val="21"/>
                      <w:u w:val="none"/>
                    </w:rPr>
                  </w:pPr>
                  <w:r>
                    <w:rPr>
                      <w:sz w:val="21"/>
                      <w:szCs w:val="21"/>
                      <w:u w:val="none"/>
                    </w:rPr>
                    <w:t>去向</w:t>
                  </w:r>
                </w:p>
              </w:tc>
              <w:tc>
                <w:tcPr>
                  <w:tcW w:w="690" w:type="pct"/>
                  <w:vAlign w:val="center"/>
                </w:tcPr>
                <w:p w14:paraId="62F6BEAA">
                  <w:pPr>
                    <w:spacing w:after="0" w:line="240" w:lineRule="auto"/>
                    <w:jc w:val="center"/>
                    <w:rPr>
                      <w:sz w:val="21"/>
                      <w:szCs w:val="21"/>
                      <w:u w:val="none"/>
                    </w:rPr>
                  </w:pPr>
                  <w:r>
                    <w:rPr>
                      <w:sz w:val="21"/>
                      <w:szCs w:val="21"/>
                      <w:u w:val="none"/>
                    </w:rPr>
                    <w:t>数量</w:t>
                  </w:r>
                </w:p>
              </w:tc>
            </w:tr>
            <w:tr w14:paraId="76F6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871" w:type="pct"/>
                  <w:vMerge w:val="restart"/>
                  <w:shd w:val="clear" w:color="auto" w:fill="auto"/>
                  <w:vAlign w:val="center"/>
                </w:tcPr>
                <w:p w14:paraId="080CADA6">
                  <w:pPr>
                    <w:keepNext w:val="0"/>
                    <w:keepLines w:val="0"/>
                    <w:widowControl/>
                    <w:suppressLineNumbers w:val="0"/>
                    <w:spacing w:line="240" w:lineRule="auto"/>
                    <w:jc w:val="center"/>
                    <w:rPr>
                      <w:rFonts w:hint="default" w:ascii="Times New Roman" w:hAnsi="Times New Roman" w:eastAsia="宋体" w:cs="Times New Roman"/>
                      <w:kern w:val="2"/>
                      <w:sz w:val="21"/>
                      <w:szCs w:val="21"/>
                      <w:vertAlign w:val="baseline"/>
                      <w:lang w:val="en-US" w:eastAsia="zh-CN" w:bidi="ar-SA"/>
                    </w:rPr>
                  </w:pPr>
                  <w:r>
                    <w:rPr>
                      <w:rFonts w:hint="eastAsia"/>
                      <w:color w:val="000000"/>
                      <w:kern w:val="0"/>
                      <w:sz w:val="21"/>
                      <w:szCs w:val="21"/>
                      <w:lang w:bidi="ar"/>
                    </w:rPr>
                    <w:t>废NMP浆料</w:t>
                  </w:r>
                </w:p>
              </w:tc>
              <w:tc>
                <w:tcPr>
                  <w:tcW w:w="553" w:type="pct"/>
                  <w:vAlign w:val="center"/>
                </w:tcPr>
                <w:p w14:paraId="0D91184D">
                  <w:pPr>
                    <w:spacing w:after="0" w:line="240" w:lineRule="auto"/>
                    <w:jc w:val="center"/>
                    <w:rPr>
                      <w:rFonts w:hint="default"/>
                      <w:color w:val="auto"/>
                      <w:kern w:val="0"/>
                      <w:sz w:val="21"/>
                      <w:szCs w:val="21"/>
                      <w:u w:val="none"/>
                      <w:lang w:val="en-US" w:eastAsia="zh-CN"/>
                    </w:rPr>
                  </w:pPr>
                  <w:r>
                    <w:rPr>
                      <w:rFonts w:hint="eastAsia"/>
                      <w:color w:val="auto"/>
                      <w:kern w:val="0"/>
                      <w:sz w:val="21"/>
                      <w:szCs w:val="21"/>
                      <w:u w:val="none"/>
                      <w:lang w:val="en-US" w:eastAsia="zh-CN"/>
                    </w:rPr>
                    <w:t>固体分</w:t>
                  </w:r>
                </w:p>
              </w:tc>
              <w:tc>
                <w:tcPr>
                  <w:tcW w:w="456" w:type="pct"/>
                  <w:vAlign w:val="center"/>
                </w:tcPr>
                <w:p w14:paraId="75989A7E">
                  <w:pPr>
                    <w:spacing w:after="0" w:line="240" w:lineRule="auto"/>
                    <w:jc w:val="center"/>
                    <w:rPr>
                      <w:rFonts w:hint="default"/>
                      <w:bCs/>
                      <w:sz w:val="21"/>
                      <w:szCs w:val="21"/>
                      <w:u w:val="none"/>
                      <w:lang w:val="en-US" w:eastAsia="zh-CN"/>
                    </w:rPr>
                  </w:pPr>
                  <w:r>
                    <w:rPr>
                      <w:rFonts w:hint="eastAsia"/>
                      <w:bCs/>
                      <w:sz w:val="21"/>
                      <w:szCs w:val="21"/>
                      <w:u w:val="none"/>
                      <w:lang w:val="en-US" w:eastAsia="zh-CN"/>
                    </w:rPr>
                    <w:t>1000</w:t>
                  </w:r>
                </w:p>
              </w:tc>
              <w:tc>
                <w:tcPr>
                  <w:tcW w:w="1216" w:type="pct"/>
                  <w:vAlign w:val="center"/>
                </w:tcPr>
                <w:p w14:paraId="223F4CDE">
                  <w:pPr>
                    <w:spacing w:after="0" w:line="240" w:lineRule="auto"/>
                    <w:jc w:val="center"/>
                    <w:rPr>
                      <w:rFonts w:hint="default"/>
                      <w:color w:val="auto"/>
                      <w:kern w:val="0"/>
                      <w:sz w:val="21"/>
                      <w:szCs w:val="21"/>
                      <w:u w:val="none"/>
                      <w:lang w:val="en-US" w:eastAsia="zh-CN"/>
                    </w:rPr>
                  </w:pPr>
                  <w:r>
                    <w:rPr>
                      <w:rFonts w:hint="eastAsia"/>
                      <w:color w:val="auto"/>
                      <w:kern w:val="0"/>
                      <w:sz w:val="21"/>
                      <w:szCs w:val="21"/>
                      <w:u w:val="none"/>
                      <w:lang w:val="en-US" w:eastAsia="zh-CN"/>
                    </w:rPr>
                    <w:t>一般固废</w:t>
                  </w:r>
                  <w:r>
                    <w:rPr>
                      <w:rFonts w:hint="eastAsia"/>
                      <w:sz w:val="21"/>
                      <w:szCs w:val="21"/>
                      <w:u w:val="none"/>
                      <w:lang w:val="en-US" w:eastAsia="zh-CN"/>
                    </w:rPr>
                    <w:t>（100%）</w:t>
                  </w:r>
                </w:p>
              </w:tc>
              <w:tc>
                <w:tcPr>
                  <w:tcW w:w="1210" w:type="pct"/>
                  <w:shd w:val="clear" w:color="auto" w:fill="auto"/>
                  <w:vAlign w:val="center"/>
                </w:tcPr>
                <w:p w14:paraId="7F047762">
                  <w:pPr>
                    <w:spacing w:after="0" w:line="240" w:lineRule="auto"/>
                    <w:jc w:val="center"/>
                    <w:rPr>
                      <w:rFonts w:hint="default" w:eastAsia="宋体"/>
                      <w:sz w:val="21"/>
                      <w:szCs w:val="21"/>
                      <w:u w:val="none"/>
                      <w:lang w:val="en-US" w:eastAsia="zh-CN"/>
                    </w:rPr>
                  </w:pPr>
                  <w:r>
                    <w:rPr>
                      <w:rFonts w:hint="eastAsia"/>
                      <w:sz w:val="21"/>
                      <w:szCs w:val="21"/>
                      <w:u w:val="none"/>
                      <w:lang w:val="en-US" w:eastAsia="zh-CN"/>
                    </w:rPr>
                    <w:t>回收单位回收（100%）</w:t>
                  </w:r>
                </w:p>
              </w:tc>
              <w:tc>
                <w:tcPr>
                  <w:tcW w:w="690" w:type="pct"/>
                  <w:shd w:val="clear" w:color="auto" w:fill="auto"/>
                  <w:vAlign w:val="center"/>
                </w:tcPr>
                <w:p w14:paraId="78D03C72">
                  <w:pPr>
                    <w:spacing w:after="0" w:line="240" w:lineRule="auto"/>
                    <w:jc w:val="center"/>
                    <w:rPr>
                      <w:rFonts w:hint="default"/>
                      <w:bCs/>
                      <w:sz w:val="21"/>
                      <w:szCs w:val="21"/>
                      <w:u w:val="none"/>
                      <w:lang w:val="en-US" w:eastAsia="zh-CN"/>
                    </w:rPr>
                  </w:pPr>
                  <w:r>
                    <w:rPr>
                      <w:rFonts w:hint="eastAsia"/>
                      <w:bCs/>
                      <w:sz w:val="21"/>
                      <w:szCs w:val="21"/>
                      <w:u w:val="none"/>
                      <w:lang w:val="en-US" w:eastAsia="zh-CN"/>
                    </w:rPr>
                    <w:t>1000</w:t>
                  </w:r>
                </w:p>
              </w:tc>
            </w:tr>
            <w:tr w14:paraId="7051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871" w:type="pct"/>
                  <w:vMerge w:val="continue"/>
                  <w:shd w:val="clear" w:color="auto" w:fill="auto"/>
                  <w:vAlign w:val="center"/>
                </w:tcPr>
                <w:p w14:paraId="29E39AB1">
                  <w:pPr>
                    <w:keepNext w:val="0"/>
                    <w:keepLines w:val="0"/>
                    <w:widowControl/>
                    <w:suppressLineNumbers w:val="0"/>
                    <w:spacing w:line="240" w:lineRule="auto"/>
                    <w:jc w:val="center"/>
                    <w:rPr>
                      <w:rFonts w:hint="eastAsia"/>
                      <w:color w:val="000000"/>
                      <w:kern w:val="0"/>
                      <w:sz w:val="21"/>
                      <w:szCs w:val="21"/>
                      <w:lang w:bidi="ar"/>
                    </w:rPr>
                  </w:pPr>
                </w:p>
              </w:tc>
              <w:tc>
                <w:tcPr>
                  <w:tcW w:w="553" w:type="pct"/>
                  <w:vMerge w:val="restart"/>
                  <w:vAlign w:val="center"/>
                </w:tcPr>
                <w:p w14:paraId="0C84CCCA">
                  <w:pPr>
                    <w:spacing w:after="0" w:line="240" w:lineRule="auto"/>
                    <w:jc w:val="center"/>
                    <w:rPr>
                      <w:rFonts w:hint="eastAsia" w:eastAsia="宋体"/>
                      <w:sz w:val="21"/>
                      <w:szCs w:val="21"/>
                      <w:u w:val="none"/>
                      <w:lang w:val="en-US" w:eastAsia="zh-CN"/>
                    </w:rPr>
                  </w:pPr>
                  <w:r>
                    <w:rPr>
                      <w:rFonts w:hint="eastAsia"/>
                      <w:color w:val="auto"/>
                      <w:kern w:val="0"/>
                      <w:sz w:val="21"/>
                      <w:szCs w:val="21"/>
                      <w:u w:val="none"/>
                      <w:lang w:val="en-US" w:eastAsia="zh-CN"/>
                    </w:rPr>
                    <w:t>液体分</w:t>
                  </w:r>
                </w:p>
              </w:tc>
              <w:tc>
                <w:tcPr>
                  <w:tcW w:w="456" w:type="pct"/>
                  <w:vMerge w:val="restart"/>
                  <w:vAlign w:val="center"/>
                </w:tcPr>
                <w:p w14:paraId="3A3894E3">
                  <w:pPr>
                    <w:spacing w:after="0" w:line="240" w:lineRule="auto"/>
                    <w:jc w:val="center"/>
                    <w:rPr>
                      <w:rFonts w:hint="default" w:eastAsia="宋体"/>
                      <w:sz w:val="21"/>
                      <w:szCs w:val="21"/>
                      <w:u w:val="none"/>
                      <w:lang w:val="en-US" w:eastAsia="zh-CN"/>
                    </w:rPr>
                  </w:pPr>
                  <w:r>
                    <w:rPr>
                      <w:rFonts w:hint="eastAsia"/>
                      <w:bCs/>
                      <w:sz w:val="21"/>
                      <w:szCs w:val="21"/>
                      <w:u w:val="none"/>
                      <w:lang w:val="en-US" w:eastAsia="zh-CN"/>
                    </w:rPr>
                    <w:t>5500</w:t>
                  </w:r>
                </w:p>
              </w:tc>
              <w:tc>
                <w:tcPr>
                  <w:tcW w:w="1216" w:type="pct"/>
                  <w:vMerge w:val="restart"/>
                  <w:vAlign w:val="center"/>
                </w:tcPr>
                <w:p w14:paraId="5E4AD99C">
                  <w:pPr>
                    <w:spacing w:after="0" w:line="240" w:lineRule="auto"/>
                    <w:jc w:val="center"/>
                    <w:rPr>
                      <w:rFonts w:hint="default"/>
                      <w:color w:val="auto"/>
                      <w:kern w:val="0"/>
                      <w:sz w:val="21"/>
                      <w:szCs w:val="21"/>
                      <w:u w:val="none"/>
                      <w:lang w:val="en-US" w:eastAsia="zh-CN"/>
                    </w:rPr>
                  </w:pPr>
                  <w:r>
                    <w:rPr>
                      <w:rFonts w:hint="eastAsia"/>
                      <w:color w:val="auto"/>
                      <w:kern w:val="0"/>
                      <w:sz w:val="21"/>
                      <w:szCs w:val="21"/>
                      <w:u w:val="none"/>
                      <w:lang w:val="en-US" w:eastAsia="zh-CN"/>
                    </w:rPr>
                    <w:t>NMP回收液（99.95%）</w:t>
                  </w:r>
                </w:p>
              </w:tc>
              <w:tc>
                <w:tcPr>
                  <w:tcW w:w="1210" w:type="pct"/>
                  <w:shd w:val="clear" w:color="auto" w:fill="auto"/>
                  <w:vAlign w:val="center"/>
                </w:tcPr>
                <w:p w14:paraId="20D7CD27">
                  <w:pPr>
                    <w:spacing w:after="0" w:line="240" w:lineRule="auto"/>
                    <w:jc w:val="center"/>
                    <w:rPr>
                      <w:rFonts w:hint="eastAsia" w:eastAsia="宋体"/>
                      <w:sz w:val="21"/>
                      <w:szCs w:val="21"/>
                      <w:u w:val="none"/>
                      <w:lang w:val="en-US" w:eastAsia="zh-CN"/>
                    </w:rPr>
                  </w:pPr>
                  <w:r>
                    <w:rPr>
                      <w:rFonts w:hint="eastAsia"/>
                      <w:sz w:val="21"/>
                      <w:szCs w:val="21"/>
                      <w:u w:val="none"/>
                      <w:lang w:val="en-US" w:eastAsia="zh-CN"/>
                    </w:rPr>
                    <w:t>外售</w:t>
                  </w:r>
                </w:p>
              </w:tc>
              <w:tc>
                <w:tcPr>
                  <w:tcW w:w="690" w:type="pct"/>
                  <w:shd w:val="clear" w:color="auto" w:fill="auto"/>
                  <w:vAlign w:val="center"/>
                </w:tcPr>
                <w:p w14:paraId="1AAA608F">
                  <w:pPr>
                    <w:spacing w:after="0" w:line="240" w:lineRule="auto"/>
                    <w:jc w:val="center"/>
                    <w:rPr>
                      <w:rFonts w:hint="default"/>
                      <w:bCs/>
                      <w:sz w:val="21"/>
                      <w:szCs w:val="21"/>
                      <w:u w:val="none"/>
                      <w:lang w:val="en-US" w:eastAsia="zh-CN"/>
                    </w:rPr>
                  </w:pPr>
                  <w:r>
                    <w:rPr>
                      <w:rFonts w:hint="eastAsia"/>
                      <w:bCs/>
                      <w:sz w:val="21"/>
                      <w:szCs w:val="21"/>
                      <w:u w:val="none"/>
                      <w:lang w:val="en-US" w:eastAsia="zh-CN"/>
                    </w:rPr>
                    <w:t>5496.8267</w:t>
                  </w:r>
                </w:p>
              </w:tc>
            </w:tr>
            <w:tr w14:paraId="5A58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871" w:type="pct"/>
                  <w:vMerge w:val="continue"/>
                  <w:shd w:val="clear" w:color="auto" w:fill="auto"/>
                  <w:vAlign w:val="center"/>
                </w:tcPr>
                <w:p w14:paraId="358F036B">
                  <w:pPr>
                    <w:keepNext w:val="0"/>
                    <w:keepLines w:val="0"/>
                    <w:widowControl/>
                    <w:suppressLineNumbers w:val="0"/>
                    <w:spacing w:line="240" w:lineRule="auto"/>
                    <w:jc w:val="center"/>
                    <w:rPr>
                      <w:rFonts w:hint="eastAsia"/>
                      <w:color w:val="000000"/>
                      <w:kern w:val="0"/>
                      <w:sz w:val="21"/>
                      <w:szCs w:val="21"/>
                      <w:lang w:bidi="ar"/>
                    </w:rPr>
                  </w:pPr>
                </w:p>
              </w:tc>
              <w:tc>
                <w:tcPr>
                  <w:tcW w:w="553" w:type="pct"/>
                  <w:vMerge w:val="continue"/>
                  <w:vAlign w:val="center"/>
                </w:tcPr>
                <w:p w14:paraId="6280870B">
                  <w:pPr>
                    <w:spacing w:after="0" w:line="240" w:lineRule="auto"/>
                    <w:jc w:val="center"/>
                    <w:rPr>
                      <w:rFonts w:hint="eastAsia"/>
                      <w:color w:val="auto"/>
                      <w:kern w:val="0"/>
                      <w:sz w:val="21"/>
                      <w:szCs w:val="21"/>
                      <w:u w:val="none"/>
                      <w:lang w:val="en-US" w:eastAsia="zh-CN"/>
                    </w:rPr>
                  </w:pPr>
                </w:p>
              </w:tc>
              <w:tc>
                <w:tcPr>
                  <w:tcW w:w="456" w:type="pct"/>
                  <w:vMerge w:val="continue"/>
                  <w:vAlign w:val="center"/>
                </w:tcPr>
                <w:p w14:paraId="5F6DBE01">
                  <w:pPr>
                    <w:spacing w:after="0" w:line="240" w:lineRule="auto"/>
                    <w:jc w:val="center"/>
                    <w:rPr>
                      <w:rFonts w:hint="eastAsia"/>
                      <w:bCs/>
                      <w:sz w:val="21"/>
                      <w:szCs w:val="21"/>
                      <w:u w:val="none"/>
                      <w:lang w:val="en-US" w:eastAsia="zh-CN"/>
                    </w:rPr>
                  </w:pPr>
                </w:p>
              </w:tc>
              <w:tc>
                <w:tcPr>
                  <w:tcW w:w="1216" w:type="pct"/>
                  <w:vMerge w:val="continue"/>
                  <w:shd w:val="clear" w:color="auto" w:fill="auto"/>
                  <w:vAlign w:val="center"/>
                </w:tcPr>
                <w:p w14:paraId="11868AE7">
                  <w:pPr>
                    <w:spacing w:after="0" w:line="240" w:lineRule="auto"/>
                    <w:jc w:val="center"/>
                    <w:rPr>
                      <w:rFonts w:hint="eastAsia" w:ascii="Times New Roman" w:hAnsi="Times New Roman" w:eastAsia="宋体" w:cs="Times New Roman"/>
                      <w:kern w:val="2"/>
                      <w:sz w:val="21"/>
                      <w:szCs w:val="21"/>
                      <w:u w:val="none"/>
                      <w:lang w:val="en-US" w:eastAsia="zh-CN" w:bidi="ar-SA"/>
                    </w:rPr>
                  </w:pPr>
                </w:p>
              </w:tc>
              <w:tc>
                <w:tcPr>
                  <w:tcW w:w="1210" w:type="pct"/>
                  <w:shd w:val="clear" w:color="auto" w:fill="auto"/>
                  <w:vAlign w:val="center"/>
                </w:tcPr>
                <w:p w14:paraId="226F88CC">
                  <w:pPr>
                    <w:spacing w:after="0" w:line="240" w:lineRule="auto"/>
                    <w:jc w:val="center"/>
                    <w:rPr>
                      <w:rFonts w:hint="eastAsia" w:ascii="Times New Roman" w:hAnsi="Times New Roman" w:eastAsia="宋体" w:cs="Times New Roman"/>
                      <w:kern w:val="2"/>
                      <w:sz w:val="21"/>
                      <w:szCs w:val="21"/>
                      <w:u w:val="none"/>
                      <w:lang w:val="en-US" w:eastAsia="zh-CN" w:bidi="ar-SA"/>
                    </w:rPr>
                  </w:pPr>
                  <w:r>
                    <w:rPr>
                      <w:rFonts w:hint="eastAsia"/>
                      <w:color w:val="auto"/>
                      <w:kern w:val="0"/>
                      <w:sz w:val="21"/>
                      <w:szCs w:val="21"/>
                      <w:u w:val="none"/>
                      <w:lang w:val="en-US" w:eastAsia="zh-CN"/>
                    </w:rPr>
                    <w:t>NMHC</w:t>
                  </w:r>
                  <w:r>
                    <w:rPr>
                      <w:rFonts w:hint="eastAsia"/>
                      <w:sz w:val="21"/>
                      <w:szCs w:val="21"/>
                      <w:u w:val="none"/>
                    </w:rPr>
                    <w:t>无组织排放</w:t>
                  </w:r>
                  <w:r>
                    <w:rPr>
                      <w:rFonts w:hint="eastAsia" w:cs="Times New Roman"/>
                      <w:color w:val="000000"/>
                      <w:kern w:val="0"/>
                      <w:sz w:val="21"/>
                      <w:szCs w:val="21"/>
                      <w:lang w:val="en-US" w:eastAsia="zh-CN" w:bidi="ar"/>
                    </w:rPr>
                    <w:t>（储罐废气）</w:t>
                  </w:r>
                </w:p>
              </w:tc>
              <w:tc>
                <w:tcPr>
                  <w:tcW w:w="690" w:type="pct"/>
                  <w:shd w:val="clear" w:color="auto" w:fill="auto"/>
                  <w:vAlign w:val="center"/>
                </w:tcPr>
                <w:p w14:paraId="19461BB1">
                  <w:pPr>
                    <w:spacing w:after="0" w:line="240" w:lineRule="auto"/>
                    <w:jc w:val="center"/>
                    <w:rPr>
                      <w:rFonts w:hint="eastAsia" w:ascii="Times New Roman" w:hAnsi="Times New Roman" w:eastAsia="宋体" w:cs="Times New Roman"/>
                      <w:kern w:val="2"/>
                      <w:sz w:val="21"/>
                      <w:szCs w:val="21"/>
                      <w:u w:val="none"/>
                      <w:lang w:val="en-US" w:eastAsia="zh-CN" w:bidi="ar-SA"/>
                    </w:rPr>
                  </w:pPr>
                  <w:r>
                    <w:rPr>
                      <w:rFonts w:hint="eastAsia"/>
                      <w:bCs/>
                      <w:sz w:val="21"/>
                      <w:szCs w:val="21"/>
                      <w:u w:val="none"/>
                      <w:lang w:val="en-US" w:eastAsia="zh-CN"/>
                    </w:rPr>
                    <w:t>0.4233</w:t>
                  </w:r>
                </w:p>
              </w:tc>
            </w:tr>
            <w:tr w14:paraId="32B9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871" w:type="pct"/>
                  <w:vMerge w:val="continue"/>
                  <w:shd w:val="clear" w:color="auto" w:fill="auto"/>
                  <w:vAlign w:val="center"/>
                </w:tcPr>
                <w:p w14:paraId="41B5C48F">
                  <w:pPr>
                    <w:keepNext w:val="0"/>
                    <w:keepLines w:val="0"/>
                    <w:widowControl/>
                    <w:suppressLineNumbers w:val="0"/>
                    <w:spacing w:line="240" w:lineRule="auto"/>
                    <w:jc w:val="center"/>
                    <w:rPr>
                      <w:rFonts w:hint="eastAsia"/>
                      <w:color w:val="000000"/>
                      <w:kern w:val="0"/>
                      <w:sz w:val="21"/>
                      <w:szCs w:val="21"/>
                      <w:lang w:bidi="ar"/>
                    </w:rPr>
                  </w:pPr>
                </w:p>
              </w:tc>
              <w:tc>
                <w:tcPr>
                  <w:tcW w:w="553" w:type="pct"/>
                  <w:vMerge w:val="continue"/>
                  <w:vAlign w:val="center"/>
                </w:tcPr>
                <w:p w14:paraId="1F72D120">
                  <w:pPr>
                    <w:spacing w:after="0" w:line="240" w:lineRule="auto"/>
                    <w:jc w:val="center"/>
                    <w:rPr>
                      <w:rFonts w:hint="eastAsia"/>
                      <w:color w:val="auto"/>
                      <w:kern w:val="0"/>
                      <w:sz w:val="21"/>
                      <w:szCs w:val="21"/>
                      <w:u w:val="none"/>
                      <w:lang w:val="en-US" w:eastAsia="zh-CN"/>
                    </w:rPr>
                  </w:pPr>
                </w:p>
              </w:tc>
              <w:tc>
                <w:tcPr>
                  <w:tcW w:w="456" w:type="pct"/>
                  <w:vMerge w:val="continue"/>
                  <w:vAlign w:val="center"/>
                </w:tcPr>
                <w:p w14:paraId="3E9CFF0C">
                  <w:pPr>
                    <w:spacing w:after="0" w:line="240" w:lineRule="auto"/>
                    <w:jc w:val="center"/>
                    <w:rPr>
                      <w:rFonts w:hint="eastAsia"/>
                      <w:bCs/>
                      <w:sz w:val="21"/>
                      <w:szCs w:val="21"/>
                      <w:u w:val="none"/>
                      <w:lang w:val="en-US" w:eastAsia="zh-CN"/>
                    </w:rPr>
                  </w:pPr>
                </w:p>
              </w:tc>
              <w:tc>
                <w:tcPr>
                  <w:tcW w:w="1216" w:type="pct"/>
                  <w:vMerge w:val="restart"/>
                  <w:vAlign w:val="center"/>
                </w:tcPr>
                <w:p w14:paraId="780B1229">
                  <w:pPr>
                    <w:spacing w:after="0" w:line="240" w:lineRule="auto"/>
                    <w:jc w:val="center"/>
                    <w:rPr>
                      <w:rFonts w:hint="eastAsia"/>
                      <w:color w:val="auto"/>
                      <w:kern w:val="0"/>
                      <w:sz w:val="21"/>
                      <w:szCs w:val="21"/>
                      <w:u w:val="none"/>
                      <w:lang w:val="en-US" w:eastAsia="zh-CN"/>
                    </w:rPr>
                  </w:pPr>
                  <w:r>
                    <w:rPr>
                      <w:rFonts w:hint="eastAsia"/>
                      <w:color w:val="auto"/>
                      <w:kern w:val="0"/>
                      <w:sz w:val="21"/>
                      <w:szCs w:val="21"/>
                      <w:u w:val="none"/>
                      <w:lang w:val="en-US" w:eastAsia="zh-CN"/>
                    </w:rPr>
                    <w:t>不凝气体（NMHC）</w:t>
                  </w:r>
                </w:p>
                <w:p w14:paraId="33511D16">
                  <w:pPr>
                    <w:spacing w:after="0" w:line="240" w:lineRule="auto"/>
                    <w:jc w:val="center"/>
                    <w:rPr>
                      <w:rFonts w:hint="default"/>
                      <w:color w:val="auto"/>
                      <w:kern w:val="0"/>
                      <w:sz w:val="21"/>
                      <w:szCs w:val="21"/>
                      <w:u w:val="none"/>
                      <w:lang w:val="en-US" w:eastAsia="zh-CN"/>
                    </w:rPr>
                  </w:pPr>
                  <w:r>
                    <w:rPr>
                      <w:rFonts w:hint="eastAsia"/>
                      <w:color w:val="auto"/>
                      <w:kern w:val="0"/>
                      <w:sz w:val="21"/>
                      <w:szCs w:val="21"/>
                      <w:u w:val="none"/>
                      <w:lang w:val="en-US" w:eastAsia="zh-CN"/>
                    </w:rPr>
                    <w:t>（0.05%）</w:t>
                  </w:r>
                </w:p>
              </w:tc>
              <w:tc>
                <w:tcPr>
                  <w:tcW w:w="1210" w:type="pct"/>
                  <w:shd w:val="clear" w:color="auto" w:fill="auto"/>
                  <w:vAlign w:val="center"/>
                </w:tcPr>
                <w:p w14:paraId="3E222573">
                  <w:pPr>
                    <w:spacing w:after="0" w:line="240" w:lineRule="auto"/>
                    <w:jc w:val="center"/>
                    <w:rPr>
                      <w:rFonts w:hint="default" w:eastAsia="宋体"/>
                      <w:sz w:val="21"/>
                      <w:szCs w:val="21"/>
                      <w:u w:val="none"/>
                      <w:lang w:val="en-US" w:eastAsia="zh-CN"/>
                    </w:rPr>
                  </w:pPr>
                  <w:r>
                    <w:rPr>
                      <w:rFonts w:hint="eastAsia"/>
                      <w:sz w:val="21"/>
                      <w:szCs w:val="21"/>
                      <w:u w:val="none"/>
                      <w:lang w:val="en-US" w:eastAsia="zh-CN"/>
                    </w:rPr>
                    <w:t>二级活性炭吸收（49%）</w:t>
                  </w:r>
                </w:p>
              </w:tc>
              <w:tc>
                <w:tcPr>
                  <w:tcW w:w="690" w:type="pct"/>
                  <w:shd w:val="clear" w:color="auto" w:fill="auto"/>
                  <w:vAlign w:val="center"/>
                </w:tcPr>
                <w:p w14:paraId="7CCA3284">
                  <w:pPr>
                    <w:spacing w:after="0" w:line="240" w:lineRule="auto"/>
                    <w:jc w:val="center"/>
                    <w:rPr>
                      <w:rFonts w:hint="default"/>
                      <w:bCs/>
                      <w:sz w:val="21"/>
                      <w:szCs w:val="21"/>
                      <w:u w:val="none"/>
                      <w:lang w:val="en-US" w:eastAsia="zh-CN"/>
                    </w:rPr>
                  </w:pPr>
                  <w:r>
                    <w:rPr>
                      <w:rFonts w:hint="eastAsia"/>
                      <w:bCs/>
                      <w:sz w:val="21"/>
                      <w:szCs w:val="21"/>
                      <w:u w:val="none"/>
                      <w:lang w:val="en-US" w:eastAsia="zh-CN"/>
                    </w:rPr>
                    <w:t>1.35</w:t>
                  </w:r>
                </w:p>
              </w:tc>
            </w:tr>
            <w:tr w14:paraId="0D95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871" w:type="pct"/>
                  <w:vMerge w:val="continue"/>
                  <w:shd w:val="clear" w:color="auto" w:fill="auto"/>
                  <w:vAlign w:val="center"/>
                </w:tcPr>
                <w:p w14:paraId="2648037D">
                  <w:pPr>
                    <w:keepNext w:val="0"/>
                    <w:keepLines w:val="0"/>
                    <w:widowControl/>
                    <w:suppressLineNumbers w:val="0"/>
                    <w:spacing w:line="240" w:lineRule="auto"/>
                    <w:jc w:val="center"/>
                    <w:rPr>
                      <w:rFonts w:hint="eastAsia"/>
                      <w:color w:val="000000"/>
                      <w:kern w:val="0"/>
                      <w:sz w:val="21"/>
                      <w:szCs w:val="21"/>
                      <w:lang w:bidi="ar"/>
                    </w:rPr>
                  </w:pPr>
                </w:p>
              </w:tc>
              <w:tc>
                <w:tcPr>
                  <w:tcW w:w="553" w:type="pct"/>
                  <w:vMerge w:val="continue"/>
                  <w:vAlign w:val="center"/>
                </w:tcPr>
                <w:p w14:paraId="3D67AD73">
                  <w:pPr>
                    <w:spacing w:after="0" w:line="240" w:lineRule="auto"/>
                    <w:jc w:val="center"/>
                    <w:rPr>
                      <w:rFonts w:hint="eastAsia"/>
                      <w:color w:val="auto"/>
                      <w:kern w:val="0"/>
                      <w:sz w:val="21"/>
                      <w:szCs w:val="21"/>
                      <w:u w:val="none"/>
                      <w:lang w:val="en-US" w:eastAsia="zh-CN"/>
                    </w:rPr>
                  </w:pPr>
                </w:p>
              </w:tc>
              <w:tc>
                <w:tcPr>
                  <w:tcW w:w="456" w:type="pct"/>
                  <w:vMerge w:val="continue"/>
                  <w:vAlign w:val="center"/>
                </w:tcPr>
                <w:p w14:paraId="06ECD25C">
                  <w:pPr>
                    <w:spacing w:after="0" w:line="240" w:lineRule="auto"/>
                    <w:jc w:val="center"/>
                    <w:rPr>
                      <w:rFonts w:hint="eastAsia"/>
                      <w:bCs/>
                      <w:sz w:val="21"/>
                      <w:szCs w:val="21"/>
                      <w:u w:val="none"/>
                      <w:lang w:val="en-US" w:eastAsia="zh-CN"/>
                    </w:rPr>
                  </w:pPr>
                </w:p>
              </w:tc>
              <w:tc>
                <w:tcPr>
                  <w:tcW w:w="1216" w:type="pct"/>
                  <w:vMerge w:val="continue"/>
                  <w:vAlign w:val="center"/>
                </w:tcPr>
                <w:p w14:paraId="7DF70AB3">
                  <w:pPr>
                    <w:spacing w:after="0" w:line="240" w:lineRule="auto"/>
                    <w:jc w:val="center"/>
                    <w:rPr>
                      <w:rFonts w:hint="eastAsia"/>
                      <w:color w:val="auto"/>
                      <w:kern w:val="0"/>
                      <w:sz w:val="21"/>
                      <w:szCs w:val="21"/>
                      <w:u w:val="none"/>
                      <w:lang w:val="en-US" w:eastAsia="zh-CN"/>
                    </w:rPr>
                  </w:pPr>
                </w:p>
              </w:tc>
              <w:tc>
                <w:tcPr>
                  <w:tcW w:w="1210" w:type="pct"/>
                  <w:shd w:val="clear" w:color="auto" w:fill="auto"/>
                  <w:vAlign w:val="center"/>
                </w:tcPr>
                <w:p w14:paraId="2FA28725">
                  <w:pPr>
                    <w:spacing w:after="0" w:line="240" w:lineRule="auto"/>
                    <w:jc w:val="center"/>
                    <w:rPr>
                      <w:rFonts w:hint="default" w:eastAsia="宋体"/>
                      <w:sz w:val="21"/>
                      <w:szCs w:val="21"/>
                      <w:u w:val="none"/>
                      <w:lang w:val="en-US" w:eastAsia="zh-CN"/>
                    </w:rPr>
                  </w:pPr>
                  <w:r>
                    <w:rPr>
                      <w:rFonts w:hint="eastAsia"/>
                      <w:color w:val="auto"/>
                      <w:kern w:val="0"/>
                      <w:sz w:val="21"/>
                      <w:szCs w:val="21"/>
                      <w:u w:val="none"/>
                      <w:lang w:val="en-US" w:eastAsia="zh-CN"/>
                    </w:rPr>
                    <w:t>NMHC</w:t>
                  </w:r>
                  <w:r>
                    <w:rPr>
                      <w:rFonts w:hint="eastAsia"/>
                      <w:sz w:val="21"/>
                      <w:szCs w:val="21"/>
                      <w:u w:val="none"/>
                      <w:lang w:val="en-US" w:eastAsia="zh-CN"/>
                    </w:rPr>
                    <w:t>有组织排放（51%）</w:t>
                  </w:r>
                </w:p>
              </w:tc>
              <w:tc>
                <w:tcPr>
                  <w:tcW w:w="690" w:type="pct"/>
                  <w:shd w:val="clear" w:color="auto" w:fill="auto"/>
                  <w:vAlign w:val="center"/>
                </w:tcPr>
                <w:p w14:paraId="7E959250">
                  <w:pPr>
                    <w:spacing w:after="0" w:line="240" w:lineRule="auto"/>
                    <w:jc w:val="center"/>
                    <w:rPr>
                      <w:rFonts w:hint="default"/>
                      <w:bCs/>
                      <w:sz w:val="21"/>
                      <w:szCs w:val="21"/>
                      <w:u w:val="none"/>
                      <w:lang w:val="en-US" w:eastAsia="zh-CN"/>
                    </w:rPr>
                  </w:pPr>
                  <w:r>
                    <w:rPr>
                      <w:rFonts w:hint="eastAsia"/>
                      <w:bCs/>
                      <w:sz w:val="21"/>
                      <w:szCs w:val="21"/>
                      <w:u w:val="none"/>
                      <w:lang w:val="en-US" w:eastAsia="zh-CN"/>
                    </w:rPr>
                    <w:t>1.4</w:t>
                  </w:r>
                </w:p>
              </w:tc>
            </w:tr>
            <w:tr w14:paraId="7896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25" w:type="pct"/>
                  <w:gridSpan w:val="2"/>
                  <w:shd w:val="clear" w:color="auto" w:fill="auto"/>
                  <w:vAlign w:val="center"/>
                </w:tcPr>
                <w:p w14:paraId="12BE4772">
                  <w:pPr>
                    <w:spacing w:after="0" w:line="240" w:lineRule="auto"/>
                    <w:jc w:val="center"/>
                    <w:rPr>
                      <w:rFonts w:hint="default" w:eastAsia="宋体"/>
                      <w:sz w:val="21"/>
                      <w:szCs w:val="21"/>
                      <w:u w:val="none"/>
                      <w:lang w:val="en-US" w:eastAsia="zh-CN"/>
                    </w:rPr>
                  </w:pPr>
                  <w:r>
                    <w:rPr>
                      <w:rFonts w:hint="eastAsia"/>
                      <w:sz w:val="21"/>
                      <w:szCs w:val="21"/>
                      <w:u w:val="none"/>
                      <w:lang w:val="en-US" w:eastAsia="zh-CN"/>
                    </w:rPr>
                    <w:t>合计</w:t>
                  </w:r>
                </w:p>
              </w:tc>
              <w:tc>
                <w:tcPr>
                  <w:tcW w:w="456" w:type="pct"/>
                  <w:vAlign w:val="center"/>
                </w:tcPr>
                <w:p w14:paraId="1E7A27CD">
                  <w:pPr>
                    <w:spacing w:after="0" w:line="240" w:lineRule="auto"/>
                    <w:jc w:val="center"/>
                    <w:rPr>
                      <w:rFonts w:hint="default" w:eastAsia="宋体"/>
                      <w:bCs/>
                      <w:sz w:val="21"/>
                      <w:szCs w:val="21"/>
                      <w:u w:val="none"/>
                      <w:lang w:val="en-US" w:eastAsia="zh-CN"/>
                    </w:rPr>
                  </w:pPr>
                  <w:r>
                    <w:rPr>
                      <w:rFonts w:hint="eastAsia"/>
                      <w:bCs/>
                      <w:sz w:val="21"/>
                      <w:szCs w:val="21"/>
                      <w:u w:val="none"/>
                      <w:lang w:val="en-US" w:eastAsia="zh-CN"/>
                    </w:rPr>
                    <w:t>6500</w:t>
                  </w:r>
                </w:p>
              </w:tc>
              <w:tc>
                <w:tcPr>
                  <w:tcW w:w="2427" w:type="pct"/>
                  <w:gridSpan w:val="2"/>
                  <w:vAlign w:val="center"/>
                </w:tcPr>
                <w:p w14:paraId="0B7E5A82">
                  <w:pPr>
                    <w:spacing w:after="0" w:line="240" w:lineRule="auto"/>
                    <w:jc w:val="center"/>
                    <w:rPr>
                      <w:rFonts w:hint="default" w:eastAsia="宋体"/>
                      <w:sz w:val="21"/>
                      <w:szCs w:val="21"/>
                      <w:u w:val="none"/>
                      <w:lang w:val="en-US" w:eastAsia="zh-CN"/>
                    </w:rPr>
                  </w:pPr>
                  <w:r>
                    <w:rPr>
                      <w:rFonts w:hint="eastAsia"/>
                      <w:sz w:val="21"/>
                      <w:szCs w:val="21"/>
                      <w:u w:val="none"/>
                      <w:lang w:val="en-US" w:eastAsia="zh-CN"/>
                    </w:rPr>
                    <w:t>合计</w:t>
                  </w:r>
                </w:p>
              </w:tc>
              <w:tc>
                <w:tcPr>
                  <w:tcW w:w="690" w:type="pct"/>
                  <w:shd w:val="clear" w:color="auto" w:fill="auto"/>
                  <w:vAlign w:val="center"/>
                </w:tcPr>
                <w:p w14:paraId="710B35C4">
                  <w:pPr>
                    <w:spacing w:after="0" w:line="240" w:lineRule="auto"/>
                    <w:jc w:val="center"/>
                    <w:rPr>
                      <w:rFonts w:hint="default" w:eastAsia="宋体"/>
                      <w:bCs/>
                      <w:sz w:val="21"/>
                      <w:szCs w:val="21"/>
                      <w:u w:val="none"/>
                      <w:lang w:val="en-US" w:eastAsia="zh-CN"/>
                    </w:rPr>
                  </w:pPr>
                  <w:r>
                    <w:rPr>
                      <w:rFonts w:hint="eastAsia"/>
                      <w:bCs/>
                      <w:sz w:val="21"/>
                      <w:szCs w:val="21"/>
                      <w:u w:val="none"/>
                      <w:lang w:val="en-US" w:eastAsia="zh-CN"/>
                    </w:rPr>
                    <w:t>6500</w:t>
                  </w:r>
                </w:p>
              </w:tc>
            </w:tr>
          </w:tbl>
          <w:p w14:paraId="61EA6770"/>
        </w:tc>
      </w:tr>
      <w:tr w14:paraId="0EB01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797" w:type="dxa"/>
            <w:vAlign w:val="center"/>
          </w:tcPr>
          <w:p w14:paraId="5BAF8830">
            <w:pPr>
              <w:pStyle w:val="26"/>
              <w:adjustRightInd w:val="0"/>
              <w:snapToGrid w:val="0"/>
              <w:spacing w:before="0" w:beforeAutospacing="0" w:after="0" w:afterAutospacing="0"/>
              <w:jc w:val="center"/>
              <w:rPr>
                <w:rFonts w:ascii="Times New Roman" w:hAnsi="Times New Roman"/>
                <w:sz w:val="21"/>
                <w:szCs w:val="21"/>
              </w:rPr>
            </w:pPr>
            <w:r>
              <w:rPr>
                <w:rFonts w:ascii="Times New Roman" w:hAnsi="Times New Roman"/>
                <w:sz w:val="24"/>
                <w:szCs w:val="24"/>
              </w:rPr>
              <w:t>工艺流程和产排污环节</w:t>
            </w:r>
          </w:p>
        </w:tc>
        <w:tc>
          <w:tcPr>
            <w:tcW w:w="8263" w:type="dxa"/>
          </w:tcPr>
          <w:p w14:paraId="5CF64E04">
            <w:pPr>
              <w:spacing w:line="360" w:lineRule="auto"/>
              <w:rPr>
                <w:b/>
                <w:bCs/>
              </w:rPr>
            </w:pPr>
            <w:r>
              <w:rPr>
                <w:rFonts w:hint="eastAsia"/>
                <w:b/>
                <w:bCs/>
              </w:rPr>
              <w:t>一、</w:t>
            </w:r>
            <w:r>
              <w:rPr>
                <w:b/>
                <w:bCs/>
              </w:rPr>
              <w:t>工艺流程</w:t>
            </w:r>
          </w:p>
          <w:p w14:paraId="2F181980">
            <w:pPr>
              <w:spacing w:line="360" w:lineRule="auto"/>
              <w:rPr>
                <w:b/>
                <w:snapToGrid w:val="0"/>
                <w:kern w:val="0"/>
              </w:rPr>
            </w:pPr>
            <w:r>
              <w:rPr>
                <w:rFonts w:hint="eastAsia"/>
                <w:b/>
                <w:snapToGrid w:val="0"/>
                <w:kern w:val="0"/>
              </w:rPr>
              <w:t>1、</w:t>
            </w:r>
            <w:r>
              <w:rPr>
                <w:b/>
                <w:snapToGrid w:val="0"/>
                <w:kern w:val="0"/>
              </w:rPr>
              <w:t>施工期施工流程及产污环节</w:t>
            </w:r>
          </w:p>
          <w:p w14:paraId="5EAC2693">
            <w:pPr>
              <w:pStyle w:val="28"/>
              <w:spacing w:before="0" w:after="0" w:line="360" w:lineRule="auto"/>
              <w:ind w:right="0" w:firstLine="480" w:firstLineChars="200"/>
              <w:rPr>
                <w:sz w:val="24"/>
                <w:szCs w:val="24"/>
              </w:rPr>
            </w:pPr>
            <w:r>
              <w:rPr>
                <w:rFonts w:hint="eastAsia"/>
                <w:kern w:val="0"/>
                <w:sz w:val="24"/>
                <w:szCs w:val="20"/>
                <w:lang w:val="en-US" w:eastAsia="zh-CN"/>
              </w:rPr>
              <w:t>本项目租赁标准化厂房生产，施工期</w:t>
            </w:r>
            <w:r>
              <w:rPr>
                <w:kern w:val="0"/>
                <w:sz w:val="24"/>
                <w:szCs w:val="20"/>
              </w:rPr>
              <w:t>只进行设备安装和调试，</w:t>
            </w:r>
            <w:r>
              <w:rPr>
                <w:color w:val="000000"/>
                <w:kern w:val="0"/>
                <w:sz w:val="24"/>
                <w:szCs w:val="20"/>
              </w:rPr>
              <w:t>施工期主要污染物为施工噪声及施工固废</w:t>
            </w:r>
            <w:r>
              <w:rPr>
                <w:rFonts w:hint="eastAsia"/>
                <w:color w:val="000000"/>
                <w:kern w:val="0"/>
                <w:sz w:val="24"/>
                <w:szCs w:val="20"/>
              </w:rPr>
              <w:t>。</w:t>
            </w:r>
            <w:r>
              <w:rPr>
                <w:color w:val="000000"/>
                <w:kern w:val="0"/>
                <w:sz w:val="24"/>
                <w:szCs w:val="20"/>
              </w:rPr>
              <w:t>本项目位于园区，且在室内施工，施工噪声对周围声环境影响较小。本项目施工固废主要为装修垃圾，</w:t>
            </w:r>
            <w:r>
              <w:rPr>
                <w:rFonts w:hint="eastAsia"/>
                <w:color w:val="000000"/>
                <w:kern w:val="0"/>
                <w:sz w:val="24"/>
                <w:szCs w:val="20"/>
                <w:lang w:val="en-US" w:eastAsia="zh-CN"/>
              </w:rPr>
              <w:t>交由环卫部门处理</w:t>
            </w:r>
            <w:r>
              <w:rPr>
                <w:color w:val="000000"/>
                <w:kern w:val="0"/>
                <w:sz w:val="24"/>
                <w:szCs w:val="20"/>
              </w:rPr>
              <w:t>。综上所述，本项目施工期对环境影响较小。因此，不对施工期环境影响进行详细分析。</w:t>
            </w:r>
          </w:p>
          <w:p w14:paraId="7CD21231">
            <w:pPr>
              <w:pStyle w:val="2"/>
              <w:spacing w:before="0" w:after="0" w:line="360" w:lineRule="auto"/>
              <w:ind w:left="0"/>
              <w:rPr>
                <w:color w:val="auto"/>
                <w:sz w:val="24"/>
                <w:szCs w:val="24"/>
              </w:rPr>
            </w:pPr>
            <w:bookmarkStart w:id="27" w:name="_Toc71631402"/>
            <w:r>
              <w:rPr>
                <w:rFonts w:hint="eastAsia"/>
                <w:color w:val="auto"/>
                <w:sz w:val="24"/>
                <w:szCs w:val="24"/>
              </w:rPr>
              <w:t>2</w:t>
            </w:r>
            <w:r>
              <w:rPr>
                <w:color w:val="auto"/>
                <w:sz w:val="24"/>
                <w:szCs w:val="24"/>
              </w:rPr>
              <w:t>、2、</w:t>
            </w:r>
            <w:r>
              <w:rPr>
                <w:rFonts w:eastAsia="宋体"/>
                <w:snapToGrid w:val="0"/>
                <w:color w:val="auto"/>
                <w:kern w:val="0"/>
                <w:sz w:val="24"/>
                <w:szCs w:val="24"/>
              </w:rPr>
              <w:t>营运</w:t>
            </w:r>
            <w:r>
              <w:rPr>
                <w:rFonts w:hint="eastAsia" w:eastAsia="宋体"/>
                <w:snapToGrid w:val="0"/>
                <w:color w:val="auto"/>
                <w:kern w:val="0"/>
                <w:sz w:val="24"/>
                <w:szCs w:val="24"/>
              </w:rPr>
              <w:t>期工艺</w:t>
            </w:r>
            <w:r>
              <w:rPr>
                <w:rFonts w:eastAsia="宋体"/>
                <w:snapToGrid w:val="0"/>
                <w:color w:val="auto"/>
                <w:kern w:val="0"/>
                <w:sz w:val="24"/>
                <w:szCs w:val="24"/>
              </w:rPr>
              <w:t>流程及产污环节</w:t>
            </w:r>
            <w:bookmarkEnd w:id="27"/>
          </w:p>
          <w:p w14:paraId="468E84E1">
            <w:pPr>
              <w:pStyle w:val="28"/>
              <w:spacing w:before="0" w:after="0" w:line="360" w:lineRule="auto"/>
              <w:ind w:right="0" w:firstLine="480" w:firstLineChars="200"/>
              <w:jc w:val="both"/>
              <w:rPr>
                <w:sz w:val="24"/>
                <w:szCs w:val="24"/>
              </w:rPr>
            </w:pPr>
            <w:r>
              <w:rPr>
                <w:rFonts w:hint="eastAsia"/>
                <w:sz w:val="24"/>
                <w:szCs w:val="24"/>
                <w:lang w:val="en-US" w:eastAsia="zh-CN"/>
              </w:rPr>
              <w:t>生产线</w:t>
            </w:r>
            <w:r>
              <w:rPr>
                <w:sz w:val="24"/>
                <w:szCs w:val="24"/>
              </w:rPr>
              <w:t>工艺流程及产排污环节见图</w:t>
            </w:r>
            <w:r>
              <w:rPr>
                <w:rFonts w:hint="eastAsia"/>
                <w:sz w:val="24"/>
                <w:szCs w:val="24"/>
                <w:lang w:val="en-US" w:eastAsia="zh-CN"/>
              </w:rPr>
              <w:t>2-2</w:t>
            </w:r>
            <w:r>
              <w:rPr>
                <w:sz w:val="24"/>
                <w:szCs w:val="24"/>
              </w:rPr>
              <w:t>。</w:t>
            </w:r>
          </w:p>
          <w:p w14:paraId="631CA82D">
            <w:pPr>
              <w:pStyle w:val="29"/>
              <w:ind w:firstLine="0" w:firstLineChars="0"/>
              <w:rPr>
                <w:rFonts w:hint="eastAsia" w:eastAsia="宋体"/>
                <w:sz w:val="24"/>
                <w:szCs w:val="24"/>
                <w:lang w:eastAsia="zh-CN"/>
              </w:rPr>
            </w:pPr>
            <w:r>
              <w:rPr>
                <w:sz w:val="24"/>
              </w:rPr>
              <mc:AlternateContent>
                <mc:Choice Requires="wpc">
                  <w:drawing>
                    <wp:inline distT="0" distB="0" distL="114300" distR="114300">
                      <wp:extent cx="5089525" cy="4307205"/>
                      <wp:effectExtent l="0" t="0" r="0" b="0"/>
                      <wp:docPr id="5" name="画布 5"/>
                      <wp:cNvGraphicFramePr/>
                      <a:graphic xmlns:a="http://schemas.openxmlformats.org/drawingml/2006/main">
                        <a:graphicData uri="http://schemas.microsoft.com/office/word/2010/wordprocessingCanvas">
                          <wpc:wpc>
                            <wpc:bg/>
                            <wpc:whole/>
                            <wps:wsp>
                              <wps:cNvPr id="6" name="矩形 6"/>
                              <wps:cNvSpPr/>
                              <wps:spPr>
                                <a:xfrm>
                                  <a:off x="2027555" y="305435"/>
                                  <a:ext cx="740410" cy="2965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35E8E4">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原料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矩形 17"/>
                              <wps:cNvSpPr/>
                              <wps:spPr>
                                <a:xfrm>
                                  <a:off x="2032000" y="896620"/>
                                  <a:ext cx="740410" cy="2965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FC2A8">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蒸馏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矩形 20"/>
                              <wps:cNvSpPr/>
                              <wps:spPr>
                                <a:xfrm>
                                  <a:off x="2031365" y="1573530"/>
                                  <a:ext cx="740410" cy="2965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9D352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烘干</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 name="矩形 21"/>
                              <wps:cNvSpPr/>
                              <wps:spPr>
                                <a:xfrm>
                                  <a:off x="899160" y="2424430"/>
                                  <a:ext cx="740410" cy="2965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32E05">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气体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矩形 22"/>
                              <wps:cNvSpPr/>
                              <wps:spPr>
                                <a:xfrm>
                                  <a:off x="3096260" y="2425065"/>
                                  <a:ext cx="740410" cy="2965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8F32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固体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矩形 23"/>
                              <wps:cNvSpPr/>
                              <wps:spPr>
                                <a:xfrm>
                                  <a:off x="898525" y="3114675"/>
                                  <a:ext cx="740410" cy="2965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549D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冷凝</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矩形 24"/>
                              <wps:cNvSpPr/>
                              <wps:spPr>
                                <a:xfrm>
                                  <a:off x="897890" y="3764280"/>
                                  <a:ext cx="740410" cy="2965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AFDBE0">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储罐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 name="矩形 26"/>
                              <wps:cNvSpPr/>
                              <wps:spPr>
                                <a:xfrm>
                                  <a:off x="3090545" y="3027045"/>
                                  <a:ext cx="740410" cy="2965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0F4468">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储存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直接箭头连接符 27"/>
                              <wps:cNvCnPr>
                                <a:stCxn id="6" idx="2"/>
                                <a:endCxn id="17" idx="0"/>
                              </wps:cNvCnPr>
                              <wps:spPr>
                                <a:xfrm>
                                  <a:off x="2397760" y="601980"/>
                                  <a:ext cx="4445" cy="29464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8" name="直接箭头连接符 28"/>
                              <wps:cNvCnPr>
                                <a:stCxn id="17" idx="2"/>
                                <a:endCxn id="20" idx="0"/>
                              </wps:cNvCnPr>
                              <wps:spPr>
                                <a:xfrm flipH="1">
                                  <a:off x="2401570" y="1193165"/>
                                  <a:ext cx="635" cy="38036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9" name="肘形连接符 29"/>
                              <wps:cNvCnPr>
                                <a:stCxn id="20" idx="2"/>
                                <a:endCxn id="21" idx="0"/>
                              </wps:cNvCnPr>
                              <wps:spPr>
                                <a:xfrm rot="5400000">
                                  <a:off x="1558290" y="1581150"/>
                                  <a:ext cx="554355" cy="1132205"/>
                                </a:xfrm>
                                <a:prstGeom prst="bentConnector3">
                                  <a:avLst>
                                    <a:gd name="adj1" fmla="val 50057"/>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0" name="肘形连接符 30"/>
                              <wps:cNvCnPr>
                                <a:stCxn id="20" idx="2"/>
                                <a:endCxn id="22" idx="0"/>
                              </wps:cNvCnPr>
                              <wps:spPr>
                                <a:xfrm rot="5400000" flipV="1">
                                  <a:off x="2656523" y="1615123"/>
                                  <a:ext cx="554990" cy="1064895"/>
                                </a:xfrm>
                                <a:prstGeom prst="bentConnector3">
                                  <a:avLst>
                                    <a:gd name="adj1" fmla="val 49943"/>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1" name="直接箭头连接符 31"/>
                              <wps:cNvCnPr>
                                <a:stCxn id="21" idx="2"/>
                                <a:endCxn id="23" idx="0"/>
                              </wps:cNvCnPr>
                              <wps:spPr>
                                <a:xfrm flipH="1">
                                  <a:off x="1268730" y="2720975"/>
                                  <a:ext cx="635" cy="3937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2" name="直接箭头连接符 32"/>
                              <wps:cNvCnPr>
                                <a:stCxn id="23" idx="2"/>
                                <a:endCxn id="24" idx="0"/>
                              </wps:cNvCnPr>
                              <wps:spPr>
                                <a:xfrm flipH="1">
                                  <a:off x="1268095" y="3411220"/>
                                  <a:ext cx="635" cy="35306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3" name="矩形 33"/>
                              <wps:cNvSpPr/>
                              <wps:spPr>
                                <a:xfrm>
                                  <a:off x="3354705" y="1241425"/>
                                  <a:ext cx="560705" cy="2965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9EE033">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蒸汽</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 name="肘形连接符 34"/>
                              <wps:cNvCnPr>
                                <a:stCxn id="33" idx="1"/>
                                <a:endCxn id="17" idx="3"/>
                              </wps:cNvCnPr>
                              <wps:spPr>
                                <a:xfrm rot="10800000">
                                  <a:off x="2772410" y="1045210"/>
                                  <a:ext cx="582295" cy="344805"/>
                                </a:xfrm>
                                <a:prstGeom prst="bentConnector3">
                                  <a:avLst>
                                    <a:gd name="adj1" fmla="val 49945"/>
                                  </a:avLst>
                                </a:prstGeom>
                                <a:ln>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s:wsp>
                              <wps:cNvPr id="35" name="肘形连接符 35"/>
                              <wps:cNvCnPr>
                                <a:stCxn id="33" idx="1"/>
                                <a:endCxn id="20" idx="3"/>
                              </wps:cNvCnPr>
                              <wps:spPr>
                                <a:xfrm rot="10800000" flipV="1">
                                  <a:off x="2771775" y="1390015"/>
                                  <a:ext cx="582930" cy="332105"/>
                                </a:xfrm>
                                <a:prstGeom prst="bentConnector3">
                                  <a:avLst>
                                    <a:gd name="adj1" fmla="val 50000"/>
                                  </a:avLst>
                                </a:prstGeom>
                                <a:ln>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s:wsp>
                              <wps:cNvPr id="39" name="肘形连接符 39"/>
                              <wps:cNvCnPr>
                                <a:stCxn id="17" idx="1"/>
                                <a:endCxn id="21" idx="0"/>
                              </wps:cNvCnPr>
                              <wps:spPr>
                                <a:xfrm rot="10800000" flipV="1">
                                  <a:off x="1269365" y="1045210"/>
                                  <a:ext cx="762635" cy="1379220"/>
                                </a:xfrm>
                                <a:prstGeom prst="bentConnector2">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0" name="文本框 40"/>
                              <wps:cNvSpPr txBox="1"/>
                              <wps:spPr>
                                <a:xfrm>
                                  <a:off x="3864610" y="2143125"/>
                                  <a:ext cx="372745" cy="2749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AEF7767">
                                    <w:pPr>
                                      <w:rPr>
                                        <w:rFonts w:hint="default" w:eastAsia="宋体"/>
                                        <w:sz w:val="21"/>
                                        <w:szCs w:val="21"/>
                                        <w:lang w:val="en-US" w:eastAsia="zh-CN"/>
                                      </w:rPr>
                                    </w:pPr>
                                    <w:r>
                                      <w:rPr>
                                        <w:rFonts w:hint="eastAsia"/>
                                        <w:sz w:val="21"/>
                                        <w:szCs w:val="21"/>
                                        <w:lang w:val="en-US" w:eastAsia="zh-CN"/>
                                      </w:rPr>
                                      <w:t>S2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 name="直接箭头连接符 41"/>
                              <wps:cNvCnPr>
                                <a:stCxn id="22" idx="3"/>
                                <a:endCxn id="40" idx="2"/>
                              </wps:cNvCnPr>
                              <wps:spPr>
                                <a:xfrm flipV="1">
                                  <a:off x="3836670" y="2418080"/>
                                  <a:ext cx="214630" cy="155575"/>
                                </a:xfrm>
                                <a:prstGeom prst="straightConnector1">
                                  <a:avLst/>
                                </a:prstGeom>
                                <a:ln>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s:wsp>
                              <wps:cNvPr id="42" name="直接箭头连接符 42"/>
                              <wps:cNvCnPr>
                                <a:stCxn id="22" idx="2"/>
                                <a:endCxn id="26" idx="0"/>
                              </wps:cNvCnPr>
                              <wps:spPr>
                                <a:xfrm flipH="1">
                                  <a:off x="3460750" y="2721610"/>
                                  <a:ext cx="5715" cy="305435"/>
                                </a:xfrm>
                                <a:prstGeom prst="straightConnector1">
                                  <a:avLst/>
                                </a:prstGeom>
                                <a:ln>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s:wsp>
                              <wps:cNvPr id="51" name="文本框 51"/>
                              <wps:cNvSpPr txBox="1"/>
                              <wps:spPr>
                                <a:xfrm>
                                  <a:off x="1647825" y="586740"/>
                                  <a:ext cx="298450" cy="2647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B67DD02">
                                    <w:pPr>
                                      <w:rPr>
                                        <w:rFonts w:hint="default" w:eastAsia="宋体"/>
                                        <w:sz w:val="21"/>
                                        <w:szCs w:val="21"/>
                                        <w:lang w:val="en-US" w:eastAsia="zh-CN"/>
                                      </w:rPr>
                                    </w:pPr>
                                    <w:r>
                                      <w:rPr>
                                        <w:rFonts w:hint="eastAsia"/>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 name="直接箭头连接符 52"/>
                              <wps:cNvCnPr>
                                <a:stCxn id="17" idx="1"/>
                                <a:endCxn id="51" idx="2"/>
                              </wps:cNvCnPr>
                              <wps:spPr>
                                <a:xfrm flipH="1" flipV="1">
                                  <a:off x="1797050" y="851535"/>
                                  <a:ext cx="234950" cy="193675"/>
                                </a:xfrm>
                                <a:prstGeom prst="straightConnector1">
                                  <a:avLst/>
                                </a:prstGeom>
                                <a:ln>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s:wsp>
                              <wps:cNvPr id="53" name="文本框 53"/>
                              <wps:cNvSpPr txBox="1"/>
                              <wps:spPr>
                                <a:xfrm>
                                  <a:off x="1640205" y="1259205"/>
                                  <a:ext cx="298450" cy="2647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45F49D8">
                                    <w:pPr>
                                      <w:rPr>
                                        <w:rFonts w:hint="default" w:eastAsia="宋体"/>
                                        <w:sz w:val="21"/>
                                        <w:szCs w:val="21"/>
                                        <w:lang w:val="en-US" w:eastAsia="zh-CN"/>
                                      </w:rPr>
                                    </w:pPr>
                                    <w:r>
                                      <w:rPr>
                                        <w:rFonts w:hint="eastAsia"/>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直接箭头连接符 55"/>
                              <wps:cNvCnPr>
                                <a:endCxn id="53" idx="2"/>
                              </wps:cNvCnPr>
                              <wps:spPr>
                                <a:xfrm flipH="1" flipV="1">
                                  <a:off x="1789430" y="1524000"/>
                                  <a:ext cx="234950" cy="193675"/>
                                </a:xfrm>
                                <a:prstGeom prst="straightConnector1">
                                  <a:avLst/>
                                </a:prstGeom>
                                <a:ln>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s:wsp>
                              <wps:cNvPr id="56" name="文本框 56"/>
                              <wps:cNvSpPr txBox="1"/>
                              <wps:spPr>
                                <a:xfrm>
                                  <a:off x="1500505" y="0"/>
                                  <a:ext cx="608965" cy="2647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AC4B593">
                                    <w:pPr>
                                      <w:rPr>
                                        <w:rFonts w:hint="default" w:eastAsia="宋体"/>
                                        <w:sz w:val="21"/>
                                        <w:szCs w:val="21"/>
                                        <w:lang w:val="en-US" w:eastAsia="zh-CN"/>
                                      </w:rPr>
                                    </w:pPr>
                                    <w:r>
                                      <w:rPr>
                                        <w:rFonts w:hint="eastAsia"/>
                                        <w:sz w:val="21"/>
                                        <w:szCs w:val="21"/>
                                        <w:lang w:val="en-US" w:eastAsia="zh-CN"/>
                                      </w:rPr>
                                      <w:t>S1、N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直接箭头连接符 61"/>
                              <wps:cNvCnPr>
                                <a:stCxn id="6" idx="1"/>
                                <a:endCxn id="56" idx="2"/>
                              </wps:cNvCnPr>
                              <wps:spPr>
                                <a:xfrm flipH="1" flipV="1">
                                  <a:off x="1805305" y="264795"/>
                                  <a:ext cx="222250" cy="189230"/>
                                </a:xfrm>
                                <a:prstGeom prst="straightConnector1">
                                  <a:avLst/>
                                </a:prstGeom>
                                <a:ln>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s:wsp>
                              <wps:cNvPr id="66" name="文本框 66"/>
                              <wps:cNvSpPr txBox="1"/>
                              <wps:spPr>
                                <a:xfrm>
                                  <a:off x="366395" y="2835910"/>
                                  <a:ext cx="564515" cy="2647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B8A487A">
                                    <w:pPr>
                                      <w:rPr>
                                        <w:rFonts w:hint="default" w:eastAsia="宋体"/>
                                        <w:sz w:val="21"/>
                                        <w:szCs w:val="21"/>
                                        <w:lang w:val="en-US" w:eastAsia="zh-CN"/>
                                      </w:rPr>
                                    </w:pPr>
                                    <w:r>
                                      <w:rPr>
                                        <w:rFonts w:hint="eastAsia"/>
                                        <w:sz w:val="21"/>
                                        <w:szCs w:val="21"/>
                                        <w:lang w:val="en-US" w:eastAsia="zh-CN"/>
                                      </w:rPr>
                                      <w:t>G1、N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直接箭头连接符 69"/>
                              <wps:cNvCnPr>
                                <a:endCxn id="66" idx="2"/>
                              </wps:cNvCnPr>
                              <wps:spPr>
                                <a:xfrm flipH="1" flipV="1">
                                  <a:off x="648970" y="3100705"/>
                                  <a:ext cx="234950" cy="193675"/>
                                </a:xfrm>
                                <a:prstGeom prst="straightConnector1">
                                  <a:avLst/>
                                </a:prstGeom>
                                <a:ln>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s:wsp>
                              <wps:cNvPr id="70" name="文本框 70"/>
                              <wps:cNvSpPr txBox="1"/>
                              <wps:spPr>
                                <a:xfrm>
                                  <a:off x="434975" y="3481705"/>
                                  <a:ext cx="382270" cy="2647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4C58DA2">
                                    <w:pPr>
                                      <w:rPr>
                                        <w:rFonts w:hint="default" w:eastAsia="宋体"/>
                                        <w:sz w:val="21"/>
                                        <w:szCs w:val="21"/>
                                        <w:lang w:val="en-US" w:eastAsia="zh-CN"/>
                                      </w:rPr>
                                    </w:pPr>
                                    <w:r>
                                      <w:rPr>
                                        <w:rFonts w:hint="eastAsia"/>
                                        <w:sz w:val="21"/>
                                        <w:szCs w:val="21"/>
                                        <w:lang w:val="en-US" w:eastAsia="zh-CN"/>
                                      </w:rPr>
                                      <w:t>G2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1" name="直接箭头连接符 71"/>
                              <wps:cNvCnPr>
                                <a:endCxn id="70" idx="2"/>
                              </wps:cNvCnPr>
                              <wps:spPr>
                                <a:xfrm flipH="1" flipV="1">
                                  <a:off x="601980" y="3746500"/>
                                  <a:ext cx="300990" cy="193675"/>
                                </a:xfrm>
                                <a:prstGeom prst="straightConnector1">
                                  <a:avLst/>
                                </a:prstGeom>
                                <a:ln>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c:wpc>
                        </a:graphicData>
                      </a:graphic>
                    </wp:inline>
                  </w:drawing>
                </mc:Choice>
                <mc:Fallback>
                  <w:pict>
                    <v:group id="_x0000_s1026" o:spid="_x0000_s1026" o:spt="203" style="height:339.15pt;width:400.75pt;" coordsize="5089525,4307205" editas="canvas" o:gfxdata="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">
                      <o:lock v:ext="edit" aspectratio="f"/>
                      <v:shape id="_x0000_s1026" o:spid="_x0000_s1026" style="position:absolute;left:0;top:0;height:4307205;width:5089525;" filled="f" stroked="f" coordsize="21600,21600" o:gfxdata="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">
                        <v:fill on="f" focussize="0,0"/>
                        <v:stroke on="f"/>
                        <v:imagedata o:title=""/>
                        <o:lock v:ext="edit" aspectratio="f"/>
                      </v:shape>
                      <v:rect id="_x0000_s1026" o:spid="_x0000_s1026" o:spt="1" style="position:absolute;left:2027555;top:305435;height:296545;width:740410;v-text-anchor:middle;" filled="f" stroked="t" coordsize="21600,21600" o:gfxdata="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R3rDnVAAAABQEAAA8AAAAAAAAAAQAgAAAAIgAAAGRy&#10;cy9kb3ducmV2LnhtbFBLAQIUABQAAAAIAIdO4kBcBUqbegIAAOAEAAAOAAAAAAAAAAEAIAAAACQB&#10;AABkcnMvZTJvRG9jLnhtbFBLBQYAAAAABgAGAFkBAAAQBgAAAAA=&#10;">
                        <v:fill on="f" focussize="0,0"/>
                        <v:stroke weight="1pt" color="#000000 [3213]" miterlimit="8" joinstyle="miter"/>
                        <v:imagedata o:title=""/>
                        <o:lock v:ext="edit" aspectratio="f"/>
                        <v:textbox>
                          <w:txbxContent>
                            <w:p w14:paraId="6835E8E4">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原料</w:t>
                              </w:r>
                            </w:p>
                          </w:txbxContent>
                        </v:textbox>
                      </v:rect>
                      <v:rect id="_x0000_s1026" o:spid="_x0000_s1026" o:spt="1" style="position:absolute;left:2032000;top:896620;height:296545;width:740410;v-text-anchor:middle;" filled="f" stroked="t" coordsize="21600,21600" o:gfxdata="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0d6w51QAAAAUBAAAPAAAAAAAAAAEAIAAAACIAAABkcnMv&#10;ZG93bnJldi54bWxQSwECFAAUAAAACACHTuJAV8M5q3gCAADiBAAADgAAAAAAAAABACAAAAAkAQAA&#10;ZHJzL2Uyb0RvYy54bWxQSwUGAAAAAAYABgBZAQAADgYAAAAA&#10;">
                        <v:fill on="f" focussize="0,0"/>
                        <v:stroke weight="1pt" color="#000000 [3213]" miterlimit="8" joinstyle="miter"/>
                        <v:imagedata o:title=""/>
                        <o:lock v:ext="edit" aspectratio="f"/>
                        <v:textbox>
                          <w:txbxContent>
                            <w:p w14:paraId="472FC2A8">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蒸馏</w:t>
                              </w:r>
                            </w:p>
                          </w:txbxContent>
                        </v:textbox>
                      </v:rect>
                      <v:rect id="_x0000_s1026" o:spid="_x0000_s1026" o:spt="1" style="position:absolute;left:2031365;top:1573530;height:296545;width:740410;v-text-anchor:middle;" filled="f" stroked="t" coordsize="21600,21600" o:gfxdata="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0d6w51QAAAAUBAAAPAAAAAAAAAAEAIAAAACIAAABkcnMv&#10;ZG93bnJldi54bWxQSwECFAAUAAAACACHTuJAzMp70ngCAADjBAAADgAAAAAAAAABACAAAAAkAQAA&#10;ZHJzL2Uyb0RvYy54bWxQSwUGAAAAAAYABgBZAQAADgYAAAAA&#10;">
                        <v:fill on="f" focussize="0,0"/>
                        <v:stroke weight="1pt" color="#000000 [3213]" miterlimit="8" joinstyle="miter"/>
                        <v:imagedata o:title=""/>
                        <o:lock v:ext="edit" aspectratio="f"/>
                        <v:textbox>
                          <w:txbxContent>
                            <w:p w14:paraId="249D352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烘干</w:t>
                              </w:r>
                            </w:p>
                          </w:txbxContent>
                        </v:textbox>
                      </v:rect>
                      <v:rect id="_x0000_s1026" o:spid="_x0000_s1026" o:spt="1" style="position:absolute;left:899160;top:2424430;height:296545;width:740410;v-text-anchor:middle;" filled="f" stroked="t" coordsize="21600,21600" o:gfxdata="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tHesOdUAAAAFAQAADwAAAAAAAAABACAAAAAiAAAAZHJzL2Rv&#10;d25yZXYueG1sUEsBAhQAFAAAAAgAh07iQFG8PEl2AgAA4gQAAA4AAAAAAAAAAQAgAAAAJAEAAGRy&#10;cy9lMm9Eb2MueG1sUEsFBgAAAAAGAAYAWQEAAAwGAAAAAA==&#10;">
                        <v:fill on="f" focussize="0,0"/>
                        <v:stroke weight="1pt" color="#000000 [3213]" miterlimit="8" joinstyle="miter"/>
                        <v:imagedata o:title=""/>
                        <o:lock v:ext="edit" aspectratio="f"/>
                        <v:textbox>
                          <w:txbxContent>
                            <w:p w14:paraId="23E32E05">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气体</w:t>
                              </w:r>
                            </w:p>
                          </w:txbxContent>
                        </v:textbox>
                      </v:rect>
                      <v:rect id="_x0000_s1026" o:spid="_x0000_s1026" o:spt="1" style="position:absolute;left:3096260;top:2425065;height:296545;width:740410;v-text-anchor:middle;" filled="f" stroked="t" coordsize="21600,21600" o:gfxdata="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&#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R3rDnVAAAABQEAAA8AAAAAAAAAAQAgAAAAIgAAAGRy&#10;cy9kb3ducmV2LnhtbFBLAQIUABQAAAAIAIdO4kDNKgu/egIAAOMEAAAOAAAAAAAAAAEAIAAAACQB&#10;AABkcnMvZTJvRG9jLnhtbFBLBQYAAAAABgAGAFkBAAAQBgAAAAA=&#10;">
                        <v:fill on="f" focussize="0,0"/>
                        <v:stroke weight="1pt" color="#000000 [3213]" miterlimit="8" joinstyle="miter"/>
                        <v:imagedata o:title=""/>
                        <o:lock v:ext="edit" aspectratio="f"/>
                        <v:textbox>
                          <w:txbxContent>
                            <w:p w14:paraId="51A8F32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固体</w:t>
                              </w:r>
                            </w:p>
                          </w:txbxContent>
                        </v:textbox>
                      </v:rect>
                      <v:rect id="_x0000_s1026" o:spid="_x0000_s1026" o:spt="1" style="position:absolute;left:898525;top:3114675;height:296545;width:740410;v-text-anchor:middle;" filled="f" stroked="t" coordsize="21600,21600" o:gfxdata="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0d6w51QAAAAUBAAAPAAAAAAAAAAEAIAAAACIAAABk&#10;cnMvZG93bnJldi54bWxQSwECFAAUAAAACACHTuJA9tlsRnsCAADiBAAADgAAAAAAAAABACAAAAAk&#10;AQAAZHJzL2Uyb0RvYy54bWxQSwUGAAAAAAYABgBZAQAAEQYAAAAA&#10;">
                        <v:fill on="f" focussize="0,0"/>
                        <v:stroke weight="1pt" color="#000000 [3213]" miterlimit="8" joinstyle="miter"/>
                        <v:imagedata o:title=""/>
                        <o:lock v:ext="edit" aspectratio="f"/>
                        <v:textbox>
                          <w:txbxContent>
                            <w:p w14:paraId="6D4549D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冷凝</w:t>
                              </w:r>
                            </w:p>
                          </w:txbxContent>
                        </v:textbox>
                      </v:rect>
                      <v:rect id="_x0000_s1026" o:spid="_x0000_s1026" o:spt="1" style="position:absolute;left:897890;top:3764280;height:296545;width:740410;v-text-anchor:middle;" filled="f" stroked="t" coordsize="21600,21600" o:gfxdata="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tHesOdUAAAAFAQAADwAAAAAAAAABACAAAAAiAAAAZHJz&#10;L2Rvd25yZXYueG1sUEsBAhQAFAAAAAgAh07iQB8hn+95AgAA4gQAAA4AAAAAAAAAAQAgAAAAJAEA&#10;AGRycy9lMm9Eb2MueG1sUEsFBgAAAAAGAAYAWQEAAA8GAAAAAA==&#10;">
                        <v:fill on="f" focussize="0,0"/>
                        <v:stroke weight="1pt" color="#000000 [3213]" miterlimit="8" joinstyle="miter"/>
                        <v:imagedata o:title=""/>
                        <o:lock v:ext="edit" aspectratio="f"/>
                        <v:textbox>
                          <w:txbxContent>
                            <w:p w14:paraId="4CAFDBE0">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储罐</w:t>
                              </w:r>
                            </w:p>
                          </w:txbxContent>
                        </v:textbox>
                      </v:rect>
                      <v:rect id="_x0000_s1026" o:spid="_x0000_s1026" o:spt="1" style="position:absolute;left:3090545;top:3027045;height:296545;width:740410;v-text-anchor:middle;" filled="f" stroked="f" coordsize="21600,21600" o:gfxdata="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dnd2bUAAAABQEAAA8AAAAAAAAAAQAgAAAAIgAAAGRycy9kb3ducmV2LnhtbFBLAQIUABQA&#10;AAAIAIdO4kAaXm5/ZgIAALoEAAAOAAAAAAAAAAEAIAAAACMBAABkcnMvZTJvRG9jLnhtbFBLBQYA&#10;AAAABgAGAFkBAAD7BQAAAAA=&#10;">
                        <v:fill on="f" focussize="0,0"/>
                        <v:stroke on="f" weight="1pt" miterlimit="8" joinstyle="miter"/>
                        <v:imagedata o:title=""/>
                        <o:lock v:ext="edit" aspectratio="f"/>
                        <v:textbox>
                          <w:txbxContent>
                            <w:p w14:paraId="360F4468">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储存</w:t>
                              </w:r>
                            </w:p>
                          </w:txbxContent>
                        </v:textbox>
                      </v:rect>
                      <v:shape id="_x0000_s1026" o:spid="_x0000_s1026" o:spt="32" type="#_x0000_t32" style="position:absolute;left:2397760;top:601980;height:294640;width:4445;" filled="f" stroked="t" coordsize="21600,21600" o:gfxdata="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L6yLL1AAAAAUBAAAPAAAAAAAAAAEAIAAAACIAAABkcnMvZG93bnJldi54bWxQSwECFAAU&#10;AAAACACHTuJA8FfR4i4CAAAvBAAADgAAAAAAAAABACAAAAAjAQAAZHJzL2Uyb0RvYy54bWxQSwUG&#10;AAAAAAYABgBZAQAAwwUAAAAA&#10;">
                        <v:fill on="f" focussize="0,0"/>
                        <v:stroke weight="1pt" color="#000000 [3213]" miterlimit="8" joinstyle="miter" endarrow="open"/>
                        <v:imagedata o:title=""/>
                        <o:lock v:ext="edit" aspectratio="f"/>
                      </v:shape>
                      <v:shape id="_x0000_s1026" o:spid="_x0000_s1026" o:spt="32" type="#_x0000_t32" style="position:absolute;left:2401570;top:1193165;flip:x;height:380365;width:635;" filled="f" stroked="t" coordsize="21600,21600" o:gfxdata="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vQblG1wAAAAUBAAAPAAAAAAAAAAEAIAAAACIAAABkcnMvZG93bnJldi54&#10;bWxQSwECFAAUAAAACACHTuJAMXFvrTQCAAA6BAAADgAAAAAAAAABACAAAAAmAQAAZHJzL2Uyb0Rv&#10;Yy54bWxQSwUGAAAAAAYABgBZAQAAzAUAAAAA&#10;">
                        <v:fill on="f" focussize="0,0"/>
                        <v:stroke weight="1pt" color="#000000 [3213]" miterlimit="8" joinstyle="miter" endarrow="open"/>
                        <v:imagedata o:title=""/>
                        <o:lock v:ext="edit" aspectratio="f"/>
                      </v:shape>
                      <v:shape id="_x0000_s1026" o:spid="_x0000_s1026" o:spt="34" type="#_x0000_t34" style="position:absolute;left:1558290;top:1581150;height:1132205;width:554355;rotation:5898240f;" filled="f" stroked="t" coordsize="21600,21600" o:gfxdata="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p5oCNUAAAAFAQAADwAAAAAAAAABACAA&#10;AAAiAAAAZHJzL2Rvd25yZXYueG1sUEsBAhQAFAAAAAgAh07iQF+lM3tJAgAAZQQAAA4AAAAAAAAA&#10;AQAgAAAAJAEAAGRycy9lMm9Eb2MueG1sUEsFBgAAAAAGAAYAWQEAAN8FAAAAAA==&#10;" adj="10812">
                        <v:fill on="f" focussize="0,0"/>
                        <v:stroke weight="1pt" color="#000000 [3213]" miterlimit="8" joinstyle="miter" endarrow="open"/>
                        <v:imagedata o:title=""/>
                        <o:lock v:ext="edit" aspectratio="f"/>
                      </v:shape>
                      <v:shape id="_x0000_s1026" o:spid="_x0000_s1026" o:spt="34" type="#_x0000_t34" style="position:absolute;left:2656523;top:1615123;flip:y;height:1064895;width:554990;rotation:-5898240f;" filled="f" stroked="t" coordsize="21600,21600" o:gfxdata="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WNjLPVAAAABQEAAA8AAAAA&#10;AAAAAQAgAAAAIgAAAGRycy9kb3ducmV2LnhtbFBLAQIUABQAAAAIAIdO4kA56mDvUAIAAG8EAAAO&#10;AAAAAAAAAAEAIAAAACQBAABkcnMvZTJvRG9jLnhtbFBLBQYAAAAABgAGAFkBAADmBQAAAAA=&#10;" adj="10788">
                        <v:fill on="f" focussize="0,0"/>
                        <v:stroke weight="1pt" color="#000000 [3213]" miterlimit="8" joinstyle="miter" endarrow="open"/>
                        <v:imagedata o:title=""/>
                        <o:lock v:ext="edit" aspectratio="f"/>
                      </v:shape>
                      <v:shape id="_x0000_s1026" o:spid="_x0000_s1026" o:spt="32" type="#_x0000_t32" style="position:absolute;left:1268730;top:2720975;flip:x;height:393700;width:635;" filled="f" stroked="t" coordsize="21600,21600" o:gfxdata="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0G5RtcAAAAFAQAADwAAAAAAAAABACAAAAAiAAAAZHJzL2Rvd25yZXYueG1s&#10;UEsBAhQAFAAAAAgAh07iQOkKL0UyAgAAOgQAAA4AAAAAAAAAAQAgAAAAJgEAAGRycy9lMm9Eb2Mu&#10;eG1sUEsFBgAAAAAGAAYAWQEAAMoFAAAAAA==&#10;">
                        <v:fill on="f" focussize="0,0"/>
                        <v:stroke weight="1pt" color="#000000 [3213]" miterlimit="8" joinstyle="miter" endarrow="open"/>
                        <v:imagedata o:title=""/>
                        <o:lock v:ext="edit" aspectratio="f"/>
                      </v:shape>
                      <v:shape id="_x0000_s1026" o:spid="_x0000_s1026" o:spt="32" type="#_x0000_t32" style="position:absolute;left:1268095;top:3411220;flip:x;height:353060;width:635;" filled="f" stroked="t" coordsize="21600,21600" o:gfxdata="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9BuUbXAAAABQEAAA8AAAAAAAAAAQAgAAAAIgAAAGRycy9kb3ducmV2Lnht&#10;bFBLAQIUABQAAAAIAIdO4kBXTa22MwIAADoEAAAOAAAAAAAAAAEAIAAAACYBAABkcnMvZTJvRG9j&#10;LnhtbFBLBQYAAAAABgAGAFkBAADLBQAAAAA=&#10;">
                        <v:fill on="f" focussize="0,0"/>
                        <v:stroke weight="1pt" color="#000000 [3213]" miterlimit="8" joinstyle="miter" endarrow="open"/>
                        <v:imagedata o:title=""/>
                        <o:lock v:ext="edit" aspectratio="f"/>
                      </v:shape>
                      <v:rect id="_x0000_s1026" o:spid="_x0000_s1026" o:spt="1" style="position:absolute;left:3354705;top:1241425;height:296545;width:560705;v-text-anchor:middle;" filled="f" stroked="f" coordsize="21600,21600" o:gfxdata="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3Z3dm1AAAAAUBAAAPAAAAAAAAAAEAIAAAACIAAABkcnMvZG93bnJldi54bWxQSwEC&#10;FAAUAAAACACHTuJABQLCiGoCAAC6BAAADgAAAAAAAAABACAAAAAjAQAAZHJzL2Uyb0RvYy54bWxQ&#10;SwUGAAAAAAYABgBZAQAA/wUAAAAA&#10;">
                        <v:fill on="f" focussize="0,0"/>
                        <v:stroke on="f" weight="1pt" miterlimit="8" joinstyle="miter"/>
                        <v:imagedata o:title=""/>
                        <o:lock v:ext="edit" aspectratio="f"/>
                        <v:textbox>
                          <w:txbxContent>
                            <w:p w14:paraId="739EE033">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蒸汽</w:t>
                              </w:r>
                            </w:p>
                          </w:txbxContent>
                        </v:textbox>
                      </v:rect>
                      <v:shape id="_x0000_s1026" o:spid="_x0000_s1026" o:spt="34" type="#_x0000_t34" style="position:absolute;left:2772410;top:1045210;height:344805;width:582295;rotation:11796480f;" filled="f" stroked="t" coordsize="21600,21600" o:gfxdata="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SJZtnYAAAABQEAAA8AAAAA&#10;AAAAAQAgAAAAIgAAAGRycy9kb3ducmV2LnhtbFBLAQIUABQAAAAIAIdO4kBzSVzqTQIAAGQEAAAO&#10;AAAAAAAAAAEAIAAAACcBAABkcnMvZTJvRG9jLnhtbFBLBQYAAAAABgAGAFkBAADmBQAAAAA=&#10;" adj="10788">
                        <v:fill on="f" focussize="0,0"/>
                        <v:stroke weight="1pt" color="#000000 [3213]" miterlimit="8" joinstyle="miter" dashstyle="dash" endarrow="open"/>
                        <v:imagedata o:title=""/>
                        <o:lock v:ext="edit" aspectratio="f"/>
                      </v:shape>
                      <v:shape id="_x0000_s1026" o:spid="_x0000_s1026" o:spt="34" type="#_x0000_t34" style="position:absolute;left:2771775;top:1390015;flip:y;height:332105;width:582930;rotation:11796480f;" filled="f" stroked="t" coordsize="21600,21600" o:gfxdata="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koZz9UAAAAFAQAADwAA&#10;AAAAAAABACAAAAAiAAAAZHJzL2Rvd25yZXYueG1sUEsBAhQAFAAAAAgAh07iQB1Go5dSAgAAbgQA&#10;AA4AAAAAAAAAAQAgAAAAJAEAAGRycy9lMm9Eb2MueG1sUEsFBgAAAAAGAAYAWQEAAOgFAAAAAA==&#10;" adj="10800">
                        <v:fill on="f" focussize="0,0"/>
                        <v:stroke weight="1pt" color="#000000 [3213]" miterlimit="8" joinstyle="miter" dashstyle="dash" endarrow="open"/>
                        <v:imagedata o:title=""/>
                        <o:lock v:ext="edit" aspectratio="f"/>
                      </v:shape>
                      <v:shape id="_x0000_s1026" o:spid="_x0000_s1026" o:spt="33" type="#_x0000_t33" style="position:absolute;left:1269365;top:1045210;flip:y;height:1379220;width:762635;rotation:11796480f;" filled="f" stroked="t" coordsize="21600,21600" o:gfxdata="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iKcgz1gAAAAUBAAAPAAAAAAAAAAEAIAAAACIAAABkcnMvZG93bnJl&#10;di54bWxQSwECFAAUAAAACACHTuJANWDhlTgCAABDBAAADgAAAAAAAAABACAAAAAlAQAAZHJzL2Uy&#10;b0RvYy54bWxQSwUGAAAAAAYABgBZAQAAzwUAAAAA&#10;">
                        <v:fill on="f" focussize="0,0"/>
                        <v:stroke weight="1pt" color="#000000 [3213]" miterlimit="8" joinstyle="miter" endarrow="open"/>
                        <v:imagedata o:title=""/>
                        <o:lock v:ext="edit" aspectratio="f"/>
                      </v:shape>
                      <v:shape id="_x0000_s1026" o:spid="_x0000_s1026" o:spt="202" type="#_x0000_t202" style="position:absolute;left:3864610;top:2143125;height:274955;width:372745;" fillcolor="#FFFFFF [3201]" filled="t" stroked="f" coordsize="21600,21600" o:gfxdata="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VYdGTRAAAA&#10;BQEAAA8AAAAAAAAAAQAgAAAAIgAAAGRycy9kb3ducmV2LnhtbFBLAQIUABQAAAAIAIdO4kCk9YIO&#10;XQIAAJwEAAAOAAAAAAAAAAEAIAAAACABAABkcnMvZTJvRG9jLnhtbFBLBQYAAAAABgAGAFkBAADv&#10;BQAAAAA=&#10;">
                        <v:fill on="t" focussize="0,0"/>
                        <v:stroke on="f" weight="0.5pt"/>
                        <v:imagedata o:title=""/>
                        <o:lock v:ext="edit" aspectratio="f"/>
                        <v:textbox>
                          <w:txbxContent>
                            <w:p w14:paraId="6AEF7767">
                              <w:pPr>
                                <w:rPr>
                                  <w:rFonts w:hint="default" w:eastAsia="宋体"/>
                                  <w:sz w:val="21"/>
                                  <w:szCs w:val="21"/>
                                  <w:lang w:val="en-US" w:eastAsia="zh-CN"/>
                                </w:rPr>
                              </w:pPr>
                              <w:r>
                                <w:rPr>
                                  <w:rFonts w:hint="eastAsia"/>
                                  <w:sz w:val="21"/>
                                  <w:szCs w:val="21"/>
                                  <w:lang w:val="en-US" w:eastAsia="zh-CN"/>
                                </w:rPr>
                                <w:t>S2</w:t>
                              </w:r>
                            </w:p>
                          </w:txbxContent>
                        </v:textbox>
                      </v:shape>
                      <v:shape id="_x0000_s1026" o:spid="_x0000_s1026" o:spt="32" type="#_x0000_t32" style="position:absolute;left:3836670;top:2418080;flip:y;height:155575;width:214630;" filled="f" stroked="t" coordsize="21600,21600" o:gfxdata="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8AeYbWAAAABQEAAA8AAAAAAAAAAQAgAAAAIgAAAGRycy9kb3ducmV2&#10;LnhtbFBLAQIUABQAAAAIAIdO4kABcCHJNwIAADwEAAAOAAAAAAAAAAEAIAAAACUBAABkcnMvZTJv&#10;RG9jLnhtbFBLBQYAAAAABgAGAFkBAADOBQAAAAA=&#10;">
                        <v:fill on="f" focussize="0,0"/>
                        <v:stroke weight="1pt" color="#000000 [3213]" miterlimit="8" joinstyle="miter" dashstyle="dash" endarrow="open"/>
                        <v:imagedata o:title=""/>
                        <o:lock v:ext="edit" aspectratio="f"/>
                      </v:shape>
                      <v:shape id="_x0000_s1026" o:spid="_x0000_s1026" o:spt="32" type="#_x0000_t32" style="position:absolute;left:3460750;top:2721610;flip:x;height:305435;width:5715;" filled="f" stroked="t" coordsize="21600,21600" o:gfxdata="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8AeYbWAAAABQEAAA8AAAAAAAAAAQAgAAAAIgAAAGRycy9kb3ducmV2Lnht&#10;bFBLAQIUABQAAAAIAIdO4kBP4JMrNAIAADoEAAAOAAAAAAAAAAEAIAAAACUBAABkcnMvZTJvRG9j&#10;LnhtbFBLBQYAAAAABgAGAFkBAADLBQAAAAA=&#10;">
                        <v:fill on="f" focussize="0,0"/>
                        <v:stroke weight="1pt" color="#000000 [3213]" miterlimit="8" joinstyle="miter" dashstyle="dash" endarrow="open"/>
                        <v:imagedata o:title=""/>
                        <o:lock v:ext="edit" aspectratio="f"/>
                      </v:shape>
                      <v:shape id="_x0000_s1026" o:spid="_x0000_s1026" o:spt="202" type="#_x0000_t202" style="position:absolute;left:1647825;top:586740;height:264795;width:298450;" fillcolor="#FFFFFF [3201]" filled="t" stroked="f" coordsize="21600,21600" o:gfxdata="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WHRk0QAAAAUBAAAP&#10;AAAAAAAAAAEAIAAAACIAAABkcnMvZG93bnJldi54bWxQSwECFAAUAAAACACHTuJA/NC5tFgCAACb&#10;BAAADgAAAAAAAAABACAAAAAgAQAAZHJzL2Uyb0RvYy54bWxQSwUGAAAAAAYABgBZAQAA6gUAAAAA&#10;">
                        <v:fill on="t" focussize="0,0"/>
                        <v:stroke on="f" weight="0.5pt"/>
                        <v:imagedata o:title=""/>
                        <o:lock v:ext="edit" aspectratio="f"/>
                        <v:textbox>
                          <w:txbxContent>
                            <w:p w14:paraId="7B67DD02">
                              <w:pPr>
                                <w:rPr>
                                  <w:rFonts w:hint="default" w:eastAsia="宋体"/>
                                  <w:sz w:val="21"/>
                                  <w:szCs w:val="21"/>
                                  <w:lang w:val="en-US" w:eastAsia="zh-CN"/>
                                </w:rPr>
                              </w:pPr>
                              <w:r>
                                <w:rPr>
                                  <w:rFonts w:hint="eastAsia"/>
                                  <w:sz w:val="21"/>
                                  <w:szCs w:val="21"/>
                                  <w:lang w:val="en-US" w:eastAsia="zh-CN"/>
                                </w:rPr>
                                <w:t>N</w:t>
                              </w:r>
                            </w:p>
                          </w:txbxContent>
                        </v:textbox>
                      </v:shape>
                      <v:shape id="_x0000_s1026" o:spid="_x0000_s1026" o:spt="32" type="#_x0000_t32" style="position:absolute;left:1797050;top:851535;flip:x y;height:193675;width:234950;" filled="f" stroked="t" coordsize="21600,21600" o:gfxdata="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ijPoG1QAAAAUBAAAPAAAAAAAAAAEAIAAAACIAAABkcnMvZG93bnJl&#10;di54bWxQSwECFAAUAAAACACHTuJAngzXADkCAABFBAAADgAAAAAAAAABACAAAAAkAQAAZHJzL2Uy&#10;b0RvYy54bWxQSwUGAAAAAAYABgBZAQAAzwUAAAAA&#10;">
                        <v:fill on="f" focussize="0,0"/>
                        <v:stroke weight="1pt" color="#000000 [3213]" miterlimit="8" joinstyle="miter" dashstyle="dash" endarrow="open"/>
                        <v:imagedata o:title=""/>
                        <o:lock v:ext="edit" aspectratio="f"/>
                      </v:shape>
                      <v:shape id="_x0000_s1026" o:spid="_x0000_s1026" o:spt="202" type="#_x0000_t202" style="position:absolute;left:1640205;top:1259205;height:264795;width:298450;" fillcolor="#FFFFFF [3201]" filled="t" stroked="f" coordsize="21600,21600" o:gfxdata="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VYdGTRAAAABQEA&#10;AA8AAAAAAAAAAQAgAAAAIgAAAGRycy9kb3ducmV2LnhtbFBLAQIUABQAAAAIAIdO4kCpqaNFWgIA&#10;AJwEAAAOAAAAAAAAAAEAIAAAACABAABkcnMvZTJvRG9jLnhtbFBLBQYAAAAABgAGAFkBAADsBQAA&#10;AAA=&#10;">
                        <v:fill on="t" focussize="0,0"/>
                        <v:stroke on="f" weight="0.5pt"/>
                        <v:imagedata o:title=""/>
                        <o:lock v:ext="edit" aspectratio="f"/>
                        <v:textbox>
                          <w:txbxContent>
                            <w:p w14:paraId="645F49D8">
                              <w:pPr>
                                <w:rPr>
                                  <w:rFonts w:hint="default" w:eastAsia="宋体"/>
                                  <w:sz w:val="21"/>
                                  <w:szCs w:val="21"/>
                                  <w:lang w:val="en-US" w:eastAsia="zh-CN"/>
                                </w:rPr>
                              </w:pPr>
                              <w:r>
                                <w:rPr>
                                  <w:rFonts w:hint="eastAsia"/>
                                  <w:sz w:val="21"/>
                                  <w:szCs w:val="21"/>
                                  <w:lang w:val="en-US" w:eastAsia="zh-CN"/>
                                </w:rPr>
                                <w:t>N</w:t>
                              </w:r>
                            </w:p>
                          </w:txbxContent>
                        </v:textbox>
                      </v:shape>
                      <v:shape id="_x0000_s1026" o:spid="_x0000_s1026" o:spt="32" type="#_x0000_t32" style="position:absolute;left:1789430;top:1524000;flip:x y;height:193675;width:234950;" filled="f" stroked="t" coordsize="21600,21600" o:gfxdata="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KM+gbVAAAABQEAAA8AAAAAAAAAAQAgAAAAIgAAAGRycy9kb3ducmV2LnhtbFBL&#10;AQIUABQAAAAIAIdO4kDEz89dMgIAACwEAAAOAAAAAAAAAAEAIAAAACQBAABkcnMvZTJvRG9jLnht&#10;bFBLBQYAAAAABgAGAFkBAADIBQAAAAA=&#10;">
                        <v:fill on="f" focussize="0,0"/>
                        <v:stroke weight="1pt" color="#000000 [3213]" miterlimit="8" joinstyle="miter" dashstyle="dash" endarrow="open"/>
                        <v:imagedata o:title=""/>
                        <o:lock v:ext="edit" aspectratio="f"/>
                      </v:shape>
                      <v:shape id="_x0000_s1026" o:spid="_x0000_s1026" o:spt="202" type="#_x0000_t202" style="position:absolute;left:1500505;top:0;height:264795;width:608965;" fillcolor="#FFFFFF [3201]" filled="t" stroked="f" coordsize="21600,21600" o:gfxdata="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VYdGTRAAAABQEAAA8AAAAA&#10;AAAAAQAgAAAAIgAAAGRycy9kb3ducmV2LnhtbFBLAQIUABQAAAAIAIdO4kBiTyauVAIAAJYEAAAO&#10;AAAAAAAAAAEAIAAAACABAABkcnMvZTJvRG9jLnhtbFBLBQYAAAAABgAGAFkBAADmBQAAAAA=&#10;">
                        <v:fill on="t" focussize="0,0"/>
                        <v:stroke on="f" weight="0.5pt"/>
                        <v:imagedata o:title=""/>
                        <o:lock v:ext="edit" aspectratio="f"/>
                        <v:textbox>
                          <w:txbxContent>
                            <w:p w14:paraId="0AC4B593">
                              <w:pPr>
                                <w:rPr>
                                  <w:rFonts w:hint="default" w:eastAsia="宋体"/>
                                  <w:sz w:val="21"/>
                                  <w:szCs w:val="21"/>
                                  <w:lang w:val="en-US" w:eastAsia="zh-CN"/>
                                </w:rPr>
                              </w:pPr>
                              <w:r>
                                <w:rPr>
                                  <w:rFonts w:hint="eastAsia"/>
                                  <w:sz w:val="21"/>
                                  <w:szCs w:val="21"/>
                                  <w:lang w:val="en-US" w:eastAsia="zh-CN"/>
                                </w:rPr>
                                <w:t>S1、N</w:t>
                              </w:r>
                            </w:p>
                          </w:txbxContent>
                        </v:textbox>
                      </v:shape>
                      <v:shape id="_x0000_s1026" o:spid="_x0000_s1026" o:spt="32" type="#_x0000_t32" style="position:absolute;left:1805305;top:264795;flip:x y;height:189230;width:222250;" filled="f" stroked="t" coordsize="21600,21600" o:gfxdata="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KM+gbVAAAABQEAAA8AAAAAAAAAAQAgAAAAIgAAAGRycy9kb3ducmV2&#10;LnhtbFBLAQIUABQAAAAIAIdO4kAo4v7XOAIAAEQEAAAOAAAAAAAAAAEAIAAAACQBAABkcnMvZTJv&#10;RG9jLnhtbFBLBQYAAAAABgAGAFkBAADOBQAAAAA=&#10;">
                        <v:fill on="f" focussize="0,0"/>
                        <v:stroke weight="1pt" color="#000000 [3213]" miterlimit="8" joinstyle="miter" dashstyle="dash" endarrow="open"/>
                        <v:imagedata o:title=""/>
                        <o:lock v:ext="edit" aspectratio="f"/>
                      </v:shape>
                      <v:shape id="_x0000_s1026" o:spid="_x0000_s1026" o:spt="202" type="#_x0000_t202" style="position:absolute;left:366395;top:2835910;height:264795;width:564515;" fillcolor="#FFFFFF [3201]" filled="t" stroked="f" coordsize="21600,21600" o:gfxdata="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Vh0ZNEAAAAFAQAA&#10;DwAAAAAAAAABACAAAAAiAAAAZHJzL2Rvd25yZXYueG1sUEsBAhQAFAAAAAgAh07iQHRh/7BZAgAA&#10;mwQAAA4AAAAAAAAAAQAgAAAAIAEAAGRycy9lMm9Eb2MueG1sUEsFBgAAAAAGAAYAWQEAAOsFAAAA&#10;AA==&#10;">
                        <v:fill on="t" focussize="0,0"/>
                        <v:stroke on="f" weight="0.5pt"/>
                        <v:imagedata o:title=""/>
                        <o:lock v:ext="edit" aspectratio="f"/>
                        <v:textbox>
                          <w:txbxContent>
                            <w:p w14:paraId="6B8A487A">
                              <w:pPr>
                                <w:rPr>
                                  <w:rFonts w:hint="default" w:eastAsia="宋体"/>
                                  <w:sz w:val="21"/>
                                  <w:szCs w:val="21"/>
                                  <w:lang w:val="en-US" w:eastAsia="zh-CN"/>
                                </w:rPr>
                              </w:pPr>
                              <w:r>
                                <w:rPr>
                                  <w:rFonts w:hint="eastAsia"/>
                                  <w:sz w:val="21"/>
                                  <w:szCs w:val="21"/>
                                  <w:lang w:val="en-US" w:eastAsia="zh-CN"/>
                                </w:rPr>
                                <w:t>G1、N</w:t>
                              </w:r>
                            </w:p>
                          </w:txbxContent>
                        </v:textbox>
                      </v:shape>
                      <v:shape id="_x0000_s1026" o:spid="_x0000_s1026" o:spt="32" type="#_x0000_t32" style="position:absolute;left:648970;top:3100705;flip:x y;height:193675;width:234950;" filled="f" stroked="t" coordsize="21600,21600" o:gfxdata="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KM+gbVAAAABQEAAA8AAAAAAAAAAQAgAAAAIgAAAGRycy9kb3ducmV2LnhtbFBL&#10;AQIUABQAAAAIAIdO4kDuZK3hMgIAACsEAAAOAAAAAAAAAAEAIAAAACQBAABkcnMvZTJvRG9jLnht&#10;bFBLBQYAAAAABgAGAFkBAADIBQAAAAA=&#10;">
                        <v:fill on="f" focussize="0,0"/>
                        <v:stroke weight="1pt" color="#000000 [3213]" miterlimit="8" joinstyle="miter" dashstyle="dash" endarrow="open"/>
                        <v:imagedata o:title=""/>
                        <o:lock v:ext="edit" aspectratio="f"/>
                      </v:shape>
                      <v:shape id="_x0000_s1026" o:spid="_x0000_s1026" o:spt="202" type="#_x0000_t202" style="position:absolute;left:434975;top:3481705;height:264795;width:382270;" fillcolor="#FFFFFF [3201]" filled="t" stroked="f" coordsize="21600,21600" o:gfxdata="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VYdGTRAAAA&#10;BQEAAA8AAAAAAAAAAQAgAAAAIgAAAGRycy9kb3ducmV2LnhtbFBLAQIUABQAAAAIAIdO4kD74yd0&#10;XQIAAJsEAAAOAAAAAAAAAAEAIAAAACABAABkcnMvZTJvRG9jLnhtbFBLBQYAAAAABgAGAFkBAADv&#10;BQAAAAA=&#10;">
                        <v:fill on="t" focussize="0,0"/>
                        <v:stroke on="f" weight="0.5pt"/>
                        <v:imagedata o:title=""/>
                        <o:lock v:ext="edit" aspectratio="f"/>
                        <v:textbox>
                          <w:txbxContent>
                            <w:p w14:paraId="14C58DA2">
                              <w:pPr>
                                <w:rPr>
                                  <w:rFonts w:hint="default" w:eastAsia="宋体"/>
                                  <w:sz w:val="21"/>
                                  <w:szCs w:val="21"/>
                                  <w:lang w:val="en-US" w:eastAsia="zh-CN"/>
                                </w:rPr>
                              </w:pPr>
                              <w:r>
                                <w:rPr>
                                  <w:rFonts w:hint="eastAsia"/>
                                  <w:sz w:val="21"/>
                                  <w:szCs w:val="21"/>
                                  <w:lang w:val="en-US" w:eastAsia="zh-CN"/>
                                </w:rPr>
                                <w:t>G2</w:t>
                              </w:r>
                            </w:p>
                          </w:txbxContent>
                        </v:textbox>
                      </v:shape>
                      <v:shape id="_x0000_s1026" o:spid="_x0000_s1026" o:spt="32" type="#_x0000_t32" style="position:absolute;left:601980;top:3746500;flip:x y;height:193675;width:300990;" filled="f" stroked="t" coordsize="21600,21600" o:gfxdata="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KM+gbVAAAABQEAAA8AAAAAAAAAAQAgAAAAIgAAAGRycy9kb3ducmV2LnhtbFBL&#10;AQIUABQAAAAIAIdO4kBBs9jdMgIAACsEAAAOAAAAAAAAAAEAIAAAACQBAABkcnMvZTJvRG9jLnht&#10;bFBLBQYAAAAABgAGAFkBAADIBQAAAAA=&#10;">
                        <v:fill on="f" focussize="0,0"/>
                        <v:stroke weight="1pt" color="#000000 [3213]" miterlimit="8" joinstyle="miter" dashstyle="dash" endarrow="open"/>
                        <v:imagedata o:title=""/>
                        <o:lock v:ext="edit" aspectratio="f"/>
                      </v:shape>
                      <w10:wrap type="none"/>
                      <w10:anchorlock/>
                    </v:group>
                  </w:pict>
                </mc:Fallback>
              </mc:AlternateContent>
            </w:r>
          </w:p>
          <w:p w14:paraId="166D83E5">
            <w:pPr>
              <w:autoSpaceDE w:val="0"/>
              <w:autoSpaceDN w:val="0"/>
              <w:adjustRightInd w:val="0"/>
              <w:spacing w:line="360" w:lineRule="auto"/>
              <w:jc w:val="center"/>
            </w:pPr>
            <w:r>
              <w:rPr>
                <w:color w:val="000000"/>
                <w:szCs w:val="21"/>
              </w:rPr>
              <w:t>注：</w:t>
            </w:r>
            <w:r>
              <w:rPr>
                <w:rFonts w:hint="eastAsia"/>
                <w:color w:val="000000"/>
                <w:szCs w:val="21"/>
              </w:rPr>
              <w:t>G</w:t>
            </w:r>
            <w:r>
              <w:rPr>
                <w:color w:val="000000"/>
                <w:szCs w:val="21"/>
              </w:rPr>
              <w:t>-</w:t>
            </w:r>
            <w:r>
              <w:rPr>
                <w:rFonts w:hint="eastAsia"/>
                <w:color w:val="000000"/>
                <w:szCs w:val="21"/>
              </w:rPr>
              <w:t>大气</w:t>
            </w:r>
            <w:r>
              <w:rPr>
                <w:color w:val="000000"/>
                <w:szCs w:val="21"/>
              </w:rPr>
              <w:t>污染源</w:t>
            </w:r>
            <w:r>
              <w:rPr>
                <w:rFonts w:hint="eastAsia"/>
                <w:color w:val="000000"/>
                <w:szCs w:val="21"/>
              </w:rPr>
              <w:t>，W-水污染源，</w:t>
            </w:r>
            <w:r>
              <w:rPr>
                <w:color w:val="000000"/>
                <w:szCs w:val="21"/>
              </w:rPr>
              <w:t>N-噪声污染源</w:t>
            </w:r>
            <w:r>
              <w:rPr>
                <w:rFonts w:hint="eastAsia"/>
                <w:color w:val="000000"/>
                <w:szCs w:val="21"/>
              </w:rPr>
              <w:t>，S-固体污染源</w:t>
            </w:r>
          </w:p>
          <w:p w14:paraId="6C1523F3">
            <w:pPr>
              <w:pStyle w:val="30"/>
              <w:spacing w:line="360" w:lineRule="auto"/>
              <w:jc w:val="center"/>
              <w:rPr>
                <w:rFonts w:hint="eastAsia"/>
                <w:b/>
                <w:kern w:val="2"/>
                <w:szCs w:val="24"/>
              </w:rPr>
            </w:pPr>
            <w:r>
              <w:rPr>
                <w:rFonts w:hint="eastAsia"/>
                <w:b/>
                <w:kern w:val="2"/>
                <w:szCs w:val="24"/>
              </w:rPr>
              <w:t>图2-</w:t>
            </w:r>
            <w:r>
              <w:rPr>
                <w:rFonts w:hint="eastAsia"/>
                <w:b/>
                <w:kern w:val="2"/>
                <w:szCs w:val="24"/>
                <w:lang w:val="en-US" w:eastAsia="zh-CN"/>
              </w:rPr>
              <w:t>2</w:t>
            </w:r>
            <w:r>
              <w:rPr>
                <w:rFonts w:hint="eastAsia"/>
                <w:b/>
                <w:kern w:val="2"/>
                <w:szCs w:val="24"/>
              </w:rPr>
              <w:t xml:space="preserve"> 生产流程及产污环节图</w:t>
            </w:r>
          </w:p>
          <w:p w14:paraId="7441F27F">
            <w:pPr>
              <w:spacing w:line="360" w:lineRule="auto"/>
              <w:jc w:val="left"/>
              <w:rPr>
                <w:rFonts w:ascii="新宋体" w:hAnsi="新宋体" w:eastAsia="新宋体" w:cs="新宋体"/>
                <w:b/>
                <w:bCs/>
              </w:rPr>
            </w:pPr>
          </w:p>
          <w:p w14:paraId="0F4E747F">
            <w:pPr>
              <w:spacing w:line="360" w:lineRule="auto"/>
              <w:jc w:val="left"/>
              <w:rPr>
                <w:rFonts w:ascii="新宋体" w:hAnsi="新宋体" w:eastAsia="新宋体" w:cs="新宋体"/>
                <w:b/>
                <w:bCs/>
              </w:rPr>
            </w:pPr>
          </w:p>
          <w:p w14:paraId="61A3D6E0">
            <w:pPr>
              <w:spacing w:line="360" w:lineRule="auto"/>
              <w:jc w:val="left"/>
              <w:rPr>
                <w:rFonts w:ascii="新宋体" w:hAnsi="新宋体" w:eastAsia="新宋体" w:cs="新宋体"/>
              </w:rPr>
            </w:pPr>
            <w:r>
              <w:rPr>
                <w:rFonts w:ascii="新宋体" w:hAnsi="新宋体" w:eastAsia="新宋体" w:cs="新宋体"/>
                <w:b/>
                <w:bCs/>
              </w:rPr>
              <w:t>工艺流程简介</w:t>
            </w:r>
          </w:p>
          <w:p w14:paraId="70BD532D">
            <w:pPr>
              <w:pStyle w:val="12"/>
              <w:spacing w:before="0" w:after="0" w:line="360" w:lineRule="auto"/>
              <w:ind w:right="0" w:firstLine="480" w:firstLineChars="200"/>
              <w:jc w:val="left"/>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投料</w:t>
            </w:r>
          </w:p>
          <w:p w14:paraId="22F3ED48">
            <w:pPr>
              <w:pStyle w:val="12"/>
              <w:spacing w:before="0" w:after="0" w:line="360" w:lineRule="auto"/>
              <w:ind w:right="0" w:firstLine="480" w:firstLineChars="200"/>
              <w:jc w:val="left"/>
              <w:rPr>
                <w:rFonts w:hint="eastAsia"/>
                <w:sz w:val="24"/>
                <w:szCs w:val="24"/>
              </w:rPr>
            </w:pPr>
            <w:r>
              <w:rPr>
                <w:rFonts w:hint="eastAsia"/>
                <w:sz w:val="24"/>
                <w:szCs w:val="24"/>
                <w:lang w:val="en-US" w:eastAsia="zh-CN"/>
              </w:rPr>
              <w:t>桶装的原料经卡车运至厂内后，</w:t>
            </w:r>
            <w:r>
              <w:rPr>
                <w:rFonts w:hint="eastAsia"/>
                <w:sz w:val="24"/>
                <w:szCs w:val="24"/>
              </w:rPr>
              <w:t>在干燥机顶部设置有真空吸料口，可通过</w:t>
            </w:r>
            <w:r>
              <w:rPr>
                <w:rFonts w:hint="eastAsia"/>
                <w:sz w:val="24"/>
                <w:szCs w:val="24"/>
                <w:lang w:val="en-US" w:eastAsia="zh-CN"/>
              </w:rPr>
              <w:t>螺杆</w:t>
            </w:r>
            <w:r>
              <w:rPr>
                <w:rFonts w:hint="eastAsia"/>
                <w:sz w:val="24"/>
                <w:szCs w:val="24"/>
              </w:rPr>
              <w:t>真空机对主机内腔抽真空时，所产生的负压迅速将</w:t>
            </w:r>
            <w:r>
              <w:rPr>
                <w:rFonts w:hint="eastAsia"/>
                <w:sz w:val="24"/>
                <w:szCs w:val="24"/>
                <w:lang w:val="en-US" w:eastAsia="zh-CN"/>
              </w:rPr>
              <w:t>浆料</w:t>
            </w:r>
            <w:r>
              <w:rPr>
                <w:rFonts w:hint="eastAsia"/>
                <w:sz w:val="24"/>
                <w:szCs w:val="24"/>
              </w:rPr>
              <w:t>吸入干燥机内。</w:t>
            </w:r>
            <w:r>
              <w:rPr>
                <w:rFonts w:hint="eastAsia"/>
                <w:sz w:val="24"/>
                <w:szCs w:val="24"/>
                <w:lang w:val="en-US" w:eastAsia="zh-CN"/>
              </w:rPr>
              <w:t>此工序产生的污染物为废原料包装桶S1、噪声N</w:t>
            </w:r>
            <w:r>
              <w:rPr>
                <w:rFonts w:hint="eastAsia"/>
                <w:sz w:val="24"/>
                <w:szCs w:val="24"/>
              </w:rPr>
              <w:t>。</w:t>
            </w:r>
          </w:p>
          <w:p w14:paraId="04576BDA">
            <w:pPr>
              <w:pStyle w:val="12"/>
              <w:spacing w:before="0" w:after="0" w:line="360" w:lineRule="auto"/>
              <w:ind w:right="0" w:firstLine="480" w:firstLineChars="200"/>
              <w:jc w:val="left"/>
              <w:rPr>
                <w:rFonts w:hint="eastAsia" w:eastAsia="宋体"/>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蒸馏、烘干</w:t>
            </w:r>
          </w:p>
          <w:p w14:paraId="54F78FB8">
            <w:pPr>
              <w:pStyle w:val="12"/>
              <w:spacing w:before="0" w:after="0" w:line="360" w:lineRule="auto"/>
              <w:ind w:right="0" w:firstLine="480" w:firstLineChars="200"/>
              <w:jc w:val="left"/>
              <w:rPr>
                <w:rFonts w:hint="eastAsia"/>
                <w:sz w:val="24"/>
                <w:szCs w:val="24"/>
              </w:rPr>
            </w:pPr>
            <w:r>
              <w:rPr>
                <w:rFonts w:hint="eastAsia"/>
                <w:sz w:val="24"/>
                <w:szCs w:val="24"/>
                <w:lang w:val="en-US" w:eastAsia="zh-CN"/>
              </w:rPr>
              <w:t>原料先经过干燥机的前端进行减压蒸馏</w:t>
            </w:r>
            <w:r>
              <w:rPr>
                <w:rFonts w:hint="eastAsia"/>
                <w:sz w:val="24"/>
                <w:szCs w:val="24"/>
                <w:lang w:eastAsia="zh-CN"/>
              </w:rPr>
              <w:t>（</w:t>
            </w:r>
            <w:r>
              <w:rPr>
                <w:rFonts w:hint="eastAsia"/>
                <w:sz w:val="24"/>
                <w:szCs w:val="24"/>
                <w:lang w:val="en-US" w:eastAsia="zh-CN"/>
              </w:rPr>
              <w:t>-85kPa</w:t>
            </w:r>
            <w:r>
              <w:rPr>
                <w:rFonts w:hint="eastAsia"/>
                <w:sz w:val="24"/>
                <w:szCs w:val="24"/>
                <w:lang w:eastAsia="zh-CN"/>
              </w:rPr>
              <w:t>）</w:t>
            </w:r>
            <w:r>
              <w:rPr>
                <w:rFonts w:hint="eastAsia"/>
                <w:sz w:val="24"/>
                <w:szCs w:val="24"/>
                <w:lang w:val="en-US" w:eastAsia="zh-CN"/>
              </w:rPr>
              <w:t>，蒸馏出来的NMP气体以及水蒸气抽至冷凝工序。蒸馏后，浆料中的固体分表面还沾有少量未蒸馏的液体，固体分再进入干燥机后端进行干燥，使其表面的NMP以及水分等充分蒸发，蒸发出来的NMP气体以及水蒸气同样抽至冷凝工序。干燥机采用园区蒸汽管道引入蒸汽的方式，</w:t>
            </w:r>
            <w:r>
              <w:rPr>
                <w:rFonts w:hint="eastAsia"/>
                <w:color w:val="auto"/>
                <w:sz w:val="24"/>
                <w:szCs w:val="24"/>
                <w:lang w:val="en-US" w:eastAsia="zh-CN"/>
              </w:rPr>
              <w:t>通过</w:t>
            </w:r>
            <w:r>
              <w:rPr>
                <w:rFonts w:hint="eastAsia"/>
                <w:sz w:val="24"/>
                <w:szCs w:val="24"/>
              </w:rPr>
              <w:t>夹层盘管壁</w:t>
            </w:r>
            <w:r>
              <w:rPr>
                <w:rFonts w:hint="eastAsia"/>
                <w:sz w:val="24"/>
                <w:szCs w:val="24"/>
                <w:lang w:val="en-US" w:eastAsia="zh-CN"/>
              </w:rPr>
              <w:t>对</w:t>
            </w:r>
            <w:r>
              <w:rPr>
                <w:rFonts w:hint="eastAsia"/>
                <w:sz w:val="24"/>
                <w:szCs w:val="24"/>
              </w:rPr>
              <w:t>内</w:t>
            </w:r>
            <w:r>
              <w:rPr>
                <w:rFonts w:hint="eastAsia"/>
                <w:sz w:val="24"/>
                <w:szCs w:val="24"/>
                <w:lang w:val="en-US" w:eastAsia="zh-CN"/>
              </w:rPr>
              <w:t>部</w:t>
            </w:r>
            <w:r>
              <w:rPr>
                <w:rFonts w:hint="eastAsia"/>
                <w:sz w:val="24"/>
                <w:szCs w:val="24"/>
              </w:rPr>
              <w:t>物料</w:t>
            </w:r>
            <w:r>
              <w:rPr>
                <w:rFonts w:hint="eastAsia"/>
                <w:sz w:val="24"/>
                <w:szCs w:val="24"/>
                <w:lang w:val="en-US" w:eastAsia="zh-CN"/>
              </w:rPr>
              <w:t>进行间接加热</w:t>
            </w:r>
            <w:r>
              <w:rPr>
                <w:rFonts w:hint="eastAsia"/>
                <w:sz w:val="24"/>
                <w:szCs w:val="24"/>
              </w:rPr>
              <w:t>，</w:t>
            </w:r>
            <w:r>
              <w:rPr>
                <w:rFonts w:hint="eastAsia"/>
                <w:sz w:val="24"/>
                <w:szCs w:val="24"/>
                <w:lang w:val="en-US" w:eastAsia="zh-CN"/>
              </w:rPr>
              <w:t>蒸馏以及干燥</w:t>
            </w:r>
            <w:r>
              <w:rPr>
                <w:rFonts w:hint="eastAsia"/>
                <w:color w:val="auto"/>
                <w:sz w:val="24"/>
                <w:szCs w:val="24"/>
                <w:lang w:val="en-US" w:eastAsia="zh-CN"/>
              </w:rPr>
              <w:t>温度均为130℃</w:t>
            </w:r>
            <w:r>
              <w:rPr>
                <w:rFonts w:hint="eastAsia"/>
                <w:color w:val="auto"/>
                <w:sz w:val="24"/>
                <w:szCs w:val="24"/>
              </w:rPr>
              <w:t>。</w:t>
            </w:r>
            <w:r>
              <w:rPr>
                <w:rFonts w:hint="eastAsia"/>
                <w:color w:val="auto"/>
                <w:sz w:val="24"/>
                <w:szCs w:val="24"/>
                <w:lang w:val="en-US" w:eastAsia="zh-CN"/>
              </w:rPr>
              <w:t>干</w:t>
            </w:r>
            <w:r>
              <w:rPr>
                <w:rFonts w:hint="eastAsia"/>
                <w:sz w:val="24"/>
                <w:szCs w:val="24"/>
                <w:lang w:val="en-US" w:eastAsia="zh-CN"/>
              </w:rPr>
              <w:t>燥后的</w:t>
            </w:r>
            <w:r>
              <w:rPr>
                <w:rFonts w:hint="eastAsia"/>
                <w:sz w:val="24"/>
                <w:szCs w:val="24"/>
              </w:rPr>
              <w:t>固体通过出料口经传送带运输至</w:t>
            </w:r>
            <w:r>
              <w:rPr>
                <w:rFonts w:hint="eastAsia"/>
                <w:sz w:val="24"/>
                <w:szCs w:val="24"/>
                <w:lang w:val="en-US" w:eastAsia="zh-CN"/>
              </w:rPr>
              <w:t>一般固废暂存区</w:t>
            </w:r>
            <w:r>
              <w:rPr>
                <w:rFonts w:hint="eastAsia"/>
                <w:sz w:val="24"/>
                <w:szCs w:val="24"/>
              </w:rPr>
              <w:t>（本环节全程密闭）</w:t>
            </w:r>
            <w:r>
              <w:rPr>
                <w:rFonts w:hint="eastAsia"/>
                <w:sz w:val="24"/>
                <w:szCs w:val="24"/>
                <w:lang w:eastAsia="zh-CN"/>
              </w:rPr>
              <w:t>。</w:t>
            </w:r>
            <w:r>
              <w:rPr>
                <w:rFonts w:hint="eastAsia"/>
                <w:sz w:val="24"/>
                <w:szCs w:val="24"/>
                <w:lang w:val="en-US" w:eastAsia="zh-CN"/>
              </w:rPr>
              <w:t>此工序产生的污染物为回收固废S2、噪声N</w:t>
            </w:r>
            <w:r>
              <w:rPr>
                <w:rFonts w:hint="eastAsia"/>
                <w:sz w:val="24"/>
                <w:szCs w:val="24"/>
              </w:rPr>
              <w:t>。</w:t>
            </w:r>
          </w:p>
          <w:p w14:paraId="02FD86B7">
            <w:pPr>
              <w:pStyle w:val="12"/>
              <w:spacing w:before="0" w:after="0" w:line="360" w:lineRule="auto"/>
              <w:ind w:right="0" w:firstLine="480" w:firstLineChars="200"/>
              <w:jc w:val="left"/>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冷凝</w:t>
            </w:r>
          </w:p>
          <w:p w14:paraId="7F7D54B0">
            <w:pPr>
              <w:pStyle w:val="12"/>
              <w:spacing w:before="0" w:after="0" w:line="360" w:lineRule="auto"/>
              <w:ind w:right="0" w:firstLine="480" w:firstLineChars="200"/>
              <w:jc w:val="left"/>
              <w:rPr>
                <w:rFonts w:hint="eastAsia"/>
                <w:sz w:val="24"/>
                <w:szCs w:val="24"/>
              </w:rPr>
            </w:pPr>
            <w:r>
              <w:rPr>
                <w:rFonts w:hint="eastAsia"/>
                <w:sz w:val="24"/>
                <w:szCs w:val="24"/>
              </w:rPr>
              <w:t>在干燥机顶部设置精密金属过滤网来过滤</w:t>
            </w:r>
            <w:r>
              <w:rPr>
                <w:rFonts w:hint="eastAsia"/>
                <w:sz w:val="24"/>
                <w:szCs w:val="24"/>
                <w:lang w:val="en-US" w:eastAsia="zh-CN"/>
              </w:rPr>
              <w:t>蒸气中的</w:t>
            </w:r>
            <w:r>
              <w:rPr>
                <w:rFonts w:hint="eastAsia"/>
                <w:sz w:val="24"/>
                <w:szCs w:val="24"/>
              </w:rPr>
              <w:t>金属粉尘等，</w:t>
            </w:r>
            <w:r>
              <w:rPr>
                <w:rFonts w:hint="eastAsia"/>
                <w:sz w:val="24"/>
                <w:szCs w:val="24"/>
                <w:lang w:val="en-US" w:eastAsia="zh-CN"/>
              </w:rPr>
              <w:t>通过过滤器后</w:t>
            </w:r>
            <w:r>
              <w:rPr>
                <w:rFonts w:hint="eastAsia"/>
                <w:sz w:val="24"/>
                <w:szCs w:val="24"/>
              </w:rPr>
              <w:t>的</w:t>
            </w:r>
            <w:r>
              <w:rPr>
                <w:rFonts w:hint="eastAsia"/>
                <w:sz w:val="24"/>
                <w:szCs w:val="24"/>
                <w:lang w:val="en-US" w:eastAsia="zh-CN"/>
              </w:rPr>
              <w:t>NMP</w:t>
            </w:r>
            <w:r>
              <w:rPr>
                <w:rFonts w:hint="eastAsia"/>
                <w:sz w:val="24"/>
                <w:szCs w:val="24"/>
              </w:rPr>
              <w:t>气体</w:t>
            </w:r>
            <w:r>
              <w:rPr>
                <w:rFonts w:hint="eastAsia"/>
                <w:sz w:val="24"/>
                <w:szCs w:val="24"/>
                <w:lang w:val="en-US" w:eastAsia="zh-CN"/>
              </w:rPr>
              <w:t>以及水蒸气</w:t>
            </w:r>
            <w:r>
              <w:rPr>
                <w:rFonts w:hint="eastAsia"/>
                <w:sz w:val="24"/>
                <w:szCs w:val="24"/>
              </w:rPr>
              <w:t>通过</w:t>
            </w:r>
            <w:r>
              <w:rPr>
                <w:rFonts w:hint="eastAsia"/>
                <w:sz w:val="24"/>
                <w:szCs w:val="24"/>
                <w:lang w:val="en-US" w:eastAsia="zh-CN"/>
              </w:rPr>
              <w:t>二级冷凝系统（水冷式管束式冷凝器）</w:t>
            </w:r>
            <w:r>
              <w:rPr>
                <w:rFonts w:hint="eastAsia"/>
                <w:sz w:val="24"/>
                <w:szCs w:val="24"/>
              </w:rPr>
              <w:t>进行</w:t>
            </w:r>
            <w:r>
              <w:rPr>
                <w:rFonts w:hint="eastAsia"/>
                <w:sz w:val="24"/>
                <w:szCs w:val="24"/>
                <w:lang w:val="en-US" w:eastAsia="zh-CN"/>
              </w:rPr>
              <w:t>常温</w:t>
            </w:r>
            <w:r>
              <w:rPr>
                <w:rFonts w:hint="eastAsia"/>
                <w:sz w:val="24"/>
                <w:szCs w:val="24"/>
              </w:rPr>
              <w:t>冷凝</w:t>
            </w:r>
            <w:r>
              <w:rPr>
                <w:rFonts w:hint="eastAsia"/>
                <w:sz w:val="24"/>
                <w:szCs w:val="24"/>
                <w:lang w:eastAsia="zh-CN"/>
              </w:rPr>
              <w:t>，</w:t>
            </w:r>
            <w:r>
              <w:rPr>
                <w:rFonts w:hint="eastAsia"/>
                <w:sz w:val="24"/>
                <w:szCs w:val="24"/>
                <w:lang w:val="en-US" w:eastAsia="zh-CN"/>
              </w:rPr>
              <w:t>冷凝形成的</w:t>
            </w:r>
            <w:r>
              <w:rPr>
                <w:rFonts w:hint="eastAsia"/>
                <w:sz w:val="24"/>
                <w:szCs w:val="24"/>
              </w:rPr>
              <w:t>液体</w:t>
            </w:r>
            <w:r>
              <w:rPr>
                <w:rFonts w:hint="eastAsia"/>
                <w:sz w:val="24"/>
                <w:szCs w:val="24"/>
                <w:lang w:val="en-US" w:eastAsia="zh-CN"/>
              </w:rPr>
              <w:t>经</w:t>
            </w:r>
            <w:r>
              <w:rPr>
                <w:rFonts w:hint="eastAsia"/>
                <w:sz w:val="24"/>
                <w:szCs w:val="24"/>
              </w:rPr>
              <w:t>离心泵</w:t>
            </w:r>
            <w:r>
              <w:rPr>
                <w:rFonts w:hint="eastAsia"/>
                <w:sz w:val="24"/>
                <w:szCs w:val="24"/>
                <w:lang w:val="en-US" w:eastAsia="zh-CN"/>
              </w:rPr>
              <w:t>通过密闭管道</w:t>
            </w:r>
            <w:r>
              <w:rPr>
                <w:rFonts w:hint="eastAsia"/>
                <w:sz w:val="24"/>
                <w:szCs w:val="24"/>
              </w:rPr>
              <w:t>传导至储存罐暂存。</w:t>
            </w:r>
            <w:r>
              <w:rPr>
                <w:rFonts w:hint="eastAsia"/>
                <w:sz w:val="24"/>
                <w:szCs w:val="24"/>
                <w:lang w:val="en-US" w:eastAsia="zh-CN"/>
              </w:rPr>
              <w:t>干燥机为全密闭设备，原料从投料到进入储罐全程密闭。此工序产生的污染物为不凝气体G1、储罐废气G2、噪声N。</w:t>
            </w:r>
          </w:p>
          <w:p w14:paraId="4876AB28">
            <w:pPr>
              <w:pStyle w:val="28"/>
              <w:spacing w:before="0" w:after="0" w:line="360" w:lineRule="auto"/>
              <w:ind w:right="0" w:firstLine="0" w:firstLineChars="0"/>
              <w:rPr>
                <w:b/>
                <w:bCs/>
                <w:sz w:val="24"/>
                <w:szCs w:val="24"/>
              </w:rPr>
            </w:pPr>
            <w:r>
              <w:rPr>
                <w:rFonts w:hint="eastAsia"/>
                <w:b/>
                <w:bCs/>
                <w:sz w:val="24"/>
                <w:szCs w:val="24"/>
              </w:rPr>
              <w:t>二、主要污染工序</w:t>
            </w:r>
          </w:p>
          <w:p w14:paraId="63AA40E2">
            <w:pPr>
              <w:pStyle w:val="28"/>
              <w:spacing w:before="0" w:after="0" w:line="360" w:lineRule="auto"/>
              <w:ind w:right="0" w:firstLine="480" w:firstLineChars="200"/>
              <w:rPr>
                <w:sz w:val="24"/>
                <w:szCs w:val="24"/>
              </w:rPr>
            </w:pPr>
            <w:r>
              <w:rPr>
                <w:rFonts w:hint="eastAsia"/>
                <w:sz w:val="24"/>
                <w:szCs w:val="24"/>
                <w:lang w:val="en-US" w:eastAsia="zh-CN"/>
              </w:rPr>
              <w:t>通过生产工序可知，</w:t>
            </w:r>
            <w:r>
              <w:rPr>
                <w:sz w:val="24"/>
                <w:szCs w:val="24"/>
              </w:rPr>
              <w:t>主要污染源和污染物如下所示。</w:t>
            </w:r>
          </w:p>
          <w:p w14:paraId="3368A287">
            <w:pPr>
              <w:spacing w:line="240" w:lineRule="auto"/>
              <w:jc w:val="center"/>
              <w:rPr>
                <w:b/>
                <w:u w:val="none"/>
              </w:rPr>
            </w:pPr>
            <w:r>
              <w:rPr>
                <w:b/>
                <w:u w:val="none"/>
              </w:rPr>
              <w:t>表</w:t>
            </w:r>
            <w:r>
              <w:rPr>
                <w:rFonts w:hint="eastAsia"/>
                <w:b/>
                <w:u w:val="none"/>
              </w:rPr>
              <w:t>2</w:t>
            </w:r>
            <w:r>
              <w:rPr>
                <w:b/>
                <w:u w:val="none"/>
              </w:rPr>
              <w:t>-</w:t>
            </w:r>
            <w:r>
              <w:rPr>
                <w:rFonts w:hint="eastAsia"/>
                <w:b/>
                <w:u w:val="none"/>
                <w:lang w:val="en-US" w:eastAsia="zh-CN"/>
              </w:rPr>
              <w:t>7</w:t>
            </w:r>
            <w:r>
              <w:rPr>
                <w:b/>
                <w:u w:val="none"/>
              </w:rPr>
              <w:t xml:space="preserve">  主要污染物及产生环节</w:t>
            </w:r>
          </w:p>
          <w:tbl>
            <w:tblPr>
              <w:tblStyle w:val="31"/>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5"/>
              <w:gridCol w:w="2059"/>
              <w:gridCol w:w="945"/>
              <w:gridCol w:w="1799"/>
              <w:gridCol w:w="2163"/>
            </w:tblGrid>
            <w:tr w14:paraId="6FE7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7" w:type="pct"/>
                  <w:vAlign w:val="center"/>
                </w:tcPr>
                <w:p w14:paraId="1C2356DA">
                  <w:pPr>
                    <w:widowControl/>
                    <w:jc w:val="center"/>
                    <w:rPr>
                      <w:sz w:val="21"/>
                      <w:szCs w:val="21"/>
                      <w:u w:val="none"/>
                    </w:rPr>
                  </w:pPr>
                  <w:r>
                    <w:rPr>
                      <w:sz w:val="21"/>
                      <w:szCs w:val="21"/>
                      <w:u w:val="none"/>
                    </w:rPr>
                    <w:t>污染类型</w:t>
                  </w:r>
                </w:p>
              </w:tc>
              <w:tc>
                <w:tcPr>
                  <w:tcW w:w="1283" w:type="pct"/>
                  <w:vAlign w:val="center"/>
                </w:tcPr>
                <w:p w14:paraId="491BA027">
                  <w:pPr>
                    <w:widowControl/>
                    <w:jc w:val="center"/>
                    <w:rPr>
                      <w:sz w:val="21"/>
                      <w:szCs w:val="21"/>
                      <w:u w:val="none"/>
                    </w:rPr>
                  </w:pPr>
                  <w:r>
                    <w:rPr>
                      <w:sz w:val="21"/>
                      <w:szCs w:val="21"/>
                      <w:u w:val="none"/>
                    </w:rPr>
                    <w:t>污染物名称</w:t>
                  </w:r>
                </w:p>
              </w:tc>
              <w:tc>
                <w:tcPr>
                  <w:tcW w:w="589" w:type="pct"/>
                  <w:vAlign w:val="center"/>
                </w:tcPr>
                <w:p w14:paraId="7A366CA0">
                  <w:pPr>
                    <w:widowControl/>
                    <w:jc w:val="center"/>
                    <w:rPr>
                      <w:sz w:val="21"/>
                      <w:szCs w:val="21"/>
                      <w:u w:val="none"/>
                    </w:rPr>
                  </w:pPr>
                  <w:r>
                    <w:rPr>
                      <w:sz w:val="21"/>
                      <w:szCs w:val="21"/>
                      <w:u w:val="none"/>
                    </w:rPr>
                    <w:t>编号</w:t>
                  </w:r>
                </w:p>
              </w:tc>
              <w:tc>
                <w:tcPr>
                  <w:tcW w:w="1121" w:type="pct"/>
                  <w:vAlign w:val="center"/>
                </w:tcPr>
                <w:p w14:paraId="3C7447B2">
                  <w:pPr>
                    <w:widowControl/>
                    <w:jc w:val="center"/>
                    <w:rPr>
                      <w:sz w:val="21"/>
                      <w:szCs w:val="21"/>
                      <w:u w:val="none"/>
                    </w:rPr>
                  </w:pPr>
                  <w:r>
                    <w:rPr>
                      <w:sz w:val="21"/>
                      <w:szCs w:val="21"/>
                      <w:u w:val="none"/>
                    </w:rPr>
                    <w:t>产生</w:t>
                  </w:r>
                  <w:r>
                    <w:rPr>
                      <w:rFonts w:hint="eastAsia"/>
                      <w:sz w:val="21"/>
                      <w:szCs w:val="21"/>
                      <w:u w:val="none"/>
                    </w:rPr>
                    <w:t>工序</w:t>
                  </w:r>
                </w:p>
              </w:tc>
              <w:tc>
                <w:tcPr>
                  <w:tcW w:w="1348" w:type="pct"/>
                  <w:vAlign w:val="center"/>
                </w:tcPr>
                <w:p w14:paraId="0BC8B080">
                  <w:pPr>
                    <w:widowControl/>
                    <w:jc w:val="center"/>
                    <w:rPr>
                      <w:sz w:val="21"/>
                      <w:szCs w:val="21"/>
                      <w:u w:val="none"/>
                    </w:rPr>
                  </w:pPr>
                  <w:r>
                    <w:rPr>
                      <w:sz w:val="21"/>
                      <w:szCs w:val="21"/>
                      <w:u w:val="none"/>
                    </w:rPr>
                    <w:t>主要污染因子</w:t>
                  </w:r>
                </w:p>
              </w:tc>
            </w:tr>
            <w:tr w14:paraId="2114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7" w:type="pct"/>
                  <w:vMerge w:val="restart"/>
                  <w:vAlign w:val="center"/>
                </w:tcPr>
                <w:p w14:paraId="1BA5574B">
                  <w:pPr>
                    <w:jc w:val="center"/>
                    <w:rPr>
                      <w:sz w:val="21"/>
                      <w:szCs w:val="21"/>
                      <w:u w:val="none"/>
                    </w:rPr>
                  </w:pPr>
                  <w:r>
                    <w:rPr>
                      <w:sz w:val="21"/>
                      <w:szCs w:val="21"/>
                      <w:u w:val="none"/>
                    </w:rPr>
                    <w:t>废气</w:t>
                  </w:r>
                </w:p>
              </w:tc>
              <w:tc>
                <w:tcPr>
                  <w:tcW w:w="1283" w:type="pct"/>
                  <w:shd w:val="clear" w:color="auto" w:fill="auto"/>
                  <w:vAlign w:val="center"/>
                </w:tcPr>
                <w:p w14:paraId="029D0B3F">
                  <w:pPr>
                    <w:widowControl/>
                    <w:jc w:val="center"/>
                    <w:rPr>
                      <w:rFonts w:hint="default" w:ascii="Times New Roman" w:hAnsi="Times New Roman" w:eastAsia="宋体" w:cs="Times New Roman"/>
                      <w:kern w:val="2"/>
                      <w:sz w:val="21"/>
                      <w:szCs w:val="21"/>
                      <w:u w:val="none"/>
                      <w:lang w:val="en-US" w:eastAsia="zh-CN" w:bidi="ar-SA"/>
                    </w:rPr>
                  </w:pPr>
                  <w:r>
                    <w:rPr>
                      <w:rFonts w:hint="eastAsia" w:cs="Times New Roman"/>
                      <w:kern w:val="2"/>
                      <w:sz w:val="21"/>
                      <w:szCs w:val="21"/>
                      <w:u w:val="none"/>
                      <w:lang w:val="en-US" w:eastAsia="zh-CN" w:bidi="ar-SA"/>
                    </w:rPr>
                    <w:t>不凝气体</w:t>
                  </w:r>
                </w:p>
              </w:tc>
              <w:tc>
                <w:tcPr>
                  <w:tcW w:w="589" w:type="pct"/>
                  <w:shd w:val="clear" w:color="auto" w:fill="auto"/>
                  <w:vAlign w:val="center"/>
                </w:tcPr>
                <w:p w14:paraId="3A5A8E4F">
                  <w:pPr>
                    <w:widowControl/>
                    <w:jc w:val="center"/>
                    <w:rPr>
                      <w:rFonts w:hint="eastAsia" w:ascii="Times New Roman" w:hAnsi="Times New Roman" w:eastAsia="宋体" w:cs="Times New Roman"/>
                      <w:kern w:val="2"/>
                      <w:sz w:val="21"/>
                      <w:szCs w:val="21"/>
                      <w:u w:val="none"/>
                      <w:lang w:val="en-US" w:eastAsia="zh-CN" w:bidi="ar-SA"/>
                    </w:rPr>
                  </w:pPr>
                  <w:r>
                    <w:rPr>
                      <w:rFonts w:hint="eastAsia"/>
                      <w:sz w:val="21"/>
                      <w:szCs w:val="21"/>
                      <w:u w:val="none"/>
                    </w:rPr>
                    <w:t>G</w:t>
                  </w:r>
                  <w:r>
                    <w:rPr>
                      <w:rFonts w:hint="eastAsia"/>
                      <w:sz w:val="21"/>
                      <w:szCs w:val="21"/>
                      <w:u w:val="none"/>
                      <w:lang w:val="en-US" w:eastAsia="zh-CN"/>
                    </w:rPr>
                    <w:t>1</w:t>
                  </w:r>
                </w:p>
              </w:tc>
              <w:tc>
                <w:tcPr>
                  <w:tcW w:w="1121" w:type="pct"/>
                  <w:shd w:val="clear" w:color="auto" w:fill="auto"/>
                  <w:vAlign w:val="center"/>
                </w:tcPr>
                <w:p w14:paraId="125DF3A0">
                  <w:pPr>
                    <w:widowControl/>
                    <w:jc w:val="center"/>
                    <w:rPr>
                      <w:rFonts w:hint="default" w:ascii="Times New Roman" w:hAnsi="Times New Roman" w:eastAsia="宋体" w:cs="Times New Roman"/>
                      <w:kern w:val="2"/>
                      <w:sz w:val="21"/>
                      <w:szCs w:val="21"/>
                      <w:u w:val="none"/>
                      <w:lang w:val="en-US" w:eastAsia="zh-CN" w:bidi="ar-SA"/>
                    </w:rPr>
                  </w:pPr>
                  <w:r>
                    <w:rPr>
                      <w:rFonts w:hint="eastAsia" w:cs="Times New Roman"/>
                      <w:kern w:val="2"/>
                      <w:sz w:val="21"/>
                      <w:szCs w:val="21"/>
                      <w:u w:val="none"/>
                      <w:lang w:val="en-US" w:eastAsia="zh-CN" w:bidi="ar-SA"/>
                    </w:rPr>
                    <w:t>冷凝</w:t>
                  </w:r>
                </w:p>
              </w:tc>
              <w:tc>
                <w:tcPr>
                  <w:tcW w:w="1348" w:type="pct"/>
                  <w:vMerge w:val="restart"/>
                  <w:vAlign w:val="center"/>
                </w:tcPr>
                <w:p w14:paraId="5B036715">
                  <w:pPr>
                    <w:widowControl/>
                    <w:jc w:val="center"/>
                    <w:rPr>
                      <w:rFonts w:hint="default" w:eastAsia="宋体"/>
                      <w:sz w:val="21"/>
                      <w:szCs w:val="21"/>
                      <w:u w:val="none"/>
                      <w:lang w:val="en-US" w:eastAsia="zh-CN"/>
                    </w:rPr>
                  </w:pPr>
                  <w:r>
                    <w:rPr>
                      <w:rFonts w:hint="eastAsia"/>
                      <w:sz w:val="21"/>
                      <w:szCs w:val="21"/>
                      <w:u w:val="none"/>
                      <w:lang w:val="en-US" w:eastAsia="zh-CN"/>
                    </w:rPr>
                    <w:t>VOCs（以NMHC表征）</w:t>
                  </w:r>
                </w:p>
              </w:tc>
            </w:tr>
            <w:tr w14:paraId="3E96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7" w:type="pct"/>
                  <w:vMerge w:val="continue"/>
                  <w:vAlign w:val="center"/>
                </w:tcPr>
                <w:p w14:paraId="166AAC29">
                  <w:pPr>
                    <w:jc w:val="center"/>
                    <w:rPr>
                      <w:sz w:val="21"/>
                      <w:szCs w:val="21"/>
                      <w:u w:val="none"/>
                    </w:rPr>
                  </w:pPr>
                </w:p>
              </w:tc>
              <w:tc>
                <w:tcPr>
                  <w:tcW w:w="1283" w:type="pct"/>
                  <w:shd w:val="clear" w:color="auto" w:fill="auto"/>
                  <w:vAlign w:val="center"/>
                </w:tcPr>
                <w:p w14:paraId="3960016B">
                  <w:pPr>
                    <w:widowControl/>
                    <w:jc w:val="center"/>
                    <w:rPr>
                      <w:rFonts w:hint="eastAsia" w:ascii="Times New Roman" w:hAnsi="Times New Roman" w:eastAsia="宋体" w:cs="Times New Roman"/>
                      <w:kern w:val="2"/>
                      <w:sz w:val="21"/>
                      <w:szCs w:val="21"/>
                      <w:u w:val="none"/>
                      <w:lang w:val="en-US" w:eastAsia="zh-CN" w:bidi="ar-SA"/>
                    </w:rPr>
                  </w:pPr>
                  <w:r>
                    <w:rPr>
                      <w:rFonts w:hint="eastAsia" w:cs="Times New Roman"/>
                      <w:kern w:val="2"/>
                      <w:sz w:val="21"/>
                      <w:szCs w:val="21"/>
                      <w:u w:val="none"/>
                      <w:lang w:val="en-US" w:eastAsia="zh-CN" w:bidi="ar-SA"/>
                    </w:rPr>
                    <w:t>储罐废气</w:t>
                  </w:r>
                </w:p>
              </w:tc>
              <w:tc>
                <w:tcPr>
                  <w:tcW w:w="589" w:type="pct"/>
                  <w:shd w:val="clear" w:color="auto" w:fill="auto"/>
                  <w:vAlign w:val="center"/>
                </w:tcPr>
                <w:p w14:paraId="7A939279">
                  <w:pPr>
                    <w:widowControl/>
                    <w:jc w:val="center"/>
                    <w:rPr>
                      <w:rFonts w:hint="eastAsia" w:ascii="Times New Roman" w:hAnsi="Times New Roman" w:eastAsia="宋体" w:cs="Times New Roman"/>
                      <w:kern w:val="2"/>
                      <w:sz w:val="21"/>
                      <w:szCs w:val="21"/>
                      <w:u w:val="none"/>
                      <w:lang w:val="en-US" w:eastAsia="zh-CN" w:bidi="ar-SA"/>
                    </w:rPr>
                  </w:pPr>
                  <w:r>
                    <w:rPr>
                      <w:rFonts w:hint="eastAsia"/>
                      <w:sz w:val="21"/>
                      <w:szCs w:val="21"/>
                      <w:u w:val="none"/>
                    </w:rPr>
                    <w:t>G</w:t>
                  </w:r>
                  <w:r>
                    <w:rPr>
                      <w:rFonts w:hint="eastAsia"/>
                      <w:sz w:val="21"/>
                      <w:szCs w:val="21"/>
                      <w:u w:val="none"/>
                      <w:lang w:val="en-US" w:eastAsia="zh-CN"/>
                    </w:rPr>
                    <w:t>2</w:t>
                  </w:r>
                </w:p>
              </w:tc>
              <w:tc>
                <w:tcPr>
                  <w:tcW w:w="1121" w:type="pct"/>
                  <w:shd w:val="clear" w:color="auto" w:fill="auto"/>
                  <w:vAlign w:val="center"/>
                </w:tcPr>
                <w:p w14:paraId="30C106B8">
                  <w:pPr>
                    <w:widowControl/>
                    <w:jc w:val="center"/>
                    <w:rPr>
                      <w:rFonts w:hint="eastAsia" w:ascii="Times New Roman" w:hAnsi="Times New Roman" w:eastAsia="宋体" w:cs="Times New Roman"/>
                      <w:kern w:val="2"/>
                      <w:sz w:val="21"/>
                      <w:szCs w:val="21"/>
                      <w:u w:val="none"/>
                      <w:lang w:val="en-US" w:eastAsia="zh-CN" w:bidi="ar-SA"/>
                    </w:rPr>
                  </w:pPr>
                  <w:r>
                    <w:rPr>
                      <w:rFonts w:hint="eastAsia" w:cs="Times New Roman"/>
                      <w:kern w:val="2"/>
                      <w:sz w:val="21"/>
                      <w:szCs w:val="21"/>
                      <w:u w:val="none"/>
                      <w:lang w:val="en-US" w:eastAsia="zh-CN" w:bidi="ar-SA"/>
                    </w:rPr>
                    <w:t>成品储存</w:t>
                  </w:r>
                </w:p>
              </w:tc>
              <w:tc>
                <w:tcPr>
                  <w:tcW w:w="1348" w:type="pct"/>
                  <w:vMerge w:val="continue"/>
                  <w:vAlign w:val="center"/>
                </w:tcPr>
                <w:p w14:paraId="314034E0">
                  <w:pPr>
                    <w:widowControl/>
                    <w:jc w:val="center"/>
                    <w:rPr>
                      <w:rFonts w:hint="eastAsia"/>
                      <w:sz w:val="21"/>
                      <w:szCs w:val="21"/>
                      <w:u w:val="none"/>
                      <w:lang w:val="en-US" w:eastAsia="zh-CN"/>
                    </w:rPr>
                  </w:pPr>
                </w:p>
              </w:tc>
            </w:tr>
            <w:tr w14:paraId="0D62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7" w:type="pct"/>
                  <w:vAlign w:val="center"/>
                </w:tcPr>
                <w:p w14:paraId="3D520A3A">
                  <w:pPr>
                    <w:widowControl/>
                    <w:jc w:val="center"/>
                    <w:rPr>
                      <w:rFonts w:hint="default" w:eastAsia="宋体"/>
                      <w:sz w:val="21"/>
                      <w:szCs w:val="21"/>
                      <w:u w:val="none"/>
                      <w:lang w:val="en-US" w:eastAsia="zh-CN"/>
                    </w:rPr>
                  </w:pPr>
                  <w:r>
                    <w:rPr>
                      <w:rFonts w:hint="eastAsia"/>
                      <w:sz w:val="21"/>
                      <w:szCs w:val="21"/>
                      <w:u w:val="none"/>
                      <w:lang w:val="en-US" w:eastAsia="zh-CN"/>
                    </w:rPr>
                    <w:t>废水</w:t>
                  </w:r>
                </w:p>
              </w:tc>
              <w:tc>
                <w:tcPr>
                  <w:tcW w:w="1283" w:type="pct"/>
                  <w:vAlign w:val="center"/>
                </w:tcPr>
                <w:p w14:paraId="4DA4E1E1">
                  <w:pPr>
                    <w:widowControl/>
                    <w:jc w:val="center"/>
                    <w:rPr>
                      <w:rFonts w:hint="default"/>
                      <w:sz w:val="21"/>
                      <w:szCs w:val="21"/>
                      <w:u w:val="none"/>
                      <w:lang w:val="en-US" w:eastAsia="zh-CN"/>
                    </w:rPr>
                  </w:pPr>
                  <w:r>
                    <w:rPr>
                      <w:rFonts w:hint="eastAsia"/>
                      <w:sz w:val="21"/>
                      <w:szCs w:val="21"/>
                      <w:u w:val="none"/>
                      <w:lang w:val="en-US" w:eastAsia="zh-CN"/>
                    </w:rPr>
                    <w:t>生活污水</w:t>
                  </w:r>
                </w:p>
              </w:tc>
              <w:tc>
                <w:tcPr>
                  <w:tcW w:w="589" w:type="pct"/>
                  <w:shd w:val="clear" w:color="auto" w:fill="auto"/>
                  <w:vAlign w:val="center"/>
                </w:tcPr>
                <w:p w14:paraId="44433902">
                  <w:pPr>
                    <w:widowControl/>
                    <w:jc w:val="center"/>
                    <w:rPr>
                      <w:rFonts w:hint="eastAsia" w:ascii="Times New Roman" w:hAnsi="Times New Roman" w:eastAsia="宋体" w:cs="Times New Roman"/>
                      <w:kern w:val="2"/>
                      <w:sz w:val="21"/>
                      <w:szCs w:val="21"/>
                      <w:lang w:val="en-US" w:eastAsia="zh-CN" w:bidi="ar-SA"/>
                    </w:rPr>
                  </w:pPr>
                  <w:r>
                    <w:rPr>
                      <w:rFonts w:hint="eastAsia"/>
                      <w:sz w:val="21"/>
                      <w:szCs w:val="21"/>
                    </w:rPr>
                    <w:t>/</w:t>
                  </w:r>
                </w:p>
              </w:tc>
              <w:tc>
                <w:tcPr>
                  <w:tcW w:w="1121" w:type="pct"/>
                  <w:shd w:val="clear" w:color="auto" w:fill="auto"/>
                  <w:vAlign w:val="center"/>
                </w:tcPr>
                <w:p w14:paraId="5165028A">
                  <w:pPr>
                    <w:widowControl/>
                    <w:jc w:val="center"/>
                    <w:rPr>
                      <w:rFonts w:hint="eastAsia" w:ascii="Times New Roman" w:hAnsi="Times New Roman" w:eastAsia="宋体" w:cs="Times New Roman"/>
                      <w:kern w:val="2"/>
                      <w:sz w:val="21"/>
                      <w:szCs w:val="21"/>
                      <w:lang w:val="en-US" w:eastAsia="zh-CN" w:bidi="ar-SA"/>
                    </w:rPr>
                  </w:pPr>
                  <w:r>
                    <w:rPr>
                      <w:rFonts w:hint="eastAsia"/>
                      <w:sz w:val="21"/>
                      <w:szCs w:val="21"/>
                    </w:rPr>
                    <w:t>员工生活</w:t>
                  </w:r>
                </w:p>
              </w:tc>
              <w:tc>
                <w:tcPr>
                  <w:tcW w:w="1348" w:type="pct"/>
                  <w:shd w:val="clear" w:color="auto" w:fill="auto"/>
                  <w:vAlign w:val="center"/>
                </w:tcPr>
                <w:p w14:paraId="1CA5CFA3">
                  <w:pPr>
                    <w:widowControl/>
                    <w:jc w:val="center"/>
                    <w:rPr>
                      <w:rFonts w:hint="default" w:ascii="Times New Roman" w:hAnsi="Times New Roman" w:eastAsia="宋体" w:cs="Times New Roman"/>
                      <w:kern w:val="2"/>
                      <w:sz w:val="21"/>
                      <w:szCs w:val="21"/>
                      <w:lang w:val="en-US" w:eastAsia="zh-CN" w:bidi="ar-SA"/>
                    </w:rPr>
                  </w:pPr>
                  <w:r>
                    <w:rPr>
                      <w:sz w:val="21"/>
                      <w:szCs w:val="21"/>
                    </w:rPr>
                    <w:t>COD、BOD</w:t>
                  </w:r>
                  <w:r>
                    <w:rPr>
                      <w:sz w:val="21"/>
                      <w:szCs w:val="21"/>
                      <w:vertAlign w:val="subscript"/>
                    </w:rPr>
                    <w:t>5</w:t>
                  </w:r>
                  <w:r>
                    <w:rPr>
                      <w:sz w:val="21"/>
                      <w:szCs w:val="21"/>
                    </w:rPr>
                    <w:t>、SS、氨氮</w:t>
                  </w:r>
                  <w:r>
                    <w:rPr>
                      <w:rFonts w:hint="eastAsia"/>
                      <w:sz w:val="21"/>
                      <w:szCs w:val="21"/>
                      <w:lang w:eastAsia="zh-CN"/>
                    </w:rPr>
                    <w:t>、</w:t>
                  </w:r>
                  <w:r>
                    <w:rPr>
                      <w:rFonts w:hint="eastAsia"/>
                      <w:sz w:val="21"/>
                      <w:szCs w:val="21"/>
                      <w:lang w:val="en-US" w:eastAsia="zh-CN"/>
                    </w:rPr>
                    <w:t>TP</w:t>
                  </w:r>
                </w:p>
              </w:tc>
            </w:tr>
            <w:tr w14:paraId="5F8B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7" w:type="pct"/>
                  <w:vMerge w:val="restart"/>
                  <w:vAlign w:val="center"/>
                </w:tcPr>
                <w:p w14:paraId="01F91F41">
                  <w:pPr>
                    <w:widowControl/>
                    <w:jc w:val="center"/>
                    <w:rPr>
                      <w:rFonts w:hint="default"/>
                      <w:sz w:val="21"/>
                      <w:szCs w:val="21"/>
                      <w:u w:val="none"/>
                      <w:lang w:val="en-US" w:eastAsia="zh-CN"/>
                    </w:rPr>
                  </w:pPr>
                  <w:r>
                    <w:rPr>
                      <w:rFonts w:hint="eastAsia"/>
                      <w:sz w:val="21"/>
                      <w:szCs w:val="21"/>
                      <w:u w:val="none"/>
                      <w:lang w:val="en-US" w:eastAsia="zh-CN"/>
                    </w:rPr>
                    <w:t>固废</w:t>
                  </w:r>
                </w:p>
              </w:tc>
              <w:tc>
                <w:tcPr>
                  <w:tcW w:w="1283" w:type="pct"/>
                  <w:vAlign w:val="center"/>
                </w:tcPr>
                <w:p w14:paraId="73F63DBD">
                  <w:pPr>
                    <w:widowControl/>
                    <w:jc w:val="center"/>
                    <w:rPr>
                      <w:rFonts w:hint="default"/>
                      <w:sz w:val="21"/>
                      <w:szCs w:val="21"/>
                      <w:u w:val="none"/>
                      <w:lang w:val="en-US" w:eastAsia="zh-CN"/>
                    </w:rPr>
                  </w:pPr>
                  <w:r>
                    <w:rPr>
                      <w:rFonts w:hint="eastAsia"/>
                      <w:sz w:val="21"/>
                      <w:szCs w:val="21"/>
                      <w:u w:val="none"/>
                      <w:lang w:val="en-US" w:eastAsia="zh-CN"/>
                    </w:rPr>
                    <w:t>生活垃圾</w:t>
                  </w:r>
                </w:p>
              </w:tc>
              <w:tc>
                <w:tcPr>
                  <w:tcW w:w="589" w:type="pct"/>
                  <w:shd w:val="clear" w:color="auto" w:fill="auto"/>
                  <w:vAlign w:val="center"/>
                </w:tcPr>
                <w:p w14:paraId="1E5E75A1">
                  <w:pPr>
                    <w:widowControl/>
                    <w:jc w:val="center"/>
                    <w:rPr>
                      <w:rFonts w:hint="eastAsia" w:eastAsia="宋体"/>
                      <w:sz w:val="21"/>
                      <w:szCs w:val="21"/>
                      <w:lang w:val="en-US" w:eastAsia="zh-CN"/>
                    </w:rPr>
                  </w:pPr>
                  <w:r>
                    <w:rPr>
                      <w:rFonts w:hint="eastAsia"/>
                      <w:sz w:val="21"/>
                      <w:szCs w:val="21"/>
                      <w:lang w:val="en-US" w:eastAsia="zh-CN"/>
                    </w:rPr>
                    <w:t>/</w:t>
                  </w:r>
                </w:p>
              </w:tc>
              <w:tc>
                <w:tcPr>
                  <w:tcW w:w="1121" w:type="pct"/>
                  <w:shd w:val="clear" w:color="auto" w:fill="auto"/>
                  <w:vAlign w:val="center"/>
                </w:tcPr>
                <w:p w14:paraId="1B02324A">
                  <w:pPr>
                    <w:widowControl/>
                    <w:jc w:val="center"/>
                    <w:rPr>
                      <w:rFonts w:hint="eastAsia" w:eastAsia="宋体"/>
                      <w:sz w:val="21"/>
                      <w:szCs w:val="21"/>
                      <w:lang w:val="en-US" w:eastAsia="zh-CN"/>
                    </w:rPr>
                  </w:pPr>
                  <w:r>
                    <w:rPr>
                      <w:rFonts w:hint="eastAsia"/>
                      <w:sz w:val="21"/>
                      <w:szCs w:val="21"/>
                      <w:lang w:val="en-US" w:eastAsia="zh-CN"/>
                    </w:rPr>
                    <w:t>员工生活</w:t>
                  </w:r>
                </w:p>
              </w:tc>
              <w:tc>
                <w:tcPr>
                  <w:tcW w:w="1348" w:type="pct"/>
                  <w:shd w:val="clear" w:color="auto" w:fill="auto"/>
                  <w:vAlign w:val="center"/>
                </w:tcPr>
                <w:p w14:paraId="31DD97F6">
                  <w:pPr>
                    <w:widowControl/>
                    <w:jc w:val="center"/>
                    <w:rPr>
                      <w:rFonts w:hint="eastAsia" w:eastAsia="宋体"/>
                      <w:sz w:val="21"/>
                      <w:szCs w:val="21"/>
                      <w:lang w:val="en-US" w:eastAsia="zh-CN"/>
                    </w:rPr>
                  </w:pPr>
                  <w:r>
                    <w:rPr>
                      <w:rFonts w:hint="eastAsia"/>
                      <w:sz w:val="21"/>
                      <w:szCs w:val="21"/>
                      <w:u w:val="none"/>
                      <w:lang w:val="en-US" w:eastAsia="zh-CN"/>
                    </w:rPr>
                    <w:t>生活垃圾</w:t>
                  </w:r>
                </w:p>
              </w:tc>
            </w:tr>
            <w:tr w14:paraId="59C3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7" w:type="pct"/>
                  <w:vMerge w:val="continue"/>
                  <w:vAlign w:val="center"/>
                </w:tcPr>
                <w:p w14:paraId="77F5973B">
                  <w:pPr>
                    <w:widowControl/>
                    <w:jc w:val="center"/>
                    <w:rPr>
                      <w:rFonts w:hint="eastAsia"/>
                      <w:sz w:val="21"/>
                      <w:szCs w:val="21"/>
                      <w:u w:val="none"/>
                      <w:lang w:val="en-US" w:eastAsia="zh-CN"/>
                    </w:rPr>
                  </w:pPr>
                </w:p>
              </w:tc>
              <w:tc>
                <w:tcPr>
                  <w:tcW w:w="1283" w:type="pct"/>
                  <w:shd w:val="clear" w:color="auto" w:fill="auto"/>
                  <w:vAlign w:val="center"/>
                </w:tcPr>
                <w:p w14:paraId="2B1C8D19">
                  <w:pPr>
                    <w:widowControl/>
                    <w:jc w:val="center"/>
                    <w:rPr>
                      <w:rFonts w:hint="default" w:ascii="Times New Roman" w:hAnsi="Times New Roman" w:eastAsia="宋体" w:cs="Times New Roman"/>
                      <w:kern w:val="2"/>
                      <w:sz w:val="21"/>
                      <w:szCs w:val="21"/>
                      <w:u w:val="none"/>
                      <w:lang w:val="en-US" w:eastAsia="zh-CN" w:bidi="ar-SA"/>
                    </w:rPr>
                  </w:pPr>
                  <w:r>
                    <w:rPr>
                      <w:rFonts w:hint="eastAsia"/>
                      <w:sz w:val="21"/>
                      <w:szCs w:val="21"/>
                      <w:u w:val="none"/>
                      <w:lang w:val="en-US" w:eastAsia="zh-CN"/>
                    </w:rPr>
                    <w:t>原料包装桶</w:t>
                  </w:r>
                </w:p>
              </w:tc>
              <w:tc>
                <w:tcPr>
                  <w:tcW w:w="589" w:type="pct"/>
                  <w:shd w:val="clear" w:color="auto" w:fill="auto"/>
                  <w:vAlign w:val="center"/>
                </w:tcPr>
                <w:p w14:paraId="26C2F81B">
                  <w:pPr>
                    <w:widowControl/>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S1</w:t>
                  </w:r>
                </w:p>
              </w:tc>
              <w:tc>
                <w:tcPr>
                  <w:tcW w:w="1121" w:type="pct"/>
                  <w:shd w:val="clear" w:color="auto" w:fill="auto"/>
                  <w:vAlign w:val="center"/>
                </w:tcPr>
                <w:p w14:paraId="723AC7E2">
                  <w:pPr>
                    <w:widowControl/>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投料</w:t>
                  </w:r>
                </w:p>
              </w:tc>
              <w:tc>
                <w:tcPr>
                  <w:tcW w:w="1348" w:type="pct"/>
                  <w:vMerge w:val="restart"/>
                  <w:shd w:val="clear" w:color="auto" w:fill="auto"/>
                  <w:vAlign w:val="center"/>
                </w:tcPr>
                <w:p w14:paraId="4984386F">
                  <w:pPr>
                    <w:widowControl/>
                    <w:jc w:val="center"/>
                    <w:rPr>
                      <w:rFonts w:hint="eastAsia" w:ascii="Times New Roman" w:hAnsi="Times New Roman" w:eastAsia="宋体" w:cs="Times New Roman"/>
                      <w:kern w:val="2"/>
                      <w:sz w:val="21"/>
                      <w:szCs w:val="21"/>
                      <w:lang w:val="en-US" w:eastAsia="zh-CN" w:bidi="ar-SA"/>
                    </w:rPr>
                  </w:pPr>
                  <w:r>
                    <w:rPr>
                      <w:rFonts w:hint="eastAsia"/>
                      <w:sz w:val="21"/>
                      <w:szCs w:val="21"/>
                      <w:u w:val="none"/>
                    </w:rPr>
                    <w:t>一般固废</w:t>
                  </w:r>
                </w:p>
              </w:tc>
            </w:tr>
            <w:tr w14:paraId="70DC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7" w:type="pct"/>
                  <w:vMerge w:val="continue"/>
                  <w:vAlign w:val="center"/>
                </w:tcPr>
                <w:p w14:paraId="78540A5C">
                  <w:pPr>
                    <w:widowControl/>
                    <w:jc w:val="center"/>
                    <w:rPr>
                      <w:rFonts w:hint="eastAsia"/>
                      <w:sz w:val="21"/>
                      <w:szCs w:val="21"/>
                      <w:u w:val="none"/>
                      <w:lang w:val="en-US" w:eastAsia="zh-CN"/>
                    </w:rPr>
                  </w:pPr>
                </w:p>
              </w:tc>
              <w:tc>
                <w:tcPr>
                  <w:tcW w:w="1283" w:type="pct"/>
                  <w:shd w:val="clear" w:color="auto" w:fill="auto"/>
                  <w:vAlign w:val="center"/>
                </w:tcPr>
                <w:p w14:paraId="4E093D05">
                  <w:pPr>
                    <w:widowControl/>
                    <w:jc w:val="center"/>
                    <w:rPr>
                      <w:rFonts w:hint="default" w:ascii="Times New Roman" w:hAnsi="Times New Roman" w:eastAsia="宋体" w:cs="Times New Roman"/>
                      <w:kern w:val="2"/>
                      <w:sz w:val="21"/>
                      <w:szCs w:val="21"/>
                      <w:u w:val="none"/>
                      <w:lang w:val="en-US" w:eastAsia="zh-CN" w:bidi="ar-SA"/>
                    </w:rPr>
                  </w:pPr>
                  <w:r>
                    <w:rPr>
                      <w:rFonts w:hint="eastAsia"/>
                      <w:sz w:val="21"/>
                      <w:szCs w:val="21"/>
                      <w:u w:val="none"/>
                      <w:lang w:val="en-US" w:eastAsia="zh-CN"/>
                    </w:rPr>
                    <w:t>回收固废</w:t>
                  </w:r>
                </w:p>
              </w:tc>
              <w:tc>
                <w:tcPr>
                  <w:tcW w:w="589" w:type="pct"/>
                  <w:shd w:val="clear" w:color="auto" w:fill="auto"/>
                  <w:vAlign w:val="center"/>
                </w:tcPr>
                <w:p w14:paraId="73DE622C">
                  <w:pPr>
                    <w:widowControl/>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S2</w:t>
                  </w:r>
                </w:p>
              </w:tc>
              <w:tc>
                <w:tcPr>
                  <w:tcW w:w="1121" w:type="pct"/>
                  <w:shd w:val="clear" w:color="auto" w:fill="auto"/>
                  <w:vAlign w:val="center"/>
                </w:tcPr>
                <w:p w14:paraId="58656796">
                  <w:pPr>
                    <w:widowControl/>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离心</w:t>
                  </w:r>
                </w:p>
              </w:tc>
              <w:tc>
                <w:tcPr>
                  <w:tcW w:w="1348" w:type="pct"/>
                  <w:vMerge w:val="continue"/>
                  <w:shd w:val="clear" w:color="auto" w:fill="auto"/>
                  <w:vAlign w:val="center"/>
                </w:tcPr>
                <w:p w14:paraId="161775BF">
                  <w:pPr>
                    <w:widowControl/>
                    <w:jc w:val="center"/>
                    <w:rPr>
                      <w:rFonts w:hint="eastAsia"/>
                      <w:sz w:val="21"/>
                      <w:szCs w:val="21"/>
                      <w:u w:val="none"/>
                    </w:rPr>
                  </w:pPr>
                </w:p>
              </w:tc>
            </w:tr>
            <w:tr w14:paraId="5B66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7" w:type="pct"/>
                  <w:vMerge w:val="continue"/>
                  <w:vAlign w:val="center"/>
                </w:tcPr>
                <w:p w14:paraId="1D281491">
                  <w:pPr>
                    <w:widowControl/>
                    <w:jc w:val="center"/>
                    <w:rPr>
                      <w:rFonts w:hint="eastAsia"/>
                      <w:sz w:val="21"/>
                      <w:szCs w:val="21"/>
                      <w:u w:val="none"/>
                      <w:lang w:val="en-US" w:eastAsia="zh-CN"/>
                    </w:rPr>
                  </w:pPr>
                </w:p>
              </w:tc>
              <w:tc>
                <w:tcPr>
                  <w:tcW w:w="1283" w:type="pct"/>
                  <w:vAlign w:val="center"/>
                </w:tcPr>
                <w:p w14:paraId="1A148A34">
                  <w:pPr>
                    <w:widowControl/>
                    <w:jc w:val="center"/>
                    <w:rPr>
                      <w:rFonts w:hint="default"/>
                      <w:sz w:val="21"/>
                      <w:szCs w:val="21"/>
                      <w:u w:val="none"/>
                      <w:lang w:val="en-US" w:eastAsia="zh-CN"/>
                    </w:rPr>
                  </w:pPr>
                  <w:r>
                    <w:rPr>
                      <w:rFonts w:hint="eastAsia"/>
                      <w:sz w:val="21"/>
                      <w:szCs w:val="21"/>
                      <w:u w:val="none"/>
                      <w:lang w:val="en-US" w:eastAsia="zh-CN"/>
                    </w:rPr>
                    <w:t>废活性炭</w:t>
                  </w:r>
                </w:p>
              </w:tc>
              <w:tc>
                <w:tcPr>
                  <w:tcW w:w="589" w:type="pct"/>
                  <w:shd w:val="clear" w:color="auto" w:fill="auto"/>
                  <w:vAlign w:val="center"/>
                </w:tcPr>
                <w:p w14:paraId="28FB133B">
                  <w:pPr>
                    <w:widowControl/>
                    <w:jc w:val="center"/>
                    <w:rPr>
                      <w:rFonts w:hint="default"/>
                      <w:sz w:val="21"/>
                      <w:szCs w:val="21"/>
                      <w:lang w:val="en-US" w:eastAsia="zh-CN"/>
                    </w:rPr>
                  </w:pPr>
                  <w:r>
                    <w:rPr>
                      <w:rFonts w:hint="eastAsia"/>
                      <w:sz w:val="21"/>
                      <w:szCs w:val="21"/>
                      <w:lang w:val="en-US" w:eastAsia="zh-CN"/>
                    </w:rPr>
                    <w:t>/</w:t>
                  </w:r>
                </w:p>
              </w:tc>
              <w:tc>
                <w:tcPr>
                  <w:tcW w:w="1121" w:type="pct"/>
                  <w:shd w:val="clear" w:color="auto" w:fill="auto"/>
                  <w:vAlign w:val="center"/>
                </w:tcPr>
                <w:p w14:paraId="1F39985B">
                  <w:pPr>
                    <w:widowControl/>
                    <w:jc w:val="center"/>
                    <w:rPr>
                      <w:rFonts w:hint="default"/>
                      <w:sz w:val="21"/>
                      <w:szCs w:val="21"/>
                      <w:lang w:val="en-US" w:eastAsia="zh-CN"/>
                    </w:rPr>
                  </w:pPr>
                  <w:r>
                    <w:rPr>
                      <w:rFonts w:hint="eastAsia"/>
                      <w:sz w:val="21"/>
                      <w:szCs w:val="21"/>
                      <w:lang w:val="en-US" w:eastAsia="zh-CN"/>
                    </w:rPr>
                    <w:t>废气处理</w:t>
                  </w:r>
                </w:p>
              </w:tc>
              <w:tc>
                <w:tcPr>
                  <w:tcW w:w="1348" w:type="pct"/>
                  <w:vMerge w:val="restart"/>
                  <w:shd w:val="clear" w:color="auto" w:fill="auto"/>
                  <w:vAlign w:val="center"/>
                </w:tcPr>
                <w:p w14:paraId="1792114B">
                  <w:pPr>
                    <w:widowControl/>
                    <w:jc w:val="center"/>
                    <w:rPr>
                      <w:rFonts w:hint="default" w:eastAsia="宋体"/>
                      <w:sz w:val="21"/>
                      <w:szCs w:val="21"/>
                      <w:u w:val="none"/>
                      <w:lang w:val="en-US" w:eastAsia="zh-CN"/>
                    </w:rPr>
                  </w:pPr>
                  <w:r>
                    <w:rPr>
                      <w:rFonts w:hint="eastAsia"/>
                      <w:sz w:val="21"/>
                      <w:szCs w:val="21"/>
                      <w:u w:val="none"/>
                      <w:lang w:val="en-US" w:eastAsia="zh-CN"/>
                    </w:rPr>
                    <w:t>危险固废</w:t>
                  </w:r>
                </w:p>
              </w:tc>
            </w:tr>
            <w:tr w14:paraId="7152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7" w:type="pct"/>
                  <w:vMerge w:val="continue"/>
                  <w:vAlign w:val="center"/>
                </w:tcPr>
                <w:p w14:paraId="3F386E8C">
                  <w:pPr>
                    <w:widowControl/>
                    <w:jc w:val="center"/>
                    <w:rPr>
                      <w:rFonts w:hint="eastAsia"/>
                      <w:sz w:val="21"/>
                      <w:szCs w:val="21"/>
                      <w:u w:val="none"/>
                      <w:lang w:val="en-US" w:eastAsia="zh-CN"/>
                    </w:rPr>
                  </w:pPr>
                </w:p>
              </w:tc>
              <w:tc>
                <w:tcPr>
                  <w:tcW w:w="1283" w:type="pct"/>
                  <w:vAlign w:val="center"/>
                </w:tcPr>
                <w:p w14:paraId="22829AE6">
                  <w:pPr>
                    <w:widowControl/>
                    <w:jc w:val="center"/>
                    <w:rPr>
                      <w:rFonts w:hint="default"/>
                      <w:sz w:val="21"/>
                      <w:szCs w:val="21"/>
                      <w:u w:val="none"/>
                      <w:lang w:val="en-US" w:eastAsia="zh-CN"/>
                    </w:rPr>
                  </w:pPr>
                  <w:r>
                    <w:rPr>
                      <w:rFonts w:hint="eastAsia"/>
                      <w:sz w:val="21"/>
                      <w:szCs w:val="21"/>
                      <w:u w:val="none"/>
                      <w:lang w:val="en-US" w:eastAsia="zh-CN"/>
                    </w:rPr>
                    <w:t>废矿物油、废矿物油桶、废含油抹布及手套</w:t>
                  </w:r>
                </w:p>
              </w:tc>
              <w:tc>
                <w:tcPr>
                  <w:tcW w:w="589" w:type="pct"/>
                  <w:shd w:val="clear" w:color="auto" w:fill="auto"/>
                  <w:vAlign w:val="center"/>
                </w:tcPr>
                <w:p w14:paraId="7A422B35">
                  <w:pPr>
                    <w:widowControl/>
                    <w:jc w:val="center"/>
                    <w:rPr>
                      <w:rFonts w:hint="default"/>
                      <w:sz w:val="21"/>
                      <w:szCs w:val="21"/>
                      <w:lang w:val="en-US" w:eastAsia="zh-CN"/>
                    </w:rPr>
                  </w:pPr>
                  <w:r>
                    <w:rPr>
                      <w:rFonts w:hint="eastAsia"/>
                      <w:sz w:val="21"/>
                      <w:szCs w:val="21"/>
                      <w:lang w:val="en-US" w:eastAsia="zh-CN"/>
                    </w:rPr>
                    <w:t>/</w:t>
                  </w:r>
                </w:p>
              </w:tc>
              <w:tc>
                <w:tcPr>
                  <w:tcW w:w="1121" w:type="pct"/>
                  <w:shd w:val="clear" w:color="auto" w:fill="auto"/>
                  <w:vAlign w:val="center"/>
                </w:tcPr>
                <w:p w14:paraId="246C3081">
                  <w:pPr>
                    <w:widowControl/>
                    <w:jc w:val="center"/>
                    <w:rPr>
                      <w:rFonts w:hint="default"/>
                      <w:sz w:val="21"/>
                      <w:szCs w:val="21"/>
                      <w:lang w:val="en-US" w:eastAsia="zh-CN"/>
                    </w:rPr>
                  </w:pPr>
                  <w:r>
                    <w:rPr>
                      <w:rFonts w:hint="eastAsia"/>
                      <w:sz w:val="21"/>
                      <w:szCs w:val="21"/>
                      <w:lang w:val="en-US" w:eastAsia="zh-CN"/>
                    </w:rPr>
                    <w:t>设备维护、维修</w:t>
                  </w:r>
                </w:p>
              </w:tc>
              <w:tc>
                <w:tcPr>
                  <w:tcW w:w="1348" w:type="pct"/>
                  <w:vMerge w:val="continue"/>
                  <w:shd w:val="clear" w:color="auto" w:fill="auto"/>
                  <w:vAlign w:val="center"/>
                </w:tcPr>
                <w:p w14:paraId="493A13EF">
                  <w:pPr>
                    <w:widowControl/>
                    <w:jc w:val="center"/>
                    <w:rPr>
                      <w:rFonts w:hint="default" w:eastAsia="宋体"/>
                      <w:sz w:val="21"/>
                      <w:szCs w:val="21"/>
                      <w:u w:val="none"/>
                      <w:lang w:val="en-US" w:eastAsia="zh-CN"/>
                    </w:rPr>
                  </w:pPr>
                </w:p>
              </w:tc>
            </w:tr>
          </w:tbl>
          <w:p w14:paraId="2AA2FA38">
            <w:pPr>
              <w:pStyle w:val="12"/>
              <w:spacing w:before="0" w:after="0" w:line="360" w:lineRule="auto"/>
              <w:ind w:right="0" w:firstLine="360" w:firstLineChars="200"/>
              <w:jc w:val="left"/>
              <w:rPr>
                <w:bCs/>
                <w:szCs w:val="21"/>
              </w:rPr>
            </w:pPr>
          </w:p>
        </w:tc>
      </w:tr>
      <w:tr w14:paraId="00A43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797" w:type="dxa"/>
            <w:vAlign w:val="center"/>
          </w:tcPr>
          <w:p w14:paraId="5F3EE1C1">
            <w:pPr>
              <w:pStyle w:val="26"/>
              <w:adjustRightInd w:val="0"/>
              <w:snapToGrid w:val="0"/>
              <w:spacing w:before="0" w:beforeAutospacing="0" w:after="0" w:afterAutospacing="0"/>
              <w:jc w:val="center"/>
              <w:rPr>
                <w:rFonts w:ascii="Times New Roman" w:hAnsi="Times New Roman" w:eastAsia="宋体" w:cs="Times New Roman"/>
                <w:kern w:val="0"/>
                <w:sz w:val="21"/>
                <w:szCs w:val="21"/>
                <w:lang w:val="en-US" w:eastAsia="zh-CN" w:bidi="ar-SA"/>
              </w:rPr>
            </w:pPr>
            <w:r>
              <w:rPr>
                <w:rFonts w:ascii="Times New Roman" w:hAnsi="Times New Roman"/>
                <w:kern w:val="2"/>
                <w:szCs w:val="24"/>
              </w:rPr>
              <w:t>与项目有关的原有环境污染问题</w:t>
            </w:r>
          </w:p>
        </w:tc>
        <w:tc>
          <w:tcPr>
            <w:tcW w:w="8263" w:type="dxa"/>
            <w:vAlign w:val="top"/>
          </w:tcPr>
          <w:p w14:paraId="77712D3B">
            <w:pPr>
              <w:tabs>
                <w:tab w:val="left" w:pos="3225"/>
              </w:tabs>
              <w:adjustRightInd w:val="0"/>
              <w:snapToGrid w:val="0"/>
              <w:spacing w:line="360" w:lineRule="auto"/>
              <w:ind w:firstLine="482" w:firstLineChars="200"/>
              <w:rPr>
                <w:rFonts w:hint="eastAsia" w:cs="Times New Roman"/>
                <w:b/>
                <w:bCs/>
                <w:kern w:val="2"/>
                <w:sz w:val="24"/>
                <w:szCs w:val="21"/>
                <w:lang w:val="en-US" w:eastAsia="zh-CN" w:bidi="ar-SA"/>
              </w:rPr>
            </w:pPr>
            <w:r>
              <w:rPr>
                <w:rFonts w:hint="eastAsia"/>
                <w:b/>
                <w:bCs/>
              </w:rPr>
              <w:t>1</w:t>
            </w:r>
            <w:r>
              <w:rPr>
                <w:b/>
                <w:bCs/>
              </w:rPr>
              <w:t>、项目场地原有污染情况及主要环境问题</w:t>
            </w:r>
          </w:p>
          <w:p w14:paraId="2AB6229E">
            <w:pPr>
              <w:tabs>
                <w:tab w:val="left" w:pos="3225"/>
              </w:tabs>
              <w:adjustRightInd w:val="0"/>
              <w:snapToGrid w:val="0"/>
              <w:spacing w:line="360" w:lineRule="auto"/>
              <w:ind w:firstLine="480" w:firstLineChars="200"/>
              <w:rPr>
                <w:rFonts w:hint="eastAsia"/>
                <w:bCs/>
                <w:szCs w:val="21"/>
                <w:lang w:eastAsia="zh-CN"/>
              </w:rPr>
            </w:pPr>
            <w:r>
              <w:rPr>
                <w:rFonts w:hint="default"/>
                <w:bCs/>
                <w:szCs w:val="21"/>
              </w:rPr>
              <w:t>本项目</w:t>
            </w:r>
            <w:r>
              <w:rPr>
                <w:rFonts w:hint="eastAsia"/>
                <w:bCs/>
                <w:szCs w:val="21"/>
                <w:lang w:val="en-US" w:eastAsia="zh-CN"/>
              </w:rPr>
              <w:t>租赁际华橡胶工业有限公司标准厂房进行生产，原厂房为际华橡胶工业有限公司的原料区，主要存放塑料粒子、橡胶以及化学品等，经调查，厂房内</w:t>
            </w:r>
            <w:r>
              <w:rPr>
                <w:rFonts w:hint="eastAsia"/>
                <w:bCs/>
                <w:szCs w:val="21"/>
              </w:rPr>
              <w:t>未进行</w:t>
            </w:r>
            <w:r>
              <w:rPr>
                <w:rFonts w:hint="eastAsia"/>
                <w:bCs/>
                <w:szCs w:val="21"/>
                <w:lang w:val="en-US" w:eastAsia="zh-CN"/>
              </w:rPr>
              <w:t>过</w:t>
            </w:r>
            <w:r>
              <w:rPr>
                <w:rFonts w:hint="eastAsia"/>
                <w:bCs/>
                <w:szCs w:val="21"/>
              </w:rPr>
              <w:t>生产，</w:t>
            </w:r>
            <w:r>
              <w:rPr>
                <w:rFonts w:hint="eastAsia"/>
                <w:bCs/>
                <w:szCs w:val="21"/>
                <w:lang w:val="en-US" w:eastAsia="zh-CN"/>
              </w:rPr>
              <w:t>未发生过泄露等情况，</w:t>
            </w:r>
            <w:r>
              <w:rPr>
                <w:rFonts w:hint="eastAsia"/>
                <w:bCs/>
                <w:szCs w:val="21"/>
              </w:rPr>
              <w:t>不存在原有污染问题。</w:t>
            </w:r>
          </w:p>
          <w:p w14:paraId="2AFA5992">
            <w:pPr>
              <w:tabs>
                <w:tab w:val="left" w:pos="3225"/>
              </w:tabs>
              <w:adjustRightInd w:val="0"/>
              <w:snapToGrid w:val="0"/>
              <w:spacing w:line="360" w:lineRule="auto"/>
              <w:ind w:firstLine="482" w:firstLineChars="200"/>
              <w:rPr>
                <w:rFonts w:hint="eastAsia"/>
                <w:b/>
                <w:bCs w:val="0"/>
                <w:szCs w:val="21"/>
                <w:lang w:val="en-US" w:eastAsia="zh-CN"/>
              </w:rPr>
            </w:pPr>
            <w:r>
              <w:rPr>
                <w:rFonts w:hint="eastAsia"/>
                <w:b/>
                <w:bCs w:val="0"/>
                <w:szCs w:val="21"/>
                <w:lang w:val="en-US" w:eastAsia="zh-CN"/>
              </w:rPr>
              <w:t>2、项目四至情况</w:t>
            </w:r>
          </w:p>
          <w:p w14:paraId="151E9855">
            <w:pPr>
              <w:tabs>
                <w:tab w:val="left" w:pos="3225"/>
              </w:tabs>
              <w:adjustRightInd w:val="0"/>
              <w:snapToGrid w:val="0"/>
              <w:spacing w:line="360" w:lineRule="auto"/>
              <w:ind w:firstLine="480" w:firstLineChars="200"/>
              <w:rPr>
                <w:rFonts w:hint="eastAsia" w:eastAsia="宋体"/>
                <w:color w:val="auto"/>
                <w:highlight w:val="none"/>
                <w:lang w:val="en-US" w:eastAsia="zh-CN"/>
              </w:rPr>
            </w:pPr>
            <w:r>
              <w:rPr>
                <w:rFonts w:hint="eastAsia"/>
                <w:bCs/>
                <w:szCs w:val="21"/>
                <w:lang w:val="en-US" w:eastAsia="zh-CN"/>
              </w:rPr>
              <w:t>东侧：</w:t>
            </w:r>
            <w:r>
              <w:rPr>
                <w:rFonts w:hint="eastAsia"/>
                <w:color w:val="auto"/>
                <w:highlight w:val="none"/>
                <w:lang w:val="en-US" w:eastAsia="zh-CN"/>
              </w:rPr>
              <w:t>空地</w:t>
            </w:r>
          </w:p>
          <w:p w14:paraId="6F9B7C05">
            <w:pPr>
              <w:tabs>
                <w:tab w:val="left" w:pos="3225"/>
              </w:tabs>
              <w:adjustRightInd w:val="0"/>
              <w:snapToGrid w:val="0"/>
              <w:spacing w:line="360" w:lineRule="auto"/>
              <w:ind w:firstLine="480" w:firstLineChars="200"/>
              <w:rPr>
                <w:rFonts w:hint="eastAsia"/>
                <w:color w:val="auto"/>
                <w:highlight w:val="none"/>
                <w:lang w:val="en-US" w:eastAsia="zh-CN"/>
              </w:rPr>
            </w:pPr>
            <w:r>
              <w:rPr>
                <w:rFonts w:hint="eastAsia"/>
                <w:color w:val="auto"/>
                <w:highlight w:val="none"/>
                <w:lang w:val="en-US" w:eastAsia="zh-CN"/>
              </w:rPr>
              <w:t>南侧、西侧、北侧：</w:t>
            </w:r>
            <w:r>
              <w:rPr>
                <w:rFonts w:hint="eastAsia"/>
                <w:color w:val="auto"/>
                <w:highlight w:val="none"/>
              </w:rPr>
              <w:t>际华橡胶工业有限公司</w:t>
            </w:r>
          </w:p>
          <w:p w14:paraId="3DAED58E">
            <w:pPr>
              <w:numPr>
                <w:ilvl w:val="0"/>
                <w:numId w:val="3"/>
              </w:numPr>
              <w:tabs>
                <w:tab w:val="left" w:pos="3225"/>
              </w:tabs>
              <w:adjustRightInd w:val="0"/>
              <w:snapToGrid w:val="0"/>
              <w:spacing w:line="360" w:lineRule="auto"/>
              <w:ind w:firstLine="482" w:firstLineChars="200"/>
              <w:rPr>
                <w:rFonts w:hint="eastAsia"/>
                <w:b/>
                <w:bCs/>
                <w:color w:val="auto"/>
                <w:highlight w:val="none"/>
                <w:lang w:val="en-US" w:eastAsia="zh-CN"/>
              </w:rPr>
            </w:pPr>
            <w:r>
              <w:rPr>
                <w:rFonts w:hint="eastAsia"/>
                <w:b/>
                <w:bCs/>
                <w:color w:val="auto"/>
                <w:highlight w:val="none"/>
                <w:lang w:val="en-US" w:eastAsia="zh-CN"/>
              </w:rPr>
              <w:t>周边企业污染源</w:t>
            </w:r>
          </w:p>
          <w:p w14:paraId="5E73CAC7">
            <w:pPr>
              <w:numPr>
                <w:ilvl w:val="-1"/>
                <w:numId w:val="0"/>
              </w:numPr>
              <w:tabs>
                <w:tab w:val="left" w:pos="3225"/>
              </w:tabs>
              <w:adjustRightInd w:val="0"/>
              <w:snapToGrid w:val="0"/>
              <w:spacing w:line="360" w:lineRule="auto"/>
              <w:ind w:firstLine="480" w:firstLineChars="200"/>
              <w:rPr>
                <w:rFonts w:hint="eastAsia"/>
                <w:color w:val="auto"/>
                <w:highlight w:val="none"/>
                <w:lang w:val="en-US" w:eastAsia="zh-CN"/>
              </w:rPr>
            </w:pPr>
            <w:r>
              <w:rPr>
                <w:rFonts w:hint="eastAsia"/>
                <w:color w:val="auto"/>
                <w:highlight w:val="none"/>
                <w:lang w:val="en-US" w:eastAsia="zh-CN"/>
              </w:rPr>
              <w:t>周边企业污染源详细情况见下表。</w:t>
            </w:r>
          </w:p>
          <w:p w14:paraId="2937E45C">
            <w:pPr>
              <w:numPr>
                <w:ilvl w:val="-1"/>
                <w:numId w:val="0"/>
              </w:numPr>
              <w:adjustRightInd/>
              <w:snapToGrid/>
              <w:spacing w:line="240" w:lineRule="auto"/>
              <w:ind w:firstLine="0" w:firstLineChars="0"/>
              <w:jc w:val="center"/>
              <w:rPr>
                <w:rFonts w:hint="default" w:eastAsia="宋体"/>
                <w:color w:val="auto"/>
                <w:highlight w:val="none"/>
                <w:lang w:val="en-US" w:eastAsia="zh-CN"/>
              </w:rPr>
            </w:pPr>
            <w:r>
              <w:rPr>
                <w:b/>
                <w:u w:val="none"/>
              </w:rPr>
              <w:t>表</w:t>
            </w:r>
            <w:r>
              <w:rPr>
                <w:rFonts w:hint="eastAsia"/>
                <w:b/>
                <w:u w:val="none"/>
              </w:rPr>
              <w:t>2</w:t>
            </w:r>
            <w:r>
              <w:rPr>
                <w:b/>
                <w:u w:val="none"/>
              </w:rPr>
              <w:t>-</w:t>
            </w:r>
            <w:r>
              <w:rPr>
                <w:rFonts w:hint="eastAsia"/>
                <w:b/>
                <w:u w:val="none"/>
                <w:lang w:val="en-US" w:eastAsia="zh-CN"/>
              </w:rPr>
              <w:t>9</w:t>
            </w:r>
            <w:r>
              <w:rPr>
                <w:b/>
                <w:u w:val="none"/>
              </w:rPr>
              <w:t xml:space="preserve">  </w:t>
            </w:r>
            <w:r>
              <w:rPr>
                <w:rFonts w:hint="eastAsia"/>
                <w:b/>
                <w:u w:val="none"/>
                <w:lang w:val="en-US" w:eastAsia="zh-CN"/>
              </w:rPr>
              <w:t>周边企业污染源一览表</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5399"/>
            </w:tblGrid>
            <w:tr w14:paraId="0F98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0" w:type="pct"/>
                  <w:vAlign w:val="center"/>
                </w:tcPr>
                <w:p w14:paraId="7308682B">
                  <w:pPr>
                    <w:numPr>
                      <w:ilvl w:val="-1"/>
                      <w:numId w:val="0"/>
                    </w:numPr>
                    <w:tabs>
                      <w:tab w:val="left" w:pos="3225"/>
                    </w:tabs>
                    <w:adjustRightInd w:val="0"/>
                    <w:snapToGrid w:val="0"/>
                    <w:spacing w:line="240" w:lineRule="auto"/>
                    <w:jc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企业名称</w:t>
                  </w:r>
                </w:p>
              </w:tc>
              <w:tc>
                <w:tcPr>
                  <w:tcW w:w="3359" w:type="pct"/>
                  <w:vAlign w:val="center"/>
                </w:tcPr>
                <w:p w14:paraId="5CC7AF75">
                  <w:pPr>
                    <w:numPr>
                      <w:ilvl w:val="-1"/>
                      <w:numId w:val="0"/>
                    </w:numPr>
                    <w:tabs>
                      <w:tab w:val="left" w:pos="3225"/>
                    </w:tabs>
                    <w:adjustRightInd w:val="0"/>
                    <w:snapToGrid w:val="0"/>
                    <w:spacing w:line="240" w:lineRule="auto"/>
                    <w:jc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color w:val="auto"/>
                      <w:sz w:val="21"/>
                      <w:szCs w:val="21"/>
                      <w:highlight w:val="none"/>
                      <w:u w:val="none"/>
                    </w:rPr>
                    <w:t>际华橡胶工业有限公司</w:t>
                  </w:r>
                </w:p>
              </w:tc>
            </w:tr>
            <w:tr w14:paraId="73FA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40" w:type="pct"/>
                  <w:vAlign w:val="center"/>
                </w:tcPr>
                <w:p w14:paraId="7F4351B5">
                  <w:pPr>
                    <w:numPr>
                      <w:ilvl w:val="-1"/>
                      <w:numId w:val="0"/>
                    </w:numPr>
                    <w:tabs>
                      <w:tab w:val="left" w:pos="3225"/>
                    </w:tabs>
                    <w:adjustRightInd w:val="0"/>
                    <w:snapToGrid w:val="0"/>
                    <w:spacing w:line="240" w:lineRule="auto"/>
                    <w:jc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环评情况</w:t>
                  </w:r>
                </w:p>
              </w:tc>
              <w:tc>
                <w:tcPr>
                  <w:tcW w:w="3359" w:type="pct"/>
                  <w:vAlign w:val="center"/>
                </w:tcPr>
                <w:p w14:paraId="6CB59C8D">
                  <w:pPr>
                    <w:numPr>
                      <w:ilvl w:val="-1"/>
                      <w:numId w:val="0"/>
                    </w:numPr>
                    <w:tabs>
                      <w:tab w:val="left" w:pos="3225"/>
                    </w:tabs>
                    <w:adjustRightInd w:val="0"/>
                    <w:snapToGrid w:val="0"/>
                    <w:spacing w:line="240" w:lineRule="auto"/>
                    <w:jc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color w:val="000000" w:themeColor="text1"/>
                      <w:sz w:val="21"/>
                      <w:szCs w:val="21"/>
                      <w:u w:val="none"/>
                      <w14:textFill>
                        <w14:solidFill>
                          <w14:schemeClr w14:val="tx1"/>
                        </w14:solidFill>
                      </w14:textFill>
                    </w:rPr>
                    <w:t>岳城港环评【2013】12号</w:t>
                  </w:r>
                  <w:r>
                    <w:rPr>
                      <w:rFonts w:hint="eastAsia"/>
                      <w:color w:val="000000" w:themeColor="text1"/>
                      <w:sz w:val="21"/>
                      <w:szCs w:val="21"/>
                      <w:u w:val="none"/>
                      <w:lang w:eastAsia="zh-CN"/>
                      <w14:textFill>
                        <w14:solidFill>
                          <w14:schemeClr w14:val="tx1"/>
                        </w14:solidFill>
                      </w14:textFill>
                    </w:rPr>
                    <w:t>，岳港环批</w:t>
                  </w:r>
                  <w:r>
                    <w:rPr>
                      <w:rFonts w:hint="default"/>
                      <w:color w:val="000000" w:themeColor="text1"/>
                      <w:sz w:val="21"/>
                      <w:szCs w:val="21"/>
                      <w:u w:val="none"/>
                      <w14:textFill>
                        <w14:solidFill>
                          <w14:schemeClr w14:val="tx1"/>
                        </w14:solidFill>
                      </w14:textFill>
                    </w:rPr>
                    <w:t>【</w:t>
                  </w:r>
                  <w:r>
                    <w:rPr>
                      <w:rFonts w:hint="eastAsia"/>
                      <w:color w:val="000000" w:themeColor="text1"/>
                      <w:sz w:val="21"/>
                      <w:szCs w:val="21"/>
                      <w:u w:val="none"/>
                      <w:lang w:eastAsia="zh-CN"/>
                      <w14:textFill>
                        <w14:solidFill>
                          <w14:schemeClr w14:val="tx1"/>
                        </w14:solidFill>
                      </w14:textFill>
                    </w:rPr>
                    <w:t>2021</w:t>
                  </w:r>
                  <w:r>
                    <w:rPr>
                      <w:rFonts w:hint="default"/>
                      <w:color w:val="000000" w:themeColor="text1"/>
                      <w:sz w:val="21"/>
                      <w:szCs w:val="21"/>
                      <w:u w:val="none"/>
                      <w14:textFill>
                        <w14:solidFill>
                          <w14:schemeClr w14:val="tx1"/>
                        </w14:solidFill>
                      </w14:textFill>
                    </w:rPr>
                    <w:t>】</w:t>
                  </w:r>
                  <w:r>
                    <w:rPr>
                      <w:rFonts w:hint="eastAsia"/>
                      <w:color w:val="000000" w:themeColor="text1"/>
                      <w:sz w:val="21"/>
                      <w:szCs w:val="21"/>
                      <w:u w:val="none"/>
                      <w:lang w:eastAsia="zh-CN"/>
                      <w14:textFill>
                        <w14:solidFill>
                          <w14:schemeClr w14:val="tx1"/>
                        </w14:solidFill>
                      </w14:textFill>
                    </w:rPr>
                    <w:t>20号，岳港环评</w:t>
                  </w:r>
                  <w:r>
                    <w:rPr>
                      <w:rFonts w:hint="default"/>
                      <w:color w:val="000000" w:themeColor="text1"/>
                      <w:sz w:val="21"/>
                      <w:szCs w:val="21"/>
                      <w:u w:val="none"/>
                      <w14:textFill>
                        <w14:solidFill>
                          <w14:schemeClr w14:val="tx1"/>
                        </w14:solidFill>
                      </w14:textFill>
                    </w:rPr>
                    <w:t>【</w:t>
                  </w:r>
                  <w:r>
                    <w:rPr>
                      <w:rFonts w:hint="eastAsia"/>
                      <w:color w:val="000000" w:themeColor="text1"/>
                      <w:sz w:val="21"/>
                      <w:szCs w:val="21"/>
                      <w:u w:val="none"/>
                      <w:lang w:eastAsia="zh-CN"/>
                      <w14:textFill>
                        <w14:solidFill>
                          <w14:schemeClr w14:val="tx1"/>
                        </w14:solidFill>
                      </w14:textFill>
                    </w:rPr>
                    <w:t>2022</w:t>
                  </w:r>
                  <w:r>
                    <w:rPr>
                      <w:rFonts w:hint="default"/>
                      <w:color w:val="000000" w:themeColor="text1"/>
                      <w:sz w:val="21"/>
                      <w:szCs w:val="21"/>
                      <w:u w:val="none"/>
                      <w14:textFill>
                        <w14:solidFill>
                          <w14:schemeClr w14:val="tx1"/>
                        </w14:solidFill>
                      </w14:textFill>
                    </w:rPr>
                    <w:t>】</w:t>
                  </w:r>
                  <w:r>
                    <w:rPr>
                      <w:rFonts w:hint="eastAsia"/>
                      <w:color w:val="000000" w:themeColor="text1"/>
                      <w:sz w:val="21"/>
                      <w:szCs w:val="21"/>
                      <w:u w:val="none"/>
                      <w:lang w:eastAsia="zh-CN"/>
                      <w14:textFill>
                        <w14:solidFill>
                          <w14:schemeClr w14:val="tx1"/>
                        </w14:solidFill>
                      </w14:textFill>
                    </w:rPr>
                    <w:t>18号</w:t>
                  </w:r>
                </w:p>
              </w:tc>
            </w:tr>
            <w:tr w14:paraId="69BE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0" w:type="pct"/>
                  <w:vAlign w:val="center"/>
                </w:tcPr>
                <w:p w14:paraId="6646413A">
                  <w:pPr>
                    <w:numPr>
                      <w:ilvl w:val="-1"/>
                      <w:numId w:val="0"/>
                    </w:numPr>
                    <w:tabs>
                      <w:tab w:val="left" w:pos="3225"/>
                    </w:tabs>
                    <w:adjustRightInd w:val="0"/>
                    <w:snapToGrid w:val="0"/>
                    <w:spacing w:line="240" w:lineRule="auto"/>
                    <w:jc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验收情况</w:t>
                  </w:r>
                </w:p>
              </w:tc>
              <w:tc>
                <w:tcPr>
                  <w:tcW w:w="3359" w:type="pct"/>
                  <w:vAlign w:val="center"/>
                </w:tcPr>
                <w:p w14:paraId="5B2910B1">
                  <w:pPr>
                    <w:numPr>
                      <w:ilvl w:val="-1"/>
                      <w:numId w:val="0"/>
                    </w:numPr>
                    <w:tabs>
                      <w:tab w:val="left" w:pos="3225"/>
                    </w:tabs>
                    <w:adjustRightInd w:val="0"/>
                    <w:snapToGrid w:val="0"/>
                    <w:spacing w:line="240" w:lineRule="auto"/>
                    <w:jc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color w:val="000000" w:themeColor="text1"/>
                      <w:sz w:val="21"/>
                      <w:szCs w:val="21"/>
                      <w:u w:val="none"/>
                      <w14:textFill>
                        <w14:solidFill>
                          <w14:schemeClr w14:val="tx1"/>
                        </w14:solidFill>
                      </w14:textFill>
                    </w:rPr>
                    <w:t>岳环验备2024，岳港环验备【2022】9号</w:t>
                  </w:r>
                </w:p>
              </w:tc>
            </w:tr>
            <w:tr w14:paraId="467E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0" w:type="pct"/>
                  <w:vAlign w:val="center"/>
                </w:tcPr>
                <w:p w14:paraId="30D578C8">
                  <w:pPr>
                    <w:numPr>
                      <w:ilvl w:val="-1"/>
                      <w:numId w:val="0"/>
                    </w:numPr>
                    <w:tabs>
                      <w:tab w:val="left" w:pos="3225"/>
                    </w:tabs>
                    <w:adjustRightInd w:val="0"/>
                    <w:snapToGrid w:val="0"/>
                    <w:spacing w:line="240" w:lineRule="auto"/>
                    <w:jc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排污许可</w:t>
                  </w:r>
                </w:p>
              </w:tc>
              <w:tc>
                <w:tcPr>
                  <w:tcW w:w="3359" w:type="pct"/>
                  <w:vAlign w:val="center"/>
                </w:tcPr>
                <w:p w14:paraId="3EBE3DD5">
                  <w:pPr>
                    <w:numPr>
                      <w:ilvl w:val="-1"/>
                      <w:numId w:val="0"/>
                    </w:numPr>
                    <w:tabs>
                      <w:tab w:val="left" w:pos="3225"/>
                    </w:tabs>
                    <w:adjustRightInd w:val="0"/>
                    <w:snapToGrid w:val="0"/>
                    <w:spacing w:line="240" w:lineRule="auto"/>
                    <w:jc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color w:val="000000" w:themeColor="text1"/>
                      <w:sz w:val="21"/>
                      <w:szCs w:val="21"/>
                      <w:u w:val="none"/>
                      <w14:textFill>
                        <w14:solidFill>
                          <w14:schemeClr w14:val="tx1"/>
                        </w14:solidFill>
                      </w14:textFill>
                    </w:rPr>
                    <w:t>914306001860814346001U</w:t>
                  </w:r>
                </w:p>
              </w:tc>
            </w:tr>
            <w:tr w14:paraId="410A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0" w:type="pct"/>
                  <w:vAlign w:val="center"/>
                </w:tcPr>
                <w:p w14:paraId="1DFD7F34">
                  <w:pPr>
                    <w:numPr>
                      <w:ilvl w:val="-1"/>
                      <w:numId w:val="0"/>
                    </w:numPr>
                    <w:tabs>
                      <w:tab w:val="left" w:pos="3225"/>
                    </w:tabs>
                    <w:adjustRightInd w:val="0"/>
                    <w:snapToGrid w:val="0"/>
                    <w:spacing w:line="240" w:lineRule="auto"/>
                    <w:jc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产能</w:t>
                  </w:r>
                </w:p>
              </w:tc>
              <w:tc>
                <w:tcPr>
                  <w:tcW w:w="3359" w:type="pct"/>
                  <w:vAlign w:val="center"/>
                </w:tcPr>
                <w:p w14:paraId="0CB97C33">
                  <w:pPr>
                    <w:widowControl/>
                    <w:numPr>
                      <w:ilvl w:val="-1"/>
                      <w:numId w:val="0"/>
                    </w:numPr>
                    <w:adjustRightInd/>
                    <w:snapToGrid/>
                    <w:spacing w:line="240" w:lineRule="auto"/>
                    <w:jc w:val="center"/>
                    <w:rPr>
                      <w:rFonts w:hint="default" w:ascii="Times New Roman" w:hAnsi="Times New Roman" w:eastAsia="宋体" w:cs="Times New Roman"/>
                      <w:color w:val="auto"/>
                      <w:sz w:val="21"/>
                      <w:szCs w:val="21"/>
                      <w:highlight w:val="none"/>
                      <w:u w:val="none"/>
                      <w:vertAlign w:val="baseline"/>
                      <w:lang w:val="en-US" w:eastAsia="zh-CN"/>
                    </w:rPr>
                  </w:pPr>
                  <w:r>
                    <w:rPr>
                      <w:rFonts w:hint="eastAsia" w:ascii="宋体" w:hAnsi="宋体" w:eastAsia="宋体" w:cs="宋体"/>
                      <w:color w:val="000000"/>
                      <w:kern w:val="0"/>
                      <w:sz w:val="21"/>
                      <w:szCs w:val="21"/>
                      <w:lang w:val="en-US" w:eastAsia="zh-CN" w:bidi="ar"/>
                    </w:rPr>
                    <w:t>胶鞋生产</w:t>
                  </w:r>
                  <w:r>
                    <w:rPr>
                      <w:rFonts w:hint="default" w:ascii="Times New Roman" w:hAnsi="Times New Roman" w:eastAsia="宋体" w:cs="Times New Roman"/>
                      <w:color w:val="000000"/>
                      <w:kern w:val="0"/>
                      <w:sz w:val="21"/>
                      <w:szCs w:val="21"/>
                      <w:lang w:val="en-US" w:eastAsia="zh-CN" w:bidi="ar"/>
                    </w:rPr>
                    <w:t>1200</w:t>
                  </w:r>
                  <w:r>
                    <w:rPr>
                      <w:rFonts w:hint="eastAsia" w:ascii="宋体" w:hAnsi="宋体" w:eastAsia="宋体" w:cs="宋体"/>
                      <w:color w:val="000000"/>
                      <w:kern w:val="0"/>
                      <w:sz w:val="21"/>
                      <w:szCs w:val="21"/>
                      <w:lang w:val="en-US" w:eastAsia="zh-CN" w:bidi="ar"/>
                    </w:rPr>
                    <w:t>万双</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年、胶布制品</w:t>
                  </w:r>
                  <w:r>
                    <w:rPr>
                      <w:rFonts w:hint="default" w:ascii="Times New Roman" w:hAnsi="Times New Roman" w:eastAsia="宋体" w:cs="Times New Roman"/>
                      <w:color w:val="000000"/>
                      <w:kern w:val="0"/>
                      <w:sz w:val="21"/>
                      <w:szCs w:val="21"/>
                      <w:lang w:val="en-US" w:eastAsia="zh-CN" w:bidi="ar"/>
                    </w:rPr>
                    <w:t>160</w:t>
                  </w:r>
                  <w:r>
                    <w:rPr>
                      <w:rFonts w:hint="eastAsia" w:ascii="宋体" w:hAnsi="宋体" w:eastAsia="宋体" w:cs="宋体"/>
                      <w:color w:val="000000"/>
                      <w:kern w:val="0"/>
                      <w:sz w:val="21"/>
                      <w:szCs w:val="21"/>
                      <w:lang w:val="en-US" w:eastAsia="zh-CN" w:bidi="ar"/>
                    </w:rPr>
                    <w:t>万件套</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年、橡胶配件</w:t>
                  </w:r>
                  <w:r>
                    <w:rPr>
                      <w:rFonts w:hint="default" w:ascii="Times New Roman" w:hAnsi="Times New Roman" w:eastAsia="宋体" w:cs="Times New Roman"/>
                      <w:color w:val="000000"/>
                      <w:kern w:val="0"/>
                      <w:sz w:val="21"/>
                      <w:szCs w:val="21"/>
                      <w:lang w:val="en-US" w:eastAsia="zh-CN" w:bidi="ar"/>
                    </w:rPr>
                    <w:t>7000</w:t>
                  </w:r>
                  <w:r>
                    <w:rPr>
                      <w:rFonts w:hint="eastAsia" w:ascii="宋体" w:hAnsi="宋体" w:eastAsia="宋体" w:cs="宋体"/>
                      <w:color w:val="000000"/>
                      <w:kern w:val="0"/>
                      <w:sz w:val="21"/>
                      <w:szCs w:val="21"/>
                      <w:lang w:val="en-US" w:eastAsia="zh-CN" w:bidi="ar"/>
                    </w:rPr>
                    <w:t>吨</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年、乳胶丝</w:t>
                  </w:r>
                  <w:r>
                    <w:rPr>
                      <w:rFonts w:hint="default" w:ascii="Times New Roman" w:hAnsi="Times New Roman" w:eastAsia="宋体" w:cs="Times New Roman"/>
                      <w:color w:val="000000"/>
                      <w:kern w:val="0"/>
                      <w:sz w:val="21"/>
                      <w:szCs w:val="21"/>
                      <w:lang w:val="en-US" w:eastAsia="zh-CN" w:bidi="ar"/>
                    </w:rPr>
                    <w:t>20000</w:t>
                  </w:r>
                  <w:r>
                    <w:rPr>
                      <w:rFonts w:hint="eastAsia" w:ascii="宋体" w:hAnsi="宋体" w:eastAsia="宋体" w:cs="宋体"/>
                      <w:color w:val="000000"/>
                      <w:kern w:val="0"/>
                      <w:sz w:val="21"/>
                      <w:szCs w:val="21"/>
                      <w:lang w:val="en-US" w:eastAsia="zh-CN" w:bidi="ar"/>
                    </w:rPr>
                    <w:t>吨</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年</w:t>
                  </w:r>
                </w:p>
              </w:tc>
            </w:tr>
            <w:tr w14:paraId="2C0E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0" w:type="pct"/>
                  <w:vAlign w:val="center"/>
                </w:tcPr>
                <w:p w14:paraId="7B63A709">
                  <w:pPr>
                    <w:numPr>
                      <w:ilvl w:val="-1"/>
                      <w:numId w:val="0"/>
                    </w:numPr>
                    <w:tabs>
                      <w:tab w:val="left" w:pos="3225"/>
                    </w:tabs>
                    <w:adjustRightInd w:val="0"/>
                    <w:snapToGrid w:val="0"/>
                    <w:spacing w:line="240" w:lineRule="auto"/>
                    <w:jc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废水排放情况</w:t>
                  </w:r>
                </w:p>
              </w:tc>
              <w:tc>
                <w:tcPr>
                  <w:tcW w:w="3359" w:type="pct"/>
                  <w:vAlign w:val="center"/>
                </w:tcPr>
                <w:p w14:paraId="2EE8153E">
                  <w:pPr>
                    <w:numPr>
                      <w:ilvl w:val="-1"/>
                      <w:numId w:val="0"/>
                    </w:numPr>
                    <w:tabs>
                      <w:tab w:val="left" w:pos="3225"/>
                    </w:tabs>
                    <w:adjustRightInd w:val="0"/>
                    <w:snapToGrid w:val="0"/>
                    <w:spacing w:line="240" w:lineRule="auto"/>
                    <w:jc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color w:val="auto"/>
                      <w:sz w:val="21"/>
                      <w:szCs w:val="21"/>
                      <w:highlight w:val="none"/>
                      <w:u w:val="none"/>
                    </w:rPr>
                    <w:t>生活污水、地面冲洗水采用</w:t>
                  </w:r>
                  <w:r>
                    <w:rPr>
                      <w:rFonts w:hint="eastAsia"/>
                      <w:color w:val="auto"/>
                      <w:sz w:val="21"/>
                      <w:szCs w:val="21"/>
                      <w:highlight w:val="none"/>
                      <w:u w:val="none"/>
                      <w:lang w:eastAsia="zh-CN"/>
                    </w:rPr>
                    <w:t>“</w:t>
                  </w:r>
                  <w:r>
                    <w:rPr>
                      <w:rFonts w:hint="default"/>
                      <w:color w:val="auto"/>
                      <w:sz w:val="21"/>
                      <w:szCs w:val="21"/>
                      <w:highlight w:val="none"/>
                      <w:u w:val="none"/>
                    </w:rPr>
                    <w:t>化粪池+地埋式一体化废水处理装置</w:t>
                  </w:r>
                  <w:r>
                    <w:rPr>
                      <w:rFonts w:hint="eastAsia"/>
                      <w:color w:val="auto"/>
                      <w:sz w:val="21"/>
                      <w:szCs w:val="21"/>
                      <w:highlight w:val="none"/>
                      <w:u w:val="none"/>
                      <w:lang w:eastAsia="zh-CN"/>
                    </w:rPr>
                    <w:t>”</w:t>
                  </w:r>
                  <w:r>
                    <w:rPr>
                      <w:rFonts w:hint="default"/>
                      <w:color w:val="auto"/>
                      <w:sz w:val="21"/>
                      <w:szCs w:val="21"/>
                      <w:highlight w:val="none"/>
                      <w:u w:val="none"/>
                    </w:rPr>
                    <w:t>处理达标后经园区排污管网送至湖南城陵矶临港产业新区污水处理厂，经处理后由象骨港排入长江</w:t>
                  </w:r>
                </w:p>
              </w:tc>
            </w:tr>
            <w:tr w14:paraId="43AD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0" w:type="pct"/>
                  <w:vAlign w:val="center"/>
                </w:tcPr>
                <w:p w14:paraId="4B901226">
                  <w:pPr>
                    <w:numPr>
                      <w:ilvl w:val="-1"/>
                      <w:numId w:val="0"/>
                    </w:numPr>
                    <w:tabs>
                      <w:tab w:val="left" w:pos="3225"/>
                    </w:tabs>
                    <w:adjustRightInd w:val="0"/>
                    <w:snapToGrid w:val="0"/>
                    <w:spacing w:line="240" w:lineRule="auto"/>
                    <w:jc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废气排放情况</w:t>
                  </w:r>
                </w:p>
              </w:tc>
              <w:tc>
                <w:tcPr>
                  <w:tcW w:w="3359" w:type="pct"/>
                  <w:vAlign w:val="center"/>
                </w:tcPr>
                <w:p w14:paraId="750CF405">
                  <w:pPr>
                    <w:widowControl/>
                    <w:numPr>
                      <w:ilvl w:val="-1"/>
                      <w:numId w:val="0"/>
                    </w:numPr>
                    <w:adjustRightInd/>
                    <w:snapToGrid/>
                    <w:spacing w:line="240" w:lineRule="auto"/>
                    <w:jc w:val="center"/>
                    <w:rPr>
                      <w:rFonts w:hint="default" w:ascii="Times New Roman" w:hAnsi="Times New Roman" w:eastAsia="宋体" w:cs="Times New Roman"/>
                      <w:color w:val="auto"/>
                      <w:sz w:val="21"/>
                      <w:szCs w:val="21"/>
                      <w:highlight w:val="none"/>
                      <w:u w:val="none"/>
                      <w:vertAlign w:val="baseline"/>
                      <w:lang w:val="en-US" w:eastAsia="zh-CN"/>
                    </w:rPr>
                  </w:pPr>
                  <w:r>
                    <w:rPr>
                      <w:rFonts w:hint="eastAsia" w:ascii="宋体" w:hAnsi="宋体" w:eastAsia="宋体" w:cs="宋体"/>
                      <w:color w:val="000000"/>
                      <w:kern w:val="0"/>
                      <w:sz w:val="21"/>
                      <w:szCs w:val="21"/>
                      <w:lang w:val="en-US" w:eastAsia="zh-CN" w:bidi="ar"/>
                    </w:rPr>
                    <w:t>混炼、塑炼及压延工段产生的废气经布袋除尘</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活性炭吸附后达标排放；硫化工段产生的废气经集气罩收集后达标排放；乳胶生产产生的氨气经吸收塔吸收处理达标排放</w:t>
                  </w:r>
                </w:p>
              </w:tc>
            </w:tr>
            <w:tr w14:paraId="282A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0" w:type="pct"/>
                  <w:vAlign w:val="center"/>
                </w:tcPr>
                <w:p w14:paraId="518DE00E">
                  <w:pPr>
                    <w:numPr>
                      <w:ilvl w:val="-1"/>
                      <w:numId w:val="0"/>
                    </w:numPr>
                    <w:tabs>
                      <w:tab w:val="left" w:pos="3225"/>
                    </w:tabs>
                    <w:adjustRightInd w:val="0"/>
                    <w:snapToGrid w:val="0"/>
                    <w:spacing w:line="240" w:lineRule="auto"/>
                    <w:jc w:val="center"/>
                    <w:rPr>
                      <w:rFonts w:hint="default" w:ascii="Times New Roman" w:hAnsi="Times New Roman" w:eastAsia="宋体"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vertAlign w:val="baseline"/>
                      <w:lang w:val="en-US" w:eastAsia="zh-CN"/>
                    </w:rPr>
                    <w:t>固废排放情况</w:t>
                  </w:r>
                </w:p>
              </w:tc>
              <w:tc>
                <w:tcPr>
                  <w:tcW w:w="3359" w:type="pct"/>
                  <w:vAlign w:val="center"/>
                </w:tcPr>
                <w:p w14:paraId="7AE22623">
                  <w:pPr>
                    <w:widowControl/>
                    <w:numPr>
                      <w:ilvl w:val="-1"/>
                      <w:numId w:val="0"/>
                    </w:numPr>
                    <w:adjustRightInd/>
                    <w:snapToGrid/>
                    <w:spacing w:line="240" w:lineRule="auto"/>
                    <w:jc w:val="center"/>
                    <w:rPr>
                      <w:rFonts w:hint="default" w:ascii="Times New Roman" w:hAnsi="Times New Roman" w:eastAsia="宋体" w:cs="Times New Roman"/>
                      <w:color w:val="auto"/>
                      <w:sz w:val="21"/>
                      <w:szCs w:val="21"/>
                      <w:highlight w:val="none"/>
                      <w:u w:val="none"/>
                      <w:vertAlign w:val="baseline"/>
                      <w:lang w:val="en-US" w:eastAsia="zh-CN"/>
                    </w:rPr>
                  </w:pPr>
                  <w:r>
                    <w:rPr>
                      <w:rFonts w:hint="eastAsia" w:ascii="宋体" w:hAnsi="宋体" w:eastAsia="宋体" w:cs="宋体"/>
                      <w:color w:val="000000"/>
                      <w:kern w:val="0"/>
                      <w:sz w:val="21"/>
                      <w:szCs w:val="21"/>
                      <w:lang w:val="en-US" w:eastAsia="zh-CN" w:bidi="ar"/>
                    </w:rPr>
                    <w:t>一般固废废弃边角料、不合格品等综合利用或处置，废机油、废活性炭等危险废物送至有资质单位处置</w:t>
                  </w:r>
                </w:p>
              </w:tc>
            </w:tr>
          </w:tbl>
          <w:p w14:paraId="01D0E27C">
            <w:pPr>
              <w:numPr>
                <w:ilvl w:val="-1"/>
                <w:numId w:val="0"/>
              </w:numPr>
              <w:tabs>
                <w:tab w:val="left" w:pos="3225"/>
              </w:tabs>
              <w:adjustRightInd w:val="0"/>
              <w:snapToGrid w:val="0"/>
              <w:spacing w:line="360" w:lineRule="auto"/>
              <w:ind w:firstLine="0" w:firstLineChars="0"/>
              <w:rPr>
                <w:rFonts w:hint="default"/>
                <w:color w:val="auto"/>
                <w:highlight w:val="none"/>
                <w:lang w:val="en-US" w:eastAsia="zh-CN"/>
              </w:rPr>
            </w:pPr>
          </w:p>
        </w:tc>
      </w:tr>
    </w:tbl>
    <w:p w14:paraId="0F737EB2">
      <w:pPr>
        <w:pStyle w:val="26"/>
        <w:jc w:val="center"/>
        <w:rPr>
          <w:rFonts w:ascii="Times New Roman" w:hAnsi="Times New Roman" w:eastAsia="黑体"/>
          <w:snapToGrid w:val="0"/>
          <w:sz w:val="36"/>
          <w:szCs w:val="36"/>
        </w:rPr>
        <w:sectPr>
          <w:pgSz w:w="11906" w:h="16838"/>
          <w:pgMar w:top="1701" w:right="1531" w:bottom="1701" w:left="1531" w:header="851" w:footer="851" w:gutter="0"/>
          <w:cols w:space="720" w:num="1"/>
          <w:docGrid w:linePitch="312" w:charSpace="0"/>
        </w:sectPr>
      </w:pPr>
    </w:p>
    <w:p w14:paraId="5785032C">
      <w:pPr>
        <w:pStyle w:val="2"/>
        <w:jc w:val="center"/>
        <w:rPr>
          <w:rStyle w:val="48"/>
          <w:rFonts w:eastAsia="宋体"/>
          <w:b/>
          <w:bCs/>
          <w:color w:val="auto"/>
        </w:rPr>
      </w:pPr>
      <w:bookmarkStart w:id="28" w:name="_Toc71631403"/>
      <w:r>
        <w:rPr>
          <w:rStyle w:val="48"/>
          <w:rFonts w:eastAsia="宋体"/>
          <w:b/>
          <w:bCs/>
          <w:color w:val="auto"/>
        </w:rPr>
        <w:t>三、区域环境质量现状、环境保护目标及评价标准</w:t>
      </w:r>
      <w:bookmarkEnd w:id="28"/>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181596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vAlign w:val="center"/>
          </w:tcPr>
          <w:p w14:paraId="0A1088F3">
            <w:pPr>
              <w:adjustRightInd w:val="0"/>
              <w:snapToGrid w:val="0"/>
              <w:jc w:val="center"/>
              <w:rPr>
                <w:kern w:val="0"/>
                <w:szCs w:val="21"/>
              </w:rPr>
            </w:pPr>
            <w:r>
              <w:rPr>
                <w:kern w:val="0"/>
                <w:szCs w:val="21"/>
              </w:rPr>
              <w:t>区域</w:t>
            </w:r>
          </w:p>
          <w:p w14:paraId="68450364">
            <w:pPr>
              <w:adjustRightInd w:val="0"/>
              <w:snapToGrid w:val="0"/>
              <w:jc w:val="center"/>
              <w:rPr>
                <w:kern w:val="0"/>
                <w:szCs w:val="21"/>
              </w:rPr>
            </w:pPr>
            <w:r>
              <w:rPr>
                <w:kern w:val="0"/>
                <w:szCs w:val="21"/>
              </w:rPr>
              <w:t>环境</w:t>
            </w:r>
          </w:p>
          <w:p w14:paraId="03C9C33F">
            <w:pPr>
              <w:adjustRightInd w:val="0"/>
              <w:snapToGrid w:val="0"/>
              <w:jc w:val="center"/>
              <w:rPr>
                <w:kern w:val="0"/>
                <w:szCs w:val="21"/>
              </w:rPr>
            </w:pPr>
            <w:r>
              <w:rPr>
                <w:kern w:val="0"/>
                <w:szCs w:val="21"/>
              </w:rPr>
              <w:t>质量</w:t>
            </w:r>
          </w:p>
          <w:p w14:paraId="01513A21">
            <w:pPr>
              <w:adjustRightInd w:val="0"/>
              <w:snapToGrid w:val="0"/>
              <w:jc w:val="center"/>
              <w:rPr>
                <w:kern w:val="0"/>
                <w:szCs w:val="21"/>
              </w:rPr>
            </w:pPr>
            <w:r>
              <w:rPr>
                <w:kern w:val="0"/>
                <w:szCs w:val="21"/>
              </w:rPr>
              <w:t>现状</w:t>
            </w:r>
          </w:p>
        </w:tc>
        <w:tc>
          <w:tcPr>
            <w:tcW w:w="8190" w:type="dxa"/>
            <w:vAlign w:val="center"/>
          </w:tcPr>
          <w:p w14:paraId="14616D3D">
            <w:pPr>
              <w:pStyle w:val="26"/>
              <w:widowControl w:val="0"/>
              <w:spacing w:before="0" w:beforeAutospacing="0" w:after="0" w:afterAutospacing="0" w:line="360" w:lineRule="auto"/>
              <w:rPr>
                <w:rFonts w:ascii="Times New Roman" w:hAnsi="Times New Roman"/>
                <w:b/>
                <w:kern w:val="2"/>
              </w:rPr>
            </w:pPr>
            <w:r>
              <w:rPr>
                <w:rFonts w:hint="eastAsia" w:ascii="Times New Roman" w:hAnsi="Times New Roman"/>
                <w:b/>
                <w:kern w:val="2"/>
              </w:rPr>
              <w:t>3.</w:t>
            </w:r>
            <w:r>
              <w:rPr>
                <w:rFonts w:ascii="Times New Roman" w:hAnsi="Times New Roman"/>
                <w:b/>
                <w:kern w:val="2"/>
              </w:rPr>
              <w:t>1</w:t>
            </w:r>
            <w:r>
              <w:rPr>
                <w:rFonts w:hint="eastAsia" w:ascii="Times New Roman" w:hAnsi="Times New Roman"/>
                <w:b/>
                <w:kern w:val="2"/>
              </w:rPr>
              <w:t xml:space="preserve"> </w:t>
            </w:r>
            <w:r>
              <w:rPr>
                <w:rFonts w:ascii="Times New Roman" w:hAnsi="Times New Roman"/>
                <w:b/>
                <w:kern w:val="2"/>
              </w:rPr>
              <w:t>环境空气质量现状</w:t>
            </w:r>
          </w:p>
          <w:p w14:paraId="74D1BE96">
            <w:pPr>
              <w:spacing w:line="360" w:lineRule="auto"/>
              <w:ind w:firstLine="480" w:firstLineChars="200"/>
              <w:rPr>
                <w:rFonts w:hint="eastAsia"/>
                <w:u w:val="none"/>
                <w:lang w:val="en-US" w:eastAsia="zh-CN"/>
              </w:rPr>
            </w:pPr>
            <w:r>
              <w:rPr>
                <w:rFonts w:hint="eastAsia"/>
                <w:u w:val="none"/>
                <w:lang w:val="en-US" w:eastAsia="zh-CN"/>
              </w:rPr>
              <w:t>1、基本</w:t>
            </w:r>
            <w:r>
              <w:rPr>
                <w:rFonts w:hint="eastAsia"/>
                <w:szCs w:val="24"/>
                <w:u w:val="none"/>
              </w:rPr>
              <w:t>污染物环境现状评价</w:t>
            </w:r>
          </w:p>
          <w:p w14:paraId="6F7E3561">
            <w:pPr>
              <w:spacing w:line="360" w:lineRule="auto"/>
              <w:ind w:firstLine="480" w:firstLineChars="200"/>
              <w:rPr>
                <w:u w:val="none"/>
              </w:rPr>
            </w:pPr>
            <w:r>
              <w:rPr>
                <w:u w:val="none"/>
              </w:rPr>
              <w:t>根据《环境影响评价技术导则 大气环境》（HJ2.2-2018）第6.2.1.1条规定：项目所在区域达标判定，优先采用国家或地方生态环境主管部门公开发布的评价基准年环境质量公告或环境质量报告中的数据或结论，并能满足项目评价要求的，可不再进行现状监测。</w:t>
            </w:r>
          </w:p>
          <w:p w14:paraId="67FC26B1">
            <w:pPr>
              <w:spacing w:line="360" w:lineRule="auto"/>
              <w:ind w:firstLine="480" w:firstLineChars="200"/>
              <w:rPr>
                <w:u w:val="none"/>
              </w:rPr>
            </w:pPr>
            <w:r>
              <w:rPr>
                <w:u w:val="none"/>
              </w:rPr>
              <w:t>为了解本项目周边环境空气质量状况，</w:t>
            </w:r>
            <w:r>
              <w:rPr>
                <w:rFonts w:hint="default" w:ascii="Times New Roman" w:hAnsi="Times New Roman" w:eastAsia="宋体" w:cs="Times New Roman"/>
                <w:color w:val="000000"/>
                <w:kern w:val="0"/>
                <w:sz w:val="24"/>
                <w:szCs w:val="24"/>
                <w:u w:val="none"/>
                <w:lang w:val="en-US" w:eastAsia="zh-CN"/>
              </w:rPr>
              <w:t>本次评价收集了</w:t>
            </w:r>
            <w:r>
              <w:rPr>
                <w:rFonts w:hint="eastAsia" w:cs="Times New Roman"/>
                <w:color w:val="000000"/>
                <w:kern w:val="0"/>
                <w:sz w:val="24"/>
                <w:szCs w:val="24"/>
                <w:u w:val="none"/>
                <w:lang w:val="en-US" w:eastAsia="zh-CN"/>
              </w:rPr>
              <w:t>《</w:t>
            </w:r>
            <w:r>
              <w:rPr>
                <w:rFonts w:hint="eastAsia"/>
                <w:color w:val="000000"/>
                <w:kern w:val="0"/>
                <w:u w:val="none"/>
              </w:rPr>
              <w:t>岳阳市2024年度生态环境质量公报</w:t>
            </w:r>
            <w:r>
              <w:rPr>
                <w:rFonts w:hint="eastAsia" w:cs="Times New Roman"/>
                <w:color w:val="000000"/>
                <w:kern w:val="0"/>
                <w:sz w:val="24"/>
                <w:szCs w:val="24"/>
                <w:u w:val="none"/>
                <w:lang w:val="en-US" w:eastAsia="zh-CN"/>
              </w:rPr>
              <w:t>》中的相关</w:t>
            </w:r>
            <w:r>
              <w:rPr>
                <w:rFonts w:hint="default" w:ascii="Times New Roman" w:hAnsi="Times New Roman" w:eastAsia="宋体" w:cs="Times New Roman"/>
                <w:color w:val="000000"/>
                <w:kern w:val="0"/>
                <w:sz w:val="24"/>
                <w:szCs w:val="24"/>
                <w:u w:val="none"/>
                <w:lang w:val="en-US" w:eastAsia="zh-CN"/>
              </w:rPr>
              <w:t>数据</w:t>
            </w:r>
            <w:r>
              <w:rPr>
                <w:rFonts w:hint="eastAsia"/>
                <w:u w:val="none"/>
                <w:lang w:eastAsia="zh-CN"/>
              </w:rPr>
              <w:t>，</w:t>
            </w:r>
            <w:r>
              <w:rPr>
                <w:rFonts w:hint="eastAsia"/>
                <w:u w:val="none"/>
                <w:lang w:val="en-US" w:eastAsia="zh-CN"/>
              </w:rPr>
              <w:t>数据统计结果</w:t>
            </w:r>
            <w:r>
              <w:rPr>
                <w:u w:val="none"/>
              </w:rPr>
              <w:t>见表3-1。</w:t>
            </w:r>
          </w:p>
          <w:p w14:paraId="1A239062">
            <w:pPr>
              <w:snapToGrid w:val="0"/>
              <w:spacing w:line="240" w:lineRule="auto"/>
              <w:ind w:firstLine="0" w:firstLineChars="0"/>
              <w:jc w:val="center"/>
              <w:rPr>
                <w:b/>
                <w:u w:val="none"/>
              </w:rPr>
            </w:pPr>
            <w:r>
              <w:rPr>
                <w:b/>
                <w:u w:val="none"/>
              </w:rPr>
              <w:t xml:space="preserve">表3-1 </w:t>
            </w:r>
            <w:r>
              <w:rPr>
                <w:rFonts w:hint="eastAsia"/>
                <w:b/>
                <w:u w:val="none"/>
              </w:rPr>
              <w:t xml:space="preserve"> </w:t>
            </w:r>
            <w:r>
              <w:rPr>
                <w:b/>
                <w:u w:val="none"/>
              </w:rPr>
              <w:t>环境空气质量现状和评价结果</w:t>
            </w:r>
          </w:p>
          <w:tbl>
            <w:tblPr>
              <w:tblStyle w:val="31"/>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03"/>
              <w:gridCol w:w="1704"/>
              <w:gridCol w:w="1634"/>
              <w:gridCol w:w="1470"/>
              <w:gridCol w:w="1173"/>
              <w:gridCol w:w="1057"/>
            </w:tblGrid>
            <w:tr w14:paraId="626094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270CFA">
                  <w:pPr>
                    <w:pStyle w:val="103"/>
                    <w:spacing w:beforeLines="0" w:afterLines="0" w:line="240" w:lineRule="auto"/>
                    <w:rPr>
                      <w:b w:val="0"/>
                      <w:bCs/>
                      <w:u w:val="none"/>
                    </w:rPr>
                  </w:pPr>
                  <w:r>
                    <w:rPr>
                      <w:b w:val="0"/>
                      <w:bCs/>
                      <w:u w:val="none"/>
                    </w:rPr>
                    <w:t>污染物</w:t>
                  </w:r>
                </w:p>
              </w:tc>
              <w:tc>
                <w:tcPr>
                  <w:tcW w:w="10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531AE1">
                  <w:pPr>
                    <w:pStyle w:val="103"/>
                    <w:spacing w:beforeLines="0" w:afterLines="0" w:line="240" w:lineRule="auto"/>
                    <w:rPr>
                      <w:b w:val="0"/>
                      <w:bCs/>
                      <w:u w:val="none"/>
                    </w:rPr>
                  </w:pPr>
                  <w:r>
                    <w:rPr>
                      <w:b w:val="0"/>
                      <w:bCs/>
                      <w:u w:val="none"/>
                    </w:rPr>
                    <w:t>年评价指标</w:t>
                  </w:r>
                </w:p>
              </w:tc>
              <w:tc>
                <w:tcPr>
                  <w:tcW w:w="102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F9CE43">
                  <w:pPr>
                    <w:pStyle w:val="103"/>
                    <w:spacing w:beforeLines="0" w:afterLines="0" w:line="240" w:lineRule="auto"/>
                    <w:rPr>
                      <w:b w:val="0"/>
                      <w:bCs/>
                      <w:u w:val="none"/>
                    </w:rPr>
                  </w:pPr>
                  <w:r>
                    <w:rPr>
                      <w:b w:val="0"/>
                      <w:bCs/>
                      <w:u w:val="none"/>
                    </w:rPr>
                    <w:t>现状浓度(ug/m</w:t>
                  </w:r>
                  <w:r>
                    <w:rPr>
                      <w:b w:val="0"/>
                      <w:bCs/>
                      <w:u w:val="none"/>
                      <w:vertAlign w:val="superscript"/>
                    </w:rPr>
                    <w:t>3</w:t>
                  </w:r>
                  <w:r>
                    <w:rPr>
                      <w:b w:val="0"/>
                      <w:bCs/>
                      <w:u w:val="none"/>
                    </w:rPr>
                    <w:t>)</w:t>
                  </w:r>
                </w:p>
              </w:tc>
              <w:tc>
                <w:tcPr>
                  <w:tcW w:w="92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7409FC">
                  <w:pPr>
                    <w:pStyle w:val="103"/>
                    <w:spacing w:beforeLines="0" w:afterLines="0" w:line="240" w:lineRule="auto"/>
                    <w:rPr>
                      <w:b w:val="0"/>
                      <w:bCs/>
                      <w:u w:val="none"/>
                    </w:rPr>
                  </w:pPr>
                  <w:r>
                    <w:rPr>
                      <w:b w:val="0"/>
                      <w:bCs/>
                      <w:u w:val="none"/>
                    </w:rPr>
                    <w:t>标准值(ug/m</w:t>
                  </w:r>
                  <w:r>
                    <w:rPr>
                      <w:b w:val="0"/>
                      <w:bCs/>
                      <w:u w:val="none"/>
                      <w:vertAlign w:val="superscript"/>
                    </w:rPr>
                    <w:t>3</w:t>
                  </w:r>
                  <w:r>
                    <w:rPr>
                      <w:b w:val="0"/>
                      <w:bCs/>
                      <w:u w:val="none"/>
                    </w:rPr>
                    <w:t>)</w:t>
                  </w:r>
                </w:p>
              </w:tc>
              <w:tc>
                <w:tcPr>
                  <w:tcW w:w="73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354C80">
                  <w:pPr>
                    <w:pStyle w:val="103"/>
                    <w:spacing w:beforeLines="0" w:afterLines="0" w:line="240" w:lineRule="auto"/>
                    <w:rPr>
                      <w:b w:val="0"/>
                      <w:bCs/>
                      <w:u w:val="none"/>
                    </w:rPr>
                  </w:pPr>
                  <w:r>
                    <w:rPr>
                      <w:b w:val="0"/>
                      <w:bCs/>
                      <w:u w:val="none"/>
                    </w:rPr>
                    <w:t>占标率(%)</w:t>
                  </w:r>
                </w:p>
              </w:tc>
              <w:tc>
                <w:tcPr>
                  <w:tcW w:w="66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BEEFB0">
                  <w:pPr>
                    <w:pStyle w:val="103"/>
                    <w:spacing w:beforeLines="0" w:afterLines="0" w:line="240" w:lineRule="auto"/>
                    <w:rPr>
                      <w:b w:val="0"/>
                      <w:bCs/>
                      <w:u w:val="none"/>
                    </w:rPr>
                  </w:pPr>
                  <w:r>
                    <w:rPr>
                      <w:b w:val="0"/>
                      <w:bCs/>
                      <w:u w:val="none"/>
                    </w:rPr>
                    <w:t>达标情况</w:t>
                  </w:r>
                </w:p>
              </w:tc>
            </w:tr>
            <w:tr w14:paraId="5F68A3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BEF91F">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lang w:val="en-US" w:eastAsia="zh-CN"/>
                    </w:rPr>
                    <w:t>SO</w:t>
                  </w:r>
                  <w:r>
                    <w:rPr>
                      <w:rFonts w:hint="default" w:ascii="Times New Roman" w:hAnsi="Times New Roman" w:eastAsia="宋体" w:cs="Times New Roman"/>
                      <w:color w:val="000000"/>
                      <w:sz w:val="21"/>
                      <w:szCs w:val="21"/>
                      <w:highlight w:val="none"/>
                      <w:u w:val="none" w:color="auto"/>
                      <w:vertAlign w:val="subscript"/>
                      <w:lang w:val="en-US" w:eastAsia="zh-CN"/>
                    </w:rPr>
                    <w:t>2</w:t>
                  </w:r>
                </w:p>
              </w:tc>
              <w:tc>
                <w:tcPr>
                  <w:tcW w:w="10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1778A0">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lang w:val="en-US" w:eastAsia="zh-CN"/>
                    </w:rPr>
                    <w:t>年平均质量浓度</w:t>
                  </w:r>
                </w:p>
              </w:tc>
              <w:tc>
                <w:tcPr>
                  <w:tcW w:w="10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3225B1">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cs="Times New Roman"/>
                      <w:color w:val="000000"/>
                      <w:sz w:val="21"/>
                      <w:szCs w:val="21"/>
                      <w:highlight w:val="none"/>
                      <w:u w:val="none" w:color="auto"/>
                      <w:lang w:val="en-US" w:eastAsia="zh-CN"/>
                    </w:rPr>
                    <w:t>8</w:t>
                  </w:r>
                </w:p>
              </w:tc>
              <w:tc>
                <w:tcPr>
                  <w:tcW w:w="92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C80C6B">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lang w:val="en-US" w:eastAsia="zh-CN"/>
                    </w:rPr>
                    <w:t>60</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D6ACE3">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cs="Times New Roman"/>
                      <w:color w:val="000000"/>
                      <w:sz w:val="21"/>
                      <w:szCs w:val="21"/>
                      <w:highlight w:val="none"/>
                      <w:u w:val="none" w:color="auto"/>
                      <w:lang w:val="en-US" w:eastAsia="zh-CN"/>
                    </w:rPr>
                    <w:t>13.3</w:t>
                  </w:r>
                </w:p>
              </w:tc>
              <w:tc>
                <w:tcPr>
                  <w:tcW w:w="66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077890">
                  <w:pPr>
                    <w:adjustRightInd w:val="0"/>
                    <w:snapToGrid w:val="0"/>
                    <w:spacing w:beforeLines="0" w:afterLines="0"/>
                    <w:jc w:val="center"/>
                    <w:rPr>
                      <w:bCs/>
                      <w:sz w:val="21"/>
                      <w:szCs w:val="21"/>
                      <w:u w:val="none"/>
                    </w:rPr>
                  </w:pPr>
                  <w:r>
                    <w:rPr>
                      <w:bCs/>
                      <w:sz w:val="21"/>
                      <w:szCs w:val="21"/>
                      <w:u w:val="none"/>
                    </w:rPr>
                    <w:t>达标</w:t>
                  </w:r>
                </w:p>
              </w:tc>
            </w:tr>
            <w:tr w14:paraId="2A5A6A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5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0C2155">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lang w:val="en-US" w:eastAsia="zh-CN"/>
                    </w:rPr>
                    <w:t>NO</w:t>
                  </w:r>
                  <w:r>
                    <w:rPr>
                      <w:rFonts w:hint="default" w:ascii="Times New Roman" w:hAnsi="Times New Roman" w:eastAsia="宋体" w:cs="Times New Roman"/>
                      <w:color w:val="000000"/>
                      <w:sz w:val="21"/>
                      <w:szCs w:val="21"/>
                      <w:highlight w:val="none"/>
                      <w:u w:val="none" w:color="auto"/>
                      <w:vertAlign w:val="subscript"/>
                      <w:lang w:val="en-US" w:eastAsia="zh-CN"/>
                    </w:rPr>
                    <w:t>2</w:t>
                  </w:r>
                </w:p>
              </w:tc>
              <w:tc>
                <w:tcPr>
                  <w:tcW w:w="10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84F7B4">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zh-CN" w:eastAsia="zh-CN" w:bidi="ar-SA"/>
                    </w:rPr>
                  </w:pPr>
                  <w:r>
                    <w:rPr>
                      <w:rFonts w:hint="default" w:ascii="Times New Roman" w:hAnsi="Times New Roman" w:eastAsia="宋体" w:cs="Times New Roman"/>
                      <w:color w:val="000000"/>
                      <w:sz w:val="21"/>
                      <w:szCs w:val="21"/>
                      <w:highlight w:val="none"/>
                      <w:u w:val="none" w:color="auto"/>
                      <w:lang w:val="en-US" w:eastAsia="zh-CN"/>
                    </w:rPr>
                    <w:t>年平均质量浓度</w:t>
                  </w:r>
                </w:p>
              </w:tc>
              <w:tc>
                <w:tcPr>
                  <w:tcW w:w="10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2581B0">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eastAsia" w:cs="Times New Roman"/>
                      <w:color w:val="000000"/>
                      <w:sz w:val="21"/>
                      <w:szCs w:val="21"/>
                      <w:highlight w:val="none"/>
                      <w:u w:val="none" w:color="auto"/>
                      <w:lang w:val="en-US" w:eastAsia="zh-CN"/>
                    </w:rPr>
                    <w:t>22</w:t>
                  </w:r>
                </w:p>
              </w:tc>
              <w:tc>
                <w:tcPr>
                  <w:tcW w:w="92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7751D0">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lang w:val="en-US" w:eastAsia="zh-CN"/>
                    </w:rPr>
                    <w:t>40</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F0F6DD">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cs="Times New Roman"/>
                      <w:color w:val="000000"/>
                      <w:sz w:val="21"/>
                      <w:szCs w:val="21"/>
                      <w:highlight w:val="none"/>
                      <w:u w:val="none" w:color="auto"/>
                      <w:lang w:val="en-US" w:eastAsia="zh-CN"/>
                    </w:rPr>
                    <w:t>55</w:t>
                  </w:r>
                </w:p>
              </w:tc>
              <w:tc>
                <w:tcPr>
                  <w:tcW w:w="66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903CBB">
                  <w:pPr>
                    <w:adjustRightInd w:val="0"/>
                    <w:snapToGrid w:val="0"/>
                    <w:spacing w:beforeLines="0" w:afterLines="0"/>
                    <w:jc w:val="center"/>
                    <w:rPr>
                      <w:bCs/>
                      <w:sz w:val="21"/>
                      <w:szCs w:val="21"/>
                      <w:u w:val="none"/>
                    </w:rPr>
                  </w:pPr>
                  <w:r>
                    <w:rPr>
                      <w:bCs/>
                      <w:sz w:val="21"/>
                      <w:szCs w:val="21"/>
                      <w:u w:val="none"/>
                    </w:rPr>
                    <w:t>达标</w:t>
                  </w:r>
                </w:p>
              </w:tc>
            </w:tr>
            <w:tr w14:paraId="00684C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A277FC">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lang w:val="en-US" w:eastAsia="zh-CN"/>
                    </w:rPr>
                    <w:t>PM</w:t>
                  </w:r>
                  <w:r>
                    <w:rPr>
                      <w:rFonts w:hint="default" w:ascii="Times New Roman" w:hAnsi="Times New Roman" w:eastAsia="宋体" w:cs="Times New Roman"/>
                      <w:color w:val="000000"/>
                      <w:sz w:val="21"/>
                      <w:szCs w:val="21"/>
                      <w:highlight w:val="none"/>
                      <w:u w:val="none" w:color="auto"/>
                      <w:vertAlign w:val="subscript"/>
                      <w:lang w:val="en-US" w:eastAsia="zh-CN"/>
                    </w:rPr>
                    <w:t>10</w:t>
                  </w:r>
                </w:p>
              </w:tc>
              <w:tc>
                <w:tcPr>
                  <w:tcW w:w="10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A83173">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lang w:val="en-US" w:eastAsia="zh-CN"/>
                    </w:rPr>
                    <w:t>年平均质量浓度</w:t>
                  </w:r>
                </w:p>
              </w:tc>
              <w:tc>
                <w:tcPr>
                  <w:tcW w:w="10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169AFE">
                  <w:pPr>
                    <w:widowControl w:val="0"/>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eastAsia" w:cs="Times New Roman"/>
                      <w:color w:val="000000"/>
                      <w:sz w:val="21"/>
                      <w:szCs w:val="21"/>
                      <w:highlight w:val="none"/>
                      <w:u w:val="none" w:color="auto"/>
                      <w:lang w:val="en-US" w:eastAsia="zh-CN"/>
                    </w:rPr>
                    <w:t>51</w:t>
                  </w:r>
                </w:p>
              </w:tc>
              <w:tc>
                <w:tcPr>
                  <w:tcW w:w="92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3E81AE">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lang w:val="en-US" w:eastAsia="zh-CN"/>
                    </w:rPr>
                    <w:t>70</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921853">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cs="Times New Roman"/>
                      <w:color w:val="000000"/>
                      <w:sz w:val="21"/>
                      <w:szCs w:val="21"/>
                      <w:highlight w:val="none"/>
                      <w:u w:val="none" w:color="auto"/>
                      <w:lang w:val="en-US" w:eastAsia="zh-CN"/>
                    </w:rPr>
                    <w:t>72.9</w:t>
                  </w:r>
                </w:p>
              </w:tc>
              <w:tc>
                <w:tcPr>
                  <w:tcW w:w="66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8E4A9B">
                  <w:pPr>
                    <w:adjustRightInd w:val="0"/>
                    <w:snapToGrid w:val="0"/>
                    <w:spacing w:beforeLines="0" w:afterLines="0"/>
                    <w:jc w:val="center"/>
                    <w:rPr>
                      <w:bCs/>
                      <w:sz w:val="21"/>
                      <w:szCs w:val="21"/>
                      <w:u w:val="none"/>
                    </w:rPr>
                  </w:pPr>
                  <w:r>
                    <w:rPr>
                      <w:bCs/>
                      <w:sz w:val="21"/>
                      <w:szCs w:val="21"/>
                      <w:u w:val="none"/>
                    </w:rPr>
                    <w:t>达标</w:t>
                  </w:r>
                </w:p>
              </w:tc>
            </w:tr>
            <w:tr w14:paraId="5A3C66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4C0712">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lang w:val="en-US" w:eastAsia="zh-CN"/>
                    </w:rPr>
                    <w:t>PM</w:t>
                  </w:r>
                  <w:r>
                    <w:rPr>
                      <w:rFonts w:hint="default" w:ascii="Times New Roman" w:hAnsi="Times New Roman" w:eastAsia="宋体" w:cs="Times New Roman"/>
                      <w:color w:val="000000"/>
                      <w:sz w:val="21"/>
                      <w:szCs w:val="21"/>
                      <w:highlight w:val="none"/>
                      <w:u w:val="none" w:color="auto"/>
                      <w:vertAlign w:val="subscript"/>
                      <w:lang w:val="en-US" w:eastAsia="zh-CN"/>
                    </w:rPr>
                    <w:t>2.5</w:t>
                  </w:r>
                </w:p>
              </w:tc>
              <w:tc>
                <w:tcPr>
                  <w:tcW w:w="10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287AA5">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lang w:val="en-US" w:eastAsia="zh-CN"/>
                    </w:rPr>
                    <w:t>年平均质量浓度</w:t>
                  </w:r>
                </w:p>
              </w:tc>
              <w:tc>
                <w:tcPr>
                  <w:tcW w:w="10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359195">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cs="Times New Roman"/>
                      <w:color w:val="000000"/>
                      <w:sz w:val="21"/>
                      <w:szCs w:val="21"/>
                      <w:highlight w:val="none"/>
                      <w:u w:val="none" w:color="auto"/>
                      <w:lang w:val="en-US" w:eastAsia="zh-CN"/>
                    </w:rPr>
                    <w:t>35</w:t>
                  </w:r>
                </w:p>
              </w:tc>
              <w:tc>
                <w:tcPr>
                  <w:tcW w:w="92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6C4E7D">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lang w:val="en-US" w:eastAsia="zh-CN"/>
                    </w:rPr>
                    <w:t>35</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BCC56A">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b w:val="0"/>
                      <w:bCs w:val="0"/>
                      <w:color w:val="000000"/>
                      <w:kern w:val="2"/>
                      <w:sz w:val="21"/>
                      <w:szCs w:val="21"/>
                      <w:highlight w:val="none"/>
                      <w:u w:val="none" w:color="auto"/>
                      <w:lang w:val="en-US" w:eastAsia="zh-CN" w:bidi="ar-SA"/>
                    </w:rPr>
                  </w:pPr>
                  <w:r>
                    <w:rPr>
                      <w:rFonts w:hint="eastAsia" w:cs="Times New Roman"/>
                      <w:b w:val="0"/>
                      <w:bCs w:val="0"/>
                      <w:color w:val="000000"/>
                      <w:sz w:val="21"/>
                      <w:szCs w:val="21"/>
                      <w:highlight w:val="none"/>
                      <w:u w:val="none" w:color="auto"/>
                      <w:lang w:val="en-US" w:eastAsia="zh-CN"/>
                    </w:rPr>
                    <w:t>100</w:t>
                  </w:r>
                </w:p>
              </w:tc>
              <w:tc>
                <w:tcPr>
                  <w:tcW w:w="66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C80DDC">
                  <w:pPr>
                    <w:adjustRightInd w:val="0"/>
                    <w:snapToGrid w:val="0"/>
                    <w:spacing w:beforeLines="0" w:afterLines="0"/>
                    <w:jc w:val="center"/>
                    <w:rPr>
                      <w:bCs/>
                      <w:sz w:val="21"/>
                      <w:szCs w:val="21"/>
                      <w:u w:val="none"/>
                    </w:rPr>
                  </w:pPr>
                  <w:r>
                    <w:rPr>
                      <w:bCs/>
                      <w:sz w:val="21"/>
                      <w:szCs w:val="21"/>
                      <w:u w:val="none"/>
                    </w:rPr>
                    <w:t>达标</w:t>
                  </w:r>
                </w:p>
              </w:tc>
            </w:tr>
            <w:tr w14:paraId="7546BE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9E73A4">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lang w:val="en-US" w:eastAsia="zh-CN"/>
                    </w:rPr>
                    <w:t>CO</w:t>
                  </w:r>
                </w:p>
              </w:tc>
              <w:tc>
                <w:tcPr>
                  <w:tcW w:w="10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B1B258">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lang w:val="en-US" w:eastAsia="zh-CN"/>
                    </w:rPr>
                    <w:t>24h平均第95百分位数</w:t>
                  </w:r>
                </w:p>
              </w:tc>
              <w:tc>
                <w:tcPr>
                  <w:tcW w:w="10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AE2345">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cs="Times New Roman"/>
                      <w:color w:val="000000"/>
                      <w:sz w:val="21"/>
                      <w:szCs w:val="21"/>
                      <w:highlight w:val="none"/>
                      <w:u w:val="none" w:color="auto"/>
                      <w:lang w:val="en-US" w:eastAsia="zh-CN"/>
                    </w:rPr>
                    <w:t>1000</w:t>
                  </w:r>
                </w:p>
              </w:tc>
              <w:tc>
                <w:tcPr>
                  <w:tcW w:w="92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6C1DB3">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lang w:val="en-US" w:eastAsia="zh-CN"/>
                    </w:rPr>
                    <w:t>4000</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CBA67C">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cs="Times New Roman"/>
                      <w:color w:val="000000"/>
                      <w:sz w:val="21"/>
                      <w:szCs w:val="21"/>
                      <w:highlight w:val="none"/>
                      <w:u w:val="none" w:color="auto"/>
                      <w:lang w:val="en-US" w:eastAsia="zh-CN"/>
                    </w:rPr>
                    <w:t>25</w:t>
                  </w:r>
                </w:p>
              </w:tc>
              <w:tc>
                <w:tcPr>
                  <w:tcW w:w="66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33D974">
                  <w:pPr>
                    <w:adjustRightInd w:val="0"/>
                    <w:snapToGrid w:val="0"/>
                    <w:spacing w:beforeLines="0" w:afterLines="0"/>
                    <w:jc w:val="center"/>
                    <w:rPr>
                      <w:bCs/>
                      <w:sz w:val="21"/>
                      <w:szCs w:val="21"/>
                      <w:u w:val="none"/>
                    </w:rPr>
                  </w:pPr>
                  <w:r>
                    <w:rPr>
                      <w:bCs/>
                      <w:sz w:val="21"/>
                      <w:szCs w:val="21"/>
                      <w:u w:val="none"/>
                    </w:rPr>
                    <w:t>达标</w:t>
                  </w:r>
                </w:p>
              </w:tc>
            </w:tr>
            <w:tr w14:paraId="7EEAAC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D3F39A">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lang w:val="en-US" w:eastAsia="zh-CN"/>
                    </w:rPr>
                    <w:t>O</w:t>
                  </w:r>
                  <w:r>
                    <w:rPr>
                      <w:rFonts w:hint="default" w:ascii="Times New Roman" w:hAnsi="Times New Roman" w:eastAsia="宋体" w:cs="Times New Roman"/>
                      <w:color w:val="000000"/>
                      <w:sz w:val="21"/>
                      <w:szCs w:val="21"/>
                      <w:highlight w:val="none"/>
                      <w:u w:val="none" w:color="auto"/>
                      <w:vertAlign w:val="subscript"/>
                      <w:lang w:val="en-US" w:eastAsia="zh-CN"/>
                    </w:rPr>
                    <w:t>3</w:t>
                  </w:r>
                </w:p>
              </w:tc>
              <w:tc>
                <w:tcPr>
                  <w:tcW w:w="10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3F1E1C">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lang w:val="en-US" w:eastAsia="zh-CN"/>
                    </w:rPr>
                    <w:t>日最大8h第90百分位数</w:t>
                  </w:r>
                </w:p>
              </w:tc>
              <w:tc>
                <w:tcPr>
                  <w:tcW w:w="10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6A11F2">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cs="Times New Roman"/>
                      <w:color w:val="000000"/>
                      <w:sz w:val="21"/>
                      <w:szCs w:val="21"/>
                      <w:highlight w:val="none"/>
                      <w:u w:val="none" w:color="auto"/>
                      <w:lang w:val="en-US" w:eastAsia="zh-CN"/>
                    </w:rPr>
                    <w:t>148</w:t>
                  </w:r>
                </w:p>
              </w:tc>
              <w:tc>
                <w:tcPr>
                  <w:tcW w:w="92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28BCB4">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000000"/>
                      <w:sz w:val="21"/>
                      <w:szCs w:val="21"/>
                      <w:highlight w:val="none"/>
                      <w:u w:val="none" w:color="auto"/>
                      <w:lang w:val="en-US" w:eastAsia="zh-CN"/>
                    </w:rPr>
                    <w:t>160</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EA3A27">
                  <w:pPr>
                    <w:widowControl w:val="0"/>
                    <w:autoSpaceDE w:val="0"/>
                    <w:autoSpaceDN w:val="0"/>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cs="Times New Roman"/>
                      <w:color w:val="000000"/>
                      <w:sz w:val="21"/>
                      <w:szCs w:val="21"/>
                      <w:highlight w:val="none"/>
                      <w:u w:val="none" w:color="auto"/>
                      <w:lang w:val="en-US" w:eastAsia="zh-CN"/>
                    </w:rPr>
                    <w:t>92.5</w:t>
                  </w:r>
                </w:p>
              </w:tc>
              <w:tc>
                <w:tcPr>
                  <w:tcW w:w="66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6C71FB">
                  <w:pPr>
                    <w:adjustRightInd w:val="0"/>
                    <w:snapToGrid w:val="0"/>
                    <w:spacing w:beforeLines="0" w:afterLines="0"/>
                    <w:jc w:val="center"/>
                    <w:rPr>
                      <w:bCs/>
                      <w:sz w:val="21"/>
                      <w:szCs w:val="21"/>
                      <w:u w:val="none"/>
                    </w:rPr>
                  </w:pPr>
                  <w:r>
                    <w:rPr>
                      <w:bCs/>
                      <w:sz w:val="21"/>
                      <w:szCs w:val="21"/>
                      <w:u w:val="none"/>
                    </w:rPr>
                    <w:t>达标</w:t>
                  </w:r>
                </w:p>
              </w:tc>
            </w:tr>
          </w:tbl>
          <w:p w14:paraId="108B1053">
            <w:pPr>
              <w:pStyle w:val="104"/>
              <w:adjustRightInd w:val="0"/>
              <w:snapToGrid w:val="0"/>
              <w:rPr>
                <w:rFonts w:ascii="Times New Roman" w:hAnsi="Times New Roman" w:cs="Times New Roman"/>
                <w:szCs w:val="24"/>
                <w:u w:val="none"/>
              </w:rPr>
            </w:pPr>
            <w:r>
              <w:rPr>
                <w:rFonts w:ascii="Times New Roman" w:hAnsi="Times New Roman" w:cs="Times New Roman"/>
                <w:szCs w:val="24"/>
                <w:u w:val="none"/>
              </w:rPr>
              <w:t>由上表可知，本项目</w:t>
            </w:r>
            <w:r>
              <w:rPr>
                <w:rFonts w:hint="eastAsia" w:ascii="Times New Roman" w:hAnsi="Times New Roman" w:cs="Times New Roman"/>
                <w:szCs w:val="24"/>
                <w:u w:val="none"/>
                <w:lang w:val="en-US" w:eastAsia="zh-CN"/>
              </w:rPr>
              <w:t>所有基本污染物均</w:t>
            </w:r>
            <w:r>
              <w:rPr>
                <w:rFonts w:ascii="Times New Roman" w:hAnsi="Times New Roman" w:cs="Times New Roman"/>
                <w:szCs w:val="24"/>
                <w:u w:val="none"/>
              </w:rPr>
              <w:t>达到</w:t>
            </w:r>
            <w:r>
              <w:rPr>
                <w:rFonts w:hint="eastAsia" w:ascii="Times New Roman" w:hAnsi="Times New Roman" w:cs="Times New Roman"/>
                <w:szCs w:val="24"/>
                <w:u w:val="none"/>
                <w:lang w:val="en-US" w:eastAsia="zh-CN"/>
              </w:rPr>
              <w:t>了</w:t>
            </w:r>
            <w:r>
              <w:rPr>
                <w:rFonts w:ascii="Times New Roman" w:hAnsi="Times New Roman" w:cs="Times New Roman"/>
                <w:u w:val="none"/>
              </w:rPr>
              <w:t>《环境空气质量标准》（GB3095-2012）</w:t>
            </w:r>
            <w:r>
              <w:rPr>
                <w:rFonts w:hint="eastAsia" w:ascii="Times New Roman" w:hAnsi="Times New Roman" w:cs="Times New Roman"/>
                <w:u w:val="none"/>
                <w:lang w:val="en-US" w:eastAsia="zh-CN"/>
              </w:rPr>
              <w:t>二级标准限值</w:t>
            </w:r>
            <w:r>
              <w:rPr>
                <w:rFonts w:hint="eastAsia" w:ascii="Times New Roman" w:hAnsi="Times New Roman" w:cs="Times New Roman"/>
                <w:u w:val="none"/>
              </w:rPr>
              <w:t>要求，因此</w:t>
            </w:r>
            <w:r>
              <w:rPr>
                <w:rFonts w:hint="eastAsia"/>
                <w:u w:val="none"/>
                <w:lang w:val="en-US" w:eastAsia="zh-CN"/>
              </w:rPr>
              <w:t>岳阳市</w:t>
            </w:r>
            <w:r>
              <w:rPr>
                <w:rFonts w:hint="eastAsia" w:ascii="Times New Roman" w:hAnsi="Times New Roman" w:cs="Times New Roman"/>
                <w:u w:val="none"/>
              </w:rPr>
              <w:t>为空气质量达标区</w:t>
            </w:r>
            <w:r>
              <w:rPr>
                <w:rFonts w:ascii="Times New Roman" w:hAnsi="Times New Roman" w:cs="Times New Roman"/>
                <w:szCs w:val="24"/>
                <w:u w:val="none"/>
              </w:rPr>
              <w:t>。</w:t>
            </w:r>
          </w:p>
          <w:p w14:paraId="6FA96FEC">
            <w:pPr>
              <w:widowControl/>
              <w:spacing w:line="360" w:lineRule="auto"/>
              <w:ind w:firstLine="480" w:firstLineChars="200"/>
              <w:rPr>
                <w:color w:val="auto"/>
                <w:szCs w:val="24"/>
                <w:u w:val="none"/>
              </w:rPr>
            </w:pPr>
            <w:r>
              <w:rPr>
                <w:rFonts w:hint="eastAsia"/>
                <w:color w:val="auto"/>
                <w:szCs w:val="24"/>
                <w:u w:val="none"/>
                <w:lang w:val="en-US" w:eastAsia="zh-CN"/>
              </w:rPr>
              <w:t>2、</w:t>
            </w:r>
            <w:r>
              <w:rPr>
                <w:rFonts w:hint="eastAsia"/>
                <w:color w:val="auto"/>
                <w:szCs w:val="24"/>
                <w:u w:val="none"/>
              </w:rPr>
              <w:t>补充污染物环境现状评价</w:t>
            </w:r>
          </w:p>
          <w:p w14:paraId="6E4286BB">
            <w:pPr>
              <w:overflowPunct w:val="0"/>
              <w:autoSpaceDE w:val="0"/>
              <w:autoSpaceDN w:val="0"/>
              <w:adjustRightInd w:val="0"/>
              <w:snapToGrid w:val="0"/>
              <w:spacing w:line="360" w:lineRule="auto"/>
              <w:ind w:firstLine="480" w:firstLineChars="200"/>
              <w:rPr>
                <w:rFonts w:hint="default" w:ascii="Times New Roman" w:hAnsi="Times New Roman" w:eastAsia="宋体" w:cs="Times New Roman"/>
                <w:sz w:val="24"/>
              </w:rPr>
            </w:pPr>
            <w:bookmarkStart w:id="29" w:name="_Hlk102728924"/>
            <w:r>
              <w:rPr>
                <w:rFonts w:hint="default" w:ascii="Times New Roman" w:hAnsi="Times New Roman" w:eastAsia="宋体" w:cs="Times New Roman"/>
                <w:sz w:val="24"/>
              </w:rPr>
              <w:t>根据《建设项目环境影响报告表编制技术指南（污染影响类）（试行）》，排放国家、地方环境空气质量标准中有标准限值要求的特征污染物时，引用建设项目周边5千米范围内近3年的现有监测数据，无相关数据的选择当季主导风向下风向1个点位补充不少于3天的监测数据。根据生态环境部环境工程评估中心发布的关于《建设项目环境影响报告表》内容、格式及编制技术指南常见问题解答可知，《环境影响评价技术导则 大气环境》（HJ2.2-2018）附录D不属于国家、地方标准</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具体详见下图。</w:t>
            </w:r>
          </w:p>
          <w:bookmarkEnd w:id="29"/>
          <w:p w14:paraId="4E4E0F8E">
            <w:pPr>
              <w:adjustRightInd w:val="0"/>
              <w:snapToGrid w:val="0"/>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drawing>
                <wp:inline distT="0" distB="0" distL="114300" distR="114300">
                  <wp:extent cx="5273675" cy="1347470"/>
                  <wp:effectExtent l="0" t="0" r="3175"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73675" cy="1347470"/>
                          </a:xfrm>
                          <a:prstGeom prst="rect">
                            <a:avLst/>
                          </a:prstGeom>
                          <a:noFill/>
                          <a:ln>
                            <a:noFill/>
                          </a:ln>
                        </pic:spPr>
                      </pic:pic>
                    </a:graphicData>
                  </a:graphic>
                </wp:inline>
              </w:drawing>
            </w:r>
          </w:p>
          <w:p w14:paraId="0B65506D">
            <w:pPr>
              <w:adjustRightInd w:val="0"/>
              <w:snapToGrid w:val="0"/>
              <w:spacing w:line="36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图3-1  生态环境部环境工程评估中心相关回复截图</w:t>
            </w:r>
          </w:p>
          <w:p w14:paraId="39ACF719">
            <w:pPr>
              <w:pStyle w:val="104"/>
              <w:adjustRightInd w:val="0"/>
              <w:snapToGrid w:val="0"/>
              <w:rPr>
                <w:rFonts w:hint="eastAsia" w:ascii="Times New Roman" w:hAnsi="Times New Roman" w:eastAsia="宋体" w:cs="Times New Roman"/>
                <w:szCs w:val="24"/>
                <w:u w:val="none"/>
                <w:lang w:val="en-US" w:eastAsia="zh-CN"/>
              </w:rPr>
            </w:pPr>
            <w:r>
              <w:rPr>
                <w:rFonts w:hint="default" w:ascii="Times New Roman" w:hAnsi="Times New Roman" w:eastAsia="宋体" w:cs="Times New Roman"/>
                <w:sz w:val="24"/>
              </w:rPr>
              <w:t>本项目特征因子为</w:t>
            </w:r>
            <w:r>
              <w:rPr>
                <w:rFonts w:hint="eastAsia" w:ascii="Times New Roman" w:hAnsi="Times New Roman" w:eastAsia="宋体" w:cs="Times New Roman"/>
                <w:sz w:val="24"/>
                <w:lang w:val="en-US" w:eastAsia="zh-CN"/>
              </w:rPr>
              <w:t>TVOC</w:t>
            </w:r>
            <w:r>
              <w:rPr>
                <w:rFonts w:hint="default" w:ascii="Times New Roman" w:hAnsi="Times New Roman" w:eastAsia="宋体" w:cs="Times New Roman"/>
                <w:sz w:val="24"/>
              </w:rPr>
              <w:t>，国家、地方标准无标准值，仅在大气环境技术导则的附录D中有限值，故本次特征因子无需对</w:t>
            </w:r>
            <w:r>
              <w:rPr>
                <w:rFonts w:hint="eastAsia" w:ascii="Times New Roman" w:hAnsi="Times New Roman" w:eastAsia="宋体" w:cs="Times New Roman"/>
                <w:sz w:val="24"/>
                <w:lang w:val="en-US" w:eastAsia="zh-CN"/>
              </w:rPr>
              <w:t>TVOC</w:t>
            </w:r>
            <w:r>
              <w:rPr>
                <w:rFonts w:hint="default" w:ascii="Times New Roman" w:hAnsi="Times New Roman" w:eastAsia="宋体" w:cs="Times New Roman"/>
                <w:sz w:val="24"/>
              </w:rPr>
              <w:t>进行环境质量现状监测。</w:t>
            </w:r>
          </w:p>
          <w:p w14:paraId="1F65AB99">
            <w:pPr>
              <w:pStyle w:val="26"/>
              <w:widowControl w:val="0"/>
              <w:adjustRightInd w:val="0"/>
              <w:spacing w:before="0" w:beforeAutospacing="0" w:after="0" w:afterAutospacing="0" w:line="360" w:lineRule="auto"/>
              <w:jc w:val="both"/>
              <w:textAlignment w:val="baseline"/>
              <w:rPr>
                <w:rFonts w:ascii="Times New Roman" w:hAnsi="Times New Roman"/>
              </w:rPr>
            </w:pPr>
            <w:r>
              <w:rPr>
                <w:rFonts w:hint="eastAsia" w:ascii="Times New Roman" w:hAnsi="Times New Roman"/>
                <w:b/>
                <w:kern w:val="2"/>
              </w:rPr>
              <w:t>3.</w:t>
            </w:r>
            <w:r>
              <w:rPr>
                <w:rFonts w:ascii="Times New Roman" w:hAnsi="Times New Roman"/>
                <w:b/>
                <w:kern w:val="2"/>
              </w:rPr>
              <w:t>2</w:t>
            </w:r>
            <w:r>
              <w:rPr>
                <w:rFonts w:hint="eastAsia" w:ascii="Times New Roman" w:hAnsi="Times New Roman"/>
                <w:b/>
                <w:kern w:val="2"/>
              </w:rPr>
              <w:t xml:space="preserve"> </w:t>
            </w:r>
            <w:r>
              <w:rPr>
                <w:rFonts w:ascii="Times New Roman" w:hAnsi="Times New Roman"/>
                <w:b/>
                <w:kern w:val="2"/>
              </w:rPr>
              <w:t>地表水环境质量现状</w:t>
            </w:r>
          </w:p>
          <w:p w14:paraId="59D37F4D">
            <w:pPr>
              <w:spacing w:line="360" w:lineRule="auto"/>
              <w:ind w:firstLine="480" w:firstLineChars="200"/>
              <w:jc w:val="left"/>
              <w:rPr>
                <w:rFonts w:hint="eastAsia"/>
              </w:rPr>
            </w:pPr>
            <w:r>
              <w:rPr>
                <w:rFonts w:hint="eastAsia"/>
              </w:rPr>
              <w:t>生活污水通过化粪池处理后达到</w:t>
            </w:r>
            <w:r>
              <w:rPr>
                <w:rFonts w:hint="eastAsia"/>
                <w:lang w:eastAsia="zh-CN"/>
              </w:rPr>
              <w:t>岳阳市三峡水环境综合治理有限责任公司临港水质净化厂</w:t>
            </w:r>
            <w:r>
              <w:rPr>
                <w:rFonts w:hint="eastAsia"/>
              </w:rPr>
              <w:t>接管要求以及《污水综合排放标准》（GB8978-1996）表4中三级标准限值要求后排入</w:t>
            </w:r>
            <w:r>
              <w:rPr>
                <w:rFonts w:hint="eastAsia"/>
                <w:lang w:eastAsia="zh-CN"/>
              </w:rPr>
              <w:t>岳阳市三峡水环境综合治理有限责任公司临港水质净化厂</w:t>
            </w:r>
            <w:r>
              <w:rPr>
                <w:rFonts w:hint="eastAsia"/>
              </w:rPr>
              <w:t>处理</w:t>
            </w:r>
            <w:r>
              <w:rPr>
                <w:rFonts w:hint="eastAsia"/>
                <w:lang w:eastAsia="zh-CN"/>
              </w:rPr>
              <w:t>，</w:t>
            </w:r>
            <w:r>
              <w:rPr>
                <w:rFonts w:hint="eastAsia"/>
              </w:rPr>
              <w:t>尾水执行《城镇污水处理厂污染物排放标准》（GB18918-2002）一级A排放标准，尾水排入象骨港，最终排入长江。</w:t>
            </w:r>
          </w:p>
          <w:p w14:paraId="39E6FAD0">
            <w:pPr>
              <w:snapToGrid w:val="0"/>
              <w:spacing w:line="360" w:lineRule="auto"/>
              <w:ind w:firstLine="480"/>
              <w:rPr>
                <w:rFonts w:hint="default" w:eastAsia="宋体"/>
                <w:lang w:val="en-US" w:eastAsia="zh-CN"/>
              </w:rPr>
            </w:pPr>
            <w:r>
              <w:rPr>
                <w:rFonts w:hint="eastAsia"/>
              </w:rPr>
              <w:t>根据《湖南省主要地表水系水环境功能区划》(DB43/023-2005)，本项目涉及的水体为长江岳阳段和象骨港，其中长江岳阳段属于渔业用水区，执行《地表水环境质量标准》（GB3838-2002）</w:t>
            </w:r>
            <w:r>
              <w:rPr>
                <w:rFonts w:hint="default" w:ascii="Times New Roman" w:hAnsi="Times New Roman" w:cs="Times New Roman"/>
              </w:rPr>
              <w:t>中Ⅲ类水</w:t>
            </w:r>
            <w:r>
              <w:rPr>
                <w:rFonts w:hint="eastAsia"/>
              </w:rPr>
              <w:t>质标准。根据岳阳市生态环境局公布的《岳阳市202</w:t>
            </w:r>
            <w:r>
              <w:rPr>
                <w:rFonts w:hint="eastAsia"/>
                <w:lang w:val="en-US" w:eastAsia="zh-CN"/>
              </w:rPr>
              <w:t>4</w:t>
            </w:r>
            <w:r>
              <w:rPr>
                <w:rFonts w:hint="eastAsia"/>
              </w:rPr>
              <w:t>年度生态环境质量公报》：“长江干流岳阳段共布设5个监测断面，分别为天字一号、君山长江取水口、江南镇、城陵矶、陆城断面，202</w:t>
            </w:r>
            <w:r>
              <w:rPr>
                <w:rFonts w:hint="eastAsia"/>
                <w:lang w:val="en-US" w:eastAsia="zh-CN"/>
              </w:rPr>
              <w:t>4</w:t>
            </w:r>
            <w:r>
              <w:rPr>
                <w:rFonts w:hint="eastAsia"/>
              </w:rPr>
              <w:t>年各断面水质类别</w:t>
            </w:r>
            <w:r>
              <w:rPr>
                <w:rFonts w:hint="default" w:ascii="Times New Roman" w:hAnsi="Times New Roman" w:cs="Times New Roman"/>
              </w:rPr>
              <w:t>均为Ⅱ类</w:t>
            </w:r>
            <w:r>
              <w:rPr>
                <w:rFonts w:hint="eastAsia"/>
              </w:rPr>
              <w:t>标准限值，长江干流岳阳段水体水质总体为优。”</w:t>
            </w:r>
            <w:r>
              <w:rPr>
                <w:rFonts w:hint="eastAsia"/>
                <w:lang w:val="en-US" w:eastAsia="zh-CN"/>
              </w:rPr>
              <w:t>详见下图。</w:t>
            </w:r>
          </w:p>
          <w:p w14:paraId="084EAFFE">
            <w:pPr>
              <w:snapToGrid w:val="0"/>
              <w:spacing w:line="360" w:lineRule="auto"/>
              <w:ind w:firstLine="0"/>
              <w:rPr>
                <w:rFonts w:hint="eastAsia"/>
              </w:rPr>
            </w:pPr>
            <w:r>
              <w:drawing>
                <wp:inline distT="0" distB="0" distL="114300" distR="114300">
                  <wp:extent cx="5062855" cy="1880235"/>
                  <wp:effectExtent l="0" t="0" r="4445" b="571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5062855" cy="1880235"/>
                          </a:xfrm>
                          <a:prstGeom prst="rect">
                            <a:avLst/>
                          </a:prstGeom>
                          <a:noFill/>
                          <a:ln>
                            <a:noFill/>
                          </a:ln>
                        </pic:spPr>
                      </pic:pic>
                    </a:graphicData>
                  </a:graphic>
                </wp:inline>
              </w:drawing>
            </w:r>
          </w:p>
          <w:p w14:paraId="0BBFB2F9">
            <w:pPr>
              <w:adjustRightInd w:val="0"/>
              <w:snapToGrid w:val="0"/>
              <w:jc w:val="center"/>
              <w:rPr>
                <w:rFonts w:ascii="Times New Roman" w:hAnsi="Times New Roman"/>
                <w:b/>
                <w:kern w:val="2"/>
              </w:rPr>
            </w:pPr>
            <w:r>
              <w:rPr>
                <w:rFonts w:hint="default" w:ascii="Times New Roman" w:hAnsi="Times New Roman" w:eastAsia="宋体" w:cs="Times New Roman"/>
                <w:b/>
                <w:bCs/>
                <w:sz w:val="21"/>
                <w:szCs w:val="21"/>
              </w:rPr>
              <w:t>图3-</w:t>
            </w:r>
            <w:r>
              <w:rPr>
                <w:rFonts w:hint="default" w:ascii="Times New Roman" w:hAnsi="Times New Roman" w:eastAsia="宋体" w:cs="Times New Roman"/>
                <w:b/>
                <w:bCs/>
                <w:sz w:val="21"/>
                <w:szCs w:val="21"/>
                <w:lang w:val="en-US" w:eastAsia="zh-CN"/>
              </w:rPr>
              <w:t>2</w:t>
            </w:r>
            <w:r>
              <w:rPr>
                <w:rFonts w:hint="default" w:ascii="Times New Roman" w:hAnsi="Times New Roman" w:eastAsia="宋体" w:cs="Times New Roman"/>
                <w:b/>
                <w:bCs/>
                <w:sz w:val="21"/>
                <w:szCs w:val="21"/>
              </w:rPr>
              <w:t xml:space="preserve">  </w:t>
            </w:r>
            <w:r>
              <w:rPr>
                <w:rFonts w:hint="default" w:ascii="Times New Roman" w:hAnsi="Times New Roman" w:eastAsia="宋体" w:cs="Times New Roman"/>
                <w:b/>
                <w:bCs/>
                <w:sz w:val="21"/>
                <w:szCs w:val="21"/>
                <w:lang w:val="en-US" w:eastAsia="zh-CN"/>
              </w:rPr>
              <w:t>水环境质量</w:t>
            </w:r>
            <w:r>
              <w:rPr>
                <w:rFonts w:hint="default" w:ascii="Times New Roman" w:hAnsi="Times New Roman" w:eastAsia="宋体" w:cs="Times New Roman"/>
                <w:b/>
                <w:bCs/>
                <w:sz w:val="21"/>
                <w:szCs w:val="21"/>
              </w:rPr>
              <w:t>截图</w:t>
            </w:r>
          </w:p>
          <w:p w14:paraId="12573B67">
            <w:pPr>
              <w:pStyle w:val="26"/>
              <w:widowControl w:val="0"/>
              <w:spacing w:before="0" w:beforeAutospacing="0" w:after="0" w:afterAutospacing="0" w:line="360" w:lineRule="auto"/>
              <w:rPr>
                <w:rFonts w:ascii="Times New Roman" w:hAnsi="Times New Roman"/>
              </w:rPr>
            </w:pPr>
            <w:r>
              <w:rPr>
                <w:rFonts w:ascii="Times New Roman" w:hAnsi="Times New Roman"/>
                <w:b/>
                <w:kern w:val="2"/>
              </w:rPr>
              <w:t>3、声环境质量现状</w:t>
            </w:r>
          </w:p>
          <w:p w14:paraId="435D0FB9">
            <w:pPr>
              <w:widowControl/>
              <w:spacing w:line="360" w:lineRule="auto"/>
              <w:ind w:firstLine="480" w:firstLineChars="200"/>
              <w:rPr>
                <w:rFonts w:hint="eastAsia"/>
                <w:color w:val="auto"/>
                <w:szCs w:val="21"/>
                <w:lang w:val="en-US" w:eastAsia="zh-CN"/>
              </w:rPr>
            </w:pPr>
            <w:r>
              <w:rPr>
                <w:rFonts w:hint="eastAsia"/>
                <w:szCs w:val="21"/>
              </w:rPr>
              <w:t>根据《建设项目环境影响报告表编制技术指南》可知，厂界外周边50米范围内存在声环境保护目标时，应监测</w:t>
            </w:r>
            <w:r>
              <w:rPr>
                <w:rFonts w:hint="eastAsia"/>
                <w:color w:val="auto"/>
                <w:szCs w:val="21"/>
              </w:rPr>
              <w:t>保护目标声环境质量现状并评价达标情况。</w:t>
            </w:r>
            <w:r>
              <w:rPr>
                <w:rFonts w:hint="eastAsia"/>
                <w:color w:val="auto"/>
                <w:szCs w:val="21"/>
                <w:lang w:val="en-US" w:eastAsia="zh-CN"/>
              </w:rPr>
              <w:t>根据现场踏勘，本项目厂界外周边50m范围内未发现声环境保护目标，因此，无需监测声环境质量现状。</w:t>
            </w:r>
          </w:p>
          <w:p w14:paraId="60EC7764">
            <w:pPr>
              <w:pStyle w:val="26"/>
              <w:widowControl w:val="0"/>
              <w:spacing w:before="0" w:beforeAutospacing="0" w:after="0" w:afterAutospacing="0" w:line="360" w:lineRule="auto"/>
              <w:rPr>
                <w:rFonts w:hint="default" w:ascii="Times New Roman" w:hAnsi="Times New Roman" w:eastAsia="宋体" w:cs="Times New Roman"/>
                <w:b/>
                <w:kern w:val="2"/>
                <w:sz w:val="24"/>
                <w:szCs w:val="20"/>
                <w:lang w:val="en-US" w:eastAsia="zh-CN"/>
              </w:rPr>
            </w:pPr>
            <w:r>
              <w:rPr>
                <w:rFonts w:hint="default" w:ascii="Times New Roman" w:hAnsi="Times New Roman" w:eastAsia="宋体" w:cs="Times New Roman"/>
                <w:b/>
                <w:kern w:val="2"/>
                <w:szCs w:val="20"/>
                <w:lang w:val="en-US" w:eastAsia="zh-CN"/>
              </w:rPr>
              <w:t>4、</w:t>
            </w:r>
            <w:r>
              <w:rPr>
                <w:rFonts w:hint="default" w:ascii="Times New Roman" w:hAnsi="Times New Roman" w:eastAsia="宋体" w:cs="Times New Roman"/>
                <w:b/>
                <w:kern w:val="2"/>
                <w:sz w:val="24"/>
                <w:szCs w:val="20"/>
                <w:lang w:val="en-US" w:eastAsia="zh-CN"/>
              </w:rPr>
              <w:t>土壤、地下水</w:t>
            </w:r>
          </w:p>
          <w:p w14:paraId="0A97A6F5">
            <w:pPr>
              <w:pStyle w:val="38"/>
              <w:keepNext w:val="0"/>
              <w:keepLines w:val="0"/>
              <w:pageBreakBefore w:val="0"/>
              <w:kinsoku/>
              <w:wordWrap/>
              <w:overflowPunct/>
              <w:topLinePunct w:val="0"/>
              <w:bidi w:val="0"/>
              <w:spacing w:line="360" w:lineRule="auto"/>
              <w:ind w:right="0" w:rightChars="0"/>
              <w:rPr>
                <w:rFonts w:hint="eastAsia" w:ascii="Times New Roman" w:hAnsi="Times New Roman" w:eastAsia="宋体" w:cs="Times New Roman"/>
                <w:color w:val="auto"/>
              </w:rPr>
            </w:pPr>
            <w:r>
              <w:rPr>
                <w:rFonts w:hint="eastAsia" w:ascii="Times New Roman" w:hAnsi="Times New Roman" w:eastAsia="宋体" w:cs="Times New Roman"/>
                <w:color w:val="auto"/>
              </w:rPr>
              <w:t>根据《建设项目环境影响报告表编制技术指南（污染影响类）（试行）》中提到的“原则上不开展环境质量现状调查。建设项目存在土壤、地下水环境污染途径的，应结合污染源、保护目标分布情况开展现状调查以留作背景值”。</w:t>
            </w:r>
          </w:p>
          <w:p w14:paraId="073F8E6D">
            <w:pPr>
              <w:pStyle w:val="26"/>
              <w:spacing w:before="0" w:beforeAutospacing="0" w:after="0" w:afterAutospacing="0" w:line="360" w:lineRule="auto"/>
              <w:ind w:firstLine="480" w:firstLineChars="200"/>
              <w:rPr>
                <w:rFonts w:hint="default" w:ascii="Times New Roman" w:hAnsi="Times New Roman" w:eastAsia="宋体" w:cs="Times New Roman"/>
                <w:b/>
                <w:color w:val="auto"/>
                <w:kern w:val="2"/>
                <w:lang w:val="en-US" w:eastAsia="zh-CN"/>
              </w:rPr>
            </w:pPr>
            <w:r>
              <w:rPr>
                <w:rFonts w:hint="eastAsia" w:ascii="Times New Roman" w:hAnsi="Times New Roman" w:eastAsia="宋体" w:cs="Times New Roman"/>
                <w:color w:val="auto"/>
                <w:kern w:val="2"/>
                <w:sz w:val="24"/>
                <w:szCs w:val="24"/>
              </w:rPr>
              <w:t>本项目厂房均已做好地面硬化措施，</w:t>
            </w:r>
            <w:r>
              <w:rPr>
                <w:rFonts w:hint="eastAsia" w:ascii="Times New Roman" w:hAnsi="Times New Roman" w:cs="Times New Roman"/>
                <w:color w:val="auto"/>
                <w:kern w:val="2"/>
                <w:sz w:val="24"/>
                <w:szCs w:val="24"/>
                <w:lang w:val="en-US" w:eastAsia="zh-CN"/>
              </w:rPr>
              <w:t>原料区、成品区、储罐区以及</w:t>
            </w:r>
            <w:r>
              <w:rPr>
                <w:rFonts w:hint="eastAsia" w:ascii="Times New Roman" w:hAnsi="Times New Roman" w:eastAsia="宋体" w:cs="Times New Roman"/>
                <w:color w:val="auto"/>
                <w:kern w:val="2"/>
                <w:sz w:val="24"/>
                <w:szCs w:val="24"/>
              </w:rPr>
              <w:t>危废间等重点区域均采取防雨、防流失、</w:t>
            </w:r>
            <w:r>
              <w:rPr>
                <w:rFonts w:hint="eastAsia" w:ascii="Times New Roman" w:hAnsi="Times New Roman" w:cs="Times New Roman"/>
                <w:color w:val="auto"/>
                <w:kern w:val="2"/>
                <w:sz w:val="24"/>
                <w:szCs w:val="24"/>
                <w:lang w:val="en-US" w:eastAsia="zh-CN"/>
              </w:rPr>
              <w:t>防渗、</w:t>
            </w:r>
            <w:r>
              <w:rPr>
                <w:rFonts w:hint="eastAsia" w:ascii="Times New Roman" w:hAnsi="Times New Roman" w:eastAsia="宋体" w:cs="Times New Roman"/>
                <w:color w:val="auto"/>
                <w:kern w:val="2"/>
                <w:sz w:val="24"/>
                <w:szCs w:val="24"/>
              </w:rPr>
              <w:t>防渗漏措施。在做好污染防控措施及防渗措施后，不存在土壤</w:t>
            </w:r>
            <w:r>
              <w:rPr>
                <w:rFonts w:hint="eastAsia" w:ascii="Times New Roman" w:hAnsi="Times New Roman" w:eastAsia="宋体" w:cs="Times New Roman"/>
                <w:color w:val="auto"/>
                <w:kern w:val="2"/>
                <w:sz w:val="24"/>
                <w:szCs w:val="24"/>
                <w:lang w:val="en-US" w:eastAsia="zh-CN"/>
              </w:rPr>
              <w:t>以及地下水的</w:t>
            </w:r>
            <w:r>
              <w:rPr>
                <w:rFonts w:hint="eastAsia" w:ascii="Times New Roman" w:hAnsi="Times New Roman" w:eastAsia="宋体" w:cs="Times New Roman"/>
                <w:color w:val="auto"/>
                <w:kern w:val="2"/>
                <w:sz w:val="24"/>
                <w:szCs w:val="24"/>
              </w:rPr>
              <w:t>环境污染途径。故本项目不开展土壤、地下水环境质量现状调查。</w:t>
            </w:r>
          </w:p>
          <w:p w14:paraId="01409C83">
            <w:pPr>
              <w:pStyle w:val="28"/>
              <w:spacing w:before="0" w:after="0" w:line="360" w:lineRule="auto"/>
              <w:ind w:right="0" w:firstLine="0" w:firstLineChars="0"/>
              <w:rPr>
                <w:b/>
                <w:sz w:val="24"/>
                <w:szCs w:val="24"/>
              </w:rPr>
            </w:pPr>
            <w:r>
              <w:rPr>
                <w:rFonts w:hint="eastAsia"/>
                <w:b/>
                <w:sz w:val="24"/>
                <w:szCs w:val="24"/>
                <w:lang w:val="en-US" w:eastAsia="zh-CN"/>
              </w:rPr>
              <w:t>5</w:t>
            </w:r>
            <w:r>
              <w:rPr>
                <w:b/>
                <w:sz w:val="24"/>
                <w:szCs w:val="24"/>
              </w:rPr>
              <w:t>、生态环境质量</w:t>
            </w:r>
          </w:p>
          <w:p w14:paraId="3CB41472">
            <w:pPr>
              <w:widowControl/>
              <w:spacing w:line="360" w:lineRule="auto"/>
              <w:ind w:firstLine="480" w:firstLineChars="200"/>
              <w:jc w:val="left"/>
              <w:rPr>
                <w:kern w:val="0"/>
                <w:szCs w:val="21"/>
              </w:rPr>
            </w:pPr>
            <w:r>
              <w:rPr>
                <w:rFonts w:hint="eastAsia"/>
              </w:rPr>
              <w:t>本项目位于中国（湖南）自由贸易试验区岳阳片区长江大道际华高分子材料高科产业园10#工房</w:t>
            </w:r>
            <w:r>
              <w:rPr>
                <w:rFonts w:hint="eastAsia"/>
                <w:lang w:eastAsia="zh-CN"/>
              </w:rPr>
              <w:t>，</w:t>
            </w:r>
            <w:r>
              <w:rPr>
                <w:rFonts w:hint="eastAsia"/>
              </w:rPr>
              <w:t>根据《建设项目环境影响报告表编制技术指南（污染影响类）（试行）》，本项目位于产业园区，不属于“产业园区外建设项目新增用地且用地范围内含有生态环境保护目标”的项目，无需开展生态环境质量现状调查。</w:t>
            </w:r>
          </w:p>
        </w:tc>
      </w:tr>
      <w:tr w14:paraId="688FF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5" w:hRule="atLeast"/>
          <w:jc w:val="center"/>
        </w:trPr>
        <w:tc>
          <w:tcPr>
            <w:tcW w:w="800" w:type="dxa"/>
            <w:vAlign w:val="center"/>
          </w:tcPr>
          <w:p w14:paraId="669D25BF">
            <w:pPr>
              <w:adjustRightInd w:val="0"/>
              <w:snapToGrid w:val="0"/>
              <w:jc w:val="center"/>
              <w:rPr>
                <w:kern w:val="0"/>
                <w:szCs w:val="21"/>
              </w:rPr>
            </w:pPr>
            <w:r>
              <w:rPr>
                <w:kern w:val="0"/>
                <w:szCs w:val="21"/>
              </w:rPr>
              <w:t>环境</w:t>
            </w:r>
          </w:p>
          <w:p w14:paraId="4E618AB1">
            <w:pPr>
              <w:adjustRightInd w:val="0"/>
              <w:snapToGrid w:val="0"/>
              <w:jc w:val="center"/>
              <w:rPr>
                <w:kern w:val="0"/>
                <w:szCs w:val="21"/>
              </w:rPr>
            </w:pPr>
            <w:r>
              <w:rPr>
                <w:kern w:val="0"/>
                <w:szCs w:val="21"/>
              </w:rPr>
              <w:t>保护</w:t>
            </w:r>
          </w:p>
          <w:p w14:paraId="3589A170">
            <w:pPr>
              <w:adjustRightInd w:val="0"/>
              <w:snapToGrid w:val="0"/>
              <w:jc w:val="center"/>
              <w:rPr>
                <w:kern w:val="0"/>
                <w:szCs w:val="21"/>
              </w:rPr>
            </w:pPr>
            <w:r>
              <w:rPr>
                <w:kern w:val="0"/>
                <w:szCs w:val="21"/>
              </w:rPr>
              <w:t>目标</w:t>
            </w:r>
          </w:p>
        </w:tc>
        <w:tc>
          <w:tcPr>
            <w:tcW w:w="8190" w:type="dxa"/>
            <w:vAlign w:val="center"/>
          </w:tcPr>
          <w:p w14:paraId="36C77B0A">
            <w:pPr>
              <w:widowControl/>
              <w:spacing w:line="360" w:lineRule="auto"/>
              <w:ind w:firstLine="480" w:firstLineChars="200"/>
              <w:jc w:val="left"/>
              <w:rPr>
                <w:color w:val="auto"/>
                <w:u w:val="none"/>
              </w:rPr>
            </w:pPr>
            <w:r>
              <w:rPr>
                <w:rFonts w:hint="eastAsia"/>
                <w:b w:val="0"/>
                <w:bCs w:val="0"/>
                <w:color w:val="auto"/>
                <w:u w:val="none"/>
                <w:lang w:val="en-US" w:eastAsia="zh-CN"/>
              </w:rPr>
              <w:t>经现场调查，</w:t>
            </w:r>
            <w:r>
              <w:rPr>
                <w:rFonts w:hint="eastAsia" w:ascii="宋体" w:hAnsi="宋体" w:eastAsia="宋体" w:cs="宋体"/>
                <w:color w:val="auto"/>
                <w:kern w:val="0"/>
                <w:sz w:val="24"/>
                <w:szCs w:val="24"/>
                <w:lang w:val="en-US" w:eastAsia="zh-CN" w:bidi="ar"/>
              </w:rPr>
              <w:t>本项目厂界外</w:t>
            </w:r>
            <w:r>
              <w:rPr>
                <w:rFonts w:hint="default" w:ascii="Times New Roman" w:hAnsi="Times New Roman" w:eastAsia="宋体" w:cs="Times New Roman"/>
                <w:color w:val="auto"/>
                <w:kern w:val="0"/>
                <w:sz w:val="24"/>
                <w:szCs w:val="24"/>
                <w:lang w:val="en-US" w:eastAsia="zh-CN" w:bidi="ar"/>
              </w:rPr>
              <w:t>500</w:t>
            </w:r>
            <w:r>
              <w:rPr>
                <w:rFonts w:hint="eastAsia" w:ascii="宋体" w:hAnsi="宋体" w:eastAsia="宋体" w:cs="宋体"/>
                <w:color w:val="auto"/>
                <w:kern w:val="0"/>
                <w:sz w:val="24"/>
                <w:szCs w:val="24"/>
                <w:lang w:val="en-US" w:eastAsia="zh-CN" w:bidi="ar"/>
              </w:rPr>
              <w:t>米范围内无地下水集中式饮用水水源和热水、矿泉水、温泉等特殊地下水资源，厂界外</w:t>
            </w:r>
            <w:r>
              <w:rPr>
                <w:rFonts w:hint="default" w:ascii="Times New Roman" w:hAnsi="Times New Roman" w:eastAsia="宋体" w:cs="Times New Roman"/>
                <w:color w:val="auto"/>
                <w:kern w:val="0"/>
                <w:sz w:val="24"/>
                <w:szCs w:val="24"/>
                <w:lang w:val="en-US" w:eastAsia="zh-CN" w:bidi="ar"/>
              </w:rPr>
              <w:t>50m</w:t>
            </w:r>
            <w:r>
              <w:rPr>
                <w:rFonts w:hint="eastAsia" w:ascii="宋体" w:hAnsi="宋体" w:eastAsia="宋体" w:cs="宋体"/>
                <w:color w:val="auto"/>
                <w:kern w:val="0"/>
                <w:sz w:val="24"/>
                <w:szCs w:val="24"/>
                <w:lang w:val="en-US" w:eastAsia="zh-CN" w:bidi="ar"/>
              </w:rPr>
              <w:t>范围内无声环境保护目标，项目占地范围内无生态环境保护目标。</w:t>
            </w:r>
            <w:r>
              <w:rPr>
                <w:rFonts w:hint="eastAsia"/>
                <w:color w:val="auto"/>
                <w:u w:val="none"/>
              </w:rPr>
              <w:t>主要保护目标及其保护级别如下表所示</w:t>
            </w:r>
            <w:r>
              <w:rPr>
                <w:color w:val="auto"/>
                <w:u w:val="none"/>
              </w:rPr>
              <w:t>。</w:t>
            </w:r>
          </w:p>
          <w:p w14:paraId="6AE74C95">
            <w:pPr>
              <w:pStyle w:val="8"/>
              <w:spacing w:line="240" w:lineRule="auto"/>
              <w:ind w:firstLine="0"/>
              <w:jc w:val="center"/>
              <w:rPr>
                <w:b/>
                <w:bCs/>
                <w:sz w:val="24"/>
                <w:u w:val="none"/>
              </w:rPr>
            </w:pPr>
            <w:r>
              <w:rPr>
                <w:b/>
                <w:bCs/>
                <w:sz w:val="24"/>
                <w:u w:val="none"/>
              </w:rPr>
              <w:t>表3-</w:t>
            </w:r>
            <w:r>
              <w:rPr>
                <w:rFonts w:hint="eastAsia"/>
                <w:b/>
                <w:bCs/>
                <w:sz w:val="24"/>
                <w:u w:val="none"/>
                <w:lang w:val="en-US" w:eastAsia="zh-CN"/>
              </w:rPr>
              <w:t>2</w:t>
            </w:r>
            <w:r>
              <w:rPr>
                <w:b/>
                <w:bCs/>
                <w:sz w:val="24"/>
                <w:u w:val="none"/>
              </w:rPr>
              <w:t xml:space="preserve">  环境保护目标及级别</w:t>
            </w:r>
          </w:p>
          <w:tbl>
            <w:tblPr>
              <w:tblStyle w:val="32"/>
              <w:tblW w:w="50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881"/>
              <w:gridCol w:w="825"/>
              <w:gridCol w:w="1095"/>
              <w:gridCol w:w="705"/>
              <w:gridCol w:w="1311"/>
              <w:gridCol w:w="909"/>
              <w:gridCol w:w="645"/>
              <w:gridCol w:w="958"/>
            </w:tblGrid>
            <w:tr w14:paraId="3E86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6" w:type="pct"/>
                  <w:vMerge w:val="restart"/>
                  <w:noWrap w:val="0"/>
                  <w:vAlign w:val="center"/>
                </w:tcPr>
                <w:p w14:paraId="56B4AC11">
                  <w:pPr>
                    <w:pStyle w:val="30"/>
                    <w:keepNext w:val="0"/>
                    <w:keepLines w:val="0"/>
                    <w:pageBreakBefore w:val="0"/>
                    <w:widowControl w:val="0"/>
                    <w:tabs>
                      <w:tab w:val="left" w:pos="7500"/>
                    </w:tabs>
                    <w:kinsoku/>
                    <w:wordWrap/>
                    <w:overflowPunct/>
                    <w:topLinePunct w:val="0"/>
                    <w:bidi w:val="0"/>
                    <w:snapToGrid/>
                    <w:spacing w:after="0" w:line="240" w:lineRule="auto"/>
                    <w:ind w:left="0" w:leftChars="0" w:right="0" w:rightChars="0" w:firstLine="0" w:firstLineChars="0"/>
                    <w:jc w:val="center"/>
                    <w:textAlignment w:val="auto"/>
                    <w:rPr>
                      <w:spacing w:val="0"/>
                      <w:kern w:val="0"/>
                      <w:sz w:val="21"/>
                      <w:szCs w:val="21"/>
                      <w:u w:val="none"/>
                      <w:lang w:val="en-US" w:eastAsia="zh-CN" w:bidi="ar-SA"/>
                    </w:rPr>
                  </w:pPr>
                  <w:r>
                    <w:rPr>
                      <w:sz w:val="21"/>
                      <w:szCs w:val="21"/>
                      <w:u w:val="none"/>
                    </w:rPr>
                    <w:t>名称</w:t>
                  </w:r>
                </w:p>
              </w:tc>
              <w:tc>
                <w:tcPr>
                  <w:tcW w:w="1069" w:type="pct"/>
                  <w:gridSpan w:val="2"/>
                  <w:noWrap w:val="0"/>
                  <w:vAlign w:val="center"/>
                </w:tcPr>
                <w:p w14:paraId="6571F210">
                  <w:pPr>
                    <w:pStyle w:val="30"/>
                    <w:keepNext w:val="0"/>
                    <w:keepLines w:val="0"/>
                    <w:pageBreakBefore w:val="0"/>
                    <w:widowControl w:val="0"/>
                    <w:tabs>
                      <w:tab w:val="left" w:pos="7500"/>
                    </w:tabs>
                    <w:kinsoku/>
                    <w:wordWrap/>
                    <w:overflowPunct/>
                    <w:topLinePunct w:val="0"/>
                    <w:bidi w:val="0"/>
                    <w:snapToGrid/>
                    <w:spacing w:after="0" w:line="240" w:lineRule="auto"/>
                    <w:ind w:left="0" w:leftChars="0" w:right="0" w:rightChars="0" w:firstLine="0" w:firstLineChars="0"/>
                    <w:jc w:val="center"/>
                    <w:textAlignment w:val="auto"/>
                    <w:rPr>
                      <w:rFonts w:hint="eastAsia"/>
                      <w:spacing w:val="0"/>
                      <w:kern w:val="0"/>
                      <w:sz w:val="21"/>
                      <w:szCs w:val="21"/>
                      <w:u w:val="none"/>
                      <w:lang w:val="en-US" w:eastAsia="zh-CN" w:bidi="ar-SA"/>
                    </w:rPr>
                  </w:pPr>
                  <w:r>
                    <w:rPr>
                      <w:sz w:val="21"/>
                      <w:szCs w:val="21"/>
                      <w:u w:val="none"/>
                    </w:rPr>
                    <w:t>坐标</w:t>
                  </w:r>
                </w:p>
              </w:tc>
              <w:tc>
                <w:tcPr>
                  <w:tcW w:w="686" w:type="pct"/>
                  <w:vMerge w:val="restart"/>
                  <w:noWrap w:val="0"/>
                  <w:vAlign w:val="center"/>
                </w:tcPr>
                <w:p w14:paraId="08D5BECD">
                  <w:pPr>
                    <w:pStyle w:val="30"/>
                    <w:keepNext w:val="0"/>
                    <w:keepLines w:val="0"/>
                    <w:pageBreakBefore w:val="0"/>
                    <w:widowControl w:val="0"/>
                    <w:tabs>
                      <w:tab w:val="left" w:pos="7500"/>
                    </w:tabs>
                    <w:kinsoku/>
                    <w:wordWrap/>
                    <w:overflowPunct/>
                    <w:topLinePunct w:val="0"/>
                    <w:bidi w:val="0"/>
                    <w:snapToGrid/>
                    <w:spacing w:after="0" w:line="240" w:lineRule="auto"/>
                    <w:ind w:left="0" w:leftChars="0" w:right="0" w:rightChars="0" w:firstLine="0" w:firstLineChars="0"/>
                    <w:jc w:val="center"/>
                    <w:textAlignment w:val="auto"/>
                    <w:rPr>
                      <w:rFonts w:hint="eastAsia"/>
                      <w:spacing w:val="0"/>
                      <w:kern w:val="0"/>
                      <w:sz w:val="21"/>
                      <w:szCs w:val="21"/>
                      <w:u w:val="none"/>
                      <w:lang w:val="en-US" w:eastAsia="zh-CN" w:bidi="ar-SA"/>
                    </w:rPr>
                  </w:pPr>
                  <w:r>
                    <w:rPr>
                      <w:sz w:val="21"/>
                      <w:szCs w:val="21"/>
                      <w:u w:val="none"/>
                    </w:rPr>
                    <w:t>保护对象</w:t>
                  </w:r>
                </w:p>
              </w:tc>
              <w:tc>
                <w:tcPr>
                  <w:tcW w:w="441" w:type="pct"/>
                  <w:vMerge w:val="restart"/>
                  <w:noWrap w:val="0"/>
                  <w:vAlign w:val="center"/>
                </w:tcPr>
                <w:p w14:paraId="366EFAA9">
                  <w:pPr>
                    <w:pStyle w:val="30"/>
                    <w:keepNext w:val="0"/>
                    <w:keepLines w:val="0"/>
                    <w:pageBreakBefore w:val="0"/>
                    <w:widowControl w:val="0"/>
                    <w:tabs>
                      <w:tab w:val="left" w:pos="7500"/>
                    </w:tabs>
                    <w:kinsoku/>
                    <w:wordWrap/>
                    <w:overflowPunct/>
                    <w:topLinePunct w:val="0"/>
                    <w:bidi w:val="0"/>
                    <w:snapToGrid/>
                    <w:spacing w:after="0" w:line="240" w:lineRule="auto"/>
                    <w:ind w:left="0" w:leftChars="0" w:right="0" w:rightChars="0" w:firstLine="0" w:firstLineChars="0"/>
                    <w:jc w:val="center"/>
                    <w:textAlignment w:val="auto"/>
                    <w:rPr>
                      <w:rFonts w:hint="eastAsia"/>
                      <w:sz w:val="21"/>
                      <w:szCs w:val="21"/>
                      <w:u w:val="none"/>
                    </w:rPr>
                  </w:pPr>
                  <w:r>
                    <w:rPr>
                      <w:rFonts w:hint="eastAsia"/>
                      <w:sz w:val="21"/>
                      <w:szCs w:val="21"/>
                      <w:u w:val="none"/>
                    </w:rPr>
                    <w:t>保护</w:t>
                  </w:r>
                </w:p>
                <w:p w14:paraId="7CD38C90">
                  <w:pPr>
                    <w:pStyle w:val="30"/>
                    <w:keepNext w:val="0"/>
                    <w:keepLines w:val="0"/>
                    <w:pageBreakBefore w:val="0"/>
                    <w:widowControl w:val="0"/>
                    <w:tabs>
                      <w:tab w:val="left" w:pos="7500"/>
                    </w:tabs>
                    <w:kinsoku/>
                    <w:wordWrap/>
                    <w:overflowPunct/>
                    <w:topLinePunct w:val="0"/>
                    <w:bidi w:val="0"/>
                    <w:snapToGrid/>
                    <w:spacing w:after="0" w:line="240" w:lineRule="auto"/>
                    <w:ind w:left="0" w:leftChars="0" w:right="0" w:rightChars="0" w:firstLine="0" w:firstLineChars="0"/>
                    <w:jc w:val="center"/>
                    <w:textAlignment w:val="auto"/>
                    <w:rPr>
                      <w:rFonts w:hint="eastAsia"/>
                      <w:spacing w:val="0"/>
                      <w:kern w:val="0"/>
                      <w:sz w:val="21"/>
                      <w:szCs w:val="21"/>
                      <w:u w:val="none"/>
                      <w:lang w:val="en-US" w:eastAsia="zh-CN" w:bidi="ar-SA"/>
                    </w:rPr>
                  </w:pPr>
                  <w:r>
                    <w:rPr>
                      <w:rFonts w:hint="eastAsia"/>
                      <w:sz w:val="21"/>
                      <w:szCs w:val="21"/>
                      <w:u w:val="none"/>
                    </w:rPr>
                    <w:t>规模</w:t>
                  </w:r>
                </w:p>
              </w:tc>
              <w:tc>
                <w:tcPr>
                  <w:tcW w:w="821" w:type="pct"/>
                  <w:vMerge w:val="restart"/>
                  <w:noWrap w:val="0"/>
                  <w:vAlign w:val="center"/>
                </w:tcPr>
                <w:p w14:paraId="303D8421">
                  <w:pPr>
                    <w:pStyle w:val="30"/>
                    <w:keepNext w:val="0"/>
                    <w:keepLines w:val="0"/>
                    <w:pageBreakBefore w:val="0"/>
                    <w:widowControl w:val="0"/>
                    <w:tabs>
                      <w:tab w:val="left" w:pos="7500"/>
                    </w:tabs>
                    <w:kinsoku/>
                    <w:wordWrap/>
                    <w:overflowPunct/>
                    <w:topLinePunct w:val="0"/>
                    <w:bidi w:val="0"/>
                    <w:snapToGrid/>
                    <w:spacing w:after="0" w:line="240" w:lineRule="auto"/>
                    <w:ind w:left="0" w:leftChars="0" w:right="0" w:rightChars="0" w:firstLine="0" w:firstLineChars="0"/>
                    <w:jc w:val="center"/>
                    <w:textAlignment w:val="auto"/>
                    <w:rPr>
                      <w:rFonts w:hint="eastAsia"/>
                      <w:spacing w:val="0"/>
                      <w:kern w:val="0"/>
                      <w:sz w:val="21"/>
                      <w:szCs w:val="21"/>
                      <w:u w:val="none"/>
                      <w:lang w:val="en-US" w:eastAsia="zh-CN" w:bidi="ar-SA"/>
                    </w:rPr>
                  </w:pPr>
                  <w:r>
                    <w:rPr>
                      <w:sz w:val="21"/>
                      <w:szCs w:val="21"/>
                      <w:u w:val="none"/>
                    </w:rPr>
                    <w:t>保护内容</w:t>
                  </w:r>
                </w:p>
              </w:tc>
              <w:tc>
                <w:tcPr>
                  <w:tcW w:w="569" w:type="pct"/>
                  <w:vMerge w:val="restart"/>
                  <w:noWrap w:val="0"/>
                  <w:vAlign w:val="center"/>
                </w:tcPr>
                <w:p w14:paraId="5C77D0BE">
                  <w:pPr>
                    <w:pStyle w:val="30"/>
                    <w:keepNext w:val="0"/>
                    <w:keepLines w:val="0"/>
                    <w:pageBreakBefore w:val="0"/>
                    <w:widowControl w:val="0"/>
                    <w:tabs>
                      <w:tab w:val="left" w:pos="7500"/>
                    </w:tabs>
                    <w:kinsoku/>
                    <w:wordWrap/>
                    <w:overflowPunct/>
                    <w:topLinePunct w:val="0"/>
                    <w:bidi w:val="0"/>
                    <w:snapToGrid/>
                    <w:spacing w:after="0" w:line="240" w:lineRule="auto"/>
                    <w:ind w:left="0" w:leftChars="0" w:right="0" w:rightChars="0" w:firstLine="0" w:firstLineChars="0"/>
                    <w:jc w:val="center"/>
                    <w:textAlignment w:val="auto"/>
                    <w:rPr>
                      <w:spacing w:val="0"/>
                      <w:kern w:val="0"/>
                      <w:sz w:val="21"/>
                      <w:szCs w:val="21"/>
                      <w:u w:val="none"/>
                      <w:lang w:val="en-US" w:eastAsia="zh-CN" w:bidi="ar-SA"/>
                    </w:rPr>
                  </w:pPr>
                  <w:r>
                    <w:rPr>
                      <w:sz w:val="21"/>
                      <w:szCs w:val="21"/>
                      <w:u w:val="none"/>
                    </w:rPr>
                    <w:t>环境功能区</w:t>
                  </w:r>
                </w:p>
              </w:tc>
              <w:tc>
                <w:tcPr>
                  <w:tcW w:w="404" w:type="pct"/>
                  <w:vMerge w:val="restart"/>
                  <w:noWrap w:val="0"/>
                  <w:vAlign w:val="center"/>
                </w:tcPr>
                <w:p w14:paraId="709A5E4B">
                  <w:pPr>
                    <w:pStyle w:val="30"/>
                    <w:keepNext w:val="0"/>
                    <w:keepLines w:val="0"/>
                    <w:pageBreakBefore w:val="0"/>
                    <w:widowControl w:val="0"/>
                    <w:tabs>
                      <w:tab w:val="left" w:pos="7500"/>
                    </w:tabs>
                    <w:kinsoku/>
                    <w:wordWrap/>
                    <w:overflowPunct/>
                    <w:topLinePunct w:val="0"/>
                    <w:bidi w:val="0"/>
                    <w:snapToGrid/>
                    <w:spacing w:after="0" w:line="240" w:lineRule="auto"/>
                    <w:ind w:left="0" w:leftChars="0" w:right="0" w:rightChars="0" w:firstLine="0" w:firstLineChars="0"/>
                    <w:jc w:val="center"/>
                    <w:textAlignment w:val="auto"/>
                    <w:rPr>
                      <w:rFonts w:hint="eastAsia"/>
                      <w:spacing w:val="0"/>
                      <w:kern w:val="0"/>
                      <w:sz w:val="21"/>
                      <w:szCs w:val="21"/>
                      <w:u w:val="none"/>
                      <w:lang w:val="en-US" w:eastAsia="zh-CN" w:bidi="ar-SA"/>
                    </w:rPr>
                  </w:pPr>
                  <w:r>
                    <w:rPr>
                      <w:sz w:val="21"/>
                      <w:szCs w:val="21"/>
                      <w:u w:val="none"/>
                    </w:rPr>
                    <w:t>相对厂址方位</w:t>
                  </w:r>
                </w:p>
              </w:tc>
              <w:tc>
                <w:tcPr>
                  <w:tcW w:w="600" w:type="pct"/>
                  <w:vMerge w:val="restart"/>
                  <w:noWrap w:val="0"/>
                  <w:vAlign w:val="center"/>
                </w:tcPr>
                <w:p w14:paraId="5C051E3F">
                  <w:pPr>
                    <w:pStyle w:val="30"/>
                    <w:keepNext w:val="0"/>
                    <w:keepLines w:val="0"/>
                    <w:pageBreakBefore w:val="0"/>
                    <w:widowControl w:val="0"/>
                    <w:tabs>
                      <w:tab w:val="left" w:pos="7500"/>
                    </w:tabs>
                    <w:kinsoku/>
                    <w:wordWrap/>
                    <w:overflowPunct/>
                    <w:topLinePunct w:val="0"/>
                    <w:bidi w:val="0"/>
                    <w:snapToGrid/>
                    <w:spacing w:after="0" w:line="240" w:lineRule="auto"/>
                    <w:ind w:left="0" w:leftChars="0" w:right="0" w:rightChars="0" w:firstLine="0" w:firstLineChars="0"/>
                    <w:jc w:val="center"/>
                    <w:textAlignment w:val="auto"/>
                    <w:rPr>
                      <w:rFonts w:hint="eastAsia"/>
                      <w:spacing w:val="0"/>
                      <w:kern w:val="0"/>
                      <w:sz w:val="21"/>
                      <w:szCs w:val="21"/>
                      <w:u w:val="none"/>
                      <w:lang w:val="en-US" w:eastAsia="zh-CN" w:bidi="ar-SA"/>
                    </w:rPr>
                  </w:pPr>
                  <w:r>
                    <w:rPr>
                      <w:sz w:val="21"/>
                      <w:szCs w:val="21"/>
                      <w:u w:val="none"/>
                    </w:rPr>
                    <w:t>相对厂界距离（m）</w:t>
                  </w:r>
                </w:p>
              </w:tc>
            </w:tr>
            <w:tr w14:paraId="42DF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06" w:type="pct"/>
                  <w:vMerge w:val="continue"/>
                  <w:noWrap w:val="0"/>
                  <w:vAlign w:val="center"/>
                </w:tcPr>
                <w:p w14:paraId="25EF95F7">
                  <w:pPr>
                    <w:pStyle w:val="30"/>
                    <w:keepNext w:val="0"/>
                    <w:keepLines w:val="0"/>
                    <w:pageBreakBefore w:val="0"/>
                    <w:widowControl w:val="0"/>
                    <w:tabs>
                      <w:tab w:val="left" w:pos="7500"/>
                    </w:tabs>
                    <w:kinsoku/>
                    <w:wordWrap/>
                    <w:overflowPunct/>
                    <w:topLinePunct w:val="0"/>
                    <w:bidi w:val="0"/>
                    <w:snapToGrid/>
                    <w:spacing w:after="0" w:line="240" w:lineRule="auto"/>
                    <w:ind w:left="0" w:leftChars="0" w:right="0" w:rightChars="0" w:firstLine="0" w:firstLineChars="0"/>
                    <w:jc w:val="center"/>
                    <w:textAlignment w:val="auto"/>
                    <w:rPr>
                      <w:sz w:val="21"/>
                      <w:szCs w:val="21"/>
                      <w:u w:val="none"/>
                    </w:rPr>
                  </w:pPr>
                </w:p>
              </w:tc>
              <w:tc>
                <w:tcPr>
                  <w:tcW w:w="552" w:type="pct"/>
                  <w:noWrap w:val="0"/>
                  <w:vAlign w:val="center"/>
                </w:tcPr>
                <w:p w14:paraId="1683E807">
                  <w:pPr>
                    <w:pStyle w:val="30"/>
                    <w:keepNext w:val="0"/>
                    <w:keepLines w:val="0"/>
                    <w:pageBreakBefore w:val="0"/>
                    <w:widowControl w:val="0"/>
                    <w:tabs>
                      <w:tab w:val="left" w:pos="7500"/>
                    </w:tabs>
                    <w:kinsoku/>
                    <w:wordWrap/>
                    <w:overflowPunct/>
                    <w:topLinePunct w:val="0"/>
                    <w:bidi w:val="0"/>
                    <w:snapToGrid/>
                    <w:spacing w:after="0" w:line="240" w:lineRule="auto"/>
                    <w:ind w:left="0" w:leftChars="0" w:right="0" w:rightChars="0" w:firstLine="0" w:firstLineChars="0"/>
                    <w:jc w:val="center"/>
                    <w:textAlignment w:val="auto"/>
                    <w:rPr>
                      <w:rFonts w:hint="eastAsia" w:eastAsia="宋体"/>
                      <w:spacing w:val="0"/>
                      <w:kern w:val="0"/>
                      <w:sz w:val="21"/>
                      <w:szCs w:val="21"/>
                      <w:u w:val="none"/>
                      <w:lang w:val="en-US" w:eastAsia="zh-CN" w:bidi="ar-SA"/>
                    </w:rPr>
                  </w:pPr>
                  <w:r>
                    <w:rPr>
                      <w:rFonts w:hint="eastAsia"/>
                      <w:sz w:val="21"/>
                      <w:szCs w:val="21"/>
                      <w:u w:val="none"/>
                      <w:lang w:val="en-US" w:eastAsia="zh-CN"/>
                    </w:rPr>
                    <w:t>E</w:t>
                  </w:r>
                  <w:r>
                    <w:rPr>
                      <w:rFonts w:hint="default" w:ascii="Times New Roman" w:hAnsi="Times New Roman" w:cs="Times New Roman"/>
                      <w:sz w:val="21"/>
                      <w:szCs w:val="21"/>
                      <w:u w:val="none"/>
                      <w:lang w:val="en-US" w:eastAsia="zh-CN"/>
                    </w:rPr>
                    <w:t>°</w:t>
                  </w:r>
                </w:p>
              </w:tc>
              <w:tc>
                <w:tcPr>
                  <w:tcW w:w="517" w:type="pct"/>
                  <w:noWrap w:val="0"/>
                  <w:vAlign w:val="center"/>
                </w:tcPr>
                <w:p w14:paraId="1FFD5F5B">
                  <w:pPr>
                    <w:pStyle w:val="30"/>
                    <w:keepNext w:val="0"/>
                    <w:keepLines w:val="0"/>
                    <w:pageBreakBefore w:val="0"/>
                    <w:widowControl w:val="0"/>
                    <w:tabs>
                      <w:tab w:val="left" w:pos="7500"/>
                    </w:tabs>
                    <w:kinsoku/>
                    <w:wordWrap/>
                    <w:overflowPunct/>
                    <w:topLinePunct w:val="0"/>
                    <w:bidi w:val="0"/>
                    <w:snapToGrid/>
                    <w:spacing w:after="0" w:line="240" w:lineRule="auto"/>
                    <w:ind w:left="0" w:leftChars="0" w:right="0" w:rightChars="0" w:firstLine="0" w:firstLineChars="0"/>
                    <w:jc w:val="center"/>
                    <w:textAlignment w:val="auto"/>
                    <w:rPr>
                      <w:rFonts w:hint="eastAsia"/>
                      <w:spacing w:val="0"/>
                      <w:kern w:val="0"/>
                      <w:sz w:val="21"/>
                      <w:szCs w:val="21"/>
                      <w:u w:val="none"/>
                      <w:lang w:val="en-US" w:eastAsia="zh-CN" w:bidi="ar-SA"/>
                    </w:rPr>
                  </w:pPr>
                  <w:r>
                    <w:rPr>
                      <w:rFonts w:hint="eastAsia"/>
                      <w:sz w:val="21"/>
                      <w:szCs w:val="21"/>
                      <w:u w:val="none"/>
                      <w:lang w:val="en-US" w:eastAsia="zh-CN"/>
                    </w:rPr>
                    <w:t>N</w:t>
                  </w:r>
                  <w:r>
                    <w:rPr>
                      <w:rFonts w:hint="default" w:ascii="Times New Roman" w:hAnsi="Times New Roman" w:cs="Times New Roman"/>
                      <w:sz w:val="21"/>
                      <w:szCs w:val="21"/>
                      <w:u w:val="none"/>
                      <w:lang w:val="en-US" w:eastAsia="zh-CN"/>
                    </w:rPr>
                    <w:t>°</w:t>
                  </w:r>
                </w:p>
              </w:tc>
              <w:tc>
                <w:tcPr>
                  <w:tcW w:w="686" w:type="pct"/>
                  <w:vMerge w:val="continue"/>
                  <w:noWrap w:val="0"/>
                  <w:vAlign w:val="center"/>
                </w:tcPr>
                <w:p w14:paraId="4DA7C9A7">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sz w:val="21"/>
                      <w:szCs w:val="21"/>
                      <w:u w:val="none"/>
                    </w:rPr>
                  </w:pPr>
                </w:p>
              </w:tc>
              <w:tc>
                <w:tcPr>
                  <w:tcW w:w="441" w:type="pct"/>
                  <w:vMerge w:val="continue"/>
                  <w:noWrap w:val="0"/>
                  <w:vAlign w:val="center"/>
                </w:tcPr>
                <w:p w14:paraId="20C819DD">
                  <w:pPr>
                    <w:pStyle w:val="74"/>
                    <w:keepNext w:val="0"/>
                    <w:keepLines w:val="0"/>
                    <w:pageBreakBefore w:val="0"/>
                    <w:widowControl w:val="0"/>
                    <w:kinsoku/>
                    <w:wordWrap/>
                    <w:overflowPunct/>
                    <w:topLinePunct w:val="0"/>
                    <w:bidi w:val="0"/>
                    <w:snapToGrid/>
                    <w:spacing w:before="0" w:after="0" w:line="240" w:lineRule="auto"/>
                    <w:ind w:left="0" w:leftChars="0" w:right="0" w:rightChars="0" w:firstLine="0" w:firstLineChars="0"/>
                    <w:jc w:val="center"/>
                    <w:textAlignment w:val="auto"/>
                    <w:rPr>
                      <w:rFonts w:hint="eastAsia"/>
                      <w:sz w:val="21"/>
                      <w:szCs w:val="21"/>
                      <w:u w:val="none"/>
                    </w:rPr>
                  </w:pPr>
                </w:p>
              </w:tc>
              <w:tc>
                <w:tcPr>
                  <w:tcW w:w="821" w:type="pct"/>
                  <w:vMerge w:val="continue"/>
                  <w:noWrap w:val="0"/>
                  <w:vAlign w:val="center"/>
                </w:tcPr>
                <w:p w14:paraId="13FE7B97">
                  <w:pPr>
                    <w:pStyle w:val="74"/>
                    <w:keepNext w:val="0"/>
                    <w:keepLines w:val="0"/>
                    <w:pageBreakBefore w:val="0"/>
                    <w:widowControl w:val="0"/>
                    <w:kinsoku/>
                    <w:wordWrap/>
                    <w:overflowPunct/>
                    <w:topLinePunct w:val="0"/>
                    <w:bidi w:val="0"/>
                    <w:snapToGrid/>
                    <w:spacing w:before="0" w:after="0" w:line="240" w:lineRule="auto"/>
                    <w:ind w:left="0" w:leftChars="0" w:right="0" w:rightChars="0" w:firstLine="0" w:firstLineChars="0"/>
                    <w:jc w:val="center"/>
                    <w:textAlignment w:val="auto"/>
                    <w:rPr>
                      <w:sz w:val="21"/>
                      <w:szCs w:val="21"/>
                      <w:u w:val="none"/>
                    </w:rPr>
                  </w:pPr>
                </w:p>
              </w:tc>
              <w:tc>
                <w:tcPr>
                  <w:tcW w:w="569" w:type="pct"/>
                  <w:vMerge w:val="continue"/>
                  <w:noWrap w:val="0"/>
                  <w:vAlign w:val="center"/>
                </w:tcPr>
                <w:p w14:paraId="58F080AA">
                  <w:pPr>
                    <w:pStyle w:val="30"/>
                    <w:keepNext w:val="0"/>
                    <w:keepLines w:val="0"/>
                    <w:pageBreakBefore w:val="0"/>
                    <w:widowControl w:val="0"/>
                    <w:tabs>
                      <w:tab w:val="left" w:pos="7500"/>
                    </w:tabs>
                    <w:kinsoku/>
                    <w:wordWrap/>
                    <w:overflowPunct/>
                    <w:topLinePunct w:val="0"/>
                    <w:bidi w:val="0"/>
                    <w:snapToGrid/>
                    <w:spacing w:after="0" w:line="240" w:lineRule="auto"/>
                    <w:ind w:left="0" w:leftChars="0" w:right="0" w:rightChars="0" w:firstLine="0" w:firstLineChars="0"/>
                    <w:jc w:val="center"/>
                    <w:textAlignment w:val="auto"/>
                    <w:rPr>
                      <w:sz w:val="21"/>
                      <w:szCs w:val="21"/>
                      <w:u w:val="none"/>
                    </w:rPr>
                  </w:pPr>
                </w:p>
              </w:tc>
              <w:tc>
                <w:tcPr>
                  <w:tcW w:w="404" w:type="pct"/>
                  <w:vMerge w:val="continue"/>
                  <w:noWrap w:val="0"/>
                  <w:vAlign w:val="center"/>
                </w:tcPr>
                <w:p w14:paraId="30EFAF28">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sz w:val="21"/>
                      <w:szCs w:val="21"/>
                      <w:u w:val="none"/>
                    </w:rPr>
                  </w:pPr>
                </w:p>
              </w:tc>
              <w:tc>
                <w:tcPr>
                  <w:tcW w:w="600" w:type="pct"/>
                  <w:vMerge w:val="continue"/>
                  <w:noWrap w:val="0"/>
                  <w:vAlign w:val="center"/>
                </w:tcPr>
                <w:p w14:paraId="64755DB2">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sz w:val="21"/>
                      <w:szCs w:val="21"/>
                      <w:u w:val="none"/>
                    </w:rPr>
                  </w:pPr>
                </w:p>
              </w:tc>
            </w:tr>
            <w:tr w14:paraId="36FB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06" w:type="pct"/>
                  <w:noWrap w:val="0"/>
                  <w:vAlign w:val="center"/>
                </w:tcPr>
                <w:p w14:paraId="75DB3E1C">
                  <w:pPr>
                    <w:pStyle w:val="30"/>
                    <w:keepNext w:val="0"/>
                    <w:keepLines w:val="0"/>
                    <w:pageBreakBefore w:val="0"/>
                    <w:widowControl w:val="0"/>
                    <w:tabs>
                      <w:tab w:val="left" w:pos="7500"/>
                    </w:tabs>
                    <w:kinsoku/>
                    <w:wordWrap/>
                    <w:overflowPunct/>
                    <w:topLinePunct w:val="0"/>
                    <w:bidi w:val="0"/>
                    <w:snapToGrid/>
                    <w:spacing w:after="0" w:line="240" w:lineRule="auto"/>
                    <w:ind w:left="0" w:leftChars="0" w:right="0" w:rightChars="0" w:firstLine="0" w:firstLineChars="0"/>
                    <w:jc w:val="center"/>
                    <w:textAlignment w:val="auto"/>
                    <w:rPr>
                      <w:spacing w:val="0"/>
                      <w:kern w:val="0"/>
                      <w:sz w:val="21"/>
                      <w:szCs w:val="21"/>
                      <w:u w:val="none"/>
                      <w:lang w:val="en-US" w:eastAsia="zh-CN" w:bidi="ar-SA"/>
                    </w:rPr>
                  </w:pPr>
                  <w:r>
                    <w:rPr>
                      <w:sz w:val="21"/>
                      <w:szCs w:val="21"/>
                      <w:u w:val="none"/>
                    </w:rPr>
                    <w:t>环境空气</w:t>
                  </w:r>
                </w:p>
              </w:tc>
              <w:tc>
                <w:tcPr>
                  <w:tcW w:w="552" w:type="pct"/>
                  <w:shd w:val="clear" w:color="auto" w:fill="auto"/>
                  <w:noWrap w:val="0"/>
                  <w:vAlign w:val="center"/>
                </w:tcPr>
                <w:p w14:paraId="164C5792">
                  <w:pPr>
                    <w:contextualSpacing/>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113.21378946</w:t>
                  </w:r>
                </w:p>
              </w:tc>
              <w:tc>
                <w:tcPr>
                  <w:tcW w:w="517" w:type="pct"/>
                  <w:shd w:val="clear" w:color="auto" w:fill="auto"/>
                  <w:noWrap w:val="0"/>
                  <w:vAlign w:val="center"/>
                </w:tcPr>
                <w:p w14:paraId="22FD4212">
                  <w:pPr>
                    <w:contextualSpacing/>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29.48676177</w:t>
                  </w:r>
                </w:p>
              </w:tc>
              <w:tc>
                <w:tcPr>
                  <w:tcW w:w="686" w:type="pct"/>
                  <w:noWrap w:val="0"/>
                  <w:vAlign w:val="center"/>
                </w:tcPr>
                <w:p w14:paraId="5C9BC12B">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kern w:val="2"/>
                      <w:sz w:val="21"/>
                      <w:szCs w:val="21"/>
                      <w:u w:val="none"/>
                      <w:lang w:val="en-US" w:eastAsia="zh-CN" w:bidi="ar-SA"/>
                    </w:rPr>
                  </w:pPr>
                  <w:r>
                    <w:rPr>
                      <w:rFonts w:hint="eastAsia"/>
                      <w:sz w:val="21"/>
                      <w:szCs w:val="21"/>
                      <w:u w:val="none"/>
                    </w:rPr>
                    <w:t>际华工业园公租房</w:t>
                  </w:r>
                </w:p>
              </w:tc>
              <w:tc>
                <w:tcPr>
                  <w:tcW w:w="441" w:type="pct"/>
                  <w:noWrap w:val="0"/>
                  <w:vAlign w:val="center"/>
                </w:tcPr>
                <w:p w14:paraId="0F2A7209">
                  <w:pPr>
                    <w:pStyle w:val="74"/>
                    <w:keepNext w:val="0"/>
                    <w:keepLines w:val="0"/>
                    <w:pageBreakBefore w:val="0"/>
                    <w:widowControl w:val="0"/>
                    <w:kinsoku/>
                    <w:wordWrap/>
                    <w:overflowPunct/>
                    <w:topLinePunct w:val="0"/>
                    <w:bidi w:val="0"/>
                    <w:snapToGrid/>
                    <w:spacing w:before="0" w:after="0" w:line="240" w:lineRule="auto"/>
                    <w:ind w:left="0" w:leftChars="0" w:right="0" w:rightChars="0" w:firstLine="0" w:firstLineChars="0"/>
                    <w:jc w:val="center"/>
                    <w:textAlignment w:val="auto"/>
                    <w:rPr>
                      <w:kern w:val="21"/>
                      <w:sz w:val="21"/>
                      <w:szCs w:val="21"/>
                      <w:u w:val="none"/>
                      <w:lang w:val="en-US" w:eastAsia="zh-CN" w:bidi="ar-SA"/>
                    </w:rPr>
                  </w:pPr>
                  <w:r>
                    <w:rPr>
                      <w:rFonts w:hint="eastAsia"/>
                      <w:sz w:val="21"/>
                      <w:szCs w:val="21"/>
                      <w:u w:val="none"/>
                    </w:rPr>
                    <w:t>约600户</w:t>
                  </w:r>
                </w:p>
              </w:tc>
              <w:tc>
                <w:tcPr>
                  <w:tcW w:w="821" w:type="pct"/>
                  <w:noWrap w:val="0"/>
                  <w:vAlign w:val="center"/>
                </w:tcPr>
                <w:p w14:paraId="003A63B9">
                  <w:pPr>
                    <w:pStyle w:val="74"/>
                    <w:keepNext w:val="0"/>
                    <w:keepLines w:val="0"/>
                    <w:pageBreakBefore w:val="0"/>
                    <w:widowControl w:val="0"/>
                    <w:kinsoku/>
                    <w:wordWrap/>
                    <w:overflowPunct/>
                    <w:topLinePunct w:val="0"/>
                    <w:bidi w:val="0"/>
                    <w:snapToGrid/>
                    <w:spacing w:before="0" w:after="0" w:line="240" w:lineRule="auto"/>
                    <w:ind w:left="0" w:leftChars="0" w:right="0" w:rightChars="0" w:firstLine="0" w:firstLineChars="0"/>
                    <w:jc w:val="center"/>
                    <w:textAlignment w:val="auto"/>
                    <w:rPr>
                      <w:kern w:val="21"/>
                      <w:sz w:val="21"/>
                      <w:szCs w:val="21"/>
                      <w:u w:val="none"/>
                      <w:lang w:val="en-US" w:eastAsia="zh-CN" w:bidi="ar-SA"/>
                    </w:rPr>
                  </w:pPr>
                  <w:r>
                    <w:rPr>
                      <w:sz w:val="21"/>
                      <w:szCs w:val="21"/>
                      <w:u w:val="none"/>
                    </w:rPr>
                    <w:t>《环境空气质量标准》（GB3095-2012）</w:t>
                  </w:r>
                </w:p>
              </w:tc>
              <w:tc>
                <w:tcPr>
                  <w:tcW w:w="569" w:type="pct"/>
                  <w:noWrap w:val="0"/>
                  <w:vAlign w:val="center"/>
                </w:tcPr>
                <w:p w14:paraId="3B4E9AE9">
                  <w:pPr>
                    <w:pStyle w:val="30"/>
                    <w:keepNext w:val="0"/>
                    <w:keepLines w:val="0"/>
                    <w:pageBreakBefore w:val="0"/>
                    <w:widowControl w:val="0"/>
                    <w:tabs>
                      <w:tab w:val="left" w:pos="7500"/>
                    </w:tabs>
                    <w:kinsoku/>
                    <w:wordWrap/>
                    <w:overflowPunct/>
                    <w:topLinePunct w:val="0"/>
                    <w:bidi w:val="0"/>
                    <w:snapToGrid/>
                    <w:spacing w:after="0" w:line="240" w:lineRule="auto"/>
                    <w:ind w:left="0" w:leftChars="0" w:right="0" w:rightChars="0" w:firstLine="0" w:firstLineChars="0"/>
                    <w:jc w:val="center"/>
                    <w:textAlignment w:val="auto"/>
                    <w:rPr>
                      <w:spacing w:val="0"/>
                      <w:kern w:val="0"/>
                      <w:sz w:val="21"/>
                      <w:szCs w:val="21"/>
                      <w:u w:val="none"/>
                      <w:lang w:val="en-US" w:eastAsia="zh-CN" w:bidi="ar-SA"/>
                    </w:rPr>
                  </w:pPr>
                  <w:r>
                    <w:rPr>
                      <w:sz w:val="21"/>
                      <w:szCs w:val="21"/>
                      <w:u w:val="none"/>
                    </w:rPr>
                    <w:t>二类功能区</w:t>
                  </w:r>
                </w:p>
              </w:tc>
              <w:tc>
                <w:tcPr>
                  <w:tcW w:w="404" w:type="pct"/>
                  <w:noWrap w:val="0"/>
                  <w:vAlign w:val="center"/>
                </w:tcPr>
                <w:p w14:paraId="7867D2FD">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eastAsia="宋体"/>
                      <w:kern w:val="2"/>
                      <w:sz w:val="21"/>
                      <w:szCs w:val="21"/>
                      <w:u w:val="none"/>
                      <w:lang w:val="en-US" w:eastAsia="zh-CN" w:bidi="ar-SA"/>
                    </w:rPr>
                  </w:pPr>
                  <w:r>
                    <w:rPr>
                      <w:rFonts w:hint="eastAsia"/>
                      <w:sz w:val="21"/>
                      <w:szCs w:val="21"/>
                      <w:u w:val="none"/>
                      <w:lang w:val="en-US" w:eastAsia="zh-CN"/>
                    </w:rPr>
                    <w:t>E</w:t>
                  </w:r>
                </w:p>
              </w:tc>
              <w:tc>
                <w:tcPr>
                  <w:tcW w:w="600" w:type="pct"/>
                  <w:noWrap w:val="0"/>
                  <w:vAlign w:val="center"/>
                </w:tcPr>
                <w:p w14:paraId="1285B5C6">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eastAsia="宋体"/>
                      <w:kern w:val="2"/>
                      <w:sz w:val="21"/>
                      <w:szCs w:val="21"/>
                      <w:u w:val="none"/>
                      <w:lang w:val="en-US" w:eastAsia="zh-CN" w:bidi="ar-SA"/>
                    </w:rPr>
                  </w:pPr>
                  <w:r>
                    <w:rPr>
                      <w:rFonts w:hint="eastAsia"/>
                      <w:sz w:val="21"/>
                      <w:szCs w:val="21"/>
                      <w:u w:val="none"/>
                      <w:lang w:val="en-US" w:eastAsia="zh-CN"/>
                    </w:rPr>
                    <w:t>370-429</w:t>
                  </w:r>
                </w:p>
              </w:tc>
            </w:tr>
            <w:tr w14:paraId="7DD5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6" w:type="pct"/>
                  <w:noWrap w:val="0"/>
                  <w:vAlign w:val="center"/>
                </w:tcPr>
                <w:p w14:paraId="470459F1">
                  <w:pPr>
                    <w:pStyle w:val="74"/>
                    <w:keepNext w:val="0"/>
                    <w:keepLines w:val="0"/>
                    <w:pageBreakBefore w:val="0"/>
                    <w:widowControl w:val="0"/>
                    <w:kinsoku/>
                    <w:wordWrap/>
                    <w:overflowPunct/>
                    <w:topLinePunct w:val="0"/>
                    <w:bidi w:val="0"/>
                    <w:snapToGrid/>
                    <w:spacing w:before="0" w:after="0" w:line="240" w:lineRule="auto"/>
                    <w:ind w:left="0" w:leftChars="0" w:right="0" w:rightChars="0" w:firstLine="0" w:firstLineChars="0"/>
                    <w:jc w:val="center"/>
                    <w:textAlignment w:val="auto"/>
                    <w:rPr>
                      <w:kern w:val="21"/>
                      <w:sz w:val="21"/>
                      <w:szCs w:val="21"/>
                      <w:u w:val="none"/>
                      <w:lang w:val="en-US" w:eastAsia="zh-CN" w:bidi="ar-SA"/>
                    </w:rPr>
                  </w:pPr>
                  <w:r>
                    <w:rPr>
                      <w:sz w:val="21"/>
                      <w:szCs w:val="21"/>
                      <w:u w:val="none"/>
                    </w:rPr>
                    <w:t>地表水</w:t>
                  </w:r>
                </w:p>
              </w:tc>
              <w:tc>
                <w:tcPr>
                  <w:tcW w:w="1755" w:type="pct"/>
                  <w:gridSpan w:val="3"/>
                  <w:noWrap w:val="0"/>
                  <w:vAlign w:val="center"/>
                </w:tcPr>
                <w:p w14:paraId="555CA4EB">
                  <w:pPr>
                    <w:pStyle w:val="74"/>
                    <w:keepNext w:val="0"/>
                    <w:keepLines w:val="0"/>
                    <w:pageBreakBefore w:val="0"/>
                    <w:widowControl w:val="0"/>
                    <w:kinsoku/>
                    <w:wordWrap/>
                    <w:overflowPunct/>
                    <w:topLinePunct w:val="0"/>
                    <w:bidi w:val="0"/>
                    <w:snapToGrid/>
                    <w:spacing w:before="0" w:after="0" w:line="240" w:lineRule="auto"/>
                    <w:ind w:left="0" w:leftChars="0" w:right="0" w:rightChars="0" w:firstLine="0" w:firstLineChars="0"/>
                    <w:jc w:val="center"/>
                    <w:textAlignment w:val="auto"/>
                    <w:rPr>
                      <w:rFonts w:hint="eastAsia"/>
                      <w:kern w:val="21"/>
                      <w:sz w:val="21"/>
                      <w:szCs w:val="21"/>
                      <w:u w:val="none"/>
                      <w:lang w:val="en-US" w:eastAsia="zh-CN" w:bidi="ar-SA"/>
                    </w:rPr>
                  </w:pPr>
                  <w:r>
                    <w:rPr>
                      <w:rFonts w:hint="eastAsia" w:cs="Times New Roman"/>
                      <w:kern w:val="21"/>
                      <w:sz w:val="21"/>
                      <w:szCs w:val="21"/>
                      <w:u w:val="none"/>
                      <w:lang w:val="en-US" w:eastAsia="zh-CN" w:bidi="ar-SA"/>
                    </w:rPr>
                    <w:t>长江</w:t>
                  </w:r>
                </w:p>
              </w:tc>
              <w:tc>
                <w:tcPr>
                  <w:tcW w:w="1833" w:type="pct"/>
                  <w:gridSpan w:val="3"/>
                  <w:noWrap w:val="0"/>
                  <w:vAlign w:val="center"/>
                </w:tcPr>
                <w:p w14:paraId="46F12491">
                  <w:pPr>
                    <w:pStyle w:val="74"/>
                    <w:jc w:val="center"/>
                    <w:rPr>
                      <w:rFonts w:hint="eastAsia"/>
                      <w:spacing w:val="0"/>
                      <w:kern w:val="0"/>
                      <w:sz w:val="21"/>
                      <w:szCs w:val="21"/>
                      <w:u w:val="none"/>
                      <w:lang w:val="en-US" w:eastAsia="zh-CN" w:bidi="ar-SA"/>
                    </w:rPr>
                  </w:pPr>
                  <w:r>
                    <w:rPr>
                      <w:rFonts w:hint="eastAsia"/>
                      <w:sz w:val="21"/>
                      <w:szCs w:val="21"/>
                      <w:u w:val="none"/>
                    </w:rPr>
                    <w:t>洞庭湖口铜鱼短颌鲚水产种质资源保护区（试验区）</w:t>
                  </w:r>
                </w:p>
              </w:tc>
              <w:tc>
                <w:tcPr>
                  <w:tcW w:w="404" w:type="pct"/>
                  <w:noWrap w:val="0"/>
                  <w:vAlign w:val="center"/>
                </w:tcPr>
                <w:p w14:paraId="5C528EE4">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kern w:val="2"/>
                      <w:sz w:val="21"/>
                      <w:szCs w:val="21"/>
                      <w:u w:val="none"/>
                      <w:lang w:val="en-US" w:eastAsia="zh-CN" w:bidi="ar-SA"/>
                    </w:rPr>
                  </w:pPr>
                  <w:r>
                    <w:rPr>
                      <w:rFonts w:hint="eastAsia"/>
                      <w:kern w:val="2"/>
                      <w:sz w:val="21"/>
                      <w:szCs w:val="21"/>
                      <w:u w:val="none"/>
                      <w:lang w:val="en-US" w:eastAsia="zh-CN" w:bidi="ar-SA"/>
                    </w:rPr>
                    <w:t>W</w:t>
                  </w:r>
                </w:p>
              </w:tc>
              <w:tc>
                <w:tcPr>
                  <w:tcW w:w="600" w:type="pct"/>
                  <w:noWrap w:val="0"/>
                  <w:vAlign w:val="center"/>
                </w:tcPr>
                <w:p w14:paraId="4B57075B">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eastAsia="宋体"/>
                      <w:kern w:val="2"/>
                      <w:sz w:val="21"/>
                      <w:szCs w:val="21"/>
                      <w:u w:val="none"/>
                      <w:lang w:val="en-US" w:eastAsia="zh-CN" w:bidi="ar-SA"/>
                    </w:rPr>
                  </w:pPr>
                  <w:r>
                    <w:rPr>
                      <w:rFonts w:hint="eastAsia"/>
                      <w:sz w:val="21"/>
                      <w:szCs w:val="21"/>
                      <w:u w:val="none"/>
                      <w:lang w:val="en-US" w:eastAsia="zh-CN"/>
                    </w:rPr>
                    <w:t>1800</w:t>
                  </w:r>
                </w:p>
              </w:tc>
            </w:tr>
          </w:tbl>
          <w:p w14:paraId="122B0DA7"/>
        </w:tc>
      </w:tr>
      <w:tr w14:paraId="20D57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800" w:type="dxa"/>
            <w:tcMar>
              <w:left w:w="28" w:type="dxa"/>
              <w:right w:w="28" w:type="dxa"/>
            </w:tcMar>
            <w:vAlign w:val="center"/>
          </w:tcPr>
          <w:p w14:paraId="12B55882">
            <w:pPr>
              <w:adjustRightInd w:val="0"/>
              <w:snapToGrid w:val="0"/>
              <w:jc w:val="center"/>
              <w:rPr>
                <w:kern w:val="0"/>
                <w:szCs w:val="21"/>
              </w:rPr>
            </w:pPr>
            <w:r>
              <w:rPr>
                <w:kern w:val="0"/>
                <w:szCs w:val="21"/>
              </w:rPr>
              <w:t>污染</w:t>
            </w:r>
          </w:p>
          <w:p w14:paraId="6025DAD6">
            <w:pPr>
              <w:adjustRightInd w:val="0"/>
              <w:snapToGrid w:val="0"/>
              <w:jc w:val="center"/>
              <w:rPr>
                <w:kern w:val="0"/>
                <w:szCs w:val="21"/>
              </w:rPr>
            </w:pPr>
            <w:r>
              <w:rPr>
                <w:kern w:val="0"/>
                <w:szCs w:val="21"/>
              </w:rPr>
              <w:t>物排</w:t>
            </w:r>
          </w:p>
          <w:p w14:paraId="6EB86638">
            <w:pPr>
              <w:adjustRightInd w:val="0"/>
              <w:snapToGrid w:val="0"/>
              <w:jc w:val="center"/>
              <w:rPr>
                <w:kern w:val="0"/>
                <w:szCs w:val="21"/>
              </w:rPr>
            </w:pPr>
            <w:r>
              <w:rPr>
                <w:kern w:val="0"/>
                <w:szCs w:val="21"/>
              </w:rPr>
              <w:t>放控</w:t>
            </w:r>
          </w:p>
          <w:p w14:paraId="7FF19E6C">
            <w:pPr>
              <w:adjustRightInd w:val="0"/>
              <w:snapToGrid w:val="0"/>
              <w:jc w:val="center"/>
              <w:rPr>
                <w:kern w:val="0"/>
                <w:szCs w:val="21"/>
              </w:rPr>
            </w:pPr>
            <w:r>
              <w:rPr>
                <w:kern w:val="0"/>
                <w:szCs w:val="21"/>
              </w:rPr>
              <w:t>制标</w:t>
            </w:r>
          </w:p>
          <w:p w14:paraId="2089DB99">
            <w:pPr>
              <w:adjustRightInd w:val="0"/>
              <w:snapToGrid w:val="0"/>
              <w:jc w:val="center"/>
              <w:rPr>
                <w:kern w:val="0"/>
                <w:szCs w:val="21"/>
              </w:rPr>
            </w:pPr>
            <w:r>
              <w:rPr>
                <w:kern w:val="0"/>
                <w:szCs w:val="21"/>
              </w:rPr>
              <w:t>准</w:t>
            </w:r>
          </w:p>
        </w:tc>
        <w:tc>
          <w:tcPr>
            <w:tcW w:w="8190" w:type="dxa"/>
            <w:vAlign w:val="center"/>
          </w:tcPr>
          <w:p w14:paraId="1C0A3AC5">
            <w:pPr>
              <w:pStyle w:val="28"/>
              <w:spacing w:before="0" w:after="0" w:line="360" w:lineRule="auto"/>
              <w:ind w:right="0" w:firstLine="0" w:firstLineChars="0"/>
              <w:rPr>
                <w:b/>
                <w:sz w:val="24"/>
                <w:szCs w:val="24"/>
              </w:rPr>
            </w:pPr>
            <w:r>
              <w:rPr>
                <w:b/>
                <w:sz w:val="24"/>
                <w:szCs w:val="24"/>
              </w:rPr>
              <w:t>1、废气</w:t>
            </w:r>
          </w:p>
          <w:p w14:paraId="22ED60C4">
            <w:pPr>
              <w:spacing w:line="360" w:lineRule="auto"/>
              <w:ind w:firstLine="480" w:firstLineChars="200"/>
              <w:rPr>
                <w:rFonts w:hint="eastAsia" w:ascii="Times New Roman" w:hAnsi="Times New Roman" w:eastAsia="宋体" w:cs="Times New Roman"/>
                <w:sz w:val="24"/>
                <w:lang w:val="en-US" w:eastAsia="zh-CN"/>
              </w:rPr>
            </w:pPr>
            <w:r>
              <w:rPr>
                <w:rFonts w:hint="eastAsia"/>
                <w:lang w:val="en-US" w:eastAsia="zh-CN"/>
              </w:rPr>
              <w:t>有组织废气VOCs（用NMHC表征）以及厂界</w:t>
            </w:r>
            <w:r>
              <w:rPr>
                <w:rFonts w:hint="eastAsia"/>
              </w:rPr>
              <w:t>无组织废气</w:t>
            </w:r>
            <w:r>
              <w:rPr>
                <w:rFonts w:hint="eastAsia"/>
                <w:lang w:val="en-US" w:eastAsia="zh-CN"/>
              </w:rPr>
              <w:t>VOCs（用NMHC表征）</w:t>
            </w:r>
            <w:r>
              <w:rPr>
                <w:rFonts w:hint="eastAsia"/>
              </w:rPr>
              <w:t>执行《大气污染物综合排放标准》（GB16297-1996）表2</w:t>
            </w:r>
            <w:r>
              <w:rPr>
                <w:rFonts w:hint="eastAsia"/>
                <w:lang w:val="en-US" w:eastAsia="zh-CN"/>
              </w:rPr>
              <w:t>中</w:t>
            </w:r>
            <w:r>
              <w:rPr>
                <w:rFonts w:hint="eastAsia"/>
              </w:rPr>
              <w:t>限值要求</w:t>
            </w:r>
            <w:r>
              <w:rPr>
                <w:rFonts w:hint="eastAsia"/>
                <w:lang w:eastAsia="zh-CN"/>
              </w:rPr>
              <w:t>，</w:t>
            </w:r>
            <w:r>
              <w:rPr>
                <w:rFonts w:hint="eastAsia"/>
                <w:lang w:val="en-US" w:eastAsia="zh-CN"/>
              </w:rPr>
              <w:t>厂房外VOCs（用NMHC表征）执行</w:t>
            </w:r>
            <w:r>
              <w:rPr>
                <w:rFonts w:hint="eastAsia"/>
              </w:rPr>
              <w:t>《挥发性有机物无组织排放控制标准》（GB 37822—2019）</w:t>
            </w:r>
            <w:r>
              <w:rPr>
                <w:rFonts w:hint="eastAsia"/>
                <w:lang w:val="en-US" w:eastAsia="zh-CN"/>
              </w:rPr>
              <w:t>中无组织限值要求，有组织臭气浓度以及厂界臭气浓度执行《</w:t>
            </w:r>
            <w:r>
              <w:rPr>
                <w:rFonts w:hint="eastAsia"/>
              </w:rPr>
              <w:t>恶臭污染物排放标准</w:t>
            </w:r>
            <w:r>
              <w:rPr>
                <w:rFonts w:hint="eastAsia"/>
                <w:lang w:val="en-US" w:eastAsia="zh-CN"/>
              </w:rPr>
              <w:t>》（</w:t>
            </w:r>
            <w:r>
              <w:rPr>
                <w:rFonts w:hint="eastAsia"/>
              </w:rPr>
              <w:t>GB 14554-93</w:t>
            </w:r>
            <w:r>
              <w:rPr>
                <w:rFonts w:hint="eastAsia"/>
                <w:lang w:val="en-US" w:eastAsia="zh-CN"/>
              </w:rPr>
              <w:t>）</w:t>
            </w:r>
            <w:r>
              <w:rPr>
                <w:rFonts w:hint="eastAsia" w:ascii="Times New Roman" w:hAnsi="Times New Roman" w:eastAsia="宋体" w:cs="Times New Roman"/>
                <w:sz w:val="24"/>
                <w:lang w:val="zh-CN" w:eastAsia="zh-CN"/>
              </w:rPr>
              <w:t>具体见</w:t>
            </w:r>
            <w:r>
              <w:rPr>
                <w:rFonts w:hint="eastAsia" w:ascii="Times New Roman" w:hAnsi="Times New Roman" w:eastAsia="宋体" w:cs="Times New Roman"/>
                <w:sz w:val="24"/>
                <w:lang w:val="en-US" w:eastAsia="zh-CN"/>
              </w:rPr>
              <w:t>下</w:t>
            </w:r>
            <w:r>
              <w:rPr>
                <w:rFonts w:hint="eastAsia" w:ascii="Times New Roman" w:hAnsi="Times New Roman" w:eastAsia="宋体" w:cs="Times New Roman"/>
                <w:sz w:val="24"/>
                <w:lang w:val="zh-CN" w:eastAsia="zh-CN"/>
              </w:rPr>
              <w:t>表。</w:t>
            </w:r>
          </w:p>
          <w:p w14:paraId="56022646">
            <w:pPr>
              <w:spacing w:line="240" w:lineRule="auto"/>
              <w:jc w:val="center"/>
              <w:rPr>
                <w:b/>
              </w:rPr>
            </w:pPr>
            <w:r>
              <w:rPr>
                <w:b/>
              </w:rPr>
              <w:t>表</w:t>
            </w:r>
            <w:r>
              <w:rPr>
                <w:rFonts w:hint="eastAsia"/>
                <w:b/>
              </w:rPr>
              <w:t>3-</w:t>
            </w:r>
            <w:r>
              <w:rPr>
                <w:rFonts w:hint="eastAsia"/>
                <w:b/>
                <w:lang w:val="en-US" w:eastAsia="zh-CN"/>
              </w:rPr>
              <w:t>3</w:t>
            </w:r>
            <w:r>
              <w:rPr>
                <w:rFonts w:hint="eastAsia"/>
                <w:b/>
              </w:rPr>
              <w:t xml:space="preserve">  </w:t>
            </w:r>
            <w:r>
              <w:rPr>
                <w:b/>
              </w:rPr>
              <w:t>大气污染物排放标准</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049"/>
              <w:gridCol w:w="1106"/>
              <w:gridCol w:w="1106"/>
              <w:gridCol w:w="1561"/>
              <w:gridCol w:w="3139"/>
            </w:tblGrid>
            <w:tr w14:paraId="75BAAF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658" w:type="pct"/>
                  <w:vAlign w:val="center"/>
                </w:tcPr>
                <w:p w14:paraId="449B1074">
                  <w:pPr>
                    <w:autoSpaceDE w:val="0"/>
                    <w:autoSpaceDN w:val="0"/>
                    <w:adjustRightInd w:val="0"/>
                    <w:snapToGrid w:val="0"/>
                    <w:spacing w:line="240" w:lineRule="auto"/>
                    <w:jc w:val="center"/>
                    <w:textAlignment w:val="baseline"/>
                    <w:rPr>
                      <w:bCs/>
                      <w:sz w:val="21"/>
                      <w:szCs w:val="21"/>
                    </w:rPr>
                  </w:pPr>
                  <w:r>
                    <w:rPr>
                      <w:bCs/>
                      <w:sz w:val="21"/>
                      <w:szCs w:val="21"/>
                    </w:rPr>
                    <w:t>类别</w:t>
                  </w:r>
                </w:p>
              </w:tc>
              <w:tc>
                <w:tcPr>
                  <w:tcW w:w="1389" w:type="pct"/>
                  <w:gridSpan w:val="2"/>
                  <w:vAlign w:val="center"/>
                </w:tcPr>
                <w:p w14:paraId="205EBF5C">
                  <w:pPr>
                    <w:autoSpaceDE w:val="0"/>
                    <w:autoSpaceDN w:val="0"/>
                    <w:adjustRightInd w:val="0"/>
                    <w:snapToGrid w:val="0"/>
                    <w:spacing w:line="240" w:lineRule="auto"/>
                    <w:jc w:val="center"/>
                    <w:textAlignment w:val="baseline"/>
                    <w:rPr>
                      <w:bCs/>
                      <w:sz w:val="21"/>
                      <w:szCs w:val="21"/>
                    </w:rPr>
                  </w:pPr>
                  <w:r>
                    <w:rPr>
                      <w:rFonts w:hint="eastAsia"/>
                      <w:bCs/>
                      <w:sz w:val="21"/>
                      <w:szCs w:val="21"/>
                    </w:rPr>
                    <w:t>污染物</w:t>
                  </w:r>
                </w:p>
              </w:tc>
              <w:tc>
                <w:tcPr>
                  <w:tcW w:w="980" w:type="pct"/>
                  <w:vAlign w:val="center"/>
                </w:tcPr>
                <w:p w14:paraId="6AC2536E">
                  <w:pPr>
                    <w:pStyle w:val="92"/>
                    <w:spacing w:line="240" w:lineRule="auto"/>
                    <w:rPr>
                      <w:rFonts w:hint="default"/>
                      <w:bCs/>
                      <w:sz w:val="21"/>
                      <w:szCs w:val="21"/>
                      <w:lang w:val="en-US" w:eastAsia="zh-CN"/>
                    </w:rPr>
                  </w:pPr>
                  <w:r>
                    <w:rPr>
                      <w:rFonts w:hint="eastAsia"/>
                      <w:bCs/>
                      <w:sz w:val="21"/>
                      <w:szCs w:val="21"/>
                      <w:lang w:val="en-US" w:eastAsia="zh-CN"/>
                    </w:rPr>
                    <w:t>标准限值</w:t>
                  </w:r>
                </w:p>
              </w:tc>
              <w:tc>
                <w:tcPr>
                  <w:tcW w:w="1971" w:type="pct"/>
                  <w:vAlign w:val="center"/>
                </w:tcPr>
                <w:p w14:paraId="40B6359B">
                  <w:pPr>
                    <w:autoSpaceDE w:val="0"/>
                    <w:autoSpaceDN w:val="0"/>
                    <w:adjustRightInd w:val="0"/>
                    <w:snapToGrid w:val="0"/>
                    <w:spacing w:line="240" w:lineRule="auto"/>
                    <w:jc w:val="center"/>
                    <w:textAlignment w:val="baseline"/>
                    <w:rPr>
                      <w:bCs/>
                      <w:sz w:val="21"/>
                      <w:szCs w:val="21"/>
                    </w:rPr>
                  </w:pPr>
                  <w:r>
                    <w:rPr>
                      <w:bCs/>
                      <w:sz w:val="21"/>
                      <w:szCs w:val="21"/>
                    </w:rPr>
                    <w:t>执行标准</w:t>
                  </w:r>
                </w:p>
              </w:tc>
            </w:tr>
            <w:tr w14:paraId="6A55B3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658" w:type="pct"/>
                  <w:vMerge w:val="restart"/>
                  <w:vAlign w:val="center"/>
                </w:tcPr>
                <w:p w14:paraId="17FFC0F3">
                  <w:pPr>
                    <w:autoSpaceDE w:val="0"/>
                    <w:autoSpaceDN w:val="0"/>
                    <w:adjustRightInd w:val="0"/>
                    <w:snapToGrid w:val="0"/>
                    <w:spacing w:line="240" w:lineRule="auto"/>
                    <w:jc w:val="center"/>
                    <w:textAlignment w:val="baseline"/>
                    <w:rPr>
                      <w:rFonts w:hint="eastAsia" w:eastAsia="宋体"/>
                      <w:sz w:val="21"/>
                      <w:szCs w:val="21"/>
                      <w:lang w:val="en-US" w:eastAsia="zh-CN"/>
                    </w:rPr>
                  </w:pPr>
                  <w:r>
                    <w:rPr>
                      <w:rFonts w:hint="eastAsia"/>
                      <w:sz w:val="21"/>
                      <w:szCs w:val="21"/>
                      <w:lang w:val="en-US" w:eastAsia="zh-CN"/>
                    </w:rPr>
                    <w:t>有组织</w:t>
                  </w:r>
                </w:p>
              </w:tc>
              <w:tc>
                <w:tcPr>
                  <w:tcW w:w="694" w:type="pct"/>
                  <w:vMerge w:val="restart"/>
                  <w:shd w:val="clear" w:color="auto" w:fill="auto"/>
                  <w:vAlign w:val="center"/>
                </w:tcPr>
                <w:p w14:paraId="63BE4EF5">
                  <w:pPr>
                    <w:autoSpaceDE w:val="0"/>
                    <w:autoSpaceDN w:val="0"/>
                    <w:adjustRightInd w:val="0"/>
                    <w:snapToGrid w:val="0"/>
                    <w:spacing w:line="240" w:lineRule="auto"/>
                    <w:jc w:val="center"/>
                    <w:textAlignment w:val="baseline"/>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NHMC</w:t>
                  </w:r>
                </w:p>
              </w:tc>
              <w:tc>
                <w:tcPr>
                  <w:tcW w:w="694" w:type="pct"/>
                  <w:shd w:val="clear" w:color="auto" w:fill="auto"/>
                  <w:vAlign w:val="center"/>
                </w:tcPr>
                <w:p w14:paraId="123EEEF7">
                  <w:pPr>
                    <w:autoSpaceDE w:val="0"/>
                    <w:autoSpaceDN w:val="0"/>
                    <w:adjustRightInd w:val="0"/>
                    <w:snapToGrid w:val="0"/>
                    <w:spacing w:line="240" w:lineRule="auto"/>
                    <w:jc w:val="center"/>
                    <w:textAlignment w:val="baseline"/>
                    <w:rPr>
                      <w:rFonts w:hint="default"/>
                      <w:sz w:val="21"/>
                      <w:szCs w:val="21"/>
                      <w:lang w:val="en-US" w:eastAsia="zh-CN"/>
                    </w:rPr>
                  </w:pPr>
                  <w:r>
                    <w:rPr>
                      <w:rFonts w:hint="eastAsia"/>
                      <w:sz w:val="21"/>
                      <w:szCs w:val="21"/>
                      <w:lang w:val="en-US" w:eastAsia="zh-CN"/>
                    </w:rPr>
                    <w:t>排放浓度</w:t>
                  </w:r>
                </w:p>
              </w:tc>
              <w:tc>
                <w:tcPr>
                  <w:tcW w:w="980" w:type="pct"/>
                  <w:shd w:val="clear" w:color="auto" w:fill="auto"/>
                  <w:vAlign w:val="center"/>
                </w:tcPr>
                <w:p w14:paraId="68FE77A9">
                  <w:pPr>
                    <w:widowControl/>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120</w:t>
                  </w:r>
                  <w:r>
                    <w:rPr>
                      <w:rFonts w:hint="eastAsia"/>
                      <w:bCs/>
                      <w:sz w:val="21"/>
                      <w:szCs w:val="21"/>
                      <w:lang w:val="en-US" w:eastAsia="zh-CN"/>
                    </w:rPr>
                    <w:t>mg/m</w:t>
                  </w:r>
                  <w:r>
                    <w:rPr>
                      <w:rFonts w:hint="eastAsia"/>
                      <w:bCs/>
                      <w:sz w:val="21"/>
                      <w:szCs w:val="21"/>
                      <w:vertAlign w:val="superscript"/>
                      <w:lang w:val="en-US" w:eastAsia="zh-CN"/>
                    </w:rPr>
                    <w:t>3</w:t>
                  </w:r>
                </w:p>
              </w:tc>
              <w:tc>
                <w:tcPr>
                  <w:tcW w:w="1971" w:type="pct"/>
                  <w:vMerge w:val="restart"/>
                  <w:shd w:val="clear" w:color="auto" w:fill="auto"/>
                  <w:vAlign w:val="center"/>
                </w:tcPr>
                <w:p w14:paraId="15BB9845">
                  <w:pPr>
                    <w:autoSpaceDE w:val="0"/>
                    <w:autoSpaceDN w:val="0"/>
                    <w:adjustRightInd w:val="0"/>
                    <w:snapToGrid w:val="0"/>
                    <w:spacing w:line="240" w:lineRule="auto"/>
                    <w:jc w:val="center"/>
                    <w:textAlignment w:val="baseline"/>
                    <w:rPr>
                      <w:rFonts w:hint="eastAsia"/>
                      <w:sz w:val="21"/>
                      <w:szCs w:val="21"/>
                    </w:rPr>
                  </w:pPr>
                  <w:r>
                    <w:rPr>
                      <w:rFonts w:hint="eastAsia"/>
                      <w:sz w:val="21"/>
                      <w:szCs w:val="21"/>
                    </w:rPr>
                    <w:t>《大气污染物综合排放标准》（GB16297-1996）</w:t>
                  </w:r>
                </w:p>
              </w:tc>
            </w:tr>
            <w:tr w14:paraId="05225A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658" w:type="pct"/>
                  <w:vMerge w:val="continue"/>
                  <w:vAlign w:val="center"/>
                </w:tcPr>
                <w:p w14:paraId="613E24C9">
                  <w:pPr>
                    <w:autoSpaceDE w:val="0"/>
                    <w:autoSpaceDN w:val="0"/>
                    <w:adjustRightInd w:val="0"/>
                    <w:snapToGrid w:val="0"/>
                    <w:spacing w:line="240" w:lineRule="auto"/>
                    <w:jc w:val="center"/>
                    <w:textAlignment w:val="baseline"/>
                    <w:rPr>
                      <w:rFonts w:hint="eastAsia"/>
                      <w:sz w:val="21"/>
                      <w:szCs w:val="21"/>
                      <w:lang w:val="en-US" w:eastAsia="zh-CN"/>
                    </w:rPr>
                  </w:pPr>
                </w:p>
              </w:tc>
              <w:tc>
                <w:tcPr>
                  <w:tcW w:w="694" w:type="pct"/>
                  <w:vMerge w:val="continue"/>
                  <w:shd w:val="clear" w:color="auto" w:fill="auto"/>
                  <w:vAlign w:val="center"/>
                </w:tcPr>
                <w:p w14:paraId="1A1DCA68">
                  <w:pPr>
                    <w:autoSpaceDE w:val="0"/>
                    <w:autoSpaceDN w:val="0"/>
                    <w:adjustRightInd w:val="0"/>
                    <w:snapToGrid w:val="0"/>
                    <w:spacing w:line="240" w:lineRule="auto"/>
                    <w:jc w:val="center"/>
                    <w:textAlignment w:val="baseline"/>
                    <w:rPr>
                      <w:rFonts w:hint="eastAsia"/>
                      <w:sz w:val="21"/>
                      <w:szCs w:val="21"/>
                      <w:lang w:val="en-US" w:eastAsia="zh-CN"/>
                    </w:rPr>
                  </w:pPr>
                </w:p>
              </w:tc>
              <w:tc>
                <w:tcPr>
                  <w:tcW w:w="694" w:type="pct"/>
                  <w:shd w:val="clear" w:color="auto" w:fill="auto"/>
                  <w:vAlign w:val="center"/>
                </w:tcPr>
                <w:p w14:paraId="7F7B7DC8">
                  <w:pPr>
                    <w:autoSpaceDE w:val="0"/>
                    <w:autoSpaceDN w:val="0"/>
                    <w:adjustRightInd w:val="0"/>
                    <w:snapToGrid w:val="0"/>
                    <w:spacing w:line="240" w:lineRule="auto"/>
                    <w:jc w:val="center"/>
                    <w:textAlignment w:val="baseline"/>
                    <w:rPr>
                      <w:rFonts w:hint="default"/>
                      <w:sz w:val="21"/>
                      <w:szCs w:val="21"/>
                      <w:lang w:val="en-US" w:eastAsia="zh-CN"/>
                    </w:rPr>
                  </w:pPr>
                  <w:r>
                    <w:rPr>
                      <w:rFonts w:hint="eastAsia"/>
                      <w:sz w:val="21"/>
                      <w:szCs w:val="21"/>
                      <w:lang w:val="en-US" w:eastAsia="zh-CN"/>
                    </w:rPr>
                    <w:t>排放速率</w:t>
                  </w:r>
                </w:p>
              </w:tc>
              <w:tc>
                <w:tcPr>
                  <w:tcW w:w="980" w:type="pct"/>
                  <w:shd w:val="clear" w:color="auto" w:fill="auto"/>
                  <w:vAlign w:val="center"/>
                </w:tcPr>
                <w:p w14:paraId="564E070F">
                  <w:pPr>
                    <w:widowControl/>
                    <w:spacing w:line="240" w:lineRule="auto"/>
                    <w:jc w:val="center"/>
                    <w:rPr>
                      <w:rFonts w:hint="default" w:cs="Times New Roman"/>
                      <w:sz w:val="21"/>
                      <w:szCs w:val="21"/>
                      <w:lang w:val="en-US" w:eastAsia="zh-CN"/>
                    </w:rPr>
                  </w:pPr>
                  <w:r>
                    <w:rPr>
                      <w:rFonts w:hint="eastAsia" w:cs="Times New Roman"/>
                      <w:sz w:val="21"/>
                      <w:szCs w:val="21"/>
                      <w:lang w:val="en-US" w:eastAsia="zh-CN"/>
                    </w:rPr>
                    <w:t>16kg/h</w:t>
                  </w:r>
                </w:p>
              </w:tc>
              <w:tc>
                <w:tcPr>
                  <w:tcW w:w="1971" w:type="pct"/>
                  <w:vMerge w:val="continue"/>
                  <w:shd w:val="clear" w:color="auto" w:fill="auto"/>
                  <w:vAlign w:val="center"/>
                </w:tcPr>
                <w:p w14:paraId="5AC5433D">
                  <w:pPr>
                    <w:autoSpaceDE w:val="0"/>
                    <w:autoSpaceDN w:val="0"/>
                    <w:adjustRightInd w:val="0"/>
                    <w:snapToGrid w:val="0"/>
                    <w:spacing w:line="240" w:lineRule="auto"/>
                    <w:jc w:val="center"/>
                    <w:textAlignment w:val="baseline"/>
                    <w:rPr>
                      <w:rFonts w:hint="eastAsia"/>
                      <w:sz w:val="21"/>
                      <w:szCs w:val="21"/>
                    </w:rPr>
                  </w:pPr>
                </w:p>
              </w:tc>
            </w:tr>
            <w:tr w14:paraId="05D116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658" w:type="pct"/>
                  <w:vMerge w:val="continue"/>
                  <w:vAlign w:val="center"/>
                </w:tcPr>
                <w:p w14:paraId="2B606B9F">
                  <w:pPr>
                    <w:autoSpaceDE w:val="0"/>
                    <w:autoSpaceDN w:val="0"/>
                    <w:adjustRightInd w:val="0"/>
                    <w:snapToGrid w:val="0"/>
                    <w:spacing w:line="240" w:lineRule="auto"/>
                    <w:jc w:val="center"/>
                    <w:textAlignment w:val="baseline"/>
                    <w:rPr>
                      <w:rFonts w:hint="eastAsia"/>
                      <w:sz w:val="21"/>
                      <w:szCs w:val="21"/>
                    </w:rPr>
                  </w:pPr>
                </w:p>
              </w:tc>
              <w:tc>
                <w:tcPr>
                  <w:tcW w:w="1389" w:type="pct"/>
                  <w:gridSpan w:val="2"/>
                  <w:shd w:val="clear" w:color="auto" w:fill="auto"/>
                  <w:vAlign w:val="center"/>
                </w:tcPr>
                <w:p w14:paraId="5A1CA01F">
                  <w:pPr>
                    <w:autoSpaceDE w:val="0"/>
                    <w:autoSpaceDN w:val="0"/>
                    <w:adjustRightInd w:val="0"/>
                    <w:snapToGrid w:val="0"/>
                    <w:spacing w:line="240" w:lineRule="auto"/>
                    <w:jc w:val="center"/>
                    <w:textAlignment w:val="baseline"/>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臭气浓度</w:t>
                  </w:r>
                </w:p>
              </w:tc>
              <w:tc>
                <w:tcPr>
                  <w:tcW w:w="980" w:type="pct"/>
                  <w:shd w:val="clear" w:color="auto" w:fill="auto"/>
                  <w:vAlign w:val="center"/>
                </w:tcPr>
                <w:p w14:paraId="0E2C381A">
                  <w:pPr>
                    <w:widowControl/>
                    <w:spacing w:line="240" w:lineRule="auto"/>
                    <w:jc w:val="center"/>
                    <w:rPr>
                      <w:rFonts w:hint="default" w:ascii="Times New Roman" w:hAnsi="Times New Roman" w:eastAsia="宋体" w:cs="Times New Roman"/>
                      <w:sz w:val="21"/>
                      <w:szCs w:val="21"/>
                      <w:lang w:val="en-US" w:eastAsia="zh-CN"/>
                    </w:rPr>
                  </w:pPr>
                  <w:r>
                    <w:rPr>
                      <w:rFonts w:hint="eastAsia"/>
                      <w:bCs/>
                      <w:color w:val="auto"/>
                      <w:sz w:val="21"/>
                      <w:szCs w:val="21"/>
                      <w:u w:val="none"/>
                      <w:lang w:val="en-US" w:eastAsia="zh-CN"/>
                    </w:rPr>
                    <w:t>2000（无量纲）</w:t>
                  </w:r>
                </w:p>
              </w:tc>
              <w:tc>
                <w:tcPr>
                  <w:tcW w:w="1971" w:type="pct"/>
                  <w:shd w:val="clear" w:color="auto" w:fill="auto"/>
                  <w:vAlign w:val="center"/>
                </w:tcPr>
                <w:p w14:paraId="7E75E28D">
                  <w:pPr>
                    <w:autoSpaceDE w:val="0"/>
                    <w:autoSpaceDN w:val="0"/>
                    <w:adjustRightInd w:val="0"/>
                    <w:snapToGrid w:val="0"/>
                    <w:spacing w:line="240" w:lineRule="auto"/>
                    <w:jc w:val="center"/>
                    <w:textAlignment w:val="baseline"/>
                    <w:rPr>
                      <w:rFonts w:hint="eastAsia"/>
                      <w:bCs/>
                      <w:sz w:val="21"/>
                      <w:szCs w:val="21"/>
                    </w:rPr>
                  </w:pPr>
                  <w:r>
                    <w:rPr>
                      <w:rFonts w:hint="eastAsia"/>
                      <w:bCs/>
                      <w:sz w:val="21"/>
                      <w:szCs w:val="21"/>
                    </w:rPr>
                    <w:t>《恶臭污染物排放标准》</w:t>
                  </w:r>
                </w:p>
                <w:p w14:paraId="6DB47D1D">
                  <w:pPr>
                    <w:autoSpaceDE w:val="0"/>
                    <w:autoSpaceDN w:val="0"/>
                    <w:adjustRightInd w:val="0"/>
                    <w:snapToGrid w:val="0"/>
                    <w:spacing w:line="240" w:lineRule="auto"/>
                    <w:jc w:val="center"/>
                    <w:textAlignment w:val="baseline"/>
                    <w:rPr>
                      <w:rFonts w:hint="eastAsia"/>
                      <w:sz w:val="21"/>
                      <w:szCs w:val="21"/>
                    </w:rPr>
                  </w:pPr>
                  <w:r>
                    <w:rPr>
                      <w:rFonts w:hint="eastAsia"/>
                      <w:bCs/>
                      <w:sz w:val="21"/>
                      <w:szCs w:val="21"/>
                    </w:rPr>
                    <w:t>（GB 14554-93）</w:t>
                  </w:r>
                </w:p>
              </w:tc>
            </w:tr>
            <w:tr w14:paraId="4CBEC5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658" w:type="pct"/>
                  <w:vMerge w:val="restart"/>
                  <w:vAlign w:val="center"/>
                </w:tcPr>
                <w:p w14:paraId="5D23FC0B">
                  <w:pPr>
                    <w:autoSpaceDE w:val="0"/>
                    <w:autoSpaceDN w:val="0"/>
                    <w:adjustRightInd w:val="0"/>
                    <w:snapToGrid w:val="0"/>
                    <w:spacing w:line="240" w:lineRule="auto"/>
                    <w:jc w:val="center"/>
                    <w:textAlignment w:val="baseline"/>
                    <w:rPr>
                      <w:sz w:val="21"/>
                      <w:szCs w:val="21"/>
                    </w:rPr>
                  </w:pPr>
                  <w:r>
                    <w:rPr>
                      <w:rFonts w:hint="eastAsia"/>
                      <w:sz w:val="21"/>
                      <w:szCs w:val="21"/>
                    </w:rPr>
                    <w:t>无</w:t>
                  </w:r>
                  <w:r>
                    <w:rPr>
                      <w:sz w:val="21"/>
                      <w:szCs w:val="21"/>
                    </w:rPr>
                    <w:t>组织</w:t>
                  </w:r>
                </w:p>
              </w:tc>
              <w:tc>
                <w:tcPr>
                  <w:tcW w:w="1389" w:type="pct"/>
                  <w:gridSpan w:val="2"/>
                  <w:shd w:val="clear" w:color="auto" w:fill="auto"/>
                  <w:vAlign w:val="center"/>
                </w:tcPr>
                <w:p w14:paraId="1183D5B2">
                  <w:pPr>
                    <w:autoSpaceDE w:val="0"/>
                    <w:autoSpaceDN w:val="0"/>
                    <w:adjustRightInd w:val="0"/>
                    <w:snapToGrid w:val="0"/>
                    <w:spacing w:line="240" w:lineRule="auto"/>
                    <w:jc w:val="center"/>
                    <w:textAlignment w:val="baseline"/>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NHMC（厂界）</w:t>
                  </w:r>
                </w:p>
              </w:tc>
              <w:tc>
                <w:tcPr>
                  <w:tcW w:w="980" w:type="pct"/>
                  <w:shd w:val="clear" w:color="auto" w:fill="auto"/>
                  <w:vAlign w:val="center"/>
                </w:tcPr>
                <w:p w14:paraId="61C84806">
                  <w:pPr>
                    <w:widowControl/>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4.0</w:t>
                  </w:r>
                  <w:r>
                    <w:rPr>
                      <w:rFonts w:hint="eastAsia"/>
                      <w:bCs/>
                      <w:sz w:val="21"/>
                      <w:szCs w:val="21"/>
                      <w:lang w:val="en-US" w:eastAsia="zh-CN"/>
                    </w:rPr>
                    <w:t>mg/m</w:t>
                  </w:r>
                  <w:r>
                    <w:rPr>
                      <w:rFonts w:hint="eastAsia"/>
                      <w:bCs/>
                      <w:sz w:val="21"/>
                      <w:szCs w:val="21"/>
                      <w:vertAlign w:val="superscript"/>
                      <w:lang w:val="en-US" w:eastAsia="zh-CN"/>
                    </w:rPr>
                    <w:t>3</w:t>
                  </w:r>
                </w:p>
              </w:tc>
              <w:tc>
                <w:tcPr>
                  <w:tcW w:w="1971" w:type="pct"/>
                  <w:vMerge w:val="restart"/>
                  <w:shd w:val="clear" w:color="auto" w:fill="auto"/>
                  <w:vAlign w:val="center"/>
                </w:tcPr>
                <w:p w14:paraId="6194CDCA">
                  <w:pPr>
                    <w:autoSpaceDE w:val="0"/>
                    <w:autoSpaceDN w:val="0"/>
                    <w:adjustRightInd w:val="0"/>
                    <w:snapToGrid w:val="0"/>
                    <w:spacing w:line="240" w:lineRule="auto"/>
                    <w:jc w:val="center"/>
                    <w:textAlignment w:val="baseline"/>
                    <w:rPr>
                      <w:rFonts w:ascii="Times New Roman" w:hAnsi="Times New Roman" w:eastAsia="宋体" w:cs="Times New Roman"/>
                      <w:bCs/>
                      <w:kern w:val="2"/>
                      <w:sz w:val="21"/>
                      <w:szCs w:val="21"/>
                      <w:lang w:val="en-US" w:eastAsia="zh-CN" w:bidi="ar-SA"/>
                    </w:rPr>
                  </w:pPr>
                  <w:r>
                    <w:rPr>
                      <w:rFonts w:hint="eastAsia"/>
                      <w:sz w:val="21"/>
                      <w:szCs w:val="21"/>
                    </w:rPr>
                    <w:t>《大气污染物综合排放标准》（GB16297-1996）</w:t>
                  </w:r>
                  <w:r>
                    <w:rPr>
                      <w:rFonts w:hint="eastAsia"/>
                      <w:bCs/>
                      <w:sz w:val="21"/>
                      <w:szCs w:val="21"/>
                    </w:rPr>
                    <w:t>‌</w:t>
                  </w:r>
                </w:p>
              </w:tc>
            </w:tr>
            <w:tr w14:paraId="154DCE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658" w:type="pct"/>
                  <w:vMerge w:val="continue"/>
                  <w:vAlign w:val="center"/>
                </w:tcPr>
                <w:p w14:paraId="403B0101">
                  <w:pPr>
                    <w:autoSpaceDE w:val="0"/>
                    <w:autoSpaceDN w:val="0"/>
                    <w:adjustRightInd w:val="0"/>
                    <w:snapToGrid w:val="0"/>
                    <w:spacing w:line="240" w:lineRule="auto"/>
                    <w:jc w:val="center"/>
                    <w:textAlignment w:val="baseline"/>
                    <w:rPr>
                      <w:sz w:val="21"/>
                      <w:szCs w:val="21"/>
                    </w:rPr>
                  </w:pPr>
                </w:p>
              </w:tc>
              <w:tc>
                <w:tcPr>
                  <w:tcW w:w="1389" w:type="pct"/>
                  <w:gridSpan w:val="2"/>
                  <w:shd w:val="clear" w:color="auto" w:fill="auto"/>
                  <w:vAlign w:val="center"/>
                </w:tcPr>
                <w:p w14:paraId="3D636B9E">
                  <w:pPr>
                    <w:autoSpaceDE w:val="0"/>
                    <w:autoSpaceDN w:val="0"/>
                    <w:adjustRightInd w:val="0"/>
                    <w:snapToGrid w:val="0"/>
                    <w:spacing w:line="240" w:lineRule="auto"/>
                    <w:jc w:val="center"/>
                    <w:textAlignment w:val="baseline"/>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NHMC（厂房外）</w:t>
                  </w:r>
                </w:p>
              </w:tc>
              <w:tc>
                <w:tcPr>
                  <w:tcW w:w="980" w:type="pct"/>
                  <w:shd w:val="clear" w:color="auto" w:fill="auto"/>
                  <w:vAlign w:val="center"/>
                </w:tcPr>
                <w:p w14:paraId="0D30E28F">
                  <w:pPr>
                    <w:widowControl/>
                    <w:spacing w:line="240" w:lineRule="auto"/>
                    <w:jc w:val="center"/>
                    <w:rPr>
                      <w:rFonts w:hint="default" w:ascii="Times New Roman" w:hAnsi="Times New Roman" w:eastAsia="仿宋" w:cs="Times New Roman"/>
                      <w:kern w:val="2"/>
                      <w:sz w:val="21"/>
                      <w:szCs w:val="21"/>
                      <w:lang w:val="en-US" w:eastAsia="zh-CN" w:bidi="ar-SA"/>
                    </w:rPr>
                  </w:pPr>
                  <w:r>
                    <w:rPr>
                      <w:rFonts w:hint="eastAsia" w:eastAsia="仿宋"/>
                      <w:sz w:val="21"/>
                      <w:szCs w:val="21"/>
                      <w:lang w:val="en-US" w:eastAsia="zh-CN"/>
                    </w:rPr>
                    <w:t>10</w:t>
                  </w:r>
                  <w:r>
                    <w:rPr>
                      <w:rFonts w:hint="eastAsia"/>
                      <w:bCs/>
                      <w:sz w:val="21"/>
                      <w:szCs w:val="21"/>
                      <w:lang w:val="en-US" w:eastAsia="zh-CN"/>
                    </w:rPr>
                    <w:t>mg/m</w:t>
                  </w:r>
                  <w:r>
                    <w:rPr>
                      <w:rFonts w:hint="eastAsia"/>
                      <w:bCs/>
                      <w:sz w:val="21"/>
                      <w:szCs w:val="21"/>
                      <w:vertAlign w:val="superscript"/>
                      <w:lang w:val="en-US" w:eastAsia="zh-CN"/>
                    </w:rPr>
                    <w:t>3</w:t>
                  </w:r>
                </w:p>
              </w:tc>
              <w:tc>
                <w:tcPr>
                  <w:tcW w:w="1971" w:type="pct"/>
                  <w:vMerge w:val="restart"/>
                  <w:shd w:val="clear" w:color="auto" w:fill="auto"/>
                  <w:vAlign w:val="center"/>
                </w:tcPr>
                <w:p w14:paraId="13190FF6">
                  <w:pPr>
                    <w:autoSpaceDE w:val="0"/>
                    <w:autoSpaceDN w:val="0"/>
                    <w:adjustRightInd w:val="0"/>
                    <w:snapToGrid w:val="0"/>
                    <w:spacing w:line="240" w:lineRule="auto"/>
                    <w:jc w:val="center"/>
                    <w:textAlignment w:val="baseline"/>
                    <w:rPr>
                      <w:rFonts w:ascii="Times New Roman" w:hAnsi="Times New Roman" w:eastAsia="宋体" w:cs="Times New Roman"/>
                      <w:bCs/>
                      <w:kern w:val="2"/>
                      <w:sz w:val="21"/>
                      <w:szCs w:val="21"/>
                      <w:lang w:val="en-US" w:eastAsia="zh-CN" w:bidi="ar-SA"/>
                    </w:rPr>
                  </w:pPr>
                  <w:r>
                    <w:rPr>
                      <w:rFonts w:hint="eastAsia"/>
                      <w:bCs/>
                      <w:sz w:val="21"/>
                      <w:szCs w:val="21"/>
                    </w:rPr>
                    <w:t>《挥发性有机物无组织排放控制标准》（GB 37822—2019）</w:t>
                  </w:r>
                </w:p>
              </w:tc>
            </w:tr>
            <w:tr w14:paraId="69E6A7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658" w:type="pct"/>
                  <w:vMerge w:val="continue"/>
                  <w:vAlign w:val="center"/>
                </w:tcPr>
                <w:p w14:paraId="1B8F9FAE">
                  <w:pPr>
                    <w:autoSpaceDE w:val="0"/>
                    <w:autoSpaceDN w:val="0"/>
                    <w:adjustRightInd w:val="0"/>
                    <w:snapToGrid w:val="0"/>
                    <w:spacing w:line="240" w:lineRule="auto"/>
                    <w:jc w:val="center"/>
                    <w:textAlignment w:val="baseline"/>
                    <w:rPr>
                      <w:sz w:val="21"/>
                      <w:szCs w:val="21"/>
                    </w:rPr>
                  </w:pPr>
                </w:p>
              </w:tc>
              <w:tc>
                <w:tcPr>
                  <w:tcW w:w="1389" w:type="pct"/>
                  <w:gridSpan w:val="2"/>
                  <w:shd w:val="clear" w:color="auto" w:fill="auto"/>
                  <w:vAlign w:val="center"/>
                </w:tcPr>
                <w:p w14:paraId="2A8163FB">
                  <w:pPr>
                    <w:autoSpaceDE w:val="0"/>
                    <w:autoSpaceDN w:val="0"/>
                    <w:adjustRightInd w:val="0"/>
                    <w:snapToGrid w:val="0"/>
                    <w:spacing w:line="240" w:lineRule="auto"/>
                    <w:jc w:val="center"/>
                    <w:textAlignment w:val="baseline"/>
                    <w:rPr>
                      <w:rFonts w:hint="default"/>
                      <w:sz w:val="21"/>
                      <w:szCs w:val="21"/>
                      <w:lang w:val="en-US" w:eastAsia="zh-CN"/>
                    </w:rPr>
                  </w:pPr>
                  <w:r>
                    <w:rPr>
                      <w:rFonts w:hint="eastAsia"/>
                      <w:sz w:val="21"/>
                      <w:szCs w:val="21"/>
                      <w:lang w:val="en-US" w:eastAsia="zh-CN"/>
                    </w:rPr>
                    <w:t>臭气浓度</w:t>
                  </w:r>
                </w:p>
              </w:tc>
              <w:tc>
                <w:tcPr>
                  <w:tcW w:w="980" w:type="pct"/>
                  <w:shd w:val="clear" w:color="auto" w:fill="auto"/>
                  <w:vAlign w:val="center"/>
                </w:tcPr>
                <w:p w14:paraId="272F4916">
                  <w:pPr>
                    <w:widowControl/>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val="en-US" w:eastAsia="zh-CN"/>
                    </w:rPr>
                    <w:t>0（无量纲）</w:t>
                  </w:r>
                </w:p>
              </w:tc>
              <w:tc>
                <w:tcPr>
                  <w:tcW w:w="1971" w:type="pct"/>
                  <w:vAlign w:val="center"/>
                </w:tcPr>
                <w:p w14:paraId="3A18E37E">
                  <w:pPr>
                    <w:autoSpaceDE w:val="0"/>
                    <w:autoSpaceDN w:val="0"/>
                    <w:adjustRightInd w:val="0"/>
                    <w:snapToGrid w:val="0"/>
                    <w:spacing w:line="240" w:lineRule="auto"/>
                    <w:jc w:val="center"/>
                    <w:textAlignment w:val="baseline"/>
                    <w:rPr>
                      <w:rFonts w:hint="eastAsia"/>
                      <w:bCs/>
                      <w:sz w:val="21"/>
                      <w:szCs w:val="21"/>
                    </w:rPr>
                  </w:pPr>
                  <w:r>
                    <w:rPr>
                      <w:rFonts w:hint="eastAsia"/>
                      <w:bCs/>
                      <w:sz w:val="21"/>
                      <w:szCs w:val="21"/>
                    </w:rPr>
                    <w:t>《恶臭污染物排放标准》</w:t>
                  </w:r>
                </w:p>
                <w:p w14:paraId="0E55FB87">
                  <w:pPr>
                    <w:autoSpaceDE w:val="0"/>
                    <w:autoSpaceDN w:val="0"/>
                    <w:adjustRightInd w:val="0"/>
                    <w:snapToGrid w:val="0"/>
                    <w:spacing w:line="240" w:lineRule="auto"/>
                    <w:jc w:val="center"/>
                    <w:textAlignment w:val="baseline"/>
                    <w:rPr>
                      <w:rFonts w:hint="eastAsia"/>
                      <w:bCs/>
                      <w:sz w:val="21"/>
                      <w:szCs w:val="21"/>
                    </w:rPr>
                  </w:pPr>
                  <w:r>
                    <w:rPr>
                      <w:rFonts w:hint="eastAsia"/>
                      <w:bCs/>
                      <w:sz w:val="21"/>
                      <w:szCs w:val="21"/>
                    </w:rPr>
                    <w:t>（GB 14554-93）</w:t>
                  </w:r>
                </w:p>
              </w:tc>
            </w:tr>
          </w:tbl>
          <w:p w14:paraId="08E3EBCA">
            <w:pPr>
              <w:pStyle w:val="28"/>
              <w:spacing w:before="0" w:after="0" w:line="360" w:lineRule="auto"/>
              <w:ind w:right="0" w:firstLine="0" w:firstLineChars="0"/>
              <w:rPr>
                <w:b/>
                <w:sz w:val="24"/>
                <w:szCs w:val="24"/>
              </w:rPr>
            </w:pPr>
            <w:r>
              <w:rPr>
                <w:b/>
                <w:sz w:val="24"/>
                <w:szCs w:val="24"/>
              </w:rPr>
              <w:t>2、</w:t>
            </w:r>
            <w:r>
              <w:rPr>
                <w:rFonts w:hint="eastAsia"/>
                <w:b/>
                <w:sz w:val="24"/>
                <w:szCs w:val="24"/>
              </w:rPr>
              <w:t>废水</w:t>
            </w:r>
          </w:p>
          <w:p w14:paraId="3408B635">
            <w:pPr>
              <w:pStyle w:val="13"/>
              <w:tabs>
                <w:tab w:val="left" w:pos="2098"/>
              </w:tabs>
              <w:adjustRightInd w:val="0"/>
              <w:snapToGrid w:val="0"/>
              <w:spacing w:after="0" w:line="360" w:lineRule="auto"/>
              <w:ind w:left="0" w:leftChars="0"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本项目营运期无生产废水外排，项目生活</w:t>
            </w:r>
            <w:r>
              <w:rPr>
                <w:rFonts w:hint="eastAsia" w:cs="Times New Roman"/>
                <w:color w:val="auto"/>
                <w:sz w:val="24"/>
                <w:u w:val="none" w:color="auto"/>
                <w:lang w:val="en-US" w:eastAsia="zh-CN"/>
              </w:rPr>
              <w:t>废水</w:t>
            </w:r>
            <w:r>
              <w:rPr>
                <w:rFonts w:hint="default" w:ascii="Times New Roman" w:hAnsi="Times New Roman" w:eastAsia="宋体" w:cs="Times New Roman"/>
                <w:color w:val="auto"/>
                <w:sz w:val="24"/>
                <w:u w:val="none" w:color="auto"/>
              </w:rPr>
              <w:t>经化粪池处理后，通过园区污水管网纳入</w:t>
            </w:r>
            <w:r>
              <w:rPr>
                <w:rFonts w:hint="eastAsia" w:cs="Times New Roman"/>
                <w:color w:val="auto"/>
                <w:sz w:val="24"/>
                <w:u w:val="none" w:color="auto"/>
                <w:lang w:eastAsia="zh-CN"/>
              </w:rPr>
              <w:t>岳阳市三峡水环境综合治理有限责任公司临港水质净化厂</w:t>
            </w:r>
            <w:r>
              <w:rPr>
                <w:rFonts w:hint="default" w:ascii="Times New Roman" w:hAnsi="Times New Roman" w:eastAsia="宋体" w:cs="Times New Roman"/>
                <w:color w:val="auto"/>
                <w:sz w:val="24"/>
                <w:u w:val="none" w:color="auto"/>
              </w:rPr>
              <w:t>，外排生活</w:t>
            </w:r>
            <w:r>
              <w:rPr>
                <w:rFonts w:hint="eastAsia" w:cs="Times New Roman"/>
                <w:color w:val="auto"/>
                <w:sz w:val="24"/>
                <w:u w:val="none" w:color="auto"/>
                <w:lang w:val="en-US" w:eastAsia="zh-CN"/>
              </w:rPr>
              <w:t>废水</w:t>
            </w:r>
            <w:r>
              <w:rPr>
                <w:rFonts w:hint="default" w:ascii="Times New Roman" w:hAnsi="Times New Roman" w:eastAsia="宋体" w:cs="Times New Roman"/>
                <w:color w:val="auto"/>
                <w:sz w:val="24"/>
                <w:u w:val="none" w:color="auto"/>
              </w:rPr>
              <w:t>执行《污水综合排放标准》（GB8978-1996）表4中三级标准。</w:t>
            </w:r>
          </w:p>
          <w:p w14:paraId="537DBBC5">
            <w:pPr>
              <w:pStyle w:val="13"/>
              <w:tabs>
                <w:tab w:val="left" w:pos="2098"/>
              </w:tabs>
              <w:adjustRightInd w:val="0"/>
              <w:snapToGrid w:val="0"/>
              <w:spacing w:after="0" w:line="240" w:lineRule="auto"/>
              <w:ind w:left="0" w:leftChars="0" w:firstLine="0" w:firstLineChars="0"/>
              <w:jc w:val="center"/>
              <w:rPr>
                <w:rFonts w:hint="default" w:ascii="Times New Roman" w:hAnsi="Times New Roman" w:eastAsia="宋体" w:cs="Times New Roman"/>
                <w:color w:val="auto"/>
                <w:sz w:val="24"/>
                <w:u w:val="single" w:color="auto"/>
              </w:rPr>
            </w:pPr>
            <w:r>
              <w:rPr>
                <w:rFonts w:hint="default" w:ascii="Times New Roman" w:hAnsi="Times New Roman" w:eastAsia="宋体" w:cs="Times New Roman"/>
                <w:b/>
                <w:bCs/>
                <w:spacing w:val="0"/>
                <w:kern w:val="0"/>
                <w:sz w:val="24"/>
                <w:szCs w:val="20"/>
                <w:u w:val="none"/>
                <w:lang w:val="en-US" w:eastAsia="zh-CN" w:bidi="ar-SA"/>
              </w:rPr>
              <w:t>表3-</w:t>
            </w:r>
            <w:r>
              <w:rPr>
                <w:rFonts w:hint="eastAsia" w:cs="Times New Roman"/>
                <w:b/>
                <w:bCs/>
                <w:spacing w:val="0"/>
                <w:kern w:val="0"/>
                <w:sz w:val="24"/>
                <w:szCs w:val="20"/>
                <w:u w:val="none"/>
                <w:lang w:val="en-US" w:eastAsia="zh-CN" w:bidi="ar-SA"/>
              </w:rPr>
              <w:t>4</w:t>
            </w:r>
            <w:r>
              <w:rPr>
                <w:rFonts w:hint="default" w:ascii="Times New Roman" w:hAnsi="Times New Roman" w:eastAsia="宋体" w:cs="Times New Roman"/>
                <w:b/>
                <w:bCs/>
                <w:spacing w:val="0"/>
                <w:kern w:val="0"/>
                <w:sz w:val="24"/>
                <w:szCs w:val="20"/>
                <w:u w:val="none"/>
                <w:lang w:val="en-US" w:eastAsia="zh-CN" w:bidi="ar-SA"/>
              </w:rPr>
              <w:t xml:space="preserve"> 废水排放标准</w:t>
            </w:r>
            <w:r>
              <w:rPr>
                <w:rFonts w:hint="eastAsia" w:ascii="Times New Roman" w:hAnsi="Times New Roman" w:eastAsia="宋体" w:cs="Times New Roman"/>
                <w:b/>
                <w:bCs/>
                <w:spacing w:val="0"/>
                <w:kern w:val="0"/>
                <w:sz w:val="24"/>
                <w:szCs w:val="20"/>
                <w:u w:val="none"/>
                <w:lang w:val="en-US" w:eastAsia="zh-CN" w:bidi="ar-SA"/>
              </w:rPr>
              <w:t xml:space="preserve">  mg/L</w:t>
            </w:r>
          </w:p>
          <w:tbl>
            <w:tblPr>
              <w:tblStyle w:val="3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113"/>
              <w:gridCol w:w="751"/>
              <w:gridCol w:w="699"/>
              <w:gridCol w:w="774"/>
              <w:gridCol w:w="645"/>
              <w:gridCol w:w="767"/>
              <w:gridCol w:w="1210"/>
            </w:tblGrid>
            <w:tr w14:paraId="4E2CE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3113" w:type="dxa"/>
                  <w:noWrap w:val="0"/>
                  <w:vAlign w:val="center"/>
                </w:tcPr>
                <w:p w14:paraId="08BC51A8">
                  <w:pPr>
                    <w:adjustRightInd w:val="0"/>
                    <w:snapToGrid w:val="0"/>
                    <w:jc w:val="center"/>
                    <w:rPr>
                      <w:snapToGrid w:val="0"/>
                      <w:color w:val="auto"/>
                      <w:kern w:val="0"/>
                      <w:sz w:val="21"/>
                      <w:szCs w:val="21"/>
                    </w:rPr>
                  </w:pPr>
                  <w:r>
                    <w:rPr>
                      <w:rFonts w:hint="eastAsia"/>
                      <w:snapToGrid w:val="0"/>
                      <w:color w:val="auto"/>
                      <w:kern w:val="0"/>
                      <w:sz w:val="21"/>
                      <w:szCs w:val="21"/>
                    </w:rPr>
                    <w:t>执行标准</w:t>
                  </w:r>
                </w:p>
              </w:tc>
              <w:tc>
                <w:tcPr>
                  <w:tcW w:w="751" w:type="dxa"/>
                  <w:noWrap w:val="0"/>
                  <w:vAlign w:val="center"/>
                </w:tcPr>
                <w:p w14:paraId="55B605ED">
                  <w:pPr>
                    <w:adjustRightInd w:val="0"/>
                    <w:snapToGrid w:val="0"/>
                    <w:jc w:val="center"/>
                    <w:rPr>
                      <w:snapToGrid w:val="0"/>
                      <w:color w:val="auto"/>
                      <w:kern w:val="0"/>
                      <w:sz w:val="21"/>
                      <w:szCs w:val="21"/>
                    </w:rPr>
                  </w:pPr>
                  <w:r>
                    <w:rPr>
                      <w:color w:val="auto"/>
                      <w:sz w:val="21"/>
                      <w:szCs w:val="21"/>
                    </w:rPr>
                    <w:t>pH</w:t>
                  </w:r>
                </w:p>
              </w:tc>
              <w:tc>
                <w:tcPr>
                  <w:tcW w:w="699" w:type="dxa"/>
                  <w:noWrap w:val="0"/>
                  <w:vAlign w:val="center"/>
                </w:tcPr>
                <w:p w14:paraId="471E17B0">
                  <w:pPr>
                    <w:adjustRightInd w:val="0"/>
                    <w:snapToGrid w:val="0"/>
                    <w:jc w:val="center"/>
                    <w:rPr>
                      <w:snapToGrid w:val="0"/>
                      <w:color w:val="auto"/>
                      <w:kern w:val="0"/>
                      <w:sz w:val="21"/>
                      <w:szCs w:val="21"/>
                    </w:rPr>
                  </w:pPr>
                  <w:r>
                    <w:rPr>
                      <w:snapToGrid w:val="0"/>
                      <w:color w:val="auto"/>
                      <w:kern w:val="0"/>
                      <w:sz w:val="21"/>
                      <w:szCs w:val="21"/>
                    </w:rPr>
                    <w:t>COD</w:t>
                  </w:r>
                </w:p>
              </w:tc>
              <w:tc>
                <w:tcPr>
                  <w:tcW w:w="774" w:type="dxa"/>
                  <w:noWrap w:val="0"/>
                  <w:vAlign w:val="center"/>
                </w:tcPr>
                <w:p w14:paraId="23DACDCD">
                  <w:pPr>
                    <w:adjustRightInd w:val="0"/>
                    <w:snapToGrid w:val="0"/>
                    <w:jc w:val="center"/>
                    <w:rPr>
                      <w:snapToGrid w:val="0"/>
                      <w:color w:val="auto"/>
                      <w:kern w:val="0"/>
                      <w:sz w:val="21"/>
                      <w:szCs w:val="21"/>
                    </w:rPr>
                  </w:pPr>
                  <w:r>
                    <w:rPr>
                      <w:snapToGrid w:val="0"/>
                      <w:color w:val="auto"/>
                      <w:kern w:val="0"/>
                      <w:sz w:val="21"/>
                      <w:szCs w:val="21"/>
                    </w:rPr>
                    <w:t>BOD</w:t>
                  </w:r>
                  <w:r>
                    <w:rPr>
                      <w:snapToGrid w:val="0"/>
                      <w:color w:val="auto"/>
                      <w:kern w:val="0"/>
                      <w:sz w:val="21"/>
                      <w:szCs w:val="21"/>
                      <w:vertAlign w:val="subscript"/>
                    </w:rPr>
                    <w:t>5</w:t>
                  </w:r>
                </w:p>
              </w:tc>
              <w:tc>
                <w:tcPr>
                  <w:tcW w:w="645" w:type="dxa"/>
                  <w:noWrap w:val="0"/>
                  <w:vAlign w:val="center"/>
                </w:tcPr>
                <w:p w14:paraId="56720EF3">
                  <w:pPr>
                    <w:adjustRightInd w:val="0"/>
                    <w:snapToGrid w:val="0"/>
                    <w:jc w:val="center"/>
                    <w:rPr>
                      <w:snapToGrid w:val="0"/>
                      <w:color w:val="auto"/>
                      <w:kern w:val="0"/>
                      <w:sz w:val="21"/>
                      <w:szCs w:val="21"/>
                    </w:rPr>
                  </w:pPr>
                  <w:r>
                    <w:rPr>
                      <w:snapToGrid w:val="0"/>
                      <w:color w:val="auto"/>
                      <w:kern w:val="0"/>
                      <w:sz w:val="21"/>
                      <w:szCs w:val="21"/>
                    </w:rPr>
                    <w:t>SS</w:t>
                  </w:r>
                </w:p>
              </w:tc>
              <w:tc>
                <w:tcPr>
                  <w:tcW w:w="767" w:type="dxa"/>
                  <w:noWrap w:val="0"/>
                  <w:vAlign w:val="center"/>
                </w:tcPr>
                <w:p w14:paraId="7E1BE223">
                  <w:pPr>
                    <w:adjustRightInd w:val="0"/>
                    <w:snapToGrid w:val="0"/>
                    <w:jc w:val="center"/>
                    <w:rPr>
                      <w:snapToGrid w:val="0"/>
                      <w:color w:val="auto"/>
                      <w:kern w:val="0"/>
                      <w:sz w:val="21"/>
                      <w:szCs w:val="21"/>
                    </w:rPr>
                  </w:pPr>
                  <w:r>
                    <w:rPr>
                      <w:rFonts w:hint="eastAsia"/>
                      <w:snapToGrid w:val="0"/>
                      <w:color w:val="auto"/>
                      <w:kern w:val="0"/>
                      <w:sz w:val="21"/>
                      <w:szCs w:val="21"/>
                    </w:rPr>
                    <w:t>氨氮</w:t>
                  </w:r>
                </w:p>
              </w:tc>
              <w:tc>
                <w:tcPr>
                  <w:tcW w:w="1210" w:type="dxa"/>
                  <w:noWrap w:val="0"/>
                  <w:vAlign w:val="center"/>
                </w:tcPr>
                <w:p w14:paraId="601A094A">
                  <w:pPr>
                    <w:adjustRightInd w:val="0"/>
                    <w:snapToGrid w:val="0"/>
                    <w:jc w:val="center"/>
                    <w:rPr>
                      <w:rFonts w:hint="eastAsia"/>
                      <w:snapToGrid w:val="0"/>
                      <w:color w:val="auto"/>
                      <w:kern w:val="0"/>
                      <w:sz w:val="21"/>
                      <w:szCs w:val="21"/>
                      <w:u w:val="none"/>
                    </w:rPr>
                  </w:pPr>
                  <w:r>
                    <w:rPr>
                      <w:rFonts w:hint="eastAsia"/>
                      <w:snapToGrid w:val="0"/>
                      <w:color w:val="auto"/>
                      <w:kern w:val="0"/>
                      <w:sz w:val="21"/>
                      <w:szCs w:val="21"/>
                      <w:u w:val="none"/>
                    </w:rPr>
                    <w:t>动植物油</w:t>
                  </w:r>
                </w:p>
              </w:tc>
            </w:tr>
            <w:tr w14:paraId="6B421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3113" w:type="dxa"/>
                  <w:noWrap w:val="0"/>
                  <w:vAlign w:val="center"/>
                </w:tcPr>
                <w:p w14:paraId="2EF1E195">
                  <w:pPr>
                    <w:adjustRightInd w:val="0"/>
                    <w:snapToGrid w:val="0"/>
                    <w:jc w:val="center"/>
                    <w:rPr>
                      <w:snapToGrid w:val="0"/>
                      <w:color w:val="auto"/>
                      <w:kern w:val="0"/>
                      <w:sz w:val="21"/>
                      <w:szCs w:val="21"/>
                    </w:rPr>
                  </w:pPr>
                  <w:r>
                    <w:rPr>
                      <w:rFonts w:hint="default" w:ascii="Times New Roman" w:hAnsi="Times New Roman" w:eastAsia="宋体" w:cs="Times New Roman"/>
                      <w:color w:val="auto"/>
                      <w:sz w:val="21"/>
                      <w:szCs w:val="21"/>
                      <w:lang w:eastAsia="zh-CN"/>
                    </w:rPr>
                    <w:t>《污水综合排放标准》</w:t>
                  </w:r>
                  <w:r>
                    <w:rPr>
                      <w:rFonts w:hint="eastAsia"/>
                      <w:snapToGrid w:val="0"/>
                      <w:color w:val="auto"/>
                      <w:kern w:val="0"/>
                      <w:sz w:val="21"/>
                      <w:szCs w:val="21"/>
                    </w:rPr>
                    <w:t>（</w:t>
                  </w:r>
                  <w:r>
                    <w:rPr>
                      <w:snapToGrid w:val="0"/>
                      <w:color w:val="auto"/>
                      <w:kern w:val="0"/>
                      <w:sz w:val="21"/>
                      <w:szCs w:val="21"/>
                    </w:rPr>
                    <w:t>GB8978-1996</w:t>
                  </w:r>
                  <w:r>
                    <w:rPr>
                      <w:rFonts w:hint="eastAsia"/>
                      <w:snapToGrid w:val="0"/>
                      <w:color w:val="auto"/>
                      <w:kern w:val="0"/>
                      <w:sz w:val="21"/>
                      <w:szCs w:val="21"/>
                    </w:rPr>
                    <w:t>）三级标准</w:t>
                  </w:r>
                </w:p>
              </w:tc>
              <w:tc>
                <w:tcPr>
                  <w:tcW w:w="751" w:type="dxa"/>
                  <w:noWrap w:val="0"/>
                  <w:vAlign w:val="center"/>
                </w:tcPr>
                <w:p w14:paraId="17118324">
                  <w:pPr>
                    <w:adjustRightInd w:val="0"/>
                    <w:snapToGrid w:val="0"/>
                    <w:jc w:val="center"/>
                    <w:rPr>
                      <w:snapToGrid w:val="0"/>
                      <w:color w:val="auto"/>
                      <w:kern w:val="0"/>
                      <w:sz w:val="21"/>
                      <w:szCs w:val="21"/>
                    </w:rPr>
                  </w:pPr>
                  <w:r>
                    <w:rPr>
                      <w:color w:val="auto"/>
                      <w:sz w:val="21"/>
                      <w:szCs w:val="21"/>
                    </w:rPr>
                    <w:t>6~9</w:t>
                  </w:r>
                </w:p>
              </w:tc>
              <w:tc>
                <w:tcPr>
                  <w:tcW w:w="699" w:type="dxa"/>
                  <w:noWrap w:val="0"/>
                  <w:vAlign w:val="center"/>
                </w:tcPr>
                <w:p w14:paraId="052230E9">
                  <w:pPr>
                    <w:adjustRightInd w:val="0"/>
                    <w:snapToGrid w:val="0"/>
                    <w:jc w:val="center"/>
                    <w:rPr>
                      <w:color w:val="auto"/>
                      <w:sz w:val="21"/>
                      <w:szCs w:val="21"/>
                    </w:rPr>
                  </w:pPr>
                  <w:r>
                    <w:rPr>
                      <w:snapToGrid w:val="0"/>
                      <w:color w:val="auto"/>
                      <w:kern w:val="0"/>
                      <w:sz w:val="21"/>
                      <w:szCs w:val="21"/>
                    </w:rPr>
                    <w:t>500</w:t>
                  </w:r>
                </w:p>
              </w:tc>
              <w:tc>
                <w:tcPr>
                  <w:tcW w:w="774" w:type="dxa"/>
                  <w:noWrap w:val="0"/>
                  <w:vAlign w:val="center"/>
                </w:tcPr>
                <w:p w14:paraId="4B3E73AD">
                  <w:pPr>
                    <w:adjustRightInd w:val="0"/>
                    <w:snapToGrid w:val="0"/>
                    <w:jc w:val="center"/>
                    <w:rPr>
                      <w:color w:val="auto"/>
                      <w:sz w:val="21"/>
                      <w:szCs w:val="21"/>
                    </w:rPr>
                  </w:pPr>
                  <w:r>
                    <w:rPr>
                      <w:snapToGrid w:val="0"/>
                      <w:color w:val="auto"/>
                      <w:kern w:val="0"/>
                      <w:sz w:val="21"/>
                      <w:szCs w:val="21"/>
                    </w:rPr>
                    <w:t>300</w:t>
                  </w:r>
                </w:p>
              </w:tc>
              <w:tc>
                <w:tcPr>
                  <w:tcW w:w="645" w:type="dxa"/>
                  <w:noWrap w:val="0"/>
                  <w:vAlign w:val="center"/>
                </w:tcPr>
                <w:p w14:paraId="7A20C484">
                  <w:pPr>
                    <w:adjustRightInd w:val="0"/>
                    <w:snapToGrid w:val="0"/>
                    <w:jc w:val="center"/>
                    <w:rPr>
                      <w:color w:val="auto"/>
                      <w:sz w:val="21"/>
                      <w:szCs w:val="21"/>
                    </w:rPr>
                  </w:pPr>
                  <w:r>
                    <w:rPr>
                      <w:snapToGrid w:val="0"/>
                      <w:color w:val="auto"/>
                      <w:kern w:val="0"/>
                      <w:sz w:val="21"/>
                      <w:szCs w:val="21"/>
                    </w:rPr>
                    <w:t>400</w:t>
                  </w:r>
                </w:p>
              </w:tc>
              <w:tc>
                <w:tcPr>
                  <w:tcW w:w="767" w:type="dxa"/>
                  <w:noWrap w:val="0"/>
                  <w:vAlign w:val="center"/>
                </w:tcPr>
                <w:p w14:paraId="73D297C1">
                  <w:pPr>
                    <w:adjustRightInd w:val="0"/>
                    <w:snapToGrid w:val="0"/>
                    <w:jc w:val="center"/>
                    <w:rPr>
                      <w:color w:val="auto"/>
                      <w:sz w:val="21"/>
                      <w:szCs w:val="21"/>
                    </w:rPr>
                  </w:pPr>
                  <w:r>
                    <w:rPr>
                      <w:color w:val="auto"/>
                      <w:sz w:val="21"/>
                      <w:szCs w:val="21"/>
                    </w:rPr>
                    <w:t>45</w:t>
                  </w:r>
                </w:p>
              </w:tc>
              <w:tc>
                <w:tcPr>
                  <w:tcW w:w="1210" w:type="dxa"/>
                  <w:noWrap w:val="0"/>
                  <w:vAlign w:val="center"/>
                </w:tcPr>
                <w:p w14:paraId="128EC9D9">
                  <w:pPr>
                    <w:adjustRightInd w:val="0"/>
                    <w:snapToGrid w:val="0"/>
                    <w:jc w:val="center"/>
                    <w:rPr>
                      <w:color w:val="auto"/>
                      <w:sz w:val="21"/>
                      <w:szCs w:val="21"/>
                      <w:u w:val="none"/>
                    </w:rPr>
                  </w:pPr>
                  <w:r>
                    <w:rPr>
                      <w:rFonts w:hint="eastAsia"/>
                      <w:color w:val="auto"/>
                      <w:sz w:val="21"/>
                      <w:szCs w:val="21"/>
                      <w:u w:val="none"/>
                    </w:rPr>
                    <w:t>100</w:t>
                  </w:r>
                </w:p>
              </w:tc>
            </w:tr>
          </w:tbl>
          <w:p w14:paraId="0253596B">
            <w:pPr>
              <w:pStyle w:val="28"/>
              <w:spacing w:before="0" w:after="0" w:line="360" w:lineRule="auto"/>
              <w:ind w:right="0" w:firstLine="0" w:firstLineChars="0"/>
              <w:rPr>
                <w:b/>
                <w:sz w:val="24"/>
                <w:szCs w:val="24"/>
              </w:rPr>
            </w:pPr>
            <w:r>
              <w:rPr>
                <w:rFonts w:hint="eastAsia"/>
                <w:b/>
                <w:sz w:val="24"/>
                <w:szCs w:val="24"/>
              </w:rPr>
              <w:t>3</w:t>
            </w:r>
            <w:r>
              <w:rPr>
                <w:b/>
                <w:sz w:val="24"/>
                <w:szCs w:val="24"/>
              </w:rPr>
              <w:t>、噪声</w:t>
            </w:r>
          </w:p>
          <w:p w14:paraId="685B6B6A">
            <w:pPr>
              <w:pStyle w:val="8"/>
              <w:spacing w:line="360" w:lineRule="auto"/>
              <w:ind w:firstLine="480" w:firstLineChars="200"/>
              <w:rPr>
                <w:b/>
                <w:bCs/>
                <w:sz w:val="24"/>
              </w:rPr>
            </w:pPr>
            <w:r>
              <w:rPr>
                <w:sz w:val="24"/>
              </w:rPr>
              <w:t>本项目</w:t>
            </w:r>
            <w:r>
              <w:rPr>
                <w:rFonts w:hint="eastAsia"/>
                <w:sz w:val="24"/>
              </w:rPr>
              <w:t>厂界噪声执行《工业企业厂界环境噪声排放标准》（GB 12348-2008）</w:t>
            </w:r>
            <w:r>
              <w:rPr>
                <w:rFonts w:hint="eastAsia"/>
                <w:sz w:val="24"/>
                <w:lang w:val="en-US" w:eastAsia="zh-CN"/>
              </w:rPr>
              <w:t>3</w:t>
            </w:r>
            <w:r>
              <w:rPr>
                <w:rFonts w:hint="eastAsia"/>
                <w:sz w:val="24"/>
              </w:rPr>
              <w:t>类标准。</w:t>
            </w:r>
          </w:p>
          <w:p w14:paraId="79012A0D">
            <w:pPr>
              <w:pStyle w:val="8"/>
              <w:spacing w:line="240" w:lineRule="auto"/>
              <w:ind w:firstLine="0"/>
              <w:jc w:val="center"/>
              <w:rPr>
                <w:b/>
                <w:bCs/>
                <w:sz w:val="24"/>
              </w:rPr>
            </w:pPr>
            <w:r>
              <w:rPr>
                <w:b/>
                <w:bCs/>
                <w:sz w:val="24"/>
              </w:rPr>
              <w:t>表3-</w:t>
            </w:r>
            <w:r>
              <w:rPr>
                <w:rFonts w:hint="eastAsia"/>
                <w:b/>
                <w:bCs/>
                <w:sz w:val="24"/>
                <w:lang w:val="en-US" w:eastAsia="zh-CN"/>
              </w:rPr>
              <w:t>5</w:t>
            </w:r>
            <w:r>
              <w:rPr>
                <w:b/>
                <w:bCs/>
                <w:sz w:val="24"/>
              </w:rPr>
              <w:t xml:space="preserve">  工业企业厂界环境噪声排放标准  dB(A)</w:t>
            </w:r>
          </w:p>
          <w:tbl>
            <w:tblPr>
              <w:tblStyle w:val="31"/>
              <w:tblW w:w="79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2167"/>
              <w:gridCol w:w="2869"/>
              <w:gridCol w:w="2922"/>
            </w:tblGrid>
            <w:tr w14:paraId="62029E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80" w:hRule="atLeast"/>
                <w:jc w:val="center"/>
              </w:trPr>
              <w:tc>
                <w:tcPr>
                  <w:tcW w:w="2167" w:type="dxa"/>
                  <w:vAlign w:val="center"/>
                </w:tcPr>
                <w:p w14:paraId="7C28E092">
                  <w:pPr>
                    <w:jc w:val="center"/>
                    <w:rPr>
                      <w:rFonts w:hint="eastAsia" w:eastAsia="宋体"/>
                      <w:sz w:val="21"/>
                      <w:szCs w:val="21"/>
                      <w:lang w:eastAsia="zh-CN"/>
                    </w:rPr>
                  </w:pPr>
                  <w:r>
                    <w:rPr>
                      <w:rFonts w:hint="eastAsia"/>
                      <w:sz w:val="21"/>
                      <w:szCs w:val="21"/>
                      <w:lang w:val="en-US" w:eastAsia="zh-CN"/>
                    </w:rPr>
                    <w:t>类别</w:t>
                  </w:r>
                </w:p>
              </w:tc>
              <w:tc>
                <w:tcPr>
                  <w:tcW w:w="2869" w:type="dxa"/>
                  <w:vAlign w:val="center"/>
                </w:tcPr>
                <w:p w14:paraId="72883689">
                  <w:pPr>
                    <w:jc w:val="center"/>
                    <w:rPr>
                      <w:sz w:val="21"/>
                      <w:szCs w:val="21"/>
                    </w:rPr>
                  </w:pPr>
                  <w:r>
                    <w:rPr>
                      <w:sz w:val="21"/>
                      <w:szCs w:val="21"/>
                    </w:rPr>
                    <w:t>昼间</w:t>
                  </w:r>
                </w:p>
              </w:tc>
              <w:tc>
                <w:tcPr>
                  <w:tcW w:w="2922" w:type="dxa"/>
                  <w:vAlign w:val="center"/>
                </w:tcPr>
                <w:p w14:paraId="6A46A8EF">
                  <w:pPr>
                    <w:jc w:val="center"/>
                    <w:rPr>
                      <w:sz w:val="21"/>
                      <w:szCs w:val="21"/>
                    </w:rPr>
                  </w:pPr>
                  <w:r>
                    <w:rPr>
                      <w:sz w:val="21"/>
                      <w:szCs w:val="21"/>
                    </w:rPr>
                    <w:t>夜间</w:t>
                  </w:r>
                </w:p>
              </w:tc>
            </w:tr>
            <w:tr w14:paraId="153881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10" w:hRule="atLeast"/>
                <w:jc w:val="center"/>
              </w:trPr>
              <w:tc>
                <w:tcPr>
                  <w:tcW w:w="2167" w:type="dxa"/>
                  <w:vAlign w:val="center"/>
                </w:tcPr>
                <w:p w14:paraId="0AEC66FD">
                  <w:pPr>
                    <w:jc w:val="center"/>
                    <w:rPr>
                      <w:sz w:val="21"/>
                      <w:szCs w:val="21"/>
                    </w:rPr>
                  </w:pPr>
                  <w:r>
                    <w:rPr>
                      <w:rFonts w:hint="eastAsia"/>
                      <w:sz w:val="21"/>
                      <w:szCs w:val="21"/>
                      <w:lang w:val="en-US" w:eastAsia="zh-CN"/>
                    </w:rPr>
                    <w:t>3类</w:t>
                  </w:r>
                </w:p>
              </w:tc>
              <w:tc>
                <w:tcPr>
                  <w:tcW w:w="2869" w:type="dxa"/>
                  <w:vAlign w:val="center"/>
                </w:tcPr>
                <w:p w14:paraId="0A4FDE61">
                  <w:pPr>
                    <w:jc w:val="center"/>
                    <w:rPr>
                      <w:rFonts w:hint="eastAsia" w:eastAsia="宋体"/>
                      <w:sz w:val="21"/>
                      <w:szCs w:val="21"/>
                      <w:lang w:eastAsia="zh-CN"/>
                    </w:rPr>
                  </w:pPr>
                  <w:r>
                    <w:rPr>
                      <w:sz w:val="21"/>
                      <w:szCs w:val="21"/>
                    </w:rPr>
                    <w:t>6</w:t>
                  </w:r>
                  <w:r>
                    <w:rPr>
                      <w:rFonts w:hint="eastAsia"/>
                      <w:sz w:val="21"/>
                      <w:szCs w:val="21"/>
                      <w:lang w:val="en-US" w:eastAsia="zh-CN"/>
                    </w:rPr>
                    <w:t>5</w:t>
                  </w:r>
                </w:p>
              </w:tc>
              <w:tc>
                <w:tcPr>
                  <w:tcW w:w="2922" w:type="dxa"/>
                  <w:vAlign w:val="center"/>
                </w:tcPr>
                <w:p w14:paraId="10A94295">
                  <w:pPr>
                    <w:jc w:val="center"/>
                    <w:rPr>
                      <w:rFonts w:hint="eastAsia" w:eastAsia="宋体"/>
                      <w:sz w:val="21"/>
                      <w:szCs w:val="21"/>
                      <w:lang w:eastAsia="zh-CN"/>
                    </w:rPr>
                  </w:pPr>
                  <w:r>
                    <w:rPr>
                      <w:sz w:val="21"/>
                      <w:szCs w:val="21"/>
                    </w:rPr>
                    <w:t>5</w:t>
                  </w:r>
                  <w:r>
                    <w:rPr>
                      <w:rFonts w:hint="eastAsia"/>
                      <w:sz w:val="21"/>
                      <w:szCs w:val="21"/>
                      <w:lang w:val="en-US" w:eastAsia="zh-CN"/>
                    </w:rPr>
                    <w:t>5</w:t>
                  </w:r>
                </w:p>
              </w:tc>
            </w:tr>
          </w:tbl>
          <w:p w14:paraId="58E63B8E">
            <w:pPr>
              <w:pStyle w:val="28"/>
              <w:spacing w:before="0" w:after="0" w:line="360" w:lineRule="auto"/>
              <w:ind w:right="0" w:firstLine="0" w:firstLineChars="0"/>
              <w:rPr>
                <w:b/>
                <w:sz w:val="24"/>
                <w:szCs w:val="24"/>
              </w:rPr>
            </w:pPr>
            <w:r>
              <w:rPr>
                <w:rFonts w:hint="eastAsia"/>
                <w:b/>
                <w:sz w:val="24"/>
                <w:szCs w:val="24"/>
              </w:rPr>
              <w:t>4</w:t>
            </w:r>
            <w:r>
              <w:rPr>
                <w:b/>
                <w:sz w:val="24"/>
                <w:szCs w:val="24"/>
              </w:rPr>
              <w:t>、固体废物</w:t>
            </w:r>
          </w:p>
          <w:p w14:paraId="3712A6C8">
            <w:pPr>
              <w:spacing w:line="360" w:lineRule="auto"/>
              <w:ind w:firstLine="480" w:firstLineChars="200"/>
              <w:rPr>
                <w:kern w:val="0"/>
                <w:szCs w:val="21"/>
              </w:rPr>
            </w:pPr>
            <w:r>
              <w:rPr>
                <w:szCs w:val="22"/>
                <w:u w:val="none"/>
              </w:rPr>
              <w:t>一般工业固体废物</w:t>
            </w:r>
            <w:r>
              <w:rPr>
                <w:rFonts w:hint="eastAsia"/>
                <w:szCs w:val="22"/>
                <w:u w:val="none"/>
                <w:lang w:val="en-US" w:eastAsia="zh-CN"/>
              </w:rPr>
              <w:t>贮存参照</w:t>
            </w:r>
            <w:r>
              <w:rPr>
                <w:szCs w:val="22"/>
                <w:u w:val="none"/>
              </w:rPr>
              <w:t>执行《一般工业固体废物贮存、处置场污染控制标准》</w:t>
            </w:r>
            <w:r>
              <w:rPr>
                <w:u w:val="none"/>
              </w:rPr>
              <w:t>（GB18599-2020）</w:t>
            </w:r>
            <w:r>
              <w:rPr>
                <w:rFonts w:hint="eastAsia"/>
                <w:u w:val="none"/>
              </w:rPr>
              <w:t>，</w:t>
            </w:r>
            <w:r>
              <w:rPr>
                <w:rFonts w:ascii="宋体" w:hAnsi="宋体" w:eastAsia="宋体" w:cs="宋体"/>
                <w:sz w:val="24"/>
                <w:szCs w:val="24"/>
              </w:rPr>
              <w:t>一般工业固体废物采用库房或包装工具贮存，按照防渗漏、防雨淋、防扬尘等要求进行污染控制及环境管理</w:t>
            </w:r>
            <w:r>
              <w:rPr>
                <w:rFonts w:hint="eastAsia" w:ascii="宋体" w:hAnsi="宋体" w:eastAsia="宋体" w:cs="宋体"/>
                <w:sz w:val="24"/>
                <w:szCs w:val="24"/>
                <w:lang w:eastAsia="zh-CN"/>
              </w:rPr>
              <w:t>；</w:t>
            </w:r>
            <w:r>
              <w:rPr>
                <w:u w:val="none"/>
              </w:rPr>
              <w:t>生活垃圾</w:t>
            </w:r>
            <w:r>
              <w:rPr>
                <w:rFonts w:hint="eastAsia"/>
                <w:u w:val="none"/>
                <w:lang w:val="en-US" w:eastAsia="zh-CN"/>
              </w:rPr>
              <w:t>定期送往周边垃圾中转站</w:t>
            </w:r>
            <w:r>
              <w:rPr>
                <w:rFonts w:hint="eastAsia"/>
                <w:u w:val="none"/>
              </w:rPr>
              <w:t>；</w:t>
            </w:r>
            <w:r>
              <w:rPr>
                <w:rFonts w:hint="eastAsia"/>
                <w:szCs w:val="22"/>
                <w:u w:val="none"/>
              </w:rPr>
              <w:t>危险</w:t>
            </w:r>
            <w:r>
              <w:rPr>
                <w:szCs w:val="22"/>
                <w:u w:val="none"/>
              </w:rPr>
              <w:t>废物</w:t>
            </w:r>
            <w:r>
              <w:rPr>
                <w:rFonts w:hint="eastAsia"/>
                <w:szCs w:val="22"/>
                <w:u w:val="none"/>
                <w:lang w:val="en-US" w:eastAsia="zh-CN"/>
              </w:rPr>
              <w:t>贮存</w:t>
            </w:r>
            <w:r>
              <w:rPr>
                <w:rFonts w:hint="eastAsia"/>
                <w:szCs w:val="22"/>
                <w:u w:val="none"/>
              </w:rPr>
              <w:t>执行</w:t>
            </w:r>
            <w:r>
              <w:rPr>
                <w:szCs w:val="22"/>
                <w:u w:val="none"/>
              </w:rPr>
              <w:t>《危险废物贮存污染控制标准》（GB18597-20</w:t>
            </w:r>
            <w:r>
              <w:rPr>
                <w:rFonts w:hint="eastAsia"/>
                <w:szCs w:val="22"/>
                <w:u w:val="none"/>
                <w:lang w:val="en-US" w:eastAsia="zh-CN"/>
              </w:rPr>
              <w:t>23</w:t>
            </w:r>
            <w:r>
              <w:rPr>
                <w:szCs w:val="22"/>
                <w:u w:val="none"/>
              </w:rPr>
              <w:t>）。</w:t>
            </w:r>
          </w:p>
        </w:tc>
      </w:tr>
      <w:tr w14:paraId="7EE6CB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800" w:type="dxa"/>
            <w:vAlign w:val="center"/>
          </w:tcPr>
          <w:p w14:paraId="2385C952">
            <w:pPr>
              <w:adjustRightInd w:val="0"/>
              <w:snapToGrid w:val="0"/>
              <w:jc w:val="center"/>
              <w:rPr>
                <w:kern w:val="0"/>
                <w:szCs w:val="21"/>
              </w:rPr>
            </w:pPr>
            <w:r>
              <w:rPr>
                <w:kern w:val="0"/>
                <w:szCs w:val="21"/>
              </w:rPr>
              <w:t>总量</w:t>
            </w:r>
          </w:p>
          <w:p w14:paraId="258E0B96">
            <w:pPr>
              <w:adjustRightInd w:val="0"/>
              <w:snapToGrid w:val="0"/>
              <w:jc w:val="center"/>
              <w:rPr>
                <w:kern w:val="0"/>
                <w:szCs w:val="21"/>
              </w:rPr>
            </w:pPr>
            <w:r>
              <w:rPr>
                <w:kern w:val="0"/>
                <w:szCs w:val="21"/>
              </w:rPr>
              <w:t>控制</w:t>
            </w:r>
          </w:p>
          <w:p w14:paraId="14E4EC5E">
            <w:pPr>
              <w:adjustRightInd w:val="0"/>
              <w:snapToGrid w:val="0"/>
              <w:jc w:val="center"/>
              <w:rPr>
                <w:kern w:val="0"/>
                <w:szCs w:val="21"/>
              </w:rPr>
            </w:pPr>
            <w:r>
              <w:rPr>
                <w:kern w:val="0"/>
                <w:szCs w:val="21"/>
              </w:rPr>
              <w:t>指标</w:t>
            </w:r>
          </w:p>
        </w:tc>
        <w:tc>
          <w:tcPr>
            <w:tcW w:w="8190" w:type="dxa"/>
            <w:vAlign w:val="center"/>
          </w:tcPr>
          <w:p w14:paraId="0A2BD493">
            <w:pPr>
              <w:pStyle w:val="4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color w:val="auto"/>
                <w:kern w:val="0"/>
                <w:sz w:val="24"/>
                <w:lang w:bidi="ar"/>
              </w:rPr>
            </w:pPr>
            <w:r>
              <w:rPr>
                <w:rFonts w:hint="eastAsia" w:ascii="Times New Roman" w:hAnsi="Times New Roman" w:eastAsia="宋体" w:cs="Times New Roman"/>
                <w:color w:val="auto"/>
                <w:kern w:val="0"/>
                <w:sz w:val="24"/>
                <w:lang w:bidi="ar"/>
              </w:rPr>
              <w:t>根据《湖南省主要污染物排污权有偿使用和交易实施细则》（湘环发[2024]3号）文件第二条：“化学需氧量、氨氮、二氧化硫、氮氧化物、挥发性有机物、总磷、铅、镉、砷、汞、铬十一类污染物实施管理的范围为有效实施的国家固定污染源排污许可分类管理名录的工业类排污单位。</w:t>
            </w:r>
          </w:p>
          <w:p w14:paraId="655C15C8">
            <w:pPr>
              <w:pStyle w:val="4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color w:val="auto"/>
                <w:kern w:val="0"/>
                <w:sz w:val="24"/>
                <w:lang w:bidi="ar"/>
              </w:rPr>
            </w:pPr>
            <w:r>
              <w:rPr>
                <w:rFonts w:hint="default" w:ascii="Times New Roman" w:hAnsi="Times New Roman" w:eastAsia="宋体" w:cs="Times New Roman"/>
                <w:color w:val="auto"/>
                <w:sz w:val="24"/>
                <w:u w:val="none" w:color="auto"/>
              </w:rPr>
              <w:t>项目生活污水经化粪池处理后，通过园区污水管网纳入</w:t>
            </w:r>
            <w:r>
              <w:rPr>
                <w:rFonts w:hint="eastAsia" w:ascii="Times New Roman" w:hAnsi="Times New Roman" w:cs="Times New Roman"/>
                <w:color w:val="auto"/>
                <w:sz w:val="24"/>
                <w:u w:val="none" w:color="auto"/>
                <w:lang w:eastAsia="zh-CN"/>
              </w:rPr>
              <w:t>岳阳市三峡水环境综合治理有限责任公司临港水质净化厂</w:t>
            </w:r>
            <w:r>
              <w:rPr>
                <w:rFonts w:hint="eastAsia" w:ascii="Times New Roman" w:hAnsi="Times New Roman" w:cs="Times New Roman"/>
                <w:color w:val="auto"/>
                <w:kern w:val="0"/>
                <w:sz w:val="24"/>
                <w:lang w:eastAsia="zh-CN" w:bidi="ar"/>
              </w:rPr>
              <w:t>，</w:t>
            </w:r>
            <w:r>
              <w:rPr>
                <w:rFonts w:hint="eastAsia" w:ascii="Times New Roman" w:hAnsi="Times New Roman" w:eastAsia="宋体" w:cs="Times New Roman"/>
                <w:color w:val="auto"/>
                <w:kern w:val="0"/>
                <w:sz w:val="24"/>
                <w:lang w:bidi="ar"/>
              </w:rPr>
              <w:t>经核算本项目排入外环境的总量分别为COD：0.</w:t>
            </w:r>
            <w:r>
              <w:rPr>
                <w:rFonts w:hint="eastAsia" w:ascii="Times New Roman" w:hAnsi="Times New Roman" w:eastAsia="宋体" w:cs="Times New Roman"/>
                <w:color w:val="auto"/>
                <w:kern w:val="0"/>
                <w:sz w:val="24"/>
                <w:lang w:val="en-US" w:eastAsia="zh-CN" w:bidi="ar"/>
              </w:rPr>
              <w:t>0</w:t>
            </w:r>
            <w:r>
              <w:rPr>
                <w:rFonts w:hint="eastAsia" w:ascii="Times New Roman" w:hAnsi="Times New Roman" w:cs="Times New Roman"/>
                <w:color w:val="auto"/>
                <w:kern w:val="0"/>
                <w:sz w:val="24"/>
                <w:lang w:val="en-US" w:eastAsia="zh-CN" w:bidi="ar"/>
              </w:rPr>
              <w:t>14</w:t>
            </w:r>
            <w:r>
              <w:rPr>
                <w:rFonts w:hint="eastAsia" w:ascii="Times New Roman" w:hAnsi="Times New Roman" w:eastAsia="宋体" w:cs="Times New Roman"/>
                <w:color w:val="auto"/>
                <w:kern w:val="0"/>
                <w:sz w:val="24"/>
                <w:lang w:bidi="ar"/>
              </w:rPr>
              <w:t>t/a，NH</w:t>
            </w:r>
            <w:r>
              <w:rPr>
                <w:rFonts w:hint="eastAsia" w:ascii="Times New Roman" w:hAnsi="Times New Roman" w:eastAsia="宋体" w:cs="Times New Roman"/>
                <w:color w:val="auto"/>
                <w:kern w:val="0"/>
                <w:sz w:val="24"/>
                <w:vertAlign w:val="subscript"/>
                <w:lang w:bidi="ar"/>
              </w:rPr>
              <w:t>3</w:t>
            </w:r>
            <w:r>
              <w:rPr>
                <w:rFonts w:hint="eastAsia" w:ascii="Times New Roman" w:hAnsi="Times New Roman" w:eastAsia="宋体" w:cs="Times New Roman"/>
                <w:color w:val="auto"/>
                <w:kern w:val="0"/>
                <w:sz w:val="24"/>
                <w:lang w:bidi="ar"/>
              </w:rPr>
              <w:t>-N：0.0</w:t>
            </w:r>
            <w:r>
              <w:rPr>
                <w:rFonts w:hint="eastAsia" w:ascii="Times New Roman" w:hAnsi="Times New Roman" w:eastAsia="宋体" w:cs="Times New Roman"/>
                <w:color w:val="auto"/>
                <w:kern w:val="0"/>
                <w:sz w:val="24"/>
                <w:lang w:val="en-US" w:eastAsia="zh-CN" w:bidi="ar"/>
              </w:rPr>
              <w:t>0</w:t>
            </w:r>
            <w:r>
              <w:rPr>
                <w:rFonts w:hint="eastAsia" w:ascii="Times New Roman" w:hAnsi="Times New Roman" w:cs="Times New Roman"/>
                <w:color w:val="auto"/>
                <w:kern w:val="0"/>
                <w:sz w:val="24"/>
                <w:lang w:val="en-US" w:eastAsia="zh-CN" w:bidi="ar"/>
              </w:rPr>
              <w:t>1</w:t>
            </w:r>
            <w:r>
              <w:rPr>
                <w:rFonts w:hint="eastAsia" w:ascii="Times New Roman" w:hAnsi="Times New Roman" w:eastAsia="宋体" w:cs="Times New Roman"/>
                <w:color w:val="auto"/>
                <w:kern w:val="0"/>
                <w:sz w:val="24"/>
                <w:lang w:bidi="ar"/>
              </w:rPr>
              <w:t>t/a</w:t>
            </w:r>
            <w:r>
              <w:rPr>
                <w:rFonts w:hint="eastAsia" w:ascii="Times New Roman" w:hAnsi="Times New Roman" w:eastAsia="宋体" w:cs="Times New Roman"/>
                <w:color w:val="auto"/>
                <w:kern w:val="0"/>
                <w:sz w:val="24"/>
                <w:lang w:eastAsia="zh-CN" w:bidi="ar"/>
              </w:rPr>
              <w:t>，</w:t>
            </w:r>
            <w:r>
              <w:rPr>
                <w:rFonts w:hint="eastAsia" w:ascii="Times New Roman" w:hAnsi="Times New Roman" w:eastAsia="宋体" w:cs="Times New Roman"/>
                <w:color w:val="auto"/>
                <w:kern w:val="0"/>
                <w:sz w:val="24"/>
                <w:lang w:val="en-US" w:eastAsia="zh-CN" w:bidi="ar"/>
              </w:rPr>
              <w:t>TP：0.000</w:t>
            </w:r>
            <w:r>
              <w:rPr>
                <w:rFonts w:hint="eastAsia" w:ascii="Times New Roman" w:hAnsi="Times New Roman" w:cs="Times New Roman"/>
                <w:color w:val="auto"/>
                <w:kern w:val="0"/>
                <w:sz w:val="24"/>
                <w:lang w:val="en-US" w:eastAsia="zh-CN" w:bidi="ar"/>
              </w:rPr>
              <w:t>1</w:t>
            </w:r>
            <w:r>
              <w:rPr>
                <w:rFonts w:hint="eastAsia" w:ascii="Times New Roman" w:hAnsi="Times New Roman" w:eastAsia="宋体" w:cs="Times New Roman"/>
                <w:color w:val="auto"/>
                <w:kern w:val="0"/>
                <w:sz w:val="24"/>
                <w:lang w:bidi="ar"/>
              </w:rPr>
              <w:t>t/a</w:t>
            </w:r>
            <w:r>
              <w:rPr>
                <w:rFonts w:hint="eastAsia" w:ascii="Times New Roman" w:hAnsi="Times New Roman" w:eastAsia="宋体" w:cs="Times New Roman"/>
                <w:color w:val="auto"/>
                <w:kern w:val="0"/>
                <w:sz w:val="24"/>
                <w:lang w:eastAsia="zh-CN" w:bidi="ar"/>
              </w:rPr>
              <w:t>，废水污染物总量指标纳入</w:t>
            </w:r>
            <w:r>
              <w:rPr>
                <w:rFonts w:hint="eastAsia" w:ascii="Times New Roman" w:hAnsi="Times New Roman" w:cs="Times New Roman"/>
                <w:color w:val="auto"/>
                <w:sz w:val="24"/>
                <w:u w:val="none" w:color="auto"/>
                <w:lang w:eastAsia="zh-CN"/>
              </w:rPr>
              <w:t>岳阳市三峡水环境综合治理有限责任公司临港水质净化厂</w:t>
            </w:r>
            <w:r>
              <w:rPr>
                <w:rFonts w:hint="eastAsia" w:ascii="Times New Roman" w:hAnsi="Times New Roman" w:eastAsia="宋体" w:cs="Times New Roman"/>
                <w:color w:val="auto"/>
                <w:kern w:val="0"/>
                <w:sz w:val="24"/>
                <w:lang w:eastAsia="zh-CN" w:bidi="ar"/>
              </w:rPr>
              <w:t>的指标中。</w:t>
            </w:r>
          </w:p>
          <w:p w14:paraId="3EA3B839">
            <w:pPr>
              <w:pStyle w:val="4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color w:val="auto"/>
                <w:kern w:val="0"/>
                <w:sz w:val="24"/>
                <w:lang w:bidi="ar"/>
              </w:rPr>
            </w:pPr>
            <w:r>
              <w:rPr>
                <w:rFonts w:hint="eastAsia" w:ascii="Times New Roman" w:hAnsi="Times New Roman" w:eastAsia="宋体" w:cs="Times New Roman"/>
                <w:color w:val="auto"/>
                <w:kern w:val="0"/>
                <w:sz w:val="24"/>
                <w:lang w:val="en-US" w:eastAsia="zh-CN" w:bidi="ar"/>
              </w:rPr>
              <w:t>本项目的废气主要为</w:t>
            </w:r>
            <w:r>
              <w:rPr>
                <w:rFonts w:hint="eastAsia" w:ascii="Times New Roman" w:hAnsi="Times New Roman" w:eastAsia="宋体" w:cs="Times New Roman"/>
                <w:color w:val="auto"/>
                <w:kern w:val="0"/>
                <w:sz w:val="24"/>
                <w:lang w:bidi="ar"/>
              </w:rPr>
              <w:t>VOCs</w:t>
            </w:r>
            <w:r>
              <w:rPr>
                <w:rFonts w:hint="eastAsia" w:ascii="Times New Roman" w:hAnsi="Times New Roman" w:eastAsia="宋体" w:cs="Times New Roman"/>
                <w:color w:val="auto"/>
                <w:kern w:val="0"/>
                <w:sz w:val="24"/>
                <w:lang w:eastAsia="zh-CN" w:bidi="ar"/>
              </w:rPr>
              <w:t>（</w:t>
            </w:r>
            <w:r>
              <w:rPr>
                <w:rFonts w:hint="eastAsia" w:ascii="Times New Roman" w:hAnsi="Times New Roman" w:eastAsia="宋体" w:cs="Times New Roman"/>
                <w:color w:val="auto"/>
                <w:kern w:val="0"/>
                <w:sz w:val="24"/>
                <w:lang w:val="en-US" w:eastAsia="zh-CN" w:bidi="ar"/>
              </w:rPr>
              <w:t>以非甲烷总烃表征</w:t>
            </w:r>
            <w:r>
              <w:rPr>
                <w:rFonts w:hint="eastAsia" w:ascii="Times New Roman" w:hAnsi="Times New Roman" w:eastAsia="宋体" w:cs="Times New Roman"/>
                <w:color w:val="auto"/>
                <w:kern w:val="0"/>
                <w:sz w:val="24"/>
                <w:lang w:eastAsia="zh-CN" w:bidi="ar"/>
              </w:rPr>
              <w:t>）</w:t>
            </w:r>
            <w:r>
              <w:rPr>
                <w:rFonts w:hint="eastAsia" w:ascii="Times New Roman" w:hAnsi="Times New Roman" w:eastAsia="宋体" w:cs="Times New Roman"/>
                <w:color w:val="auto"/>
                <w:kern w:val="0"/>
                <w:sz w:val="24"/>
                <w:lang w:bidi="ar"/>
              </w:rPr>
              <w:t>，排放量为</w:t>
            </w:r>
            <w:r>
              <w:rPr>
                <w:rFonts w:hint="eastAsia" w:cs="Times New Roman"/>
                <w:color w:val="auto"/>
                <w:kern w:val="0"/>
                <w:sz w:val="24"/>
                <w:lang w:val="en-US" w:eastAsia="zh-CN" w:bidi="ar"/>
              </w:rPr>
              <w:t>1.8</w:t>
            </w:r>
            <w:r>
              <w:rPr>
                <w:rFonts w:hint="eastAsia" w:ascii="Times New Roman" w:hAnsi="Times New Roman" w:cs="Times New Roman"/>
                <w:color w:val="auto"/>
                <w:kern w:val="0"/>
                <w:sz w:val="24"/>
                <w:lang w:val="en-US" w:eastAsia="zh-CN" w:bidi="ar"/>
              </w:rPr>
              <w:t>233</w:t>
            </w:r>
            <w:r>
              <w:rPr>
                <w:rFonts w:hint="eastAsia" w:ascii="Times New Roman" w:hAnsi="Times New Roman" w:eastAsia="宋体" w:cs="Times New Roman"/>
                <w:color w:val="auto"/>
                <w:kern w:val="0"/>
                <w:sz w:val="24"/>
                <w:lang w:val="en-US" w:eastAsia="zh-CN" w:bidi="ar"/>
              </w:rPr>
              <w:t>t</w:t>
            </w:r>
            <w:r>
              <w:rPr>
                <w:rFonts w:hint="eastAsia" w:ascii="Times New Roman" w:hAnsi="Times New Roman" w:eastAsia="宋体" w:cs="Times New Roman"/>
                <w:color w:val="auto"/>
                <w:kern w:val="0"/>
                <w:sz w:val="24"/>
                <w:lang w:bidi="ar"/>
              </w:rPr>
              <w:t>/a。</w:t>
            </w:r>
          </w:p>
          <w:p w14:paraId="1DF919D3">
            <w:pPr>
              <w:autoSpaceDE w:val="0"/>
              <w:autoSpaceDN w:val="0"/>
              <w:adjustRightInd w:val="0"/>
              <w:spacing w:line="360" w:lineRule="auto"/>
              <w:ind w:firstLine="480" w:firstLineChars="0"/>
              <w:rPr>
                <w:kern w:val="0"/>
                <w:szCs w:val="21"/>
              </w:rPr>
            </w:pPr>
            <w:r>
              <w:rPr>
                <w:rFonts w:hint="eastAsia" w:ascii="Times New Roman" w:hAnsi="Times New Roman" w:eastAsia="宋体" w:cs="Times New Roman"/>
                <w:color w:val="auto"/>
                <w:kern w:val="0"/>
                <w:sz w:val="24"/>
                <w:lang w:bidi="ar"/>
              </w:rPr>
              <w:t>建设单位应按照当地要求</w:t>
            </w:r>
            <w:r>
              <w:rPr>
                <w:rFonts w:hint="eastAsia" w:ascii="Times New Roman" w:hAnsi="Times New Roman" w:eastAsia="宋体" w:cs="Times New Roman"/>
                <w:color w:val="auto"/>
                <w:kern w:val="0"/>
                <w:sz w:val="24"/>
                <w:lang w:eastAsia="zh-CN" w:bidi="ar"/>
              </w:rPr>
              <w:t>落实挥发性有机物</w:t>
            </w:r>
            <w:r>
              <w:rPr>
                <w:rFonts w:hint="eastAsia" w:ascii="Times New Roman" w:hAnsi="Times New Roman" w:eastAsia="宋体" w:cs="Times New Roman"/>
                <w:color w:val="auto"/>
                <w:kern w:val="0"/>
                <w:sz w:val="24"/>
                <w:lang w:bidi="ar"/>
              </w:rPr>
              <w:t>总量控制指标。</w:t>
            </w:r>
          </w:p>
        </w:tc>
      </w:tr>
    </w:tbl>
    <w:p w14:paraId="4DD931F1">
      <w:pPr>
        <w:pStyle w:val="26"/>
        <w:jc w:val="center"/>
        <w:outlineLvl w:val="0"/>
        <w:rPr>
          <w:rFonts w:ascii="Times New Roman" w:hAnsi="Times New Roman" w:eastAsia="黑体"/>
          <w:snapToGrid w:val="0"/>
          <w:sz w:val="30"/>
          <w:szCs w:val="30"/>
        </w:rPr>
      </w:pPr>
      <w:r>
        <w:rPr>
          <w:rFonts w:ascii="Times New Roman" w:hAnsi="Times New Roman" w:eastAsia="黑体"/>
          <w:snapToGrid w:val="0"/>
          <w:sz w:val="36"/>
          <w:szCs w:val="36"/>
        </w:rPr>
        <w:br w:type="page"/>
      </w:r>
      <w:bookmarkStart w:id="30" w:name="_Toc71631404"/>
      <w:r>
        <w:rPr>
          <w:rStyle w:val="48"/>
          <w:rFonts w:ascii="Times New Roman" w:hAnsi="Times New Roman" w:eastAsia="宋体"/>
          <w:color w:val="auto"/>
        </w:rPr>
        <w:t>四、主要环境影响和保护措施</w:t>
      </w:r>
      <w:bookmarkEnd w:id="30"/>
    </w:p>
    <w:tbl>
      <w:tblPr>
        <w:tblStyle w:val="31"/>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2"/>
        <w:gridCol w:w="8389"/>
      </w:tblGrid>
      <w:tr w14:paraId="52F19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112" w:hRule="atLeast"/>
          <w:jc w:val="center"/>
        </w:trPr>
        <w:tc>
          <w:tcPr>
            <w:tcW w:w="592" w:type="dxa"/>
            <w:tcMar>
              <w:left w:w="28" w:type="dxa"/>
              <w:right w:w="28" w:type="dxa"/>
            </w:tcMar>
            <w:vAlign w:val="center"/>
          </w:tcPr>
          <w:p w14:paraId="36F6978C">
            <w:pPr>
              <w:pStyle w:val="26"/>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施工</w:t>
            </w:r>
          </w:p>
          <w:p w14:paraId="05F08F23">
            <w:pPr>
              <w:pStyle w:val="26"/>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期环</w:t>
            </w:r>
          </w:p>
          <w:p w14:paraId="4749847B">
            <w:pPr>
              <w:pStyle w:val="26"/>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境保</w:t>
            </w:r>
          </w:p>
          <w:p w14:paraId="3ABBA3DB">
            <w:pPr>
              <w:pStyle w:val="26"/>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护措</w:t>
            </w:r>
          </w:p>
          <w:p w14:paraId="27EE39B5">
            <w:pPr>
              <w:pStyle w:val="26"/>
              <w:adjustRightInd w:val="0"/>
              <w:snapToGrid w:val="0"/>
              <w:spacing w:before="0" w:beforeAutospacing="0" w:after="0" w:afterAutospacing="0"/>
              <w:jc w:val="center"/>
              <w:rPr>
                <w:rFonts w:ascii="Times New Roman" w:hAnsi="Times New Roman"/>
                <w:bCs/>
                <w:kern w:val="2"/>
                <w:sz w:val="21"/>
                <w:szCs w:val="21"/>
              </w:rPr>
            </w:pPr>
            <w:r>
              <w:rPr>
                <w:rFonts w:ascii="Times New Roman" w:hAnsi="Times New Roman"/>
                <w:kern w:val="2"/>
                <w:szCs w:val="24"/>
              </w:rPr>
              <w:t>施</w:t>
            </w:r>
          </w:p>
        </w:tc>
        <w:tc>
          <w:tcPr>
            <w:tcW w:w="8389" w:type="dxa"/>
            <w:vAlign w:val="center"/>
          </w:tcPr>
          <w:p w14:paraId="6142830E">
            <w:pPr>
              <w:adjustRightInd w:val="0"/>
              <w:snapToGrid w:val="0"/>
              <w:spacing w:line="360" w:lineRule="auto"/>
              <w:ind w:firstLine="480" w:firstLineChars="200"/>
              <w:rPr>
                <w:bCs/>
                <w:spacing w:val="-10"/>
                <w:szCs w:val="21"/>
              </w:rPr>
            </w:pPr>
            <w:r>
              <w:rPr>
                <w:rFonts w:hint="eastAsia"/>
              </w:rPr>
              <w:t>本项目租赁</w:t>
            </w:r>
            <w:r>
              <w:rPr>
                <w:rFonts w:hint="eastAsia"/>
                <w:lang w:val="en-US" w:eastAsia="zh-CN"/>
              </w:rPr>
              <w:t>标准厂房</w:t>
            </w:r>
            <w:r>
              <w:rPr>
                <w:rFonts w:hint="eastAsia"/>
              </w:rPr>
              <w:t>进行建设，只进行设备安装和调试，施工期主要污染物为施工噪声及施工固废。本项目位于园区</w:t>
            </w:r>
            <w:r>
              <w:rPr>
                <w:rFonts w:hint="eastAsia"/>
                <w:lang w:val="en-US" w:eastAsia="zh-CN"/>
              </w:rPr>
              <w:t>内</w:t>
            </w:r>
            <w:r>
              <w:rPr>
                <w:rFonts w:hint="eastAsia"/>
              </w:rPr>
              <w:t>，周围200米范围内无声敏感目标，且在室内施工，施工噪声对周围声环境影响较小。本项目施工固废主要为装修垃圾，</w:t>
            </w:r>
            <w:r>
              <w:rPr>
                <w:rFonts w:hint="eastAsia"/>
                <w:lang w:val="en-US" w:eastAsia="zh-CN"/>
              </w:rPr>
              <w:t>交由环卫部门处理</w:t>
            </w:r>
            <w:r>
              <w:rPr>
                <w:rFonts w:hint="eastAsia"/>
              </w:rPr>
              <w:t>。综上所述，本项目施工期对环境影响较小。因此，不对施工期环境影响进行详细分析。</w:t>
            </w:r>
          </w:p>
        </w:tc>
      </w:tr>
      <w:tr w14:paraId="5A10C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9" w:hRule="atLeast"/>
          <w:jc w:val="center"/>
        </w:trPr>
        <w:tc>
          <w:tcPr>
            <w:tcW w:w="592" w:type="dxa"/>
            <w:tcMar>
              <w:left w:w="28" w:type="dxa"/>
              <w:right w:w="28" w:type="dxa"/>
            </w:tcMar>
            <w:vAlign w:val="center"/>
          </w:tcPr>
          <w:p w14:paraId="4D5AA55C">
            <w:pPr>
              <w:adjustRightInd w:val="0"/>
              <w:snapToGrid w:val="0"/>
              <w:jc w:val="center"/>
              <w:rPr>
                <w:bCs/>
                <w:szCs w:val="21"/>
              </w:rPr>
            </w:pPr>
            <w:r>
              <w:rPr>
                <w:bCs/>
                <w:szCs w:val="21"/>
              </w:rPr>
              <w:t>营运</w:t>
            </w:r>
          </w:p>
          <w:p w14:paraId="12D9EBB5">
            <w:pPr>
              <w:adjustRightInd w:val="0"/>
              <w:snapToGrid w:val="0"/>
              <w:jc w:val="center"/>
              <w:rPr>
                <w:bCs/>
                <w:szCs w:val="21"/>
              </w:rPr>
            </w:pPr>
            <w:r>
              <w:rPr>
                <w:bCs/>
                <w:szCs w:val="21"/>
              </w:rPr>
              <w:t>期环</w:t>
            </w:r>
          </w:p>
          <w:p w14:paraId="79451C43">
            <w:pPr>
              <w:adjustRightInd w:val="0"/>
              <w:snapToGrid w:val="0"/>
              <w:jc w:val="center"/>
              <w:rPr>
                <w:bCs/>
                <w:szCs w:val="21"/>
              </w:rPr>
            </w:pPr>
            <w:r>
              <w:rPr>
                <w:bCs/>
                <w:szCs w:val="21"/>
              </w:rPr>
              <w:t>境影</w:t>
            </w:r>
          </w:p>
          <w:p w14:paraId="0DCED142">
            <w:pPr>
              <w:adjustRightInd w:val="0"/>
              <w:snapToGrid w:val="0"/>
              <w:jc w:val="center"/>
              <w:rPr>
                <w:bCs/>
                <w:szCs w:val="21"/>
              </w:rPr>
            </w:pPr>
            <w:r>
              <w:rPr>
                <w:bCs/>
                <w:szCs w:val="21"/>
              </w:rPr>
              <w:t>响和</w:t>
            </w:r>
          </w:p>
          <w:p w14:paraId="19B58303">
            <w:pPr>
              <w:adjustRightInd w:val="0"/>
              <w:snapToGrid w:val="0"/>
              <w:jc w:val="center"/>
              <w:rPr>
                <w:bCs/>
                <w:szCs w:val="21"/>
              </w:rPr>
            </w:pPr>
            <w:r>
              <w:rPr>
                <w:bCs/>
                <w:szCs w:val="21"/>
              </w:rPr>
              <w:t>保护</w:t>
            </w:r>
          </w:p>
          <w:p w14:paraId="50FBDB3F">
            <w:pPr>
              <w:adjustRightInd w:val="0"/>
              <w:snapToGrid w:val="0"/>
              <w:jc w:val="center"/>
              <w:rPr>
                <w:bCs/>
                <w:szCs w:val="21"/>
              </w:rPr>
            </w:pPr>
            <w:r>
              <w:rPr>
                <w:bCs/>
                <w:szCs w:val="21"/>
              </w:rPr>
              <w:t>措施</w:t>
            </w:r>
          </w:p>
        </w:tc>
        <w:tc>
          <w:tcPr>
            <w:tcW w:w="8389" w:type="dxa"/>
            <w:vAlign w:val="center"/>
          </w:tcPr>
          <w:p w14:paraId="600D7406">
            <w:pPr>
              <w:adjustRightInd w:val="0"/>
              <w:spacing w:line="360" w:lineRule="auto"/>
              <w:rPr>
                <w:b/>
                <w:bCs/>
                <w:snapToGrid w:val="0"/>
                <w:kern w:val="0"/>
              </w:rPr>
            </w:pPr>
            <w:r>
              <w:rPr>
                <w:rFonts w:hint="eastAsia"/>
                <w:b/>
                <w:bCs/>
                <w:snapToGrid w:val="0"/>
                <w:kern w:val="0"/>
              </w:rPr>
              <w:t>一、</w:t>
            </w:r>
            <w:r>
              <w:rPr>
                <w:b/>
                <w:bCs/>
                <w:snapToGrid w:val="0"/>
                <w:kern w:val="0"/>
              </w:rPr>
              <w:t>大气</w:t>
            </w:r>
            <w:r>
              <w:rPr>
                <w:rFonts w:hint="eastAsia"/>
                <w:b/>
                <w:bCs/>
                <w:snapToGrid w:val="0"/>
                <w:kern w:val="0"/>
              </w:rPr>
              <w:t>环境影响分析和保护措施</w:t>
            </w:r>
          </w:p>
          <w:p w14:paraId="5D5F3C67">
            <w:pPr>
              <w:pStyle w:val="41"/>
              <w:spacing w:line="360" w:lineRule="auto"/>
              <w:ind w:firstLine="482"/>
              <w:rPr>
                <w:rFonts w:hint="eastAsia" w:ascii="Times New Roman"/>
                <w:b/>
                <w:bCs/>
                <w:snapToGrid w:val="0"/>
                <w:color w:val="auto"/>
                <w:kern w:val="0"/>
                <w:sz w:val="24"/>
                <w:szCs w:val="24"/>
                <w:lang w:val="en-US" w:eastAsia="zh-CN"/>
              </w:rPr>
            </w:pPr>
            <w:r>
              <w:rPr>
                <w:rFonts w:hint="eastAsia" w:ascii="Times New Roman"/>
                <w:b/>
                <w:bCs/>
                <w:snapToGrid w:val="0"/>
                <w:color w:val="auto"/>
                <w:kern w:val="0"/>
                <w:sz w:val="24"/>
                <w:szCs w:val="24"/>
                <w:lang w:val="en-US" w:eastAsia="zh-CN"/>
              </w:rPr>
              <w:t>1、废气影响分析</w:t>
            </w:r>
          </w:p>
          <w:p w14:paraId="5639D7DD">
            <w:pPr>
              <w:pStyle w:val="41"/>
              <w:spacing w:line="360" w:lineRule="auto"/>
              <w:ind w:firstLine="482"/>
              <w:rPr>
                <w:rFonts w:hint="default" w:ascii="Times New Roman" w:hAnsi="Times New Roman" w:cs="Times New Roman"/>
                <w:lang w:val="en-US" w:eastAsia="zh-CN"/>
              </w:rPr>
            </w:pPr>
            <w:r>
              <w:rPr>
                <w:rFonts w:hint="default" w:ascii="Times New Roman" w:hAnsi="Times New Roman" w:cs="Times New Roman"/>
                <w:b w:val="0"/>
                <w:bCs w:val="0"/>
                <w:snapToGrid w:val="0"/>
                <w:color w:val="auto"/>
                <w:kern w:val="0"/>
                <w:sz w:val="24"/>
                <w:szCs w:val="24"/>
                <w:lang w:val="en-US" w:eastAsia="zh-CN"/>
              </w:rPr>
              <w:t>本项目的废气主要为</w:t>
            </w:r>
            <w:r>
              <w:rPr>
                <w:rFonts w:hint="eastAsia" w:ascii="Times New Roman" w:hAnsi="Times New Roman" w:cs="Times New Roman"/>
                <w:b w:val="0"/>
                <w:bCs w:val="0"/>
                <w:snapToGrid w:val="0"/>
                <w:color w:val="auto"/>
                <w:kern w:val="0"/>
                <w:sz w:val="24"/>
                <w:szCs w:val="24"/>
                <w:lang w:val="en-US" w:eastAsia="zh-CN"/>
              </w:rPr>
              <w:t>不凝气体（G1）、</w:t>
            </w:r>
            <w:r>
              <w:rPr>
                <w:rFonts w:hint="default" w:ascii="Times New Roman" w:hAnsi="Times New Roman" w:cs="Times New Roman"/>
                <w:b w:val="0"/>
                <w:bCs w:val="0"/>
                <w:snapToGrid w:val="0"/>
                <w:color w:val="auto"/>
                <w:kern w:val="0"/>
                <w:sz w:val="24"/>
                <w:szCs w:val="24"/>
                <w:lang w:val="en-US" w:eastAsia="zh-CN"/>
              </w:rPr>
              <w:t>储罐废气（G</w:t>
            </w:r>
            <w:r>
              <w:rPr>
                <w:rFonts w:hint="eastAsia" w:ascii="Times New Roman" w:hAnsi="Times New Roman" w:cs="Times New Roman"/>
                <w:b w:val="0"/>
                <w:bCs w:val="0"/>
                <w:snapToGrid w:val="0"/>
                <w:color w:val="auto"/>
                <w:kern w:val="0"/>
                <w:sz w:val="24"/>
                <w:szCs w:val="24"/>
                <w:lang w:val="en-US" w:eastAsia="zh-CN"/>
              </w:rPr>
              <w:t>2</w:t>
            </w:r>
            <w:r>
              <w:rPr>
                <w:rFonts w:hint="default" w:ascii="Times New Roman" w:hAnsi="Times New Roman" w:cs="Times New Roman"/>
                <w:b w:val="0"/>
                <w:bCs w:val="0"/>
                <w:snapToGrid w:val="0"/>
                <w:color w:val="auto"/>
                <w:kern w:val="0"/>
                <w:sz w:val="24"/>
                <w:szCs w:val="24"/>
                <w:lang w:val="en-US" w:eastAsia="zh-CN"/>
              </w:rPr>
              <w:t>）</w:t>
            </w:r>
            <w:r>
              <w:rPr>
                <w:rFonts w:hint="eastAsia" w:ascii="Times New Roman" w:hAnsi="Times New Roman" w:cs="Times New Roman"/>
                <w:b w:val="0"/>
                <w:bCs w:val="0"/>
                <w:snapToGrid w:val="0"/>
                <w:color w:val="auto"/>
                <w:kern w:val="0"/>
                <w:sz w:val="24"/>
                <w:szCs w:val="24"/>
                <w:lang w:val="en-US" w:eastAsia="zh-CN"/>
              </w:rPr>
              <w:t>。</w:t>
            </w:r>
            <w:r>
              <w:rPr>
                <w:rFonts w:hint="default" w:ascii="Times New Roman" w:hAnsi="Times New Roman" w:cs="Times New Roman"/>
              </w:rPr>
              <w:t>主要是成品</w:t>
            </w:r>
            <w:r>
              <w:rPr>
                <w:rFonts w:hint="default" w:ascii="Times New Roman" w:hAnsi="Times New Roman" w:cs="Times New Roman"/>
                <w:lang w:val="en-US" w:eastAsia="zh-CN"/>
              </w:rPr>
              <w:t>储罐的大、小</w:t>
            </w:r>
            <w:r>
              <w:rPr>
                <w:rFonts w:hint="default" w:ascii="Times New Roman" w:hAnsi="Times New Roman" w:cs="Times New Roman"/>
              </w:rPr>
              <w:t>呼吸废气</w:t>
            </w:r>
            <w:r>
              <w:rPr>
                <w:rFonts w:hint="eastAsia" w:ascii="Times New Roman" w:hAnsi="Times New Roman" w:cs="Times New Roman"/>
                <w:lang w:val="en-US" w:eastAsia="zh-CN"/>
              </w:rPr>
              <w:t>以及少量异味</w:t>
            </w:r>
            <w:r>
              <w:rPr>
                <w:rFonts w:hint="default" w:ascii="Times New Roman" w:hAnsi="Times New Roman" w:cs="Times New Roman"/>
                <w:lang w:eastAsia="zh-CN"/>
              </w:rPr>
              <w:t>。</w:t>
            </w:r>
          </w:p>
          <w:p w14:paraId="7D25D400">
            <w:pPr>
              <w:spacing w:line="360" w:lineRule="auto"/>
              <w:ind w:firstLine="480" w:firstLineChars="200"/>
              <w:rPr>
                <w:rFonts w:hint="default" w:ascii="Times New Roman" w:hAnsi="Times New Roman" w:cs="Times New Roman"/>
                <w:lang w:eastAsia="zh-CN"/>
              </w:rPr>
            </w:pPr>
            <w:r>
              <w:rPr>
                <w:rFonts w:hint="eastAsia" w:cs="Times New Roman"/>
                <w:lang w:eastAsia="zh-CN"/>
              </w:rPr>
              <w:t>（</w:t>
            </w:r>
            <w:r>
              <w:rPr>
                <w:rFonts w:hint="eastAsia" w:cs="Times New Roman"/>
                <w:lang w:val="en-US" w:eastAsia="zh-CN"/>
              </w:rPr>
              <w:t>1</w:t>
            </w:r>
            <w:r>
              <w:rPr>
                <w:rFonts w:hint="eastAsia" w:cs="Times New Roman"/>
                <w:lang w:eastAsia="zh-CN"/>
              </w:rPr>
              <w:t>）</w:t>
            </w:r>
            <w:r>
              <w:rPr>
                <w:rFonts w:hint="eastAsia" w:ascii="Times New Roman" w:hAnsi="Times New Roman" w:cs="Times New Roman"/>
                <w:b w:val="0"/>
                <w:bCs w:val="0"/>
                <w:snapToGrid w:val="0"/>
                <w:color w:val="auto"/>
                <w:kern w:val="0"/>
                <w:sz w:val="24"/>
                <w:szCs w:val="24"/>
                <w:lang w:val="en-US" w:eastAsia="zh-CN"/>
              </w:rPr>
              <w:t>不凝气体（G1）</w:t>
            </w:r>
          </w:p>
          <w:p w14:paraId="5995B3E9">
            <w:pPr>
              <w:spacing w:line="360" w:lineRule="auto"/>
              <w:ind w:firstLine="480" w:firstLineChars="200"/>
              <w:rPr>
                <w:rFonts w:hint="default" w:ascii="Times New Roman" w:hAnsi="Times New Roman" w:cs="Times New Roman"/>
                <w:lang w:eastAsia="zh-CN"/>
              </w:rPr>
            </w:pPr>
            <w:r>
              <w:rPr>
                <w:rFonts w:hint="eastAsia"/>
                <w:lang w:val="en-US" w:eastAsia="zh-CN"/>
              </w:rPr>
              <w:t>本项目在冷凝过程中，会产生少量不凝气体</w:t>
            </w:r>
            <w:r>
              <w:rPr>
                <w:rFonts w:hint="eastAsia"/>
              </w:rPr>
              <w:t>，根据建设单位提供的相关资料，本项目的</w:t>
            </w:r>
            <w:r>
              <w:rPr>
                <w:rFonts w:hint="eastAsia"/>
                <w:lang w:val="en-US" w:eastAsia="zh-CN"/>
              </w:rPr>
              <w:t>二级</w:t>
            </w:r>
            <w:r>
              <w:rPr>
                <w:rFonts w:hint="eastAsia"/>
              </w:rPr>
              <w:t>冷凝率</w:t>
            </w:r>
            <w:r>
              <w:rPr>
                <w:rFonts w:hint="eastAsia"/>
                <w:lang w:val="en-US" w:eastAsia="zh-CN"/>
              </w:rPr>
              <w:t>约</w:t>
            </w:r>
            <w:r>
              <w:rPr>
                <w:rFonts w:hint="eastAsia"/>
              </w:rPr>
              <w:t>99.95%，</w:t>
            </w:r>
            <w:r>
              <w:rPr>
                <w:rFonts w:hint="eastAsia"/>
                <w:lang w:val="en-US" w:eastAsia="zh-CN"/>
              </w:rPr>
              <w:t>本项目成品量</w:t>
            </w:r>
            <w:r>
              <w:rPr>
                <w:rFonts w:hint="eastAsia"/>
              </w:rPr>
              <w:t>为</w:t>
            </w:r>
            <w:r>
              <w:rPr>
                <w:rFonts w:hint="eastAsia"/>
                <w:lang w:val="en-US" w:eastAsia="zh-CN"/>
              </w:rPr>
              <w:t>5</w:t>
            </w:r>
            <w:r>
              <w:rPr>
                <w:rFonts w:hint="eastAsia"/>
              </w:rPr>
              <w:t>500t/a</w:t>
            </w:r>
            <w:r>
              <w:rPr>
                <w:rFonts w:hint="eastAsia"/>
                <w:lang w:eastAsia="zh-CN"/>
              </w:rPr>
              <w:t>（</w:t>
            </w:r>
            <w:r>
              <w:rPr>
                <w:rFonts w:hint="eastAsia"/>
                <w:lang w:val="en-US" w:eastAsia="zh-CN"/>
              </w:rPr>
              <w:t>因原料中含有较多固体成分，因此</w:t>
            </w:r>
            <w:r>
              <w:rPr>
                <w:rFonts w:hint="eastAsia"/>
              </w:rPr>
              <w:t>本</w:t>
            </w:r>
            <w:r>
              <w:rPr>
                <w:rFonts w:hint="eastAsia"/>
                <w:lang w:val="en-US" w:eastAsia="zh-CN"/>
              </w:rPr>
              <w:t>环评按成品量进行计算</w:t>
            </w:r>
            <w:r>
              <w:rPr>
                <w:rFonts w:hint="eastAsia"/>
                <w:lang w:eastAsia="zh-CN"/>
              </w:rPr>
              <w:t>）</w:t>
            </w:r>
            <w:r>
              <w:rPr>
                <w:rFonts w:hint="eastAsia"/>
              </w:rPr>
              <w:t>，则不凝</w:t>
            </w:r>
            <w:r>
              <w:rPr>
                <w:rFonts w:hint="eastAsia"/>
                <w:lang w:val="en-US" w:eastAsia="zh-CN"/>
              </w:rPr>
              <w:t>气体</w:t>
            </w:r>
            <w:r>
              <w:rPr>
                <w:rFonts w:hint="eastAsia"/>
              </w:rPr>
              <w:t>的产生量</w:t>
            </w:r>
            <w:r>
              <w:rPr>
                <w:rFonts w:hint="eastAsia"/>
                <w:lang w:val="en-US" w:eastAsia="zh-CN"/>
              </w:rPr>
              <w:t>约</w:t>
            </w:r>
            <w:r>
              <w:rPr>
                <w:rFonts w:hint="eastAsia"/>
              </w:rPr>
              <w:t>为</w:t>
            </w:r>
            <w:r>
              <w:rPr>
                <w:rFonts w:hint="eastAsia"/>
                <w:lang w:val="en-US" w:eastAsia="zh-CN"/>
              </w:rPr>
              <w:t>2</w:t>
            </w:r>
            <w:r>
              <w:rPr>
                <w:rFonts w:hint="eastAsia"/>
              </w:rPr>
              <w:t>.75t/a，不凝</w:t>
            </w:r>
            <w:r>
              <w:rPr>
                <w:rFonts w:hint="eastAsia"/>
                <w:lang w:val="en-US" w:eastAsia="zh-CN"/>
              </w:rPr>
              <w:t>气体</w:t>
            </w:r>
            <w:r>
              <w:rPr>
                <w:rFonts w:hint="eastAsia"/>
              </w:rPr>
              <w:t>通过密闭</w:t>
            </w:r>
            <w:r>
              <w:rPr>
                <w:rFonts w:hint="eastAsia"/>
                <w:lang w:val="en-US" w:eastAsia="zh-CN"/>
              </w:rPr>
              <w:t>管道</w:t>
            </w:r>
            <w:r>
              <w:rPr>
                <w:rFonts w:hint="eastAsia"/>
              </w:rPr>
              <w:t>收集后经</w:t>
            </w:r>
            <w:r>
              <w:rPr>
                <w:rFonts w:hint="eastAsia"/>
                <w:lang w:val="en-US" w:eastAsia="zh-CN"/>
              </w:rPr>
              <w:t>二级</w:t>
            </w:r>
            <w:r>
              <w:rPr>
                <w:rFonts w:hint="eastAsia"/>
              </w:rPr>
              <w:t>活性炭吸附装置处理后通过15m排气筒排放</w:t>
            </w:r>
            <w:r>
              <w:rPr>
                <w:rFonts w:hint="eastAsia"/>
                <w:lang w:eastAsia="zh-CN"/>
              </w:rPr>
              <w:t>。</w:t>
            </w:r>
            <w:r>
              <w:rPr>
                <w:rFonts w:hint="eastAsia"/>
              </w:rPr>
              <w:t>根据《主要污染物总量减排核算技术指南（2022年修订）》可知，活性炭吸附处理效率为</w:t>
            </w:r>
            <w:r>
              <w:rPr>
                <w:rFonts w:hint="eastAsia"/>
                <w:lang w:val="en-US" w:eastAsia="zh-CN"/>
              </w:rPr>
              <w:t>49</w:t>
            </w:r>
            <w:r>
              <w:rPr>
                <w:rFonts w:hint="eastAsia"/>
              </w:rPr>
              <w:t>%（</w:t>
            </w:r>
            <w:r>
              <w:rPr>
                <w:rFonts w:hint="eastAsia"/>
                <w:lang w:val="en-US" w:eastAsia="zh-CN"/>
              </w:rPr>
              <w:t>本项目活性炭定期更换，参照</w:t>
            </w:r>
            <w:r>
              <w:rPr>
                <w:rFonts w:hint="eastAsia"/>
              </w:rPr>
              <w:t>一级活性炭吸附</w:t>
            </w:r>
            <w:r>
              <w:rPr>
                <w:rFonts w:hint="eastAsia"/>
                <w:lang w:eastAsia="zh-CN"/>
              </w:rPr>
              <w:t>（</w:t>
            </w:r>
            <w:r>
              <w:rPr>
                <w:rFonts w:hint="eastAsia"/>
                <w:lang w:val="en-US" w:eastAsia="zh-CN"/>
              </w:rPr>
              <w:t>集中再生</w:t>
            </w:r>
            <w:r>
              <w:rPr>
                <w:rFonts w:hint="eastAsia"/>
                <w:lang w:eastAsia="zh-CN"/>
              </w:rPr>
              <w:t>）</w:t>
            </w:r>
            <w:r>
              <w:rPr>
                <w:rFonts w:hint="eastAsia"/>
              </w:rPr>
              <w:t>处理效率为</w:t>
            </w:r>
            <w:r>
              <w:rPr>
                <w:rFonts w:hint="eastAsia"/>
                <w:lang w:val="en-US" w:eastAsia="zh-CN"/>
              </w:rPr>
              <w:t>30</w:t>
            </w:r>
            <w:r>
              <w:rPr>
                <w:rFonts w:hint="eastAsia"/>
              </w:rPr>
              <w:t>%），设计的风机分量为</w:t>
            </w:r>
            <w:r>
              <w:rPr>
                <w:rFonts w:hint="eastAsia"/>
                <w:lang w:val="en-US" w:eastAsia="zh-CN"/>
              </w:rPr>
              <w:t>10</w:t>
            </w:r>
            <w:r>
              <w:rPr>
                <w:rFonts w:hint="eastAsia"/>
              </w:rPr>
              <w:t>000m</w:t>
            </w:r>
            <w:r>
              <w:rPr>
                <w:rFonts w:hint="eastAsia"/>
                <w:vertAlign w:val="superscript"/>
              </w:rPr>
              <w:t>3</w:t>
            </w:r>
            <w:r>
              <w:rPr>
                <w:rFonts w:hint="eastAsia"/>
              </w:rPr>
              <w:t>/h，则VOCs有组织排放量为</w:t>
            </w:r>
            <w:r>
              <w:rPr>
                <w:rFonts w:hint="eastAsia"/>
                <w:lang w:val="en-US" w:eastAsia="zh-CN"/>
              </w:rPr>
              <w:t>1.4</w:t>
            </w:r>
            <w:r>
              <w:rPr>
                <w:rFonts w:hint="eastAsia"/>
              </w:rPr>
              <w:t>t/a，排放速率为0.</w:t>
            </w:r>
            <w:r>
              <w:rPr>
                <w:rFonts w:hint="eastAsia"/>
                <w:lang w:val="en-US" w:eastAsia="zh-CN"/>
              </w:rPr>
              <w:t>292</w:t>
            </w:r>
            <w:r>
              <w:rPr>
                <w:rFonts w:hint="eastAsia"/>
              </w:rPr>
              <w:t>kg/h，排放浓度为</w:t>
            </w:r>
            <w:r>
              <w:rPr>
                <w:rFonts w:hint="eastAsia"/>
                <w:lang w:val="en-US" w:eastAsia="zh-CN"/>
              </w:rPr>
              <w:t>29.2</w:t>
            </w:r>
            <w:r>
              <w:rPr>
                <w:rFonts w:hint="eastAsia"/>
              </w:rPr>
              <w:t>mg/m</w:t>
            </w:r>
            <w:r>
              <w:rPr>
                <w:rFonts w:hint="eastAsia"/>
                <w:vertAlign w:val="superscript"/>
              </w:rPr>
              <w:t>3</w:t>
            </w:r>
            <w:r>
              <w:rPr>
                <w:rFonts w:hint="eastAsia"/>
              </w:rPr>
              <w:t>。</w:t>
            </w:r>
          </w:p>
          <w:p w14:paraId="724B1E82">
            <w:pPr>
              <w:spacing w:line="360" w:lineRule="auto"/>
              <w:ind w:firstLine="480" w:firstLineChars="200"/>
              <w:rPr>
                <w:rFonts w:hint="default" w:ascii="Times New Roman" w:hAnsi="Times New Roman" w:cs="Times New Roman"/>
                <w:lang w:eastAsia="zh-CN"/>
              </w:rPr>
            </w:pPr>
            <w:r>
              <w:rPr>
                <w:rFonts w:hint="eastAsia" w:cs="Times New Roman"/>
                <w:lang w:eastAsia="zh-CN"/>
              </w:rPr>
              <w:t>（</w:t>
            </w:r>
            <w:r>
              <w:rPr>
                <w:rFonts w:hint="eastAsia" w:cs="Times New Roman"/>
                <w:lang w:val="en-US" w:eastAsia="zh-CN"/>
              </w:rPr>
              <w:t>2</w:t>
            </w:r>
            <w:r>
              <w:rPr>
                <w:rFonts w:hint="eastAsia" w:cs="Times New Roman"/>
                <w:lang w:eastAsia="zh-CN"/>
              </w:rPr>
              <w:t>）</w:t>
            </w:r>
            <w:r>
              <w:rPr>
                <w:rFonts w:hint="default" w:ascii="Times New Roman" w:hAnsi="Times New Roman" w:cs="Times New Roman"/>
                <w:b w:val="0"/>
                <w:bCs w:val="0"/>
                <w:snapToGrid w:val="0"/>
                <w:color w:val="auto"/>
                <w:kern w:val="0"/>
                <w:sz w:val="24"/>
                <w:szCs w:val="24"/>
                <w:lang w:val="en-US" w:eastAsia="zh-CN"/>
              </w:rPr>
              <w:t>储罐废气（G</w:t>
            </w:r>
            <w:r>
              <w:rPr>
                <w:rFonts w:hint="eastAsia" w:ascii="Times New Roman" w:hAnsi="Times New Roman" w:cs="Times New Roman"/>
                <w:b w:val="0"/>
                <w:bCs w:val="0"/>
                <w:snapToGrid w:val="0"/>
                <w:color w:val="auto"/>
                <w:kern w:val="0"/>
                <w:sz w:val="24"/>
                <w:szCs w:val="24"/>
                <w:lang w:val="en-US" w:eastAsia="zh-CN"/>
              </w:rPr>
              <w:t>2</w:t>
            </w:r>
            <w:r>
              <w:rPr>
                <w:rFonts w:hint="default" w:ascii="Times New Roman" w:hAnsi="Times New Roman" w:cs="Times New Roman"/>
                <w:b w:val="0"/>
                <w:bCs w:val="0"/>
                <w:snapToGrid w:val="0"/>
                <w:color w:val="auto"/>
                <w:kern w:val="0"/>
                <w:sz w:val="24"/>
                <w:szCs w:val="24"/>
                <w:lang w:val="en-US" w:eastAsia="zh-CN"/>
              </w:rPr>
              <w:t>）</w:t>
            </w:r>
          </w:p>
          <w:p w14:paraId="3D66B9A6">
            <w:pPr>
              <w:spacing w:line="360" w:lineRule="auto"/>
              <w:ind w:firstLine="480" w:firstLineChars="200"/>
              <w:rPr>
                <w:rFonts w:hint="default" w:ascii="Times New Roman" w:hAnsi="Times New Roman" w:cs="Times New Roman"/>
                <w:lang w:val="en-US" w:eastAsia="zh-CN"/>
              </w:rPr>
            </w:pPr>
            <w:r>
              <w:rPr>
                <w:rFonts w:hint="eastAsia" w:cs="Times New Roman"/>
                <w:lang w:val="en-US" w:eastAsia="zh-CN"/>
              </w:rPr>
              <w:t>①</w:t>
            </w:r>
            <w:r>
              <w:rPr>
                <w:rFonts w:hint="default" w:ascii="Times New Roman" w:hAnsi="Times New Roman" w:cs="Times New Roman"/>
                <w:lang w:val="en-US" w:eastAsia="zh-CN"/>
              </w:rPr>
              <w:t>小呼吸废气</w:t>
            </w:r>
          </w:p>
          <w:p w14:paraId="1CEF8E94">
            <w:pPr>
              <w:pStyle w:val="12"/>
              <w:spacing w:before="0" w:after="0" w:line="360" w:lineRule="auto"/>
              <w:ind w:right="0" w:firstLine="480" w:firstLineChars="200"/>
              <w:rPr>
                <w:rFonts w:hint="default" w:ascii="Times New Roman" w:hAnsi="Times New Roman" w:cs="Times New Roman"/>
                <w:kern w:val="2"/>
                <w:sz w:val="24"/>
                <w:szCs w:val="24"/>
              </w:rPr>
            </w:pPr>
            <w:r>
              <w:rPr>
                <w:rFonts w:hint="default" w:ascii="Times New Roman" w:hAnsi="Times New Roman" w:cs="Times New Roman"/>
                <w:kern w:val="2"/>
                <w:sz w:val="24"/>
                <w:szCs w:val="24"/>
              </w:rPr>
              <w:t>小呼吸损耗原因及过程指储罐在没有收发作业的情况下，随着外界气温、压力在一天内的升降周期变化，罐内气体空间温度、物料蒸发速度、物料蒸汽浓度和蒸汽压力也随之变化，排出物料蒸气和吸入空气的过程造成物料损失。呼吸排放是由于温度和大气压力的变化引起蒸汽的膨胀和收缩而产生的蒸汽排出，它出现在罐内液面无任何变化的情况，是非人为干扰的自然排放方式。</w:t>
            </w:r>
          </w:p>
          <w:p w14:paraId="5E0E0CA2">
            <w:pPr>
              <w:pStyle w:val="12"/>
              <w:spacing w:before="0" w:after="0" w:line="360" w:lineRule="auto"/>
              <w:ind w:right="0" w:firstLine="480" w:firstLineChars="200"/>
              <w:rPr>
                <w:rFonts w:hint="default" w:ascii="Times New Roman" w:hAnsi="Times New Roman" w:cs="Times New Roman"/>
                <w:kern w:val="2"/>
                <w:sz w:val="24"/>
                <w:szCs w:val="24"/>
              </w:rPr>
            </w:pPr>
            <w:r>
              <w:rPr>
                <w:rFonts w:hint="default" w:ascii="Times New Roman" w:hAnsi="Times New Roman" w:cs="Times New Roman"/>
                <w:kern w:val="2"/>
                <w:sz w:val="24"/>
                <w:szCs w:val="24"/>
              </w:rPr>
              <w:t>储罐的大气污染源强定量根据美国《工业污染源调查与研究》第二辑计算，其计算</w:t>
            </w:r>
            <w:r>
              <w:rPr>
                <w:rFonts w:hint="eastAsia" w:ascii="Times New Roman" w:hAnsi="Times New Roman" w:cs="Times New Roman"/>
                <w:kern w:val="2"/>
                <w:sz w:val="24"/>
                <w:szCs w:val="24"/>
                <w:lang w:val="en-US" w:eastAsia="zh-CN"/>
              </w:rPr>
              <w:t>公式</w:t>
            </w:r>
            <w:r>
              <w:rPr>
                <w:rFonts w:hint="default" w:ascii="Times New Roman" w:hAnsi="Times New Roman" w:cs="Times New Roman"/>
                <w:kern w:val="2"/>
                <w:sz w:val="24"/>
                <w:szCs w:val="24"/>
              </w:rPr>
              <w:t>如下：</w:t>
            </w:r>
          </w:p>
          <w:p w14:paraId="434548F9">
            <w:pPr>
              <w:pStyle w:val="12"/>
              <w:spacing w:before="0" w:after="0" w:line="360" w:lineRule="auto"/>
              <w:ind w:right="0" w:firstLine="0" w:firstLineChars="0"/>
              <w:jc w:val="center"/>
              <w:rPr>
                <w:u w:val="none" w:color="auto"/>
              </w:rPr>
            </w:pPr>
            <w:r>
              <w:rPr>
                <w:u w:val="none" w:color="auto"/>
              </w:rPr>
              <w:drawing>
                <wp:inline distT="0" distB="0" distL="114300" distR="114300">
                  <wp:extent cx="4310380" cy="327660"/>
                  <wp:effectExtent l="0" t="0" r="13970" b="152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4310380" cy="327660"/>
                          </a:xfrm>
                          <a:prstGeom prst="rect">
                            <a:avLst/>
                          </a:prstGeom>
                          <a:noFill/>
                          <a:ln>
                            <a:noFill/>
                          </a:ln>
                        </pic:spPr>
                      </pic:pic>
                    </a:graphicData>
                  </a:graphic>
                </wp:inline>
              </w:drawing>
            </w:r>
          </w:p>
          <w:p w14:paraId="14068C06">
            <w:pPr>
              <w:pStyle w:val="12"/>
              <w:spacing w:before="0" w:after="0" w:line="360" w:lineRule="auto"/>
              <w:ind w:right="0" w:firstLine="480" w:firstLineChars="200"/>
              <w:rPr>
                <w:rFonts w:hint="eastAsia" w:ascii="Times New Roman" w:hAnsi="Times New Roman" w:cs="Times New Roman"/>
                <w:kern w:val="2"/>
                <w:sz w:val="24"/>
                <w:szCs w:val="24"/>
              </w:rPr>
            </w:pPr>
            <w:r>
              <w:rPr>
                <w:rFonts w:hint="eastAsia" w:ascii="Times New Roman" w:hAnsi="Times New Roman" w:cs="Times New Roman"/>
                <w:kern w:val="2"/>
                <w:sz w:val="24"/>
                <w:szCs w:val="24"/>
              </w:rPr>
              <w:t>式中：L</w:t>
            </w:r>
            <w:r>
              <w:rPr>
                <w:rFonts w:hint="eastAsia" w:ascii="Times New Roman" w:hAnsi="Times New Roman" w:cs="Times New Roman"/>
                <w:kern w:val="2"/>
                <w:sz w:val="24"/>
                <w:szCs w:val="24"/>
                <w:vertAlign w:val="subscript"/>
              </w:rPr>
              <w:t>B</w:t>
            </w:r>
            <w:r>
              <w:rPr>
                <w:rFonts w:hint="eastAsia" w:ascii="Times New Roman" w:hAnsi="Times New Roman" w:cs="Times New Roman"/>
                <w:kern w:val="2"/>
                <w:sz w:val="24"/>
                <w:szCs w:val="24"/>
              </w:rPr>
              <w:t>—固定顶罐的呼吸排放量（kg/a）；</w:t>
            </w:r>
          </w:p>
          <w:p w14:paraId="559F232A">
            <w:pPr>
              <w:pStyle w:val="12"/>
              <w:spacing w:before="0" w:after="0" w:line="360" w:lineRule="auto"/>
              <w:ind w:right="0" w:firstLine="480" w:firstLineChars="200"/>
              <w:rPr>
                <w:rFonts w:hint="eastAsia" w:ascii="Times New Roman" w:hAnsi="Times New Roman" w:eastAsia="宋体" w:cs="Times New Roman"/>
                <w:kern w:val="2"/>
                <w:sz w:val="24"/>
                <w:szCs w:val="24"/>
                <w:lang w:eastAsia="zh-CN"/>
              </w:rPr>
            </w:pPr>
            <w:r>
              <w:rPr>
                <w:rFonts w:hint="eastAsia" w:ascii="Times New Roman" w:hAnsi="Times New Roman" w:cs="Times New Roman"/>
                <w:kern w:val="2"/>
                <w:sz w:val="24"/>
                <w:szCs w:val="24"/>
              </w:rPr>
              <w:t>M—储罐内蒸汽的分子量</w:t>
            </w:r>
            <w:r>
              <w:rPr>
                <w:rFonts w:hint="eastAsia" w:ascii="Times New Roman" w:hAnsi="Times New Roman" w:cs="Times New Roman"/>
                <w:kern w:val="2"/>
                <w:sz w:val="24"/>
                <w:szCs w:val="24"/>
                <w:lang w:eastAsia="zh-CN"/>
              </w:rPr>
              <w:t>，</w:t>
            </w:r>
            <w:r>
              <w:rPr>
                <w:rFonts w:hint="eastAsia" w:ascii="Times New Roman" w:hAnsi="Times New Roman" w:cs="Times New Roman"/>
                <w:kern w:val="2"/>
                <w:sz w:val="24"/>
                <w:szCs w:val="24"/>
              </w:rPr>
              <w:t>N-甲基吡咯烷酮分子量为99</w:t>
            </w:r>
            <w:r>
              <w:rPr>
                <w:rFonts w:hint="eastAsia" w:ascii="Times New Roman" w:hAnsi="Times New Roman" w:cs="Times New Roman"/>
                <w:kern w:val="2"/>
                <w:sz w:val="24"/>
                <w:szCs w:val="24"/>
                <w:lang w:eastAsia="zh-CN"/>
              </w:rPr>
              <w:t>；</w:t>
            </w:r>
          </w:p>
          <w:p w14:paraId="233B54E2">
            <w:pPr>
              <w:pStyle w:val="12"/>
              <w:spacing w:before="0" w:after="0" w:line="360" w:lineRule="auto"/>
              <w:ind w:right="0" w:firstLine="480" w:firstLineChars="200"/>
              <w:rPr>
                <w:rFonts w:hint="eastAsia" w:ascii="Times New Roman" w:hAnsi="Times New Roman" w:cs="Times New Roman"/>
                <w:kern w:val="2"/>
                <w:sz w:val="24"/>
                <w:szCs w:val="24"/>
              </w:rPr>
            </w:pPr>
            <w:r>
              <w:rPr>
                <w:rFonts w:hint="eastAsia" w:ascii="Times New Roman" w:hAnsi="Times New Roman" w:cs="Times New Roman"/>
                <w:kern w:val="2"/>
                <w:sz w:val="24"/>
                <w:szCs w:val="24"/>
              </w:rPr>
              <w:t>P—在大量液体状态下，真实的蒸气压力（Pa），N-甲基吡咯烷酮真实蒸气压为</w:t>
            </w:r>
            <w:r>
              <w:rPr>
                <w:rFonts w:hint="eastAsia" w:ascii="Times New Roman" w:hAnsi="Times New Roman" w:cs="Times New Roman"/>
                <w:kern w:val="2"/>
                <w:sz w:val="24"/>
                <w:szCs w:val="24"/>
                <w:lang w:val="en-US" w:eastAsia="zh-CN"/>
              </w:rPr>
              <w:t>2910</w:t>
            </w:r>
            <w:r>
              <w:rPr>
                <w:rFonts w:hint="eastAsia" w:ascii="Times New Roman" w:hAnsi="Times New Roman" w:cs="Times New Roman"/>
                <w:kern w:val="2"/>
                <w:sz w:val="24"/>
                <w:szCs w:val="24"/>
              </w:rPr>
              <w:t>Pa；</w:t>
            </w:r>
          </w:p>
          <w:p w14:paraId="4E82603A">
            <w:pPr>
              <w:pStyle w:val="12"/>
              <w:spacing w:before="0" w:after="0" w:line="360" w:lineRule="auto"/>
              <w:ind w:right="0" w:firstLine="480" w:firstLineChars="200"/>
              <w:rPr>
                <w:rFonts w:hint="default"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rPr>
              <w:t>D—罐的直径（m）</w:t>
            </w:r>
            <w:r>
              <w:rPr>
                <w:rFonts w:hint="eastAsia" w:ascii="Times New Roman" w:hAnsi="Times New Roman" w:cs="Times New Roman"/>
                <w:kern w:val="2"/>
                <w:sz w:val="24"/>
                <w:szCs w:val="24"/>
                <w:lang w:eastAsia="zh-CN"/>
              </w:rPr>
              <w:t>，</w:t>
            </w:r>
            <w:r>
              <w:rPr>
                <w:rFonts w:hint="eastAsia" w:ascii="Times New Roman" w:hAnsi="Times New Roman" w:cs="Times New Roman"/>
                <w:kern w:val="2"/>
                <w:sz w:val="24"/>
                <w:szCs w:val="24"/>
                <w:lang w:val="en-US" w:eastAsia="zh-CN"/>
              </w:rPr>
              <w:t>成品储罐直径为4m；</w:t>
            </w:r>
          </w:p>
          <w:p w14:paraId="09E20591">
            <w:pPr>
              <w:pStyle w:val="12"/>
              <w:spacing w:before="0" w:after="0" w:line="360" w:lineRule="auto"/>
              <w:ind w:right="0" w:firstLine="480" w:firstLineChars="200"/>
              <w:rPr>
                <w:rFonts w:hint="eastAsia" w:ascii="Times New Roman" w:hAnsi="Times New Roman" w:cs="Times New Roman"/>
                <w:kern w:val="2"/>
                <w:sz w:val="24"/>
                <w:szCs w:val="24"/>
              </w:rPr>
            </w:pPr>
            <w:r>
              <w:rPr>
                <w:rFonts w:hint="eastAsia" w:ascii="Times New Roman" w:hAnsi="Times New Roman" w:cs="Times New Roman"/>
                <w:kern w:val="2"/>
                <w:sz w:val="24"/>
                <w:szCs w:val="24"/>
              </w:rPr>
              <w:t>H—平均蒸汽空间高度（m）</w:t>
            </w:r>
            <w:r>
              <w:rPr>
                <w:rFonts w:hint="eastAsia" w:ascii="Times New Roman" w:hAnsi="Times New Roman" w:cs="Times New Roman"/>
                <w:kern w:val="2"/>
                <w:sz w:val="24"/>
                <w:szCs w:val="24"/>
                <w:lang w:eastAsia="zh-CN"/>
              </w:rPr>
              <w:t>，</w:t>
            </w:r>
            <w:r>
              <w:rPr>
                <w:rFonts w:hint="eastAsia" w:ascii="Times New Roman" w:hAnsi="Times New Roman" w:cs="Times New Roman"/>
                <w:kern w:val="2"/>
                <w:sz w:val="24"/>
                <w:szCs w:val="24"/>
                <w:lang w:val="en-US" w:eastAsia="zh-CN"/>
              </w:rPr>
              <w:t>储罐蒸汽空间高度约1m</w:t>
            </w:r>
            <w:r>
              <w:rPr>
                <w:rFonts w:hint="eastAsia" w:ascii="Times New Roman" w:hAnsi="Times New Roman" w:cs="Times New Roman"/>
                <w:kern w:val="2"/>
                <w:sz w:val="24"/>
                <w:szCs w:val="24"/>
              </w:rPr>
              <w:t>；</w:t>
            </w:r>
          </w:p>
          <w:p w14:paraId="1363FB6B">
            <w:pPr>
              <w:pStyle w:val="12"/>
              <w:spacing w:before="0" w:after="0" w:line="360" w:lineRule="auto"/>
              <w:ind w:right="0" w:firstLine="480" w:firstLineChars="200"/>
              <w:rPr>
                <w:rFonts w:hint="eastAsia" w:ascii="Times New Roman" w:hAnsi="Times New Roman" w:cs="Times New Roman"/>
                <w:kern w:val="2"/>
                <w:sz w:val="24"/>
                <w:szCs w:val="24"/>
              </w:rPr>
            </w:pPr>
            <w:r>
              <w:rPr>
                <w:rFonts w:hint="eastAsia" w:ascii="Times New Roman" w:hAnsi="Times New Roman" w:cs="Times New Roman"/>
                <w:kern w:val="2"/>
                <w:sz w:val="24"/>
                <w:szCs w:val="24"/>
              </w:rPr>
              <w:t>ΔT——天之内的平均温度差（℃）</w:t>
            </w:r>
            <w:r>
              <w:rPr>
                <w:rFonts w:hint="eastAsia" w:ascii="Times New Roman" w:hAnsi="Times New Roman" w:cs="Times New Roman"/>
                <w:kern w:val="2"/>
                <w:sz w:val="24"/>
                <w:szCs w:val="24"/>
                <w:lang w:eastAsia="zh-CN"/>
              </w:rPr>
              <w:t>，</w:t>
            </w:r>
            <w:r>
              <w:rPr>
                <w:rFonts w:hint="eastAsia" w:ascii="Times New Roman" w:hAnsi="Times New Roman" w:cs="Times New Roman"/>
                <w:kern w:val="2"/>
                <w:sz w:val="24"/>
                <w:szCs w:val="24"/>
                <w:lang w:val="en-US" w:eastAsia="zh-CN"/>
              </w:rPr>
              <w:t>岳阳市日平均气温差约7</w:t>
            </w:r>
            <w:r>
              <w:rPr>
                <w:rFonts w:hint="eastAsia" w:ascii="Times New Roman" w:hAnsi="Times New Roman" w:cs="Times New Roman"/>
                <w:kern w:val="2"/>
                <w:sz w:val="24"/>
                <w:szCs w:val="24"/>
              </w:rPr>
              <w:t>℃；</w:t>
            </w:r>
          </w:p>
          <w:p w14:paraId="0A2DE537">
            <w:pPr>
              <w:pStyle w:val="12"/>
              <w:spacing w:before="0" w:after="0" w:line="360" w:lineRule="auto"/>
              <w:ind w:right="0" w:firstLine="480" w:firstLineChars="200"/>
              <w:rPr>
                <w:rFonts w:hint="eastAsia" w:ascii="Times New Roman" w:hAnsi="Times New Roman" w:cs="Times New Roman"/>
                <w:kern w:val="2"/>
                <w:sz w:val="24"/>
                <w:szCs w:val="24"/>
              </w:rPr>
            </w:pPr>
            <w:r>
              <w:rPr>
                <w:rFonts w:hint="eastAsia" w:ascii="Times New Roman" w:hAnsi="Times New Roman" w:cs="Times New Roman"/>
                <w:kern w:val="2"/>
                <w:sz w:val="24"/>
                <w:szCs w:val="24"/>
              </w:rPr>
              <w:t>F</w:t>
            </w:r>
            <w:r>
              <w:rPr>
                <w:rFonts w:hint="eastAsia" w:ascii="Times New Roman" w:hAnsi="Times New Roman" w:cs="Times New Roman"/>
                <w:kern w:val="2"/>
                <w:sz w:val="24"/>
                <w:szCs w:val="24"/>
                <w:vertAlign w:val="subscript"/>
              </w:rPr>
              <w:t>P</w:t>
            </w:r>
            <w:r>
              <w:rPr>
                <w:rFonts w:hint="eastAsia" w:ascii="Times New Roman" w:hAnsi="Times New Roman" w:cs="Times New Roman"/>
                <w:kern w:val="2"/>
                <w:sz w:val="24"/>
                <w:szCs w:val="24"/>
              </w:rPr>
              <w:t>—涂层因子（无量纲）</w:t>
            </w:r>
            <w:r>
              <w:rPr>
                <w:rFonts w:hint="eastAsia" w:ascii="Times New Roman" w:hAnsi="Times New Roman" w:cs="Times New Roman"/>
                <w:kern w:val="2"/>
                <w:sz w:val="24"/>
                <w:szCs w:val="24"/>
                <w:lang w:eastAsia="zh-CN"/>
              </w:rPr>
              <w:t>，</w:t>
            </w:r>
            <w:r>
              <w:rPr>
                <w:rFonts w:hint="eastAsia" w:ascii="Times New Roman" w:hAnsi="Times New Roman" w:cs="Times New Roman"/>
                <w:kern w:val="2"/>
                <w:sz w:val="24"/>
                <w:szCs w:val="24"/>
              </w:rPr>
              <w:t>取值在1～1.5之间</w:t>
            </w:r>
            <w:r>
              <w:rPr>
                <w:rFonts w:hint="eastAsia" w:ascii="Times New Roman" w:hAnsi="Times New Roman" w:cs="Times New Roman"/>
                <w:kern w:val="2"/>
                <w:sz w:val="24"/>
                <w:szCs w:val="24"/>
                <w:lang w:eastAsia="zh-CN"/>
              </w:rPr>
              <w:t>，</w:t>
            </w:r>
            <w:r>
              <w:rPr>
                <w:rFonts w:hint="eastAsia" w:ascii="Times New Roman" w:hAnsi="Times New Roman" w:cs="Times New Roman"/>
                <w:kern w:val="2"/>
                <w:sz w:val="24"/>
                <w:szCs w:val="24"/>
                <w:lang w:val="en-US" w:eastAsia="zh-CN"/>
              </w:rPr>
              <w:t>本项目取1</w:t>
            </w:r>
            <w:r>
              <w:rPr>
                <w:rFonts w:hint="eastAsia" w:ascii="Times New Roman" w:hAnsi="Times New Roman" w:cs="Times New Roman"/>
                <w:kern w:val="2"/>
                <w:sz w:val="24"/>
                <w:szCs w:val="24"/>
              </w:rPr>
              <w:t>；</w:t>
            </w:r>
          </w:p>
          <w:p w14:paraId="63EC65E8">
            <w:pPr>
              <w:pStyle w:val="12"/>
              <w:spacing w:before="0" w:after="0" w:line="360" w:lineRule="auto"/>
              <w:ind w:right="0" w:firstLine="480" w:firstLineChars="200"/>
              <w:rPr>
                <w:rFonts w:hint="default"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rPr>
              <w:t>C—用于小直径罐的调节因子（无量纲）</w:t>
            </w:r>
            <w:r>
              <w:rPr>
                <w:rFonts w:hint="eastAsia" w:ascii="Times New Roman" w:hAnsi="Times New Roman" w:cs="Times New Roman"/>
                <w:kern w:val="2"/>
                <w:sz w:val="24"/>
                <w:szCs w:val="24"/>
                <w:lang w:eastAsia="zh-CN"/>
              </w:rPr>
              <w:t>，</w:t>
            </w:r>
            <w:r>
              <w:rPr>
                <w:rFonts w:hint="eastAsia" w:ascii="Times New Roman" w:hAnsi="Times New Roman" w:cs="Times New Roman"/>
                <w:kern w:val="2"/>
                <w:sz w:val="24"/>
                <w:szCs w:val="24"/>
              </w:rPr>
              <w:t>直径在0～9m之间的罐体，C=1-0.0123（D-9）</w:t>
            </w:r>
            <w:r>
              <w:rPr>
                <w:rFonts w:hint="eastAsia" w:ascii="Times New Roman" w:hAnsi="Times New Roman" w:cs="Times New Roman"/>
                <w:kern w:val="2"/>
                <w:sz w:val="24"/>
                <w:szCs w:val="24"/>
                <w:vertAlign w:val="superscript"/>
              </w:rPr>
              <w:t>2</w:t>
            </w:r>
            <w:r>
              <w:rPr>
                <w:rFonts w:hint="eastAsia" w:ascii="Times New Roman" w:hAnsi="Times New Roman" w:cs="Times New Roman"/>
                <w:kern w:val="2"/>
                <w:sz w:val="24"/>
                <w:szCs w:val="24"/>
                <w:lang w:eastAsia="zh-CN"/>
              </w:rPr>
              <w:t>，</w:t>
            </w:r>
            <w:r>
              <w:rPr>
                <w:rFonts w:hint="eastAsia" w:ascii="Times New Roman" w:hAnsi="Times New Roman" w:cs="Times New Roman"/>
                <w:kern w:val="2"/>
                <w:sz w:val="24"/>
                <w:szCs w:val="24"/>
              </w:rPr>
              <w:t>罐径大于9m的C=1；</w:t>
            </w:r>
            <w:r>
              <w:rPr>
                <w:rFonts w:hint="eastAsia" w:ascii="Times New Roman" w:hAnsi="Times New Roman" w:cs="Times New Roman"/>
                <w:kern w:val="2"/>
                <w:sz w:val="24"/>
                <w:szCs w:val="24"/>
                <w:lang w:val="en-US" w:eastAsia="zh-CN"/>
              </w:rPr>
              <w:t>本项目储罐直径4m，经计算C为0.6925；</w:t>
            </w:r>
          </w:p>
          <w:p w14:paraId="4C4F74F3">
            <w:pPr>
              <w:pStyle w:val="12"/>
              <w:spacing w:before="0" w:after="0" w:line="360" w:lineRule="auto"/>
              <w:ind w:right="0" w:firstLine="480" w:firstLineChars="200"/>
              <w:rPr>
                <w:rFonts w:hint="default"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rPr>
              <w:t>K</w:t>
            </w:r>
            <w:r>
              <w:rPr>
                <w:rFonts w:hint="eastAsia" w:ascii="Times New Roman" w:hAnsi="Times New Roman" w:cs="Times New Roman"/>
                <w:kern w:val="2"/>
                <w:sz w:val="24"/>
                <w:szCs w:val="24"/>
                <w:vertAlign w:val="subscript"/>
              </w:rPr>
              <w:t>C</w:t>
            </w:r>
            <w:r>
              <w:rPr>
                <w:rFonts w:hint="eastAsia" w:ascii="Times New Roman" w:hAnsi="Times New Roman" w:cs="Times New Roman"/>
                <w:kern w:val="2"/>
                <w:sz w:val="24"/>
                <w:szCs w:val="24"/>
              </w:rPr>
              <w:t>—产品因子（石油原油K</w:t>
            </w:r>
            <w:r>
              <w:rPr>
                <w:rFonts w:hint="eastAsia" w:ascii="Times New Roman" w:hAnsi="Times New Roman" w:cs="Times New Roman"/>
                <w:kern w:val="2"/>
                <w:sz w:val="24"/>
                <w:szCs w:val="24"/>
                <w:vertAlign w:val="subscript"/>
              </w:rPr>
              <w:t>C</w:t>
            </w:r>
            <w:r>
              <w:rPr>
                <w:rFonts w:hint="eastAsia" w:ascii="Times New Roman" w:hAnsi="Times New Roman" w:cs="Times New Roman"/>
                <w:kern w:val="2"/>
                <w:sz w:val="24"/>
                <w:szCs w:val="24"/>
              </w:rPr>
              <w:t>取0.65；其他的有机液体取1.0）</w:t>
            </w:r>
            <w:r>
              <w:rPr>
                <w:rFonts w:hint="eastAsia" w:ascii="Times New Roman" w:hAnsi="Times New Roman" w:cs="Times New Roman"/>
                <w:kern w:val="2"/>
                <w:sz w:val="24"/>
                <w:szCs w:val="24"/>
                <w:lang w:eastAsia="zh-CN"/>
              </w:rPr>
              <w:t>，</w:t>
            </w:r>
            <w:r>
              <w:rPr>
                <w:rFonts w:hint="eastAsia" w:ascii="Times New Roman" w:hAnsi="Times New Roman" w:cs="Times New Roman"/>
                <w:kern w:val="2"/>
                <w:sz w:val="24"/>
                <w:szCs w:val="24"/>
                <w:lang w:val="en-US" w:eastAsia="zh-CN"/>
              </w:rPr>
              <w:t>本项目取1.0。</w:t>
            </w:r>
          </w:p>
          <w:p w14:paraId="1FAE4447">
            <w:pPr>
              <w:spacing w:line="360" w:lineRule="auto"/>
              <w:ind w:firstLine="480" w:firstLineChars="200"/>
              <w:rPr>
                <w:rFonts w:hint="eastAsia" w:eastAsia="宋体"/>
                <w:lang w:val="en-US" w:eastAsia="zh-CN"/>
              </w:rPr>
            </w:pPr>
            <w:r>
              <w:rPr>
                <w:rFonts w:hint="eastAsia"/>
                <w:lang w:val="en-US" w:eastAsia="zh-CN"/>
              </w:rPr>
              <w:t>经计算，单个储罐的小呼吸废气VOCs（以NMHC表征）产生量为31.65</w:t>
            </w:r>
            <w:r>
              <w:rPr>
                <w:rFonts w:hint="eastAsia" w:ascii="Times New Roman" w:hAnsi="Times New Roman" w:cs="Times New Roman"/>
                <w:kern w:val="2"/>
                <w:sz w:val="24"/>
                <w:szCs w:val="24"/>
              </w:rPr>
              <w:t>kg/a</w:t>
            </w:r>
            <w:r>
              <w:rPr>
                <w:rFonts w:hint="default" w:ascii="Times New Roman" w:hAnsi="Times New Roman" w:cs="Times New Roman"/>
                <w:lang w:eastAsia="zh-CN"/>
              </w:rPr>
              <w:t>，</w:t>
            </w:r>
            <w:r>
              <w:rPr>
                <w:rFonts w:hint="default" w:ascii="Times New Roman" w:hAnsi="Times New Roman" w:cs="Times New Roman"/>
                <w:lang w:val="en-US" w:eastAsia="zh-CN"/>
              </w:rPr>
              <w:t>本项目</w:t>
            </w:r>
            <w:r>
              <w:rPr>
                <w:rFonts w:hint="eastAsia" w:ascii="Times New Roman" w:hAnsi="Times New Roman" w:cs="Times New Roman"/>
                <w:lang w:val="en-US" w:eastAsia="zh-CN"/>
              </w:rPr>
              <w:t>设</w:t>
            </w:r>
            <w:r>
              <w:rPr>
                <w:rFonts w:hint="default" w:ascii="Times New Roman" w:hAnsi="Times New Roman" w:cs="Times New Roman"/>
                <w:lang w:val="en-US" w:eastAsia="zh-CN"/>
              </w:rPr>
              <w:t>有2个</w:t>
            </w:r>
            <w:r>
              <w:rPr>
                <w:rFonts w:hint="eastAsia" w:ascii="Times New Roman" w:hAnsi="Times New Roman" w:cs="Times New Roman"/>
                <w:lang w:val="en-US" w:eastAsia="zh-CN"/>
              </w:rPr>
              <w:t>成品储罐，因此本项目</w:t>
            </w:r>
            <w:r>
              <w:rPr>
                <w:rFonts w:hint="eastAsia"/>
                <w:lang w:val="en-US" w:eastAsia="zh-CN"/>
              </w:rPr>
              <w:t>小呼吸废气VOCs（以NMHC表征）产生量为63.3</w:t>
            </w:r>
            <w:r>
              <w:rPr>
                <w:rFonts w:hint="eastAsia" w:ascii="Times New Roman" w:hAnsi="Times New Roman" w:cs="Times New Roman"/>
                <w:kern w:val="2"/>
                <w:sz w:val="24"/>
                <w:szCs w:val="24"/>
              </w:rPr>
              <w:t>kg/a</w:t>
            </w:r>
            <w:r>
              <w:rPr>
                <w:rFonts w:hint="eastAsia" w:cs="Times New Roman"/>
                <w:kern w:val="2"/>
                <w:sz w:val="24"/>
                <w:szCs w:val="24"/>
                <w:lang w:eastAsia="zh-CN"/>
              </w:rPr>
              <w:t>，</w:t>
            </w:r>
            <w:r>
              <w:rPr>
                <w:rFonts w:hint="eastAsia" w:cs="Times New Roman"/>
                <w:kern w:val="2"/>
                <w:sz w:val="24"/>
                <w:szCs w:val="24"/>
                <w:lang w:val="en-US" w:eastAsia="zh-CN"/>
              </w:rPr>
              <w:t>0.0633t/a</w:t>
            </w:r>
            <w:r>
              <w:rPr>
                <w:rFonts w:hint="eastAsia" w:ascii="Times New Roman" w:hAnsi="Times New Roman" w:cs="Times New Roman"/>
                <w:kern w:val="2"/>
                <w:sz w:val="24"/>
                <w:szCs w:val="24"/>
                <w:lang w:eastAsia="zh-CN"/>
              </w:rPr>
              <w:t>。</w:t>
            </w:r>
          </w:p>
          <w:p w14:paraId="3589B292">
            <w:pPr>
              <w:spacing w:line="360" w:lineRule="auto"/>
              <w:ind w:firstLine="480" w:firstLineChars="200"/>
              <w:rPr>
                <w:rFonts w:hint="default"/>
                <w:lang w:val="en-US" w:eastAsia="zh-CN"/>
              </w:rPr>
            </w:pPr>
            <w:r>
              <w:rPr>
                <w:rFonts w:hint="eastAsia"/>
                <w:lang w:val="en-US" w:eastAsia="zh-CN"/>
              </w:rPr>
              <w:t>②大呼吸废气</w:t>
            </w:r>
          </w:p>
          <w:p w14:paraId="25FAD688">
            <w:pPr>
              <w:spacing w:line="360" w:lineRule="auto"/>
              <w:ind w:firstLine="480" w:firstLineChars="200"/>
              <w:rPr>
                <w:rFonts w:hint="eastAsia"/>
              </w:rPr>
            </w:pPr>
            <w:r>
              <w:rPr>
                <w:rFonts w:hint="eastAsia"/>
              </w:rPr>
              <w:t>大呼吸损耗原因及过程指储罐在进行收、发作业时，罐内气体空间体积改变而产生的损耗储罐进物料时，由于液面逐渐升高，气体空间逐渐减小，罐内压力增大，当压力超过呼吸阀控制压力时，一定浓度的物料蒸气开始从呼吸阀呼出，直到储罐停止收物料，所呼出的物料蒸气造成物料蒸发的损失。</w:t>
            </w:r>
          </w:p>
          <w:p w14:paraId="66390689">
            <w:pPr>
              <w:spacing w:line="360" w:lineRule="auto"/>
              <w:ind w:firstLine="480" w:firstLineChars="200"/>
              <w:rPr>
                <w:rFonts w:hint="eastAsia"/>
              </w:rPr>
            </w:pPr>
            <w:r>
              <w:rPr>
                <w:rFonts w:hint="eastAsia"/>
              </w:rPr>
              <w:t>工作排放是由于人为的装料与卸料而产生的损失。因装料的结果，罐内压力超过释放压力时，蒸气从罐内压出；而卸料损失发生于液面排出，空气被抽入罐体内，因空气变成有机蒸气饱和的气体而膨胀，因而超过蒸气空间容纳的能力。可由下式估算固定顶罐的工作排放：</w:t>
            </w:r>
          </w:p>
          <w:p w14:paraId="5F4FBF0C">
            <w:pPr>
              <w:spacing w:line="360" w:lineRule="auto"/>
              <w:ind w:firstLine="0" w:firstLineChars="0"/>
              <w:jc w:val="center"/>
              <w:rPr>
                <w:rFonts w:hint="default" w:ascii="Times New Roman" w:hAnsi="Times New Roman" w:eastAsia="宋体" w:cs="Times New Roman"/>
                <w:color w:val="auto"/>
                <w:kern w:val="2"/>
                <w:sz w:val="24"/>
                <w:szCs w:val="24"/>
                <w:u w:val="none" w:color="auto"/>
                <w:lang w:val="en-US" w:eastAsia="zh-CN" w:bidi="ar-SA"/>
              </w:rPr>
            </w:pPr>
            <w:r>
              <w:rPr>
                <w:u w:val="none" w:color="auto"/>
              </w:rPr>
              <w:drawing>
                <wp:inline distT="0" distB="0" distL="114300" distR="114300">
                  <wp:extent cx="1990725" cy="279400"/>
                  <wp:effectExtent l="0" t="0" r="9525" b="635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1"/>
                          <a:stretch>
                            <a:fillRect/>
                          </a:stretch>
                        </pic:blipFill>
                        <pic:spPr>
                          <a:xfrm>
                            <a:off x="0" y="0"/>
                            <a:ext cx="1990725" cy="279400"/>
                          </a:xfrm>
                          <a:prstGeom prst="rect">
                            <a:avLst/>
                          </a:prstGeom>
                          <a:noFill/>
                          <a:ln>
                            <a:noFill/>
                          </a:ln>
                        </pic:spPr>
                      </pic:pic>
                    </a:graphicData>
                  </a:graphic>
                </wp:inline>
              </w:drawing>
            </w:r>
          </w:p>
          <w:p w14:paraId="0933ABF2">
            <w:pPr>
              <w:spacing w:line="360" w:lineRule="auto"/>
              <w:ind w:firstLine="480" w:firstLineChars="200"/>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SA"/>
              </w:rPr>
              <w:t>式中</w:t>
            </w:r>
            <w:r>
              <w:rPr>
                <w:rFonts w:hint="eastAsia" w:ascii="Times New Roman" w:hAnsi="Times New Roman" w:eastAsia="宋体" w:cs="Times New Roman"/>
                <w:color w:val="auto"/>
                <w:kern w:val="2"/>
                <w:sz w:val="24"/>
                <w:szCs w:val="24"/>
                <w:u w:val="none" w:color="auto"/>
                <w:lang w:val="en-US" w:eastAsia="zh-CN" w:bidi="ar-SA"/>
              </w:rPr>
              <w:t>：</w:t>
            </w:r>
            <w:r>
              <w:rPr>
                <w:rFonts w:hint="default" w:ascii="Times New Roman" w:hAnsi="Times New Roman" w:eastAsia="宋体" w:cs="Times New Roman"/>
                <w:color w:val="auto"/>
                <w:kern w:val="2"/>
                <w:sz w:val="24"/>
                <w:szCs w:val="24"/>
                <w:u w:val="none" w:color="auto"/>
                <w:lang w:val="en-US" w:eastAsia="zh-CN" w:bidi="ar-SA"/>
              </w:rPr>
              <w:t>Lw</w:t>
            </w:r>
            <w:r>
              <w:rPr>
                <w:rFonts w:hint="eastAsia" w:ascii="Times New Roman" w:hAnsi="Times New Roman" w:cs="Times New Roman"/>
                <w:kern w:val="2"/>
                <w:sz w:val="24"/>
                <w:szCs w:val="24"/>
                <w:u w:color="auto"/>
              </w:rPr>
              <w:t>—</w:t>
            </w:r>
            <w:r>
              <w:rPr>
                <w:rFonts w:hint="default" w:ascii="Times New Roman" w:hAnsi="Times New Roman" w:eastAsia="宋体" w:cs="Times New Roman"/>
                <w:color w:val="auto"/>
                <w:kern w:val="2"/>
                <w:sz w:val="24"/>
                <w:szCs w:val="24"/>
                <w:u w:val="none" w:color="auto"/>
                <w:lang w:val="en-US" w:eastAsia="zh-CN" w:bidi="ar-SA"/>
              </w:rPr>
              <w:t>固定顶罐的工作损失量</w:t>
            </w:r>
            <w:r>
              <w:rPr>
                <w:rFonts w:hint="eastAsia" w:cs="Times New Roman"/>
                <w:color w:val="auto"/>
                <w:kern w:val="2"/>
                <w:sz w:val="24"/>
                <w:szCs w:val="24"/>
                <w:u w:val="none" w:color="auto"/>
                <w:lang w:val="en-US" w:eastAsia="zh-CN" w:bidi="ar-SA"/>
              </w:rPr>
              <w:t>（</w:t>
            </w:r>
            <w:r>
              <w:rPr>
                <w:rFonts w:hint="default" w:ascii="Times New Roman" w:hAnsi="Times New Roman" w:eastAsia="宋体" w:cs="Times New Roman"/>
                <w:color w:val="auto"/>
                <w:kern w:val="2"/>
                <w:sz w:val="24"/>
                <w:szCs w:val="24"/>
                <w:u w:val="none" w:color="auto"/>
                <w:lang w:val="en-US" w:eastAsia="zh-CN" w:bidi="ar-SA"/>
              </w:rPr>
              <w:t>kg/m</w:t>
            </w:r>
            <w:r>
              <w:rPr>
                <w:rFonts w:hint="default" w:ascii="Times New Roman" w:hAnsi="Times New Roman" w:eastAsia="宋体" w:cs="Times New Roman"/>
                <w:color w:val="auto"/>
                <w:kern w:val="2"/>
                <w:sz w:val="24"/>
                <w:szCs w:val="24"/>
                <w:u w:val="none" w:color="auto"/>
                <w:vertAlign w:val="superscript"/>
                <w:lang w:val="en-US" w:eastAsia="zh-CN" w:bidi="ar-SA"/>
              </w:rPr>
              <w:t>3</w:t>
            </w:r>
            <w:r>
              <w:rPr>
                <w:rFonts w:hint="default" w:ascii="Times New Roman" w:hAnsi="Times New Roman" w:eastAsia="宋体" w:cs="Times New Roman"/>
                <w:color w:val="auto"/>
                <w:kern w:val="2"/>
                <w:sz w:val="24"/>
                <w:szCs w:val="24"/>
                <w:u w:val="none" w:color="auto"/>
                <w:lang w:val="en-US" w:eastAsia="zh-CN" w:bidi="ar-SA"/>
              </w:rPr>
              <w:t>投入量</w:t>
            </w:r>
            <w:r>
              <w:rPr>
                <w:rFonts w:hint="eastAsia" w:cs="Times New Roman"/>
                <w:color w:val="auto"/>
                <w:kern w:val="2"/>
                <w:sz w:val="24"/>
                <w:szCs w:val="24"/>
                <w:u w:val="none" w:color="auto"/>
                <w:lang w:val="en-US" w:eastAsia="zh-CN" w:bidi="ar-SA"/>
              </w:rPr>
              <w:t>）</w:t>
            </w:r>
            <w:r>
              <w:rPr>
                <w:rFonts w:hint="eastAsia" w:ascii="Times New Roman" w:hAnsi="Times New Roman" w:eastAsia="宋体" w:cs="Times New Roman"/>
                <w:color w:val="auto"/>
                <w:kern w:val="2"/>
                <w:sz w:val="24"/>
                <w:szCs w:val="24"/>
                <w:u w:val="none" w:color="auto"/>
                <w:lang w:val="en-US" w:eastAsia="zh-CN" w:bidi="ar-SA"/>
              </w:rPr>
              <w:t>；</w:t>
            </w:r>
          </w:p>
          <w:p w14:paraId="40470BBC">
            <w:pPr>
              <w:spacing w:line="360" w:lineRule="auto"/>
              <w:ind w:firstLine="480" w:firstLineChars="200"/>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SA"/>
              </w:rPr>
              <w:t>K</w:t>
            </w:r>
            <w:r>
              <w:rPr>
                <w:rFonts w:hint="eastAsia" w:ascii="Times New Roman" w:hAnsi="Times New Roman" w:eastAsia="宋体" w:cs="Times New Roman"/>
                <w:color w:val="auto"/>
                <w:kern w:val="2"/>
                <w:sz w:val="24"/>
                <w:szCs w:val="24"/>
                <w:u w:val="none" w:color="auto"/>
                <w:vertAlign w:val="subscript"/>
                <w:lang w:val="en-US" w:eastAsia="zh-CN" w:bidi="ar-SA"/>
              </w:rPr>
              <w:t>N</w:t>
            </w:r>
            <w:r>
              <w:rPr>
                <w:rFonts w:hint="eastAsia" w:ascii="Times New Roman" w:hAnsi="Times New Roman" w:cs="Times New Roman"/>
                <w:kern w:val="2"/>
                <w:sz w:val="24"/>
                <w:szCs w:val="24"/>
                <w:u w:color="auto"/>
              </w:rPr>
              <w:t>—</w:t>
            </w:r>
            <w:r>
              <w:rPr>
                <w:rFonts w:hint="default" w:ascii="Times New Roman" w:hAnsi="Times New Roman" w:eastAsia="宋体" w:cs="Times New Roman"/>
                <w:color w:val="auto"/>
                <w:kern w:val="2"/>
                <w:sz w:val="24"/>
                <w:szCs w:val="24"/>
                <w:u w:val="none" w:color="auto"/>
                <w:lang w:val="en-US" w:eastAsia="zh-CN" w:bidi="ar-SA"/>
              </w:rPr>
              <w:t>周转因子</w:t>
            </w:r>
            <w:r>
              <w:rPr>
                <w:rFonts w:hint="eastAsia" w:cs="Times New Roman"/>
                <w:color w:val="auto"/>
                <w:kern w:val="2"/>
                <w:sz w:val="24"/>
                <w:szCs w:val="24"/>
                <w:u w:val="none" w:color="auto"/>
                <w:lang w:val="en-US" w:eastAsia="zh-CN" w:bidi="ar-SA"/>
              </w:rPr>
              <w:t>（</w:t>
            </w:r>
            <w:r>
              <w:rPr>
                <w:rFonts w:hint="default" w:ascii="Times New Roman" w:hAnsi="Times New Roman" w:eastAsia="宋体" w:cs="Times New Roman"/>
                <w:color w:val="auto"/>
                <w:kern w:val="2"/>
                <w:sz w:val="24"/>
                <w:szCs w:val="24"/>
                <w:u w:val="none" w:color="auto"/>
                <w:lang w:val="en-US" w:eastAsia="zh-CN" w:bidi="ar-SA"/>
              </w:rPr>
              <w:t>无量纲</w:t>
            </w:r>
            <w:r>
              <w:rPr>
                <w:rFonts w:hint="eastAsia" w:cs="Times New Roman"/>
                <w:color w:val="auto"/>
                <w:kern w:val="2"/>
                <w:sz w:val="24"/>
                <w:szCs w:val="24"/>
                <w:u w:val="none" w:color="auto"/>
                <w:lang w:val="en-US" w:eastAsia="zh-CN" w:bidi="ar-SA"/>
              </w:rPr>
              <w:t>）</w:t>
            </w:r>
            <w:r>
              <w:rPr>
                <w:rFonts w:hint="default" w:ascii="Times New Roman" w:hAnsi="Times New Roman" w:eastAsia="宋体" w:cs="Times New Roman"/>
                <w:color w:val="auto"/>
                <w:kern w:val="2"/>
                <w:sz w:val="24"/>
                <w:szCs w:val="24"/>
                <w:u w:val="none" w:color="auto"/>
                <w:lang w:val="en-US" w:eastAsia="zh-CN" w:bidi="ar-SA"/>
              </w:rPr>
              <w:t>，取值按年周转次数</w:t>
            </w:r>
            <w:r>
              <w:rPr>
                <w:rFonts w:hint="eastAsia" w:cs="Times New Roman"/>
                <w:color w:val="auto"/>
                <w:kern w:val="2"/>
                <w:sz w:val="24"/>
                <w:szCs w:val="24"/>
                <w:u w:val="none" w:color="auto"/>
                <w:lang w:val="en-US" w:eastAsia="zh-CN" w:bidi="ar-SA"/>
              </w:rPr>
              <w:t>（K）</w:t>
            </w:r>
            <w:r>
              <w:rPr>
                <w:rFonts w:hint="default" w:ascii="Times New Roman" w:hAnsi="Times New Roman" w:eastAsia="宋体" w:cs="Times New Roman"/>
                <w:color w:val="auto"/>
                <w:kern w:val="2"/>
                <w:sz w:val="24"/>
                <w:szCs w:val="24"/>
                <w:u w:val="none" w:color="auto"/>
                <w:lang w:val="en-US" w:eastAsia="zh-CN" w:bidi="ar-SA"/>
              </w:rPr>
              <w:t>确定。K&lt;36，K</w:t>
            </w:r>
            <w:r>
              <w:rPr>
                <w:rFonts w:hint="eastAsia" w:cs="Times New Roman"/>
                <w:color w:val="auto"/>
                <w:kern w:val="2"/>
                <w:sz w:val="24"/>
                <w:szCs w:val="24"/>
                <w:u w:val="none" w:color="auto"/>
                <w:vertAlign w:val="subscript"/>
                <w:lang w:val="en-US" w:eastAsia="zh-CN" w:bidi="ar-SA"/>
              </w:rPr>
              <w:t>N</w:t>
            </w:r>
            <w:r>
              <w:rPr>
                <w:rFonts w:hint="default" w:ascii="Times New Roman" w:hAnsi="Times New Roman" w:eastAsia="宋体" w:cs="Times New Roman"/>
                <w:color w:val="auto"/>
                <w:kern w:val="2"/>
                <w:sz w:val="24"/>
                <w:szCs w:val="24"/>
                <w:u w:val="none" w:color="auto"/>
                <w:lang w:val="en-US" w:eastAsia="zh-CN" w:bidi="ar-SA"/>
              </w:rPr>
              <w:t>=1</w:t>
            </w:r>
            <w:r>
              <w:rPr>
                <w:rFonts w:hint="eastAsia" w:ascii="Times New Roman" w:hAnsi="Times New Roman" w:eastAsia="宋体" w:cs="Times New Roman"/>
                <w:color w:val="auto"/>
                <w:kern w:val="2"/>
                <w:sz w:val="24"/>
                <w:szCs w:val="24"/>
                <w:u w:val="none" w:color="auto"/>
                <w:lang w:val="en-US" w:eastAsia="zh-CN" w:bidi="ar-SA"/>
              </w:rPr>
              <w:t>；</w:t>
            </w:r>
            <w:r>
              <w:rPr>
                <w:rFonts w:hint="default" w:ascii="Times New Roman" w:hAnsi="Times New Roman" w:eastAsia="宋体" w:cs="Times New Roman"/>
                <w:color w:val="auto"/>
                <w:kern w:val="2"/>
                <w:sz w:val="24"/>
                <w:szCs w:val="24"/>
                <w:u w:val="none" w:color="auto"/>
                <w:lang w:val="en-US" w:eastAsia="zh-CN" w:bidi="ar-SA"/>
              </w:rPr>
              <w:t>36&lt;K&lt;220，K</w:t>
            </w:r>
            <w:r>
              <w:rPr>
                <w:rFonts w:hint="eastAsia" w:cs="Times New Roman"/>
                <w:color w:val="auto"/>
                <w:kern w:val="2"/>
                <w:sz w:val="24"/>
                <w:szCs w:val="24"/>
                <w:u w:val="none" w:color="auto"/>
                <w:vertAlign w:val="subscript"/>
                <w:lang w:val="en-US" w:eastAsia="zh-CN" w:bidi="ar-SA"/>
              </w:rPr>
              <w:t>N</w:t>
            </w:r>
            <w:r>
              <w:rPr>
                <w:rFonts w:hint="default" w:ascii="Times New Roman" w:hAnsi="Times New Roman" w:eastAsia="宋体" w:cs="Times New Roman"/>
                <w:color w:val="auto"/>
                <w:kern w:val="2"/>
                <w:sz w:val="24"/>
                <w:szCs w:val="24"/>
                <w:u w:val="none" w:color="auto"/>
                <w:lang w:val="en-US" w:eastAsia="zh-CN" w:bidi="ar-SA"/>
              </w:rPr>
              <w:t>=11.467</w:t>
            </w:r>
            <w:r>
              <w:rPr>
                <w:rFonts w:hint="default" w:ascii="Arial" w:hAnsi="Arial" w:eastAsia="宋体" w:cs="Arial"/>
                <w:color w:val="auto"/>
                <w:kern w:val="2"/>
                <w:sz w:val="24"/>
                <w:szCs w:val="24"/>
                <w:u w:val="none" w:color="auto"/>
                <w:lang w:val="en-US" w:eastAsia="zh-CN" w:bidi="ar-SA"/>
              </w:rPr>
              <w:t>×</w:t>
            </w:r>
            <w:r>
              <w:rPr>
                <w:rFonts w:hint="default" w:ascii="Times New Roman" w:hAnsi="Times New Roman" w:eastAsia="宋体" w:cs="Times New Roman"/>
                <w:color w:val="auto"/>
                <w:kern w:val="2"/>
                <w:sz w:val="24"/>
                <w:szCs w:val="24"/>
                <w:u w:val="none" w:color="auto"/>
                <w:lang w:val="en-US" w:eastAsia="zh-CN" w:bidi="ar-SA"/>
              </w:rPr>
              <w:t>K</w:t>
            </w:r>
            <w:r>
              <w:rPr>
                <w:rFonts w:hint="default" w:ascii="Times New Roman" w:hAnsi="Times New Roman" w:eastAsia="宋体" w:cs="Times New Roman"/>
                <w:color w:val="auto"/>
                <w:kern w:val="2"/>
                <w:sz w:val="24"/>
                <w:szCs w:val="24"/>
                <w:u w:val="none" w:color="auto"/>
                <w:vertAlign w:val="superscript"/>
                <w:lang w:val="en-US" w:eastAsia="zh-CN" w:bidi="ar-SA"/>
              </w:rPr>
              <w:t>-0.702</w:t>
            </w:r>
            <w:r>
              <w:rPr>
                <w:rFonts w:hint="eastAsia" w:ascii="Times New Roman" w:hAnsi="Times New Roman" w:eastAsia="宋体" w:cs="Times New Roman"/>
                <w:color w:val="auto"/>
                <w:kern w:val="2"/>
                <w:sz w:val="24"/>
                <w:szCs w:val="24"/>
                <w:u w:val="none" w:color="auto"/>
                <w:lang w:val="en-US" w:eastAsia="zh-CN" w:bidi="ar-SA"/>
              </w:rPr>
              <w:t>；</w:t>
            </w:r>
            <w:r>
              <w:rPr>
                <w:rFonts w:hint="default" w:ascii="Times New Roman" w:hAnsi="Times New Roman" w:eastAsia="宋体" w:cs="Times New Roman"/>
                <w:color w:val="auto"/>
                <w:kern w:val="2"/>
                <w:sz w:val="24"/>
                <w:szCs w:val="24"/>
                <w:u w:val="none" w:color="auto"/>
                <w:lang w:val="en-US" w:eastAsia="zh-CN" w:bidi="ar-SA"/>
              </w:rPr>
              <w:t>K&gt;220，K</w:t>
            </w:r>
            <w:r>
              <w:rPr>
                <w:rFonts w:hint="eastAsia" w:cs="Times New Roman"/>
                <w:color w:val="auto"/>
                <w:kern w:val="2"/>
                <w:sz w:val="24"/>
                <w:szCs w:val="24"/>
                <w:u w:val="none" w:color="auto"/>
                <w:vertAlign w:val="subscript"/>
                <w:lang w:val="en-US" w:eastAsia="zh-CN" w:bidi="ar-SA"/>
              </w:rPr>
              <w:t>N</w:t>
            </w:r>
            <w:r>
              <w:rPr>
                <w:rFonts w:hint="eastAsia" w:ascii="Times New Roman" w:hAnsi="Times New Roman" w:eastAsia="宋体" w:cs="Times New Roman"/>
                <w:color w:val="auto"/>
                <w:kern w:val="2"/>
                <w:sz w:val="24"/>
                <w:szCs w:val="24"/>
                <w:u w:val="none" w:color="auto"/>
                <w:lang w:val="en-US" w:eastAsia="zh-CN" w:bidi="ar-SA"/>
              </w:rPr>
              <w:t>=</w:t>
            </w:r>
            <w:r>
              <w:rPr>
                <w:rFonts w:hint="default" w:ascii="Times New Roman" w:hAnsi="Times New Roman" w:eastAsia="宋体" w:cs="Times New Roman"/>
                <w:color w:val="auto"/>
                <w:kern w:val="2"/>
                <w:sz w:val="24"/>
                <w:szCs w:val="24"/>
                <w:u w:val="none" w:color="auto"/>
                <w:lang w:val="en-US" w:eastAsia="zh-CN" w:bidi="ar-SA"/>
              </w:rPr>
              <w:t>0.26</w:t>
            </w:r>
            <w:r>
              <w:rPr>
                <w:rFonts w:hint="eastAsia" w:cs="Times New Roman"/>
                <w:color w:val="auto"/>
                <w:kern w:val="2"/>
                <w:sz w:val="24"/>
                <w:szCs w:val="24"/>
                <w:u w:val="none" w:color="auto"/>
                <w:lang w:val="en-US" w:eastAsia="zh-CN" w:bidi="ar-SA"/>
              </w:rPr>
              <w:t>。本项目成品储罐共72</w:t>
            </w:r>
            <w:r>
              <w:rPr>
                <w:rFonts w:hint="default" w:ascii="Times New Roman" w:hAnsi="Times New Roman" w:eastAsia="宋体" w:cs="Times New Roman"/>
                <w:color w:val="auto"/>
                <w:kern w:val="2"/>
                <w:sz w:val="24"/>
                <w:szCs w:val="24"/>
                <w:u w:val="none" w:color="auto"/>
                <w:lang w:val="en-US" w:eastAsia="zh-CN" w:bidi="ar-SA"/>
              </w:rPr>
              <w:t>m</w:t>
            </w:r>
            <w:r>
              <w:rPr>
                <w:rFonts w:hint="default" w:ascii="Times New Roman" w:hAnsi="Times New Roman" w:eastAsia="宋体" w:cs="Times New Roman"/>
                <w:color w:val="auto"/>
                <w:kern w:val="2"/>
                <w:sz w:val="24"/>
                <w:szCs w:val="24"/>
                <w:u w:val="none" w:color="auto"/>
                <w:vertAlign w:val="superscript"/>
                <w:lang w:val="en-US" w:eastAsia="zh-CN" w:bidi="ar-SA"/>
              </w:rPr>
              <w:t>3</w:t>
            </w:r>
            <w:r>
              <w:rPr>
                <w:rFonts w:hint="eastAsia" w:cs="Times New Roman"/>
                <w:color w:val="auto"/>
                <w:kern w:val="2"/>
                <w:sz w:val="24"/>
                <w:szCs w:val="24"/>
                <w:u w:val="none" w:color="auto"/>
                <w:lang w:val="en-US" w:eastAsia="zh-CN" w:bidi="ar-SA"/>
              </w:rPr>
              <w:t>，成品量为5500</w:t>
            </w:r>
            <w:r>
              <w:rPr>
                <w:rFonts w:hint="default" w:ascii="Times New Roman" w:hAnsi="Times New Roman" w:eastAsia="宋体" w:cs="Times New Roman"/>
                <w:color w:val="auto"/>
                <w:kern w:val="2"/>
                <w:sz w:val="24"/>
                <w:szCs w:val="24"/>
                <w:u w:val="none" w:color="auto"/>
                <w:lang w:val="en-US" w:eastAsia="zh-CN" w:bidi="ar-SA"/>
              </w:rPr>
              <w:t>m</w:t>
            </w:r>
            <w:r>
              <w:rPr>
                <w:rFonts w:hint="default" w:ascii="Times New Roman" w:hAnsi="Times New Roman" w:eastAsia="宋体" w:cs="Times New Roman"/>
                <w:color w:val="auto"/>
                <w:kern w:val="2"/>
                <w:sz w:val="24"/>
                <w:szCs w:val="24"/>
                <w:u w:val="none" w:color="auto"/>
                <w:vertAlign w:val="superscript"/>
                <w:lang w:val="en-US" w:eastAsia="zh-CN" w:bidi="ar-SA"/>
              </w:rPr>
              <w:t>3</w:t>
            </w:r>
            <w:r>
              <w:rPr>
                <w:rFonts w:hint="eastAsia" w:cs="Times New Roman"/>
                <w:color w:val="auto"/>
                <w:kern w:val="2"/>
                <w:sz w:val="24"/>
                <w:szCs w:val="24"/>
                <w:u w:val="none" w:color="auto"/>
                <w:lang w:val="en-US" w:eastAsia="zh-CN" w:bidi="ar-SA"/>
              </w:rPr>
              <w:t>，故K=77，K</w:t>
            </w:r>
            <w:r>
              <w:rPr>
                <w:rFonts w:hint="eastAsia" w:cs="Times New Roman"/>
                <w:color w:val="auto"/>
                <w:kern w:val="2"/>
                <w:sz w:val="24"/>
                <w:szCs w:val="24"/>
                <w:u w:val="none" w:color="auto"/>
                <w:vertAlign w:val="subscript"/>
                <w:lang w:val="en-US" w:eastAsia="zh-CN" w:bidi="ar-SA"/>
              </w:rPr>
              <w:t>N</w:t>
            </w:r>
            <w:r>
              <w:rPr>
                <w:rFonts w:hint="eastAsia" w:cs="Times New Roman"/>
                <w:color w:val="auto"/>
                <w:kern w:val="2"/>
                <w:sz w:val="24"/>
                <w:szCs w:val="24"/>
                <w:u w:val="none" w:color="auto"/>
                <w:lang w:val="en-US" w:eastAsia="zh-CN" w:bidi="ar-SA"/>
              </w:rPr>
              <w:t>=0.543；</w:t>
            </w:r>
          </w:p>
          <w:p w14:paraId="31E43404">
            <w:pPr>
              <w:spacing w:line="360" w:lineRule="auto"/>
              <w:ind w:firstLine="480" w:firstLineChars="200"/>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SA"/>
              </w:rPr>
              <w:t>M</w:t>
            </w:r>
            <w:r>
              <w:rPr>
                <w:rFonts w:hint="eastAsia" w:ascii="Times New Roman" w:hAnsi="Times New Roman" w:cs="Times New Roman"/>
                <w:kern w:val="2"/>
                <w:sz w:val="24"/>
                <w:szCs w:val="24"/>
                <w:u w:color="auto"/>
              </w:rPr>
              <w:t>—</w:t>
            </w:r>
            <w:r>
              <w:rPr>
                <w:rFonts w:hint="default" w:ascii="Times New Roman" w:hAnsi="Times New Roman" w:eastAsia="宋体" w:cs="Times New Roman"/>
                <w:color w:val="auto"/>
                <w:kern w:val="2"/>
                <w:sz w:val="24"/>
                <w:szCs w:val="24"/>
                <w:u w:val="none" w:color="auto"/>
                <w:lang w:val="en-US" w:eastAsia="zh-CN" w:bidi="ar-SA"/>
              </w:rPr>
              <w:t>储罐内蒸汽的分子量</w:t>
            </w:r>
            <w:r>
              <w:rPr>
                <w:rFonts w:hint="eastAsia" w:ascii="Times New Roman" w:hAnsi="Times New Roman" w:cs="Times New Roman"/>
                <w:kern w:val="2"/>
                <w:sz w:val="24"/>
                <w:szCs w:val="24"/>
                <w:u w:color="auto"/>
                <w:lang w:eastAsia="zh-CN"/>
              </w:rPr>
              <w:t>，</w:t>
            </w:r>
            <w:r>
              <w:rPr>
                <w:rFonts w:hint="eastAsia" w:ascii="Times New Roman" w:hAnsi="Times New Roman" w:cs="Times New Roman"/>
                <w:kern w:val="2"/>
                <w:sz w:val="24"/>
                <w:szCs w:val="24"/>
                <w:u w:color="auto"/>
              </w:rPr>
              <w:t>N-甲基吡咯烷酮分子量为99</w:t>
            </w:r>
            <w:r>
              <w:rPr>
                <w:rFonts w:hint="eastAsia" w:ascii="Times New Roman" w:hAnsi="Times New Roman" w:eastAsia="宋体" w:cs="Times New Roman"/>
                <w:color w:val="auto"/>
                <w:kern w:val="2"/>
                <w:sz w:val="24"/>
                <w:szCs w:val="24"/>
                <w:u w:val="none" w:color="auto"/>
                <w:lang w:val="en-US" w:eastAsia="zh-CN" w:bidi="ar-SA"/>
              </w:rPr>
              <w:t>；</w:t>
            </w:r>
          </w:p>
          <w:p w14:paraId="6E17C50E">
            <w:pPr>
              <w:spacing w:line="360" w:lineRule="auto"/>
              <w:ind w:firstLine="480" w:firstLineChars="200"/>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SA"/>
              </w:rPr>
              <w:t>P</w:t>
            </w:r>
            <w:r>
              <w:rPr>
                <w:rFonts w:hint="eastAsia" w:ascii="Times New Roman" w:hAnsi="Times New Roman" w:cs="Times New Roman"/>
                <w:kern w:val="2"/>
                <w:sz w:val="24"/>
                <w:szCs w:val="24"/>
                <w:u w:color="auto"/>
              </w:rPr>
              <w:t>—</w:t>
            </w:r>
            <w:r>
              <w:rPr>
                <w:rFonts w:hint="default" w:ascii="Times New Roman" w:hAnsi="Times New Roman" w:eastAsia="宋体" w:cs="Times New Roman"/>
                <w:color w:val="auto"/>
                <w:kern w:val="2"/>
                <w:sz w:val="24"/>
                <w:szCs w:val="24"/>
                <w:u w:val="none" w:color="auto"/>
                <w:lang w:val="en-US" w:eastAsia="zh-CN" w:bidi="ar-SA"/>
              </w:rPr>
              <w:t>在大量液体状态下，真实的蒸汽压力</w:t>
            </w:r>
            <w:r>
              <w:rPr>
                <w:rFonts w:hint="eastAsia" w:cs="Times New Roman"/>
                <w:color w:val="auto"/>
                <w:kern w:val="2"/>
                <w:sz w:val="24"/>
                <w:szCs w:val="24"/>
                <w:u w:val="none" w:color="auto"/>
                <w:lang w:val="en-US" w:eastAsia="zh-CN" w:bidi="ar-SA"/>
              </w:rPr>
              <w:t>（</w:t>
            </w:r>
            <w:r>
              <w:rPr>
                <w:rFonts w:hint="default" w:ascii="Times New Roman" w:hAnsi="Times New Roman" w:eastAsia="宋体" w:cs="Times New Roman"/>
                <w:color w:val="auto"/>
                <w:kern w:val="2"/>
                <w:sz w:val="24"/>
                <w:szCs w:val="24"/>
                <w:u w:val="none" w:color="auto"/>
                <w:lang w:val="en-US" w:eastAsia="zh-CN" w:bidi="ar-SA"/>
              </w:rPr>
              <w:t>Pa</w:t>
            </w:r>
            <w:r>
              <w:rPr>
                <w:rFonts w:hint="eastAsia" w:cs="Times New Roman"/>
                <w:color w:val="auto"/>
                <w:kern w:val="2"/>
                <w:sz w:val="24"/>
                <w:szCs w:val="24"/>
                <w:u w:val="none" w:color="auto"/>
                <w:lang w:val="en-US" w:eastAsia="zh-CN" w:bidi="ar-SA"/>
              </w:rPr>
              <w:t>），</w:t>
            </w:r>
            <w:r>
              <w:rPr>
                <w:rFonts w:hint="eastAsia" w:ascii="Times New Roman" w:hAnsi="Times New Roman" w:cs="Times New Roman"/>
                <w:kern w:val="2"/>
                <w:sz w:val="24"/>
                <w:szCs w:val="24"/>
                <w:u w:color="auto"/>
              </w:rPr>
              <w:t>N-甲基吡咯烷酮真实蒸气压为</w:t>
            </w:r>
            <w:r>
              <w:rPr>
                <w:rFonts w:hint="eastAsia" w:ascii="Times New Roman" w:hAnsi="Times New Roman" w:cs="Times New Roman"/>
                <w:kern w:val="2"/>
                <w:sz w:val="24"/>
                <w:szCs w:val="24"/>
                <w:u w:color="auto"/>
                <w:lang w:val="en-US" w:eastAsia="zh-CN"/>
              </w:rPr>
              <w:t>2910</w:t>
            </w:r>
            <w:r>
              <w:rPr>
                <w:rFonts w:hint="eastAsia" w:ascii="Times New Roman" w:hAnsi="Times New Roman" w:cs="Times New Roman"/>
                <w:kern w:val="2"/>
                <w:sz w:val="24"/>
                <w:szCs w:val="24"/>
                <w:u w:color="auto"/>
              </w:rPr>
              <w:t>Pa</w:t>
            </w:r>
            <w:r>
              <w:rPr>
                <w:rFonts w:hint="eastAsia" w:ascii="Times New Roman" w:hAnsi="Times New Roman" w:eastAsia="宋体" w:cs="Times New Roman"/>
                <w:color w:val="auto"/>
                <w:kern w:val="2"/>
                <w:sz w:val="24"/>
                <w:szCs w:val="24"/>
                <w:u w:val="none" w:color="auto"/>
                <w:lang w:val="en-US" w:eastAsia="zh-CN" w:bidi="ar-SA"/>
              </w:rPr>
              <w:t>。</w:t>
            </w:r>
          </w:p>
          <w:p w14:paraId="00FA4622">
            <w:pPr>
              <w:spacing w:line="360" w:lineRule="auto"/>
              <w:ind w:firstLine="480" w:firstLineChars="200"/>
              <w:rPr>
                <w:rFonts w:hint="eastAsia"/>
                <w:u w:color="auto"/>
              </w:rPr>
            </w:pPr>
            <w:r>
              <w:rPr>
                <w:rFonts w:hint="default" w:ascii="Times New Roman" w:hAnsi="Times New Roman" w:eastAsia="宋体" w:cs="Times New Roman"/>
                <w:color w:val="auto"/>
                <w:kern w:val="2"/>
                <w:sz w:val="24"/>
                <w:szCs w:val="24"/>
                <w:u w:val="none" w:color="auto"/>
                <w:lang w:val="en-US" w:eastAsia="zh-CN" w:bidi="ar-SA"/>
              </w:rPr>
              <w:t>Kc</w:t>
            </w:r>
            <w:r>
              <w:rPr>
                <w:rFonts w:hint="eastAsia" w:ascii="Times New Roman" w:hAnsi="Times New Roman" w:cs="Times New Roman"/>
                <w:kern w:val="2"/>
                <w:sz w:val="24"/>
                <w:szCs w:val="24"/>
                <w:u w:color="auto"/>
              </w:rPr>
              <w:t>—</w:t>
            </w:r>
            <w:r>
              <w:rPr>
                <w:rFonts w:hint="default" w:ascii="Times New Roman" w:hAnsi="Times New Roman" w:eastAsia="宋体" w:cs="Times New Roman"/>
                <w:color w:val="auto"/>
                <w:kern w:val="2"/>
                <w:sz w:val="24"/>
                <w:szCs w:val="24"/>
                <w:u w:val="none" w:color="auto"/>
                <w:lang w:val="en-US" w:eastAsia="zh-CN" w:bidi="ar-SA"/>
              </w:rPr>
              <w:t>产品因子</w:t>
            </w:r>
            <w:r>
              <w:rPr>
                <w:rFonts w:hint="eastAsia" w:ascii="Times New Roman" w:hAnsi="Times New Roman" w:eastAsia="宋体" w:cs="Times New Roman"/>
                <w:color w:val="auto"/>
                <w:kern w:val="2"/>
                <w:sz w:val="24"/>
                <w:szCs w:val="24"/>
                <w:u w:val="none" w:color="auto"/>
                <w:lang w:val="en-US" w:eastAsia="zh-CN" w:bidi="ar-SA"/>
              </w:rPr>
              <w:t>，有机液体</w:t>
            </w:r>
            <w:r>
              <w:rPr>
                <w:rFonts w:hint="default" w:ascii="Times New Roman" w:hAnsi="Times New Roman" w:eastAsia="宋体" w:cs="Times New Roman"/>
                <w:color w:val="auto"/>
                <w:kern w:val="2"/>
                <w:sz w:val="24"/>
                <w:szCs w:val="24"/>
                <w:u w:val="none" w:color="auto"/>
                <w:lang w:val="en-US" w:eastAsia="zh-CN" w:bidi="ar-SA"/>
              </w:rPr>
              <w:t>取1.0。</w:t>
            </w:r>
          </w:p>
          <w:p w14:paraId="5EBCD058">
            <w:pPr>
              <w:spacing w:line="360" w:lineRule="auto"/>
              <w:ind w:firstLine="480" w:firstLineChars="200"/>
              <w:rPr>
                <w:rFonts w:hint="eastAsia" w:ascii="Times New Roman" w:hAnsi="Times New Roman" w:cs="Times New Roman"/>
                <w:kern w:val="2"/>
                <w:sz w:val="24"/>
                <w:szCs w:val="24"/>
                <w:lang w:eastAsia="zh-CN"/>
              </w:rPr>
            </w:pPr>
            <w:r>
              <w:rPr>
                <w:rFonts w:hint="eastAsia"/>
                <w:lang w:val="en-US" w:eastAsia="zh-CN"/>
              </w:rPr>
              <w:t>经计算，本项目储罐工作损失量为0.0655</w:t>
            </w:r>
            <w:r>
              <w:rPr>
                <w:rFonts w:hint="default" w:ascii="Times New Roman" w:hAnsi="Times New Roman" w:eastAsia="宋体" w:cs="Times New Roman"/>
                <w:color w:val="auto"/>
                <w:kern w:val="2"/>
                <w:sz w:val="24"/>
                <w:szCs w:val="24"/>
                <w:u w:val="none" w:color="auto"/>
                <w:lang w:val="en-US" w:eastAsia="zh-CN" w:bidi="ar-SA"/>
              </w:rPr>
              <w:t>kg/m</w:t>
            </w:r>
            <w:r>
              <w:rPr>
                <w:rFonts w:hint="default" w:ascii="Times New Roman" w:hAnsi="Times New Roman" w:eastAsia="宋体" w:cs="Times New Roman"/>
                <w:color w:val="auto"/>
                <w:kern w:val="2"/>
                <w:sz w:val="24"/>
                <w:szCs w:val="24"/>
                <w:u w:val="none" w:color="auto"/>
                <w:vertAlign w:val="superscript"/>
                <w:lang w:val="en-US" w:eastAsia="zh-CN" w:bidi="ar-SA"/>
              </w:rPr>
              <w:t>3</w:t>
            </w:r>
            <w:r>
              <w:rPr>
                <w:rFonts w:hint="eastAsia"/>
                <w:lang w:val="en-US" w:eastAsia="zh-CN"/>
              </w:rPr>
              <w:t>，成品量为5500</w:t>
            </w:r>
            <w:r>
              <w:rPr>
                <w:rFonts w:hint="default" w:ascii="Times New Roman" w:hAnsi="Times New Roman" w:eastAsia="宋体" w:cs="Times New Roman"/>
                <w:color w:val="auto"/>
                <w:kern w:val="2"/>
                <w:sz w:val="24"/>
                <w:szCs w:val="24"/>
                <w:u w:val="none" w:color="auto"/>
                <w:lang w:val="en-US" w:eastAsia="zh-CN" w:bidi="ar-SA"/>
              </w:rPr>
              <w:t>m</w:t>
            </w:r>
            <w:r>
              <w:rPr>
                <w:rFonts w:hint="default" w:ascii="Times New Roman" w:hAnsi="Times New Roman" w:eastAsia="宋体" w:cs="Times New Roman"/>
                <w:color w:val="auto"/>
                <w:kern w:val="2"/>
                <w:sz w:val="24"/>
                <w:szCs w:val="24"/>
                <w:u w:val="none" w:color="auto"/>
                <w:vertAlign w:val="superscript"/>
                <w:lang w:val="en-US" w:eastAsia="zh-CN" w:bidi="ar-SA"/>
              </w:rPr>
              <w:t>3</w:t>
            </w:r>
            <w:r>
              <w:rPr>
                <w:rFonts w:hint="eastAsia"/>
                <w:lang w:val="en-US" w:eastAsia="zh-CN"/>
              </w:rPr>
              <w:t>，因此，本项目大呼吸废气VOCs（以NMHC表征）产生量为0.36t</w:t>
            </w:r>
            <w:r>
              <w:rPr>
                <w:rFonts w:hint="eastAsia" w:ascii="Times New Roman" w:hAnsi="Times New Roman" w:cs="Times New Roman"/>
                <w:kern w:val="2"/>
                <w:sz w:val="24"/>
                <w:szCs w:val="24"/>
              </w:rPr>
              <w:t>/a</w:t>
            </w:r>
            <w:r>
              <w:rPr>
                <w:rFonts w:hint="eastAsia" w:ascii="Times New Roman" w:hAnsi="Times New Roman" w:cs="Times New Roman"/>
                <w:kern w:val="2"/>
                <w:sz w:val="24"/>
                <w:szCs w:val="24"/>
                <w:lang w:eastAsia="zh-CN"/>
              </w:rPr>
              <w:t>。</w:t>
            </w:r>
          </w:p>
          <w:p w14:paraId="02262CA8">
            <w:pPr>
              <w:pStyle w:val="12"/>
              <w:spacing w:before="0" w:after="0" w:line="360" w:lineRule="auto"/>
              <w:ind w:right="0" w:firstLine="480" w:firstLineChars="200"/>
              <w:rPr>
                <w:rFonts w:hint="default"/>
                <w:sz w:val="24"/>
                <w:szCs w:val="24"/>
                <w:lang w:val="en-US" w:eastAsia="zh-CN"/>
              </w:rPr>
            </w:pPr>
            <w:r>
              <w:rPr>
                <w:rFonts w:hint="eastAsia"/>
                <w:sz w:val="24"/>
                <w:szCs w:val="24"/>
                <w:lang w:val="en-US" w:eastAsia="zh-CN"/>
              </w:rPr>
              <w:t>综上所诉，本项目储罐废气VOCs（以NMHC表征）产生量0.4233t</w:t>
            </w:r>
            <w:r>
              <w:rPr>
                <w:rFonts w:hint="eastAsia" w:ascii="Times New Roman" w:hAnsi="Times New Roman" w:cs="Times New Roman"/>
                <w:kern w:val="2"/>
                <w:sz w:val="24"/>
                <w:szCs w:val="24"/>
              </w:rPr>
              <w:t>/a</w:t>
            </w:r>
            <w:r>
              <w:rPr>
                <w:rFonts w:hint="eastAsia" w:ascii="Times New Roman" w:hAnsi="Times New Roman" w:cs="Times New Roman"/>
                <w:kern w:val="2"/>
                <w:sz w:val="24"/>
                <w:szCs w:val="24"/>
                <w:lang w:eastAsia="zh-CN"/>
              </w:rPr>
              <w:t>，</w:t>
            </w:r>
            <w:r>
              <w:rPr>
                <w:rFonts w:hint="eastAsia" w:ascii="Times New Roman" w:hAnsi="Times New Roman" w:cs="Times New Roman"/>
                <w:kern w:val="2"/>
                <w:sz w:val="24"/>
                <w:szCs w:val="24"/>
                <w:lang w:val="en-US" w:eastAsia="zh-CN"/>
              </w:rPr>
              <w:t>在厂区内无组织排放</w:t>
            </w:r>
            <w:r>
              <w:rPr>
                <w:rFonts w:hint="eastAsia" w:ascii="Times New Roman" w:hAnsi="Times New Roman" w:cs="Times New Roman"/>
                <w:kern w:val="2"/>
                <w:sz w:val="24"/>
                <w:szCs w:val="24"/>
                <w:lang w:eastAsia="zh-CN"/>
              </w:rPr>
              <w:t>。</w:t>
            </w:r>
            <w:r>
              <w:rPr>
                <w:rFonts w:hint="eastAsia"/>
                <w:sz w:val="24"/>
                <w:szCs w:val="24"/>
              </w:rPr>
              <w:t>本环评要求企业应加强生产车间空气流通，保持车间通风状况良好，减少有机废气在车间内对工人的影响，采取加强车间通风的方式可有效可减少有机废气对车间环境空气影响。</w:t>
            </w:r>
          </w:p>
          <w:p w14:paraId="3370E8EA">
            <w:pPr>
              <w:spacing w:line="360" w:lineRule="auto"/>
              <w:ind w:firstLine="480" w:firstLineChars="200"/>
              <w:rPr>
                <w:rFonts w:hint="eastAsia"/>
                <w:lang w:val="en-US" w:eastAsia="zh-CN"/>
              </w:rPr>
            </w:pPr>
            <w:r>
              <w:rPr>
                <w:rFonts w:hint="eastAsia"/>
                <w:lang w:val="en-US" w:eastAsia="zh-CN"/>
              </w:rPr>
              <w:t>（3）异味</w:t>
            </w:r>
          </w:p>
          <w:p w14:paraId="49CEEF46">
            <w:pPr>
              <w:spacing w:line="360" w:lineRule="auto"/>
              <w:ind w:firstLine="480" w:firstLineChars="200"/>
              <w:rPr>
                <w:rFonts w:hint="default"/>
                <w:lang w:val="en-US" w:eastAsia="zh-CN"/>
              </w:rPr>
            </w:pPr>
            <w:r>
              <w:rPr>
                <w:rFonts w:hint="eastAsia"/>
                <w:lang w:val="en-US" w:eastAsia="zh-CN"/>
              </w:rPr>
              <w:t>本项目在生产过程中，会产生少量异味（臭气浓度），因其产生量较少，本环评不做定量分析。</w:t>
            </w:r>
          </w:p>
          <w:p w14:paraId="0ED6F593">
            <w:pPr>
              <w:pStyle w:val="41"/>
              <w:spacing w:line="360" w:lineRule="auto"/>
              <w:ind w:firstLine="482"/>
              <w:rPr>
                <w:rFonts w:hint="eastAsia" w:ascii="Times New Roman" w:hAnsi="Courier New"/>
                <w:b/>
                <w:bCs/>
                <w:snapToGrid w:val="0"/>
                <w:color w:val="auto"/>
                <w:kern w:val="0"/>
                <w:sz w:val="24"/>
                <w:szCs w:val="24"/>
                <w:lang w:val="en-US" w:eastAsia="zh-CN"/>
              </w:rPr>
            </w:pPr>
            <w:r>
              <w:rPr>
                <w:rFonts w:hint="eastAsia" w:ascii="Times New Roman" w:hAnsi="Courier New"/>
                <w:b/>
                <w:bCs/>
                <w:snapToGrid w:val="0"/>
                <w:color w:val="auto"/>
                <w:kern w:val="0"/>
                <w:sz w:val="24"/>
                <w:szCs w:val="24"/>
                <w:lang w:val="en-US" w:eastAsia="zh-CN"/>
              </w:rPr>
              <w:t>2、</w:t>
            </w:r>
            <w:r>
              <w:rPr>
                <w:rFonts w:hint="eastAsia"/>
                <w:b/>
                <w:bCs/>
                <w:snapToGrid w:val="0"/>
                <w:sz w:val="24"/>
                <w:u w:val="none"/>
              </w:rPr>
              <w:t>大气污染物影响分析</w:t>
            </w:r>
          </w:p>
          <w:p w14:paraId="499499D3">
            <w:pPr>
              <w:pStyle w:val="12"/>
              <w:spacing w:before="0" w:after="0" w:line="360" w:lineRule="auto"/>
              <w:ind w:right="0" w:firstLine="480" w:firstLineChars="200"/>
              <w:rPr>
                <w:sz w:val="24"/>
                <w:szCs w:val="24"/>
                <w:u w:val="none"/>
              </w:rPr>
            </w:pPr>
            <w:r>
              <w:rPr>
                <w:sz w:val="24"/>
                <w:szCs w:val="24"/>
                <w:u w:val="none"/>
              </w:rPr>
              <w:t>（</w:t>
            </w:r>
            <w:r>
              <w:rPr>
                <w:rFonts w:hint="eastAsia"/>
                <w:sz w:val="24"/>
                <w:szCs w:val="24"/>
                <w:u w:val="none"/>
              </w:rPr>
              <w:t>1</w:t>
            </w:r>
            <w:r>
              <w:rPr>
                <w:sz w:val="24"/>
                <w:szCs w:val="24"/>
                <w:u w:val="none"/>
              </w:rPr>
              <w:t>）大气污染物排放</w:t>
            </w:r>
            <w:r>
              <w:rPr>
                <w:rFonts w:hint="eastAsia"/>
                <w:sz w:val="24"/>
                <w:szCs w:val="24"/>
                <w:u w:val="none"/>
              </w:rPr>
              <w:t>情况一览表</w:t>
            </w:r>
          </w:p>
          <w:p w14:paraId="54B29D2D">
            <w:pPr>
              <w:pStyle w:val="12"/>
              <w:spacing w:before="0" w:after="0" w:line="360" w:lineRule="auto"/>
              <w:ind w:right="0" w:firstLine="480" w:firstLineChars="200"/>
              <w:rPr>
                <w:rFonts w:hint="eastAsia"/>
                <w:sz w:val="24"/>
                <w:szCs w:val="24"/>
                <w:u w:val="none"/>
              </w:rPr>
            </w:pPr>
            <w:r>
              <w:rPr>
                <w:sz w:val="24"/>
                <w:szCs w:val="24"/>
                <w:u w:val="none"/>
              </w:rPr>
              <w:t>本项目</w:t>
            </w:r>
            <w:r>
              <w:rPr>
                <w:rFonts w:hint="eastAsia"/>
                <w:sz w:val="24"/>
                <w:szCs w:val="24"/>
                <w:u w:val="none"/>
              </w:rPr>
              <w:t>废</w:t>
            </w:r>
            <w:r>
              <w:rPr>
                <w:sz w:val="24"/>
                <w:szCs w:val="24"/>
                <w:u w:val="none"/>
              </w:rPr>
              <w:t>气污染物信息表如下表</w:t>
            </w:r>
            <w:r>
              <w:rPr>
                <w:rFonts w:hint="eastAsia"/>
                <w:sz w:val="24"/>
                <w:szCs w:val="24"/>
                <w:u w:val="none"/>
              </w:rPr>
              <w:t>4-</w:t>
            </w:r>
            <w:r>
              <w:rPr>
                <w:rFonts w:hint="eastAsia"/>
                <w:sz w:val="24"/>
                <w:szCs w:val="24"/>
                <w:u w:val="none"/>
                <w:lang w:val="en-US" w:eastAsia="zh-CN"/>
              </w:rPr>
              <w:t>1</w:t>
            </w:r>
            <w:r>
              <w:rPr>
                <w:sz w:val="24"/>
                <w:szCs w:val="24"/>
                <w:u w:val="none"/>
              </w:rPr>
              <w:t>所示</w:t>
            </w:r>
            <w:r>
              <w:rPr>
                <w:rFonts w:hint="eastAsia"/>
                <w:sz w:val="24"/>
                <w:szCs w:val="24"/>
                <w:u w:val="none"/>
              </w:rPr>
              <w:t>。</w:t>
            </w:r>
          </w:p>
          <w:p w14:paraId="7C1AC8DB">
            <w:pPr>
              <w:ind w:firstLine="482"/>
              <w:jc w:val="center"/>
              <w:rPr>
                <w:b/>
                <w:bCs/>
                <w:u w:val="none"/>
              </w:rPr>
            </w:pPr>
            <w:r>
              <w:rPr>
                <w:b/>
                <w:bCs/>
                <w:u w:val="none"/>
              </w:rPr>
              <w:t>表4-</w:t>
            </w:r>
            <w:r>
              <w:rPr>
                <w:rFonts w:hint="eastAsia"/>
                <w:b/>
                <w:bCs/>
                <w:u w:val="none"/>
                <w:lang w:val="en-US" w:eastAsia="zh-CN"/>
              </w:rPr>
              <w:t>1</w:t>
            </w:r>
            <w:r>
              <w:rPr>
                <w:rFonts w:hint="eastAsia"/>
                <w:b/>
                <w:bCs/>
                <w:u w:val="none"/>
              </w:rPr>
              <w:t xml:space="preserve"> </w:t>
            </w:r>
            <w:r>
              <w:rPr>
                <w:b/>
                <w:bCs/>
                <w:u w:val="none"/>
              </w:rPr>
              <w:t xml:space="preserve"> </w:t>
            </w:r>
            <w:r>
              <w:rPr>
                <w:rFonts w:hint="eastAsia"/>
                <w:b/>
                <w:bCs/>
                <w:u w:val="none"/>
              </w:rPr>
              <w:t>废</w:t>
            </w:r>
            <w:r>
              <w:rPr>
                <w:b/>
                <w:bCs/>
                <w:u w:val="none"/>
              </w:rPr>
              <w:t>气污染物信息表</w:t>
            </w:r>
          </w:p>
          <w:tbl>
            <w:tblPr>
              <w:tblStyle w:val="3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1"/>
              <w:gridCol w:w="578"/>
              <w:gridCol w:w="653"/>
              <w:gridCol w:w="828"/>
              <w:gridCol w:w="464"/>
              <w:gridCol w:w="683"/>
              <w:gridCol w:w="872"/>
              <w:gridCol w:w="1001"/>
              <w:gridCol w:w="827"/>
              <w:gridCol w:w="1883"/>
            </w:tblGrid>
            <w:tr w14:paraId="3741B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27" w:type="pct"/>
                  <w:vMerge w:val="restart"/>
                  <w:vAlign w:val="center"/>
                </w:tcPr>
                <w:p w14:paraId="6AF9FF0C">
                  <w:pPr>
                    <w:pStyle w:val="12"/>
                    <w:widowControl w:val="0"/>
                    <w:snapToGrid/>
                    <w:spacing w:before="0" w:after="0" w:line="240" w:lineRule="auto"/>
                    <w:ind w:right="0"/>
                    <w:jc w:val="center"/>
                    <w:rPr>
                      <w:sz w:val="21"/>
                      <w:szCs w:val="21"/>
                      <w:u w:val="none"/>
                    </w:rPr>
                  </w:pPr>
                  <w:r>
                    <w:rPr>
                      <w:sz w:val="21"/>
                      <w:szCs w:val="21"/>
                      <w:u w:val="none"/>
                    </w:rPr>
                    <w:t>序号</w:t>
                  </w:r>
                </w:p>
              </w:tc>
              <w:tc>
                <w:tcPr>
                  <w:tcW w:w="354" w:type="pct"/>
                  <w:vMerge w:val="restart"/>
                  <w:vAlign w:val="center"/>
                </w:tcPr>
                <w:p w14:paraId="3DF0E1FA">
                  <w:pPr>
                    <w:pStyle w:val="12"/>
                    <w:widowControl w:val="0"/>
                    <w:snapToGrid/>
                    <w:spacing w:before="0" w:after="0" w:line="240" w:lineRule="auto"/>
                    <w:ind w:right="0"/>
                    <w:jc w:val="center"/>
                    <w:rPr>
                      <w:sz w:val="21"/>
                      <w:szCs w:val="21"/>
                      <w:u w:val="none"/>
                    </w:rPr>
                  </w:pPr>
                  <w:r>
                    <w:rPr>
                      <w:sz w:val="21"/>
                      <w:szCs w:val="21"/>
                      <w:u w:val="none"/>
                    </w:rPr>
                    <w:t>产污环节名称</w:t>
                  </w:r>
                </w:p>
              </w:tc>
              <w:tc>
                <w:tcPr>
                  <w:tcW w:w="400" w:type="pct"/>
                  <w:vMerge w:val="restart"/>
                  <w:vAlign w:val="center"/>
                </w:tcPr>
                <w:p w14:paraId="551CE2F8">
                  <w:pPr>
                    <w:pStyle w:val="12"/>
                    <w:widowControl w:val="0"/>
                    <w:snapToGrid/>
                    <w:spacing w:before="0" w:after="0" w:line="240" w:lineRule="auto"/>
                    <w:ind w:right="0"/>
                    <w:jc w:val="center"/>
                    <w:rPr>
                      <w:sz w:val="21"/>
                      <w:szCs w:val="21"/>
                      <w:u w:val="none"/>
                    </w:rPr>
                  </w:pPr>
                  <w:r>
                    <w:rPr>
                      <w:sz w:val="21"/>
                      <w:szCs w:val="21"/>
                      <w:u w:val="none"/>
                    </w:rPr>
                    <w:t>污染物种类</w:t>
                  </w:r>
                </w:p>
              </w:tc>
              <w:tc>
                <w:tcPr>
                  <w:tcW w:w="791" w:type="pct"/>
                  <w:gridSpan w:val="2"/>
                  <w:vAlign w:val="center"/>
                </w:tcPr>
                <w:p w14:paraId="1E8A3C76">
                  <w:pPr>
                    <w:pStyle w:val="12"/>
                    <w:widowControl w:val="0"/>
                    <w:snapToGrid/>
                    <w:spacing w:before="0" w:after="0" w:line="240" w:lineRule="auto"/>
                    <w:ind w:right="0"/>
                    <w:jc w:val="center"/>
                    <w:rPr>
                      <w:sz w:val="21"/>
                      <w:szCs w:val="21"/>
                      <w:u w:val="none"/>
                    </w:rPr>
                  </w:pPr>
                  <w:r>
                    <w:rPr>
                      <w:sz w:val="21"/>
                      <w:szCs w:val="21"/>
                      <w:u w:val="none"/>
                    </w:rPr>
                    <w:t>污染物</w:t>
                  </w:r>
                </w:p>
              </w:tc>
              <w:tc>
                <w:tcPr>
                  <w:tcW w:w="418" w:type="pct"/>
                  <w:vMerge w:val="restart"/>
                  <w:vAlign w:val="center"/>
                </w:tcPr>
                <w:p w14:paraId="3F00443A">
                  <w:pPr>
                    <w:pStyle w:val="12"/>
                    <w:widowControl w:val="0"/>
                    <w:snapToGrid/>
                    <w:spacing w:before="0" w:after="0" w:line="240" w:lineRule="auto"/>
                    <w:ind w:right="0"/>
                    <w:jc w:val="center"/>
                    <w:rPr>
                      <w:sz w:val="21"/>
                      <w:szCs w:val="21"/>
                      <w:u w:val="none"/>
                    </w:rPr>
                  </w:pPr>
                  <w:r>
                    <w:rPr>
                      <w:sz w:val="21"/>
                      <w:szCs w:val="21"/>
                      <w:u w:val="none"/>
                    </w:rPr>
                    <w:t>排放形式</w:t>
                  </w:r>
                </w:p>
              </w:tc>
              <w:tc>
                <w:tcPr>
                  <w:tcW w:w="534" w:type="pct"/>
                  <w:vMerge w:val="restart"/>
                  <w:vAlign w:val="center"/>
                </w:tcPr>
                <w:p w14:paraId="4334C0AE">
                  <w:pPr>
                    <w:pStyle w:val="12"/>
                    <w:widowControl w:val="0"/>
                    <w:snapToGrid/>
                    <w:spacing w:before="0" w:after="0" w:line="240" w:lineRule="auto"/>
                    <w:ind w:right="0"/>
                    <w:jc w:val="center"/>
                    <w:rPr>
                      <w:sz w:val="21"/>
                      <w:szCs w:val="21"/>
                      <w:u w:val="none"/>
                    </w:rPr>
                  </w:pPr>
                  <w:r>
                    <w:rPr>
                      <w:sz w:val="21"/>
                      <w:szCs w:val="21"/>
                      <w:u w:val="none"/>
                    </w:rPr>
                    <w:t>污染治理设施</w:t>
                  </w:r>
                </w:p>
              </w:tc>
              <w:tc>
                <w:tcPr>
                  <w:tcW w:w="613" w:type="pct"/>
                  <w:vMerge w:val="restart"/>
                  <w:vAlign w:val="center"/>
                </w:tcPr>
                <w:p w14:paraId="66620E01">
                  <w:pPr>
                    <w:pStyle w:val="12"/>
                    <w:widowControl w:val="0"/>
                    <w:snapToGrid/>
                    <w:spacing w:before="0" w:after="0" w:line="240" w:lineRule="auto"/>
                    <w:ind w:right="0"/>
                    <w:jc w:val="center"/>
                    <w:rPr>
                      <w:sz w:val="21"/>
                      <w:szCs w:val="21"/>
                      <w:u w:val="none"/>
                    </w:rPr>
                  </w:pPr>
                  <w:r>
                    <w:rPr>
                      <w:sz w:val="21"/>
                      <w:szCs w:val="21"/>
                      <w:u w:val="none"/>
                    </w:rPr>
                    <w:t>污染物</w:t>
                  </w:r>
                </w:p>
                <w:p w14:paraId="04E1568E">
                  <w:pPr>
                    <w:pStyle w:val="12"/>
                    <w:widowControl w:val="0"/>
                    <w:snapToGrid/>
                    <w:spacing w:before="0" w:after="0" w:line="240" w:lineRule="auto"/>
                    <w:ind w:right="0"/>
                    <w:jc w:val="center"/>
                    <w:rPr>
                      <w:sz w:val="21"/>
                      <w:szCs w:val="21"/>
                      <w:u w:val="none"/>
                    </w:rPr>
                  </w:pPr>
                  <w:r>
                    <w:rPr>
                      <w:sz w:val="21"/>
                      <w:szCs w:val="21"/>
                      <w:u w:val="none"/>
                    </w:rPr>
                    <w:t>排放浓度（速率）</w:t>
                  </w:r>
                </w:p>
              </w:tc>
              <w:tc>
                <w:tcPr>
                  <w:tcW w:w="506" w:type="pct"/>
                  <w:vMerge w:val="restart"/>
                  <w:vAlign w:val="center"/>
                </w:tcPr>
                <w:p w14:paraId="6AA81F65">
                  <w:pPr>
                    <w:pStyle w:val="12"/>
                    <w:widowControl w:val="0"/>
                    <w:snapToGrid/>
                    <w:spacing w:before="0" w:after="0" w:line="240" w:lineRule="auto"/>
                    <w:ind w:right="0"/>
                    <w:jc w:val="center"/>
                    <w:rPr>
                      <w:sz w:val="21"/>
                      <w:szCs w:val="21"/>
                      <w:u w:val="none"/>
                    </w:rPr>
                  </w:pPr>
                  <w:r>
                    <w:rPr>
                      <w:sz w:val="21"/>
                      <w:szCs w:val="21"/>
                      <w:u w:val="none"/>
                    </w:rPr>
                    <w:t>污染物排放量</w:t>
                  </w:r>
                </w:p>
              </w:tc>
              <w:tc>
                <w:tcPr>
                  <w:tcW w:w="1153" w:type="pct"/>
                  <w:vMerge w:val="restart"/>
                  <w:vAlign w:val="center"/>
                </w:tcPr>
                <w:p w14:paraId="249180DF">
                  <w:pPr>
                    <w:pStyle w:val="12"/>
                    <w:widowControl w:val="0"/>
                    <w:snapToGrid/>
                    <w:spacing w:before="0" w:after="0" w:line="240" w:lineRule="auto"/>
                    <w:ind w:right="0"/>
                    <w:jc w:val="center"/>
                    <w:rPr>
                      <w:sz w:val="21"/>
                      <w:szCs w:val="21"/>
                      <w:u w:val="none"/>
                    </w:rPr>
                  </w:pPr>
                  <w:r>
                    <w:rPr>
                      <w:sz w:val="21"/>
                      <w:szCs w:val="21"/>
                      <w:u w:val="none"/>
                    </w:rPr>
                    <w:t>排放标准</w:t>
                  </w:r>
                </w:p>
              </w:tc>
            </w:tr>
            <w:tr w14:paraId="65A47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27" w:type="pct"/>
                  <w:vMerge w:val="continue"/>
                  <w:tcBorders>
                    <w:top w:val="nil"/>
                  </w:tcBorders>
                  <w:vAlign w:val="center"/>
                </w:tcPr>
                <w:p w14:paraId="42210C21">
                  <w:pPr>
                    <w:pStyle w:val="12"/>
                    <w:widowControl w:val="0"/>
                    <w:snapToGrid/>
                    <w:spacing w:before="0" w:after="0" w:line="240" w:lineRule="auto"/>
                    <w:ind w:right="0"/>
                    <w:jc w:val="center"/>
                    <w:rPr>
                      <w:sz w:val="21"/>
                      <w:szCs w:val="21"/>
                      <w:u w:val="none"/>
                    </w:rPr>
                  </w:pPr>
                </w:p>
              </w:tc>
              <w:tc>
                <w:tcPr>
                  <w:tcW w:w="354" w:type="pct"/>
                  <w:vMerge w:val="continue"/>
                  <w:tcBorders>
                    <w:top w:val="nil"/>
                  </w:tcBorders>
                  <w:vAlign w:val="center"/>
                </w:tcPr>
                <w:p w14:paraId="0F78883B">
                  <w:pPr>
                    <w:pStyle w:val="12"/>
                    <w:widowControl w:val="0"/>
                    <w:snapToGrid/>
                    <w:spacing w:before="0" w:after="0" w:line="240" w:lineRule="auto"/>
                    <w:ind w:right="0"/>
                    <w:jc w:val="center"/>
                    <w:rPr>
                      <w:sz w:val="21"/>
                      <w:szCs w:val="21"/>
                      <w:u w:val="none"/>
                    </w:rPr>
                  </w:pPr>
                </w:p>
              </w:tc>
              <w:tc>
                <w:tcPr>
                  <w:tcW w:w="400" w:type="pct"/>
                  <w:vMerge w:val="continue"/>
                  <w:tcBorders>
                    <w:top w:val="nil"/>
                  </w:tcBorders>
                  <w:vAlign w:val="center"/>
                </w:tcPr>
                <w:p w14:paraId="1932062F">
                  <w:pPr>
                    <w:pStyle w:val="12"/>
                    <w:widowControl w:val="0"/>
                    <w:snapToGrid/>
                    <w:spacing w:before="0" w:after="0" w:line="240" w:lineRule="auto"/>
                    <w:ind w:right="0"/>
                    <w:jc w:val="center"/>
                    <w:rPr>
                      <w:sz w:val="21"/>
                      <w:szCs w:val="21"/>
                      <w:u w:val="none"/>
                    </w:rPr>
                  </w:pPr>
                </w:p>
              </w:tc>
              <w:tc>
                <w:tcPr>
                  <w:tcW w:w="507" w:type="pct"/>
                  <w:vAlign w:val="center"/>
                </w:tcPr>
                <w:p w14:paraId="7256FBD1">
                  <w:pPr>
                    <w:pStyle w:val="12"/>
                    <w:widowControl w:val="0"/>
                    <w:snapToGrid/>
                    <w:spacing w:before="0" w:after="0" w:line="240" w:lineRule="auto"/>
                    <w:ind w:right="0"/>
                    <w:jc w:val="center"/>
                    <w:rPr>
                      <w:sz w:val="21"/>
                      <w:szCs w:val="21"/>
                      <w:u w:val="none"/>
                    </w:rPr>
                  </w:pPr>
                  <w:r>
                    <w:rPr>
                      <w:sz w:val="21"/>
                      <w:szCs w:val="21"/>
                      <w:u w:val="none"/>
                    </w:rPr>
                    <w:t>产生量</w:t>
                  </w:r>
                </w:p>
              </w:tc>
              <w:tc>
                <w:tcPr>
                  <w:tcW w:w="284" w:type="pct"/>
                  <w:vAlign w:val="center"/>
                </w:tcPr>
                <w:p w14:paraId="3E0C4E27">
                  <w:pPr>
                    <w:pStyle w:val="12"/>
                    <w:widowControl w:val="0"/>
                    <w:snapToGrid/>
                    <w:spacing w:before="0" w:after="0" w:line="240" w:lineRule="auto"/>
                    <w:ind w:right="0"/>
                    <w:jc w:val="center"/>
                    <w:rPr>
                      <w:sz w:val="21"/>
                      <w:szCs w:val="21"/>
                      <w:u w:val="none"/>
                    </w:rPr>
                  </w:pPr>
                  <w:r>
                    <w:rPr>
                      <w:sz w:val="21"/>
                      <w:szCs w:val="21"/>
                      <w:u w:val="none"/>
                    </w:rPr>
                    <w:t>浓度</w:t>
                  </w:r>
                </w:p>
              </w:tc>
              <w:tc>
                <w:tcPr>
                  <w:tcW w:w="418" w:type="pct"/>
                  <w:vMerge w:val="continue"/>
                  <w:tcBorders>
                    <w:top w:val="nil"/>
                  </w:tcBorders>
                  <w:vAlign w:val="center"/>
                </w:tcPr>
                <w:p w14:paraId="773DA881">
                  <w:pPr>
                    <w:pStyle w:val="12"/>
                    <w:widowControl w:val="0"/>
                    <w:snapToGrid/>
                    <w:spacing w:before="0" w:after="0" w:line="240" w:lineRule="auto"/>
                    <w:ind w:right="0"/>
                    <w:jc w:val="center"/>
                    <w:rPr>
                      <w:sz w:val="21"/>
                      <w:szCs w:val="21"/>
                      <w:u w:val="none"/>
                    </w:rPr>
                  </w:pPr>
                </w:p>
              </w:tc>
              <w:tc>
                <w:tcPr>
                  <w:tcW w:w="534" w:type="pct"/>
                  <w:vMerge w:val="continue"/>
                  <w:vAlign w:val="center"/>
                </w:tcPr>
                <w:p w14:paraId="2826191C">
                  <w:pPr>
                    <w:pStyle w:val="12"/>
                    <w:widowControl w:val="0"/>
                    <w:snapToGrid/>
                    <w:spacing w:before="0" w:after="0" w:line="240" w:lineRule="auto"/>
                    <w:ind w:right="0"/>
                    <w:jc w:val="center"/>
                    <w:rPr>
                      <w:sz w:val="21"/>
                      <w:szCs w:val="21"/>
                      <w:u w:val="none"/>
                    </w:rPr>
                  </w:pPr>
                </w:p>
              </w:tc>
              <w:tc>
                <w:tcPr>
                  <w:tcW w:w="613" w:type="pct"/>
                  <w:vMerge w:val="continue"/>
                  <w:vAlign w:val="center"/>
                </w:tcPr>
                <w:p w14:paraId="7D433C4E">
                  <w:pPr>
                    <w:pStyle w:val="12"/>
                    <w:widowControl w:val="0"/>
                    <w:snapToGrid/>
                    <w:spacing w:before="0" w:after="0" w:line="240" w:lineRule="auto"/>
                    <w:ind w:right="0"/>
                    <w:jc w:val="center"/>
                    <w:rPr>
                      <w:sz w:val="21"/>
                      <w:szCs w:val="21"/>
                      <w:u w:val="none"/>
                    </w:rPr>
                  </w:pPr>
                </w:p>
              </w:tc>
              <w:tc>
                <w:tcPr>
                  <w:tcW w:w="506" w:type="pct"/>
                  <w:vMerge w:val="continue"/>
                  <w:tcBorders>
                    <w:top w:val="nil"/>
                  </w:tcBorders>
                  <w:vAlign w:val="center"/>
                </w:tcPr>
                <w:p w14:paraId="3A28281E">
                  <w:pPr>
                    <w:pStyle w:val="12"/>
                    <w:widowControl w:val="0"/>
                    <w:snapToGrid/>
                    <w:spacing w:before="0" w:after="0" w:line="240" w:lineRule="auto"/>
                    <w:ind w:right="0"/>
                    <w:jc w:val="center"/>
                    <w:rPr>
                      <w:sz w:val="21"/>
                      <w:szCs w:val="21"/>
                      <w:u w:val="none"/>
                    </w:rPr>
                  </w:pPr>
                </w:p>
              </w:tc>
              <w:tc>
                <w:tcPr>
                  <w:tcW w:w="1153" w:type="pct"/>
                  <w:vMerge w:val="continue"/>
                  <w:tcBorders>
                    <w:top w:val="nil"/>
                  </w:tcBorders>
                  <w:vAlign w:val="center"/>
                </w:tcPr>
                <w:p w14:paraId="2FE5EECD">
                  <w:pPr>
                    <w:pStyle w:val="12"/>
                    <w:widowControl w:val="0"/>
                    <w:snapToGrid/>
                    <w:spacing w:before="0" w:after="0" w:line="240" w:lineRule="auto"/>
                    <w:ind w:right="0"/>
                    <w:jc w:val="center"/>
                    <w:rPr>
                      <w:sz w:val="21"/>
                      <w:szCs w:val="21"/>
                      <w:u w:val="none"/>
                    </w:rPr>
                  </w:pPr>
                </w:p>
              </w:tc>
            </w:tr>
            <w:tr w14:paraId="51AA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jc w:val="center"/>
              </w:trPr>
              <w:tc>
                <w:tcPr>
                  <w:tcW w:w="227" w:type="pct"/>
                  <w:vAlign w:val="center"/>
                </w:tcPr>
                <w:p w14:paraId="4F7D8A13">
                  <w:pPr>
                    <w:pStyle w:val="12"/>
                    <w:widowControl w:val="0"/>
                    <w:snapToGrid/>
                    <w:spacing w:before="0" w:after="0" w:line="240" w:lineRule="auto"/>
                    <w:ind w:right="0"/>
                    <w:jc w:val="center"/>
                    <w:rPr>
                      <w:rFonts w:hint="eastAsia" w:eastAsia="宋体"/>
                      <w:sz w:val="21"/>
                      <w:szCs w:val="21"/>
                      <w:u w:val="none"/>
                      <w:lang w:val="en-US" w:eastAsia="zh-CN"/>
                    </w:rPr>
                  </w:pPr>
                  <w:r>
                    <w:rPr>
                      <w:rFonts w:hint="eastAsia"/>
                      <w:sz w:val="21"/>
                      <w:szCs w:val="21"/>
                      <w:u w:val="none"/>
                      <w:lang w:val="en-US" w:eastAsia="zh-CN"/>
                    </w:rPr>
                    <w:t>1</w:t>
                  </w:r>
                </w:p>
              </w:tc>
              <w:tc>
                <w:tcPr>
                  <w:tcW w:w="354" w:type="pct"/>
                  <w:vAlign w:val="center"/>
                </w:tcPr>
                <w:p w14:paraId="2D62A62E">
                  <w:pPr>
                    <w:pStyle w:val="12"/>
                    <w:widowControl w:val="0"/>
                    <w:snapToGrid/>
                    <w:spacing w:before="0" w:after="0" w:line="240" w:lineRule="auto"/>
                    <w:ind w:right="0"/>
                    <w:jc w:val="center"/>
                    <w:rPr>
                      <w:rFonts w:hint="default"/>
                      <w:sz w:val="21"/>
                      <w:szCs w:val="21"/>
                      <w:u w:val="none"/>
                      <w:lang w:val="en-US" w:eastAsia="zh-CN"/>
                    </w:rPr>
                  </w:pPr>
                  <w:r>
                    <w:rPr>
                      <w:rFonts w:hint="eastAsia"/>
                      <w:sz w:val="21"/>
                      <w:szCs w:val="21"/>
                      <w:u w:val="none"/>
                      <w:lang w:val="en-US" w:eastAsia="zh-CN"/>
                    </w:rPr>
                    <w:t>冷凝</w:t>
                  </w:r>
                </w:p>
              </w:tc>
              <w:tc>
                <w:tcPr>
                  <w:tcW w:w="400" w:type="pct"/>
                  <w:vMerge w:val="restart"/>
                  <w:vAlign w:val="center"/>
                </w:tcPr>
                <w:p w14:paraId="5D4FCBE0">
                  <w:pPr>
                    <w:pStyle w:val="12"/>
                    <w:widowControl w:val="0"/>
                    <w:snapToGrid/>
                    <w:spacing w:before="0" w:after="0" w:line="240" w:lineRule="auto"/>
                    <w:ind w:right="0"/>
                    <w:jc w:val="center"/>
                    <w:rPr>
                      <w:rFonts w:hint="eastAsia" w:eastAsia="宋体"/>
                      <w:sz w:val="21"/>
                      <w:szCs w:val="21"/>
                      <w:u w:val="none"/>
                      <w:lang w:val="en-US" w:eastAsia="zh-CN"/>
                    </w:rPr>
                  </w:pPr>
                  <w:r>
                    <w:rPr>
                      <w:rFonts w:hint="eastAsia"/>
                      <w:sz w:val="21"/>
                      <w:szCs w:val="21"/>
                      <w:u w:val="none"/>
                      <w:lang w:val="en-US" w:eastAsia="zh-CN"/>
                    </w:rPr>
                    <w:t>NMHC</w:t>
                  </w:r>
                </w:p>
              </w:tc>
              <w:tc>
                <w:tcPr>
                  <w:tcW w:w="507" w:type="pct"/>
                  <w:vAlign w:val="center"/>
                </w:tcPr>
                <w:p w14:paraId="52D9F997">
                  <w:pPr>
                    <w:widowControl/>
                    <w:jc w:val="center"/>
                    <w:rPr>
                      <w:rFonts w:hint="default"/>
                      <w:kern w:val="0"/>
                      <w:sz w:val="21"/>
                      <w:szCs w:val="21"/>
                      <w:u w:val="none"/>
                      <w:lang w:val="en-US" w:eastAsia="zh-CN"/>
                    </w:rPr>
                  </w:pPr>
                  <w:r>
                    <w:rPr>
                      <w:rFonts w:hint="eastAsia"/>
                      <w:kern w:val="0"/>
                      <w:sz w:val="21"/>
                      <w:szCs w:val="21"/>
                      <w:u w:val="none"/>
                      <w:lang w:val="en-US" w:eastAsia="zh-CN"/>
                    </w:rPr>
                    <w:t>2.75t/a</w:t>
                  </w:r>
                </w:p>
              </w:tc>
              <w:tc>
                <w:tcPr>
                  <w:tcW w:w="284" w:type="pct"/>
                  <w:vAlign w:val="center"/>
                </w:tcPr>
                <w:p w14:paraId="3BF63907">
                  <w:pPr>
                    <w:jc w:val="center"/>
                    <w:rPr>
                      <w:rFonts w:hint="default"/>
                      <w:sz w:val="21"/>
                      <w:szCs w:val="21"/>
                      <w:u w:val="none"/>
                      <w:lang w:val="en-US" w:eastAsia="zh-CN"/>
                    </w:rPr>
                  </w:pPr>
                  <w:r>
                    <w:rPr>
                      <w:rFonts w:hint="eastAsia"/>
                      <w:sz w:val="21"/>
                      <w:szCs w:val="21"/>
                      <w:u w:val="none"/>
                      <w:lang w:val="en-US" w:eastAsia="zh-CN"/>
                    </w:rPr>
                    <w:t>/</w:t>
                  </w:r>
                </w:p>
              </w:tc>
              <w:tc>
                <w:tcPr>
                  <w:tcW w:w="418" w:type="pct"/>
                  <w:vAlign w:val="center"/>
                </w:tcPr>
                <w:p w14:paraId="59203722">
                  <w:pPr>
                    <w:pStyle w:val="12"/>
                    <w:widowControl w:val="0"/>
                    <w:snapToGrid/>
                    <w:spacing w:before="0" w:after="0" w:line="240" w:lineRule="auto"/>
                    <w:ind w:right="0"/>
                    <w:jc w:val="center"/>
                    <w:rPr>
                      <w:rFonts w:hint="default"/>
                      <w:sz w:val="21"/>
                      <w:szCs w:val="21"/>
                      <w:u w:val="none"/>
                      <w:lang w:val="en-US" w:eastAsia="zh-CN"/>
                    </w:rPr>
                  </w:pPr>
                  <w:r>
                    <w:rPr>
                      <w:rFonts w:hint="eastAsia"/>
                      <w:sz w:val="21"/>
                      <w:szCs w:val="21"/>
                      <w:u w:val="none"/>
                      <w:lang w:val="en-US" w:eastAsia="zh-CN"/>
                    </w:rPr>
                    <w:t>有组织</w:t>
                  </w:r>
                </w:p>
              </w:tc>
              <w:tc>
                <w:tcPr>
                  <w:tcW w:w="534" w:type="pct"/>
                  <w:vAlign w:val="center"/>
                </w:tcPr>
                <w:p w14:paraId="5871D492">
                  <w:pPr>
                    <w:jc w:val="center"/>
                    <w:rPr>
                      <w:rFonts w:hint="default"/>
                      <w:sz w:val="21"/>
                      <w:szCs w:val="21"/>
                      <w:u w:val="none"/>
                      <w:lang w:val="en-US" w:eastAsia="zh-CN"/>
                    </w:rPr>
                  </w:pPr>
                  <w:r>
                    <w:rPr>
                      <w:rFonts w:hint="eastAsia"/>
                      <w:sz w:val="21"/>
                      <w:szCs w:val="21"/>
                      <w:u w:val="none"/>
                      <w:lang w:val="en-US" w:eastAsia="zh-CN"/>
                    </w:rPr>
                    <w:t>二级活性炭+15m排气筒</w:t>
                  </w:r>
                </w:p>
              </w:tc>
              <w:tc>
                <w:tcPr>
                  <w:tcW w:w="613" w:type="pct"/>
                  <w:vAlign w:val="center"/>
                </w:tcPr>
                <w:p w14:paraId="62B36544">
                  <w:pPr>
                    <w:pStyle w:val="12"/>
                    <w:widowControl w:val="0"/>
                    <w:snapToGrid/>
                    <w:spacing w:before="0" w:after="0" w:line="240" w:lineRule="auto"/>
                    <w:ind w:right="0"/>
                    <w:jc w:val="center"/>
                    <w:rPr>
                      <w:rFonts w:hint="default"/>
                      <w:sz w:val="21"/>
                      <w:szCs w:val="21"/>
                      <w:u w:val="none"/>
                      <w:lang w:val="en-US" w:eastAsia="zh-CN"/>
                    </w:rPr>
                  </w:pPr>
                  <w:r>
                    <w:rPr>
                      <w:rFonts w:hint="eastAsia"/>
                      <w:sz w:val="21"/>
                      <w:szCs w:val="21"/>
                      <w:u w:val="none"/>
                      <w:lang w:val="en-US" w:eastAsia="zh-CN"/>
                    </w:rPr>
                    <w:t>0.292kg/h，29.2mg/m</w:t>
                  </w:r>
                  <w:r>
                    <w:rPr>
                      <w:rFonts w:hint="eastAsia"/>
                      <w:sz w:val="21"/>
                      <w:szCs w:val="21"/>
                      <w:u w:val="none"/>
                      <w:vertAlign w:val="superscript"/>
                      <w:lang w:val="en-US" w:eastAsia="zh-CN"/>
                    </w:rPr>
                    <w:t>3</w:t>
                  </w:r>
                </w:p>
              </w:tc>
              <w:tc>
                <w:tcPr>
                  <w:tcW w:w="506" w:type="pct"/>
                  <w:shd w:val="clear" w:color="auto" w:fill="auto"/>
                  <w:vAlign w:val="center"/>
                </w:tcPr>
                <w:p w14:paraId="1FE28AA2">
                  <w:pPr>
                    <w:widowControl/>
                    <w:jc w:val="center"/>
                    <w:rPr>
                      <w:rFonts w:hint="default"/>
                      <w:kern w:val="0"/>
                      <w:sz w:val="21"/>
                      <w:szCs w:val="21"/>
                      <w:u w:val="none"/>
                      <w:lang w:val="en-US" w:eastAsia="zh-CN"/>
                    </w:rPr>
                  </w:pPr>
                  <w:r>
                    <w:rPr>
                      <w:rFonts w:hint="eastAsia"/>
                      <w:kern w:val="0"/>
                      <w:sz w:val="21"/>
                      <w:szCs w:val="21"/>
                      <w:u w:val="none"/>
                      <w:lang w:val="en-US" w:eastAsia="zh-CN"/>
                    </w:rPr>
                    <w:t>1.4t/a</w:t>
                  </w:r>
                </w:p>
              </w:tc>
              <w:tc>
                <w:tcPr>
                  <w:tcW w:w="1153" w:type="pct"/>
                  <w:vAlign w:val="center"/>
                </w:tcPr>
                <w:p w14:paraId="372FAEC7">
                  <w:pPr>
                    <w:pStyle w:val="12"/>
                    <w:widowControl w:val="0"/>
                    <w:snapToGrid/>
                    <w:spacing w:before="0" w:after="0" w:line="240" w:lineRule="auto"/>
                    <w:ind w:right="0"/>
                    <w:jc w:val="center"/>
                    <w:rPr>
                      <w:rFonts w:hint="eastAsia"/>
                      <w:sz w:val="21"/>
                      <w:szCs w:val="21"/>
                      <w:u w:val="none"/>
                      <w:lang w:eastAsia="zh-CN"/>
                    </w:rPr>
                  </w:pPr>
                  <w:r>
                    <w:rPr>
                      <w:rFonts w:hint="eastAsia"/>
                      <w:sz w:val="21"/>
                      <w:szCs w:val="21"/>
                      <w:u w:val="none"/>
                      <w:lang w:eastAsia="zh-CN"/>
                    </w:rPr>
                    <w:t>《大气污染物综合排放标准》（GB16297-1996）</w:t>
                  </w:r>
                </w:p>
              </w:tc>
            </w:tr>
            <w:tr w14:paraId="03DB7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27" w:type="pct"/>
                  <w:vAlign w:val="center"/>
                </w:tcPr>
                <w:p w14:paraId="3F769A21">
                  <w:pPr>
                    <w:pStyle w:val="12"/>
                    <w:widowControl w:val="0"/>
                    <w:snapToGrid/>
                    <w:spacing w:before="0" w:after="0" w:line="240" w:lineRule="auto"/>
                    <w:ind w:right="0"/>
                    <w:jc w:val="center"/>
                    <w:rPr>
                      <w:sz w:val="21"/>
                      <w:szCs w:val="21"/>
                      <w:u w:val="none"/>
                    </w:rPr>
                  </w:pPr>
                  <w:r>
                    <w:rPr>
                      <w:rFonts w:hint="eastAsia"/>
                      <w:sz w:val="21"/>
                      <w:szCs w:val="21"/>
                      <w:u w:val="none"/>
                      <w:lang w:val="en-US" w:eastAsia="zh-CN"/>
                    </w:rPr>
                    <w:t>2</w:t>
                  </w:r>
                </w:p>
              </w:tc>
              <w:tc>
                <w:tcPr>
                  <w:tcW w:w="354" w:type="pct"/>
                  <w:vAlign w:val="center"/>
                </w:tcPr>
                <w:p w14:paraId="721BDDCE">
                  <w:pPr>
                    <w:pStyle w:val="12"/>
                    <w:widowControl w:val="0"/>
                    <w:snapToGrid/>
                    <w:spacing w:before="0" w:after="0" w:line="240" w:lineRule="auto"/>
                    <w:ind w:right="0"/>
                    <w:jc w:val="center"/>
                    <w:rPr>
                      <w:rFonts w:hint="default" w:eastAsia="宋体"/>
                      <w:sz w:val="21"/>
                      <w:szCs w:val="21"/>
                      <w:u w:val="none"/>
                      <w:lang w:val="en-US" w:eastAsia="zh-CN"/>
                    </w:rPr>
                  </w:pPr>
                  <w:r>
                    <w:rPr>
                      <w:rFonts w:hint="eastAsia"/>
                      <w:sz w:val="21"/>
                      <w:szCs w:val="21"/>
                      <w:u w:val="none"/>
                      <w:lang w:val="en-US" w:eastAsia="zh-CN"/>
                    </w:rPr>
                    <w:t>储罐</w:t>
                  </w:r>
                </w:p>
              </w:tc>
              <w:tc>
                <w:tcPr>
                  <w:tcW w:w="400" w:type="pct"/>
                  <w:vMerge w:val="continue"/>
                  <w:vAlign w:val="center"/>
                </w:tcPr>
                <w:p w14:paraId="6EDA2651">
                  <w:pPr>
                    <w:pStyle w:val="12"/>
                    <w:widowControl w:val="0"/>
                    <w:snapToGrid/>
                    <w:spacing w:before="0" w:after="0" w:line="240" w:lineRule="auto"/>
                    <w:ind w:right="0"/>
                    <w:jc w:val="center"/>
                    <w:rPr>
                      <w:rFonts w:hint="eastAsia" w:eastAsia="宋体"/>
                      <w:sz w:val="21"/>
                      <w:szCs w:val="21"/>
                      <w:u w:val="none"/>
                      <w:lang w:val="en-US" w:eastAsia="zh-CN"/>
                    </w:rPr>
                  </w:pPr>
                </w:p>
              </w:tc>
              <w:tc>
                <w:tcPr>
                  <w:tcW w:w="507" w:type="pct"/>
                  <w:vAlign w:val="center"/>
                </w:tcPr>
                <w:p w14:paraId="5C11F5D3">
                  <w:pPr>
                    <w:widowControl/>
                    <w:jc w:val="center"/>
                    <w:rPr>
                      <w:rFonts w:hint="default"/>
                      <w:kern w:val="0"/>
                      <w:sz w:val="21"/>
                      <w:szCs w:val="21"/>
                      <w:u w:val="none"/>
                      <w:lang w:val="en-US" w:eastAsia="zh-CN"/>
                    </w:rPr>
                  </w:pPr>
                  <w:r>
                    <w:rPr>
                      <w:rFonts w:hint="eastAsia"/>
                      <w:kern w:val="0"/>
                      <w:sz w:val="21"/>
                      <w:szCs w:val="21"/>
                      <w:u w:val="none"/>
                      <w:lang w:val="en-US" w:eastAsia="zh-CN"/>
                    </w:rPr>
                    <w:t>0.4233t/a</w:t>
                  </w:r>
                </w:p>
              </w:tc>
              <w:tc>
                <w:tcPr>
                  <w:tcW w:w="284" w:type="pct"/>
                  <w:vAlign w:val="center"/>
                </w:tcPr>
                <w:p w14:paraId="7AD38ED6">
                  <w:pPr>
                    <w:jc w:val="center"/>
                    <w:rPr>
                      <w:rFonts w:hint="eastAsia" w:eastAsia="宋体"/>
                      <w:sz w:val="21"/>
                      <w:szCs w:val="21"/>
                      <w:u w:val="none"/>
                      <w:lang w:val="en-US" w:eastAsia="zh-CN"/>
                    </w:rPr>
                  </w:pPr>
                  <w:r>
                    <w:rPr>
                      <w:rFonts w:hint="eastAsia"/>
                      <w:sz w:val="21"/>
                      <w:szCs w:val="21"/>
                      <w:u w:val="none"/>
                      <w:lang w:val="en-US" w:eastAsia="zh-CN"/>
                    </w:rPr>
                    <w:t>/</w:t>
                  </w:r>
                </w:p>
              </w:tc>
              <w:tc>
                <w:tcPr>
                  <w:tcW w:w="418" w:type="pct"/>
                  <w:vAlign w:val="center"/>
                </w:tcPr>
                <w:p w14:paraId="00B1F3F9">
                  <w:pPr>
                    <w:pStyle w:val="12"/>
                    <w:widowControl w:val="0"/>
                    <w:snapToGrid/>
                    <w:spacing w:before="0" w:after="0" w:line="240" w:lineRule="auto"/>
                    <w:ind w:right="0"/>
                    <w:jc w:val="center"/>
                    <w:rPr>
                      <w:rFonts w:hint="default" w:eastAsia="宋体"/>
                      <w:sz w:val="21"/>
                      <w:szCs w:val="21"/>
                      <w:u w:val="none"/>
                      <w:lang w:val="en-US" w:eastAsia="zh-CN"/>
                    </w:rPr>
                  </w:pPr>
                  <w:r>
                    <w:rPr>
                      <w:rFonts w:hint="eastAsia"/>
                      <w:sz w:val="21"/>
                      <w:szCs w:val="21"/>
                      <w:u w:val="none"/>
                      <w:lang w:val="en-US" w:eastAsia="zh-CN"/>
                    </w:rPr>
                    <w:t>无组织</w:t>
                  </w:r>
                </w:p>
              </w:tc>
              <w:tc>
                <w:tcPr>
                  <w:tcW w:w="534" w:type="pct"/>
                  <w:vAlign w:val="center"/>
                </w:tcPr>
                <w:p w14:paraId="6801CAAC">
                  <w:pPr>
                    <w:jc w:val="center"/>
                    <w:rPr>
                      <w:rFonts w:hint="eastAsia" w:eastAsia="宋体"/>
                      <w:sz w:val="21"/>
                      <w:szCs w:val="21"/>
                      <w:u w:val="none"/>
                      <w:lang w:val="en-US" w:eastAsia="zh-CN"/>
                    </w:rPr>
                  </w:pPr>
                  <w:r>
                    <w:rPr>
                      <w:rFonts w:hint="eastAsia"/>
                      <w:sz w:val="21"/>
                      <w:szCs w:val="21"/>
                      <w:u w:val="none"/>
                      <w:lang w:val="en-US" w:eastAsia="zh-CN"/>
                    </w:rPr>
                    <w:t>加强通风</w:t>
                  </w:r>
                </w:p>
              </w:tc>
              <w:tc>
                <w:tcPr>
                  <w:tcW w:w="613" w:type="pct"/>
                  <w:vAlign w:val="center"/>
                </w:tcPr>
                <w:p w14:paraId="14B44250">
                  <w:pPr>
                    <w:pStyle w:val="12"/>
                    <w:widowControl w:val="0"/>
                    <w:snapToGrid/>
                    <w:spacing w:before="0" w:after="0" w:line="240" w:lineRule="auto"/>
                    <w:ind w:right="0"/>
                    <w:jc w:val="center"/>
                    <w:rPr>
                      <w:rFonts w:hint="default" w:eastAsia="宋体"/>
                      <w:sz w:val="21"/>
                      <w:szCs w:val="21"/>
                      <w:u w:val="none"/>
                      <w:lang w:val="en-US" w:eastAsia="zh-CN"/>
                    </w:rPr>
                  </w:pPr>
                  <w:r>
                    <w:rPr>
                      <w:rFonts w:hint="eastAsia"/>
                      <w:sz w:val="21"/>
                      <w:szCs w:val="21"/>
                      <w:u w:val="none"/>
                      <w:lang w:val="en-US" w:eastAsia="zh-CN"/>
                    </w:rPr>
                    <w:t>/</w:t>
                  </w:r>
                </w:p>
              </w:tc>
              <w:tc>
                <w:tcPr>
                  <w:tcW w:w="506" w:type="pct"/>
                  <w:shd w:val="clear" w:color="auto" w:fill="auto"/>
                  <w:vAlign w:val="center"/>
                </w:tcPr>
                <w:p w14:paraId="6F5524E1">
                  <w:pPr>
                    <w:widowControl/>
                    <w:jc w:val="center"/>
                    <w:rPr>
                      <w:rFonts w:hint="default" w:ascii="Times New Roman" w:hAnsi="Times New Roman" w:eastAsia="宋体" w:cs="Times New Roman"/>
                      <w:kern w:val="0"/>
                      <w:sz w:val="21"/>
                      <w:szCs w:val="21"/>
                      <w:u w:val="none"/>
                      <w:lang w:val="en-US" w:eastAsia="zh-CN" w:bidi="ar-SA"/>
                    </w:rPr>
                  </w:pPr>
                  <w:r>
                    <w:rPr>
                      <w:rFonts w:hint="eastAsia"/>
                      <w:kern w:val="0"/>
                      <w:sz w:val="21"/>
                      <w:szCs w:val="21"/>
                      <w:u w:val="none"/>
                      <w:lang w:val="en-US" w:eastAsia="zh-CN"/>
                    </w:rPr>
                    <w:t>0.4233t/a</w:t>
                  </w:r>
                </w:p>
              </w:tc>
              <w:tc>
                <w:tcPr>
                  <w:tcW w:w="1153" w:type="pct"/>
                  <w:vAlign w:val="center"/>
                </w:tcPr>
                <w:p w14:paraId="7139BD3D">
                  <w:pPr>
                    <w:pStyle w:val="12"/>
                    <w:widowControl w:val="0"/>
                    <w:snapToGrid/>
                    <w:spacing w:before="0" w:after="0" w:line="240" w:lineRule="auto"/>
                    <w:ind w:right="0"/>
                    <w:jc w:val="center"/>
                    <w:rPr>
                      <w:sz w:val="21"/>
                      <w:szCs w:val="21"/>
                      <w:u w:val="none"/>
                    </w:rPr>
                  </w:pPr>
                  <w:r>
                    <w:rPr>
                      <w:rFonts w:hint="eastAsia"/>
                      <w:sz w:val="21"/>
                      <w:szCs w:val="21"/>
                      <w:u w:val="none"/>
                      <w:lang w:eastAsia="zh-CN"/>
                    </w:rPr>
                    <w:t>《大气污染物综合排放标准》（GB16297-1996）、</w:t>
                  </w:r>
                  <w:r>
                    <w:rPr>
                      <w:rFonts w:hint="eastAsia"/>
                      <w:bCs/>
                      <w:sz w:val="21"/>
                      <w:szCs w:val="21"/>
                    </w:rPr>
                    <w:t>《挥发性有机物无组织排放控制标准》（GB 37822—2019）</w:t>
                  </w:r>
                </w:p>
              </w:tc>
            </w:tr>
          </w:tbl>
          <w:p w14:paraId="34EB716E">
            <w:pPr>
              <w:ind w:firstLine="482"/>
              <w:jc w:val="center"/>
              <w:rPr>
                <w:b/>
                <w:bCs/>
                <w:color w:val="auto"/>
                <w:sz w:val="24"/>
                <w:szCs w:val="24"/>
                <w:u w:val="none" w:color="auto"/>
              </w:rPr>
            </w:pPr>
            <w:r>
              <w:rPr>
                <w:b/>
                <w:bCs/>
                <w:color w:val="auto"/>
                <w:sz w:val="24"/>
                <w:szCs w:val="24"/>
                <w:u w:val="none" w:color="auto"/>
              </w:rPr>
              <w:t>表4</w:t>
            </w:r>
            <w:r>
              <w:rPr>
                <w:rFonts w:hint="eastAsia"/>
                <w:b/>
                <w:bCs/>
                <w:color w:val="auto"/>
                <w:sz w:val="24"/>
                <w:szCs w:val="24"/>
                <w:u w:val="none" w:color="auto"/>
                <w:lang w:val="en-US" w:eastAsia="zh-CN"/>
              </w:rPr>
              <w:t>-2</w:t>
            </w:r>
            <w:r>
              <w:rPr>
                <w:rFonts w:hint="eastAsia"/>
                <w:b/>
                <w:bCs/>
                <w:color w:val="auto"/>
                <w:sz w:val="24"/>
                <w:szCs w:val="24"/>
                <w:u w:val="none" w:color="auto"/>
              </w:rPr>
              <w:t xml:space="preserve"> </w:t>
            </w:r>
            <w:r>
              <w:rPr>
                <w:b/>
                <w:bCs/>
                <w:color w:val="auto"/>
                <w:sz w:val="24"/>
                <w:szCs w:val="24"/>
                <w:u w:val="none" w:color="auto"/>
              </w:rPr>
              <w:t xml:space="preserve"> 大气排放口基本情况表</w:t>
            </w:r>
          </w:p>
          <w:tbl>
            <w:tblPr>
              <w:tblStyle w:val="32"/>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954"/>
              <w:gridCol w:w="786"/>
              <w:gridCol w:w="821"/>
              <w:gridCol w:w="708"/>
              <w:gridCol w:w="718"/>
              <w:gridCol w:w="708"/>
              <w:gridCol w:w="708"/>
              <w:gridCol w:w="708"/>
              <w:gridCol w:w="1113"/>
            </w:tblGrid>
            <w:tr w14:paraId="3600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69" w:type="pct"/>
                  <w:vMerge w:val="restart"/>
                  <w:noWrap w:val="0"/>
                  <w:vAlign w:val="center"/>
                </w:tcPr>
                <w:p w14:paraId="1DF84708">
                  <w:pPr>
                    <w:pStyle w:val="12"/>
                    <w:widowControl w:val="0"/>
                    <w:snapToGrid/>
                    <w:spacing w:before="0" w:after="0" w:line="240" w:lineRule="auto"/>
                    <w:ind w:right="0"/>
                    <w:jc w:val="center"/>
                    <w:rPr>
                      <w:color w:val="auto"/>
                      <w:sz w:val="21"/>
                      <w:szCs w:val="21"/>
                      <w:u w:val="none" w:color="auto"/>
                    </w:rPr>
                  </w:pPr>
                  <w:r>
                    <w:rPr>
                      <w:rFonts w:hint="eastAsia"/>
                      <w:color w:val="auto"/>
                      <w:sz w:val="21"/>
                      <w:szCs w:val="21"/>
                      <w:u w:val="none" w:color="auto"/>
                    </w:rPr>
                    <w:t>排气筒</w:t>
                  </w:r>
                  <w:r>
                    <w:rPr>
                      <w:color w:val="auto"/>
                      <w:sz w:val="21"/>
                      <w:szCs w:val="21"/>
                      <w:u w:val="none" w:color="auto"/>
                    </w:rPr>
                    <w:t>编号</w:t>
                  </w:r>
                </w:p>
              </w:tc>
              <w:tc>
                <w:tcPr>
                  <w:tcW w:w="585" w:type="pct"/>
                  <w:vMerge w:val="restart"/>
                  <w:noWrap w:val="0"/>
                  <w:vAlign w:val="center"/>
                </w:tcPr>
                <w:p w14:paraId="61FE98CA">
                  <w:pPr>
                    <w:pStyle w:val="12"/>
                    <w:widowControl w:val="0"/>
                    <w:snapToGrid/>
                    <w:spacing w:before="0" w:after="0" w:line="240" w:lineRule="auto"/>
                    <w:ind w:right="0"/>
                    <w:jc w:val="center"/>
                    <w:rPr>
                      <w:color w:val="auto"/>
                      <w:sz w:val="21"/>
                      <w:szCs w:val="21"/>
                      <w:u w:val="none" w:color="auto"/>
                    </w:rPr>
                  </w:pPr>
                  <w:r>
                    <w:rPr>
                      <w:rFonts w:hint="eastAsia"/>
                      <w:color w:val="auto"/>
                      <w:sz w:val="21"/>
                      <w:szCs w:val="21"/>
                      <w:u w:val="none" w:color="auto"/>
                    </w:rPr>
                    <w:t>污染物</w:t>
                  </w:r>
                  <w:r>
                    <w:rPr>
                      <w:color w:val="auto"/>
                      <w:sz w:val="21"/>
                      <w:szCs w:val="21"/>
                      <w:u w:val="none" w:color="auto"/>
                    </w:rPr>
                    <w:t>名称</w:t>
                  </w:r>
                </w:p>
              </w:tc>
              <w:tc>
                <w:tcPr>
                  <w:tcW w:w="985" w:type="pct"/>
                  <w:gridSpan w:val="2"/>
                  <w:noWrap w:val="0"/>
                  <w:vAlign w:val="center"/>
                </w:tcPr>
                <w:p w14:paraId="30A88460">
                  <w:pPr>
                    <w:pStyle w:val="12"/>
                    <w:widowControl w:val="0"/>
                    <w:snapToGrid/>
                    <w:spacing w:before="0" w:after="0" w:line="240" w:lineRule="auto"/>
                    <w:ind w:right="0"/>
                    <w:jc w:val="center"/>
                    <w:rPr>
                      <w:color w:val="auto"/>
                      <w:sz w:val="21"/>
                      <w:szCs w:val="21"/>
                      <w:u w:val="none" w:color="auto"/>
                    </w:rPr>
                  </w:pPr>
                  <w:r>
                    <w:rPr>
                      <w:color w:val="auto"/>
                      <w:sz w:val="21"/>
                      <w:szCs w:val="21"/>
                      <w:u w:val="none" w:color="auto"/>
                    </w:rPr>
                    <w:t>排气筒底部中心坐标</w:t>
                  </w:r>
                </w:p>
              </w:tc>
              <w:tc>
                <w:tcPr>
                  <w:tcW w:w="434" w:type="pct"/>
                  <w:vMerge w:val="restart"/>
                  <w:noWrap w:val="0"/>
                  <w:vAlign w:val="center"/>
                </w:tcPr>
                <w:p w14:paraId="0B8B9479">
                  <w:pPr>
                    <w:pStyle w:val="12"/>
                    <w:widowControl w:val="0"/>
                    <w:snapToGrid/>
                    <w:spacing w:before="0" w:after="0" w:line="240" w:lineRule="auto"/>
                    <w:ind w:right="0"/>
                    <w:jc w:val="center"/>
                    <w:rPr>
                      <w:color w:val="auto"/>
                      <w:sz w:val="21"/>
                      <w:szCs w:val="21"/>
                      <w:u w:val="none" w:color="auto"/>
                    </w:rPr>
                  </w:pPr>
                  <w:r>
                    <w:rPr>
                      <w:color w:val="auto"/>
                      <w:sz w:val="21"/>
                      <w:szCs w:val="21"/>
                      <w:u w:val="none" w:color="auto"/>
                    </w:rPr>
                    <w:t>排气筒底部海拔高度/m</w:t>
                  </w:r>
                </w:p>
              </w:tc>
              <w:tc>
                <w:tcPr>
                  <w:tcW w:w="440" w:type="pct"/>
                  <w:vMerge w:val="restart"/>
                  <w:noWrap w:val="0"/>
                  <w:vAlign w:val="center"/>
                </w:tcPr>
                <w:p w14:paraId="58477632">
                  <w:pPr>
                    <w:pStyle w:val="12"/>
                    <w:widowControl w:val="0"/>
                    <w:snapToGrid/>
                    <w:spacing w:before="0" w:after="0" w:line="240" w:lineRule="auto"/>
                    <w:ind w:right="0"/>
                    <w:jc w:val="center"/>
                    <w:rPr>
                      <w:color w:val="auto"/>
                      <w:sz w:val="21"/>
                      <w:szCs w:val="21"/>
                      <w:u w:val="none" w:color="auto"/>
                    </w:rPr>
                  </w:pPr>
                  <w:r>
                    <w:rPr>
                      <w:color w:val="auto"/>
                      <w:sz w:val="21"/>
                      <w:szCs w:val="21"/>
                      <w:u w:val="none" w:color="auto"/>
                    </w:rPr>
                    <w:t>排气筒高度/m</w:t>
                  </w:r>
                </w:p>
              </w:tc>
              <w:tc>
                <w:tcPr>
                  <w:tcW w:w="434" w:type="pct"/>
                  <w:vMerge w:val="restart"/>
                  <w:noWrap w:val="0"/>
                  <w:vAlign w:val="center"/>
                </w:tcPr>
                <w:p w14:paraId="57304F02">
                  <w:pPr>
                    <w:pStyle w:val="12"/>
                    <w:widowControl w:val="0"/>
                    <w:snapToGrid/>
                    <w:spacing w:before="0" w:after="0" w:line="240" w:lineRule="auto"/>
                    <w:ind w:right="0"/>
                    <w:jc w:val="center"/>
                    <w:rPr>
                      <w:color w:val="auto"/>
                      <w:sz w:val="21"/>
                      <w:szCs w:val="21"/>
                      <w:u w:val="none" w:color="auto"/>
                    </w:rPr>
                  </w:pPr>
                  <w:r>
                    <w:rPr>
                      <w:color w:val="auto"/>
                      <w:sz w:val="21"/>
                      <w:szCs w:val="21"/>
                      <w:u w:val="none" w:color="auto"/>
                    </w:rPr>
                    <w:t>排气筒出口内径/m</w:t>
                  </w:r>
                </w:p>
              </w:tc>
              <w:tc>
                <w:tcPr>
                  <w:tcW w:w="434" w:type="pct"/>
                  <w:vMerge w:val="restart"/>
                  <w:noWrap w:val="0"/>
                  <w:vAlign w:val="center"/>
                </w:tcPr>
                <w:p w14:paraId="771653A8">
                  <w:pPr>
                    <w:pStyle w:val="12"/>
                    <w:widowControl w:val="0"/>
                    <w:snapToGrid/>
                    <w:spacing w:before="0" w:after="0" w:line="240" w:lineRule="auto"/>
                    <w:ind w:right="0"/>
                    <w:jc w:val="center"/>
                    <w:rPr>
                      <w:color w:val="auto"/>
                      <w:sz w:val="21"/>
                      <w:szCs w:val="21"/>
                      <w:u w:val="none" w:color="auto"/>
                    </w:rPr>
                  </w:pPr>
                  <w:r>
                    <w:rPr>
                      <w:color w:val="auto"/>
                      <w:sz w:val="21"/>
                      <w:szCs w:val="21"/>
                      <w:u w:val="none" w:color="auto"/>
                    </w:rPr>
                    <w:t>烟气温度/°C</w:t>
                  </w:r>
                </w:p>
              </w:tc>
              <w:tc>
                <w:tcPr>
                  <w:tcW w:w="434" w:type="pct"/>
                  <w:vMerge w:val="restart"/>
                  <w:noWrap w:val="0"/>
                  <w:vAlign w:val="center"/>
                </w:tcPr>
                <w:p w14:paraId="49537D36">
                  <w:pPr>
                    <w:pStyle w:val="12"/>
                    <w:widowControl w:val="0"/>
                    <w:snapToGrid/>
                    <w:spacing w:before="0" w:after="0" w:line="240" w:lineRule="auto"/>
                    <w:ind w:right="0"/>
                    <w:jc w:val="center"/>
                    <w:rPr>
                      <w:color w:val="auto"/>
                      <w:sz w:val="21"/>
                      <w:szCs w:val="21"/>
                      <w:u w:val="none" w:color="auto"/>
                    </w:rPr>
                  </w:pPr>
                  <w:r>
                    <w:rPr>
                      <w:color w:val="auto"/>
                      <w:sz w:val="21"/>
                      <w:szCs w:val="21"/>
                      <w:u w:val="none" w:color="auto"/>
                    </w:rPr>
                    <w:t>年排放小时数/h</w:t>
                  </w:r>
                </w:p>
              </w:tc>
              <w:tc>
                <w:tcPr>
                  <w:tcW w:w="682" w:type="pct"/>
                  <w:vMerge w:val="restart"/>
                  <w:noWrap w:val="0"/>
                  <w:vAlign w:val="center"/>
                </w:tcPr>
                <w:p w14:paraId="253A2BA9">
                  <w:pPr>
                    <w:pStyle w:val="12"/>
                    <w:widowControl w:val="0"/>
                    <w:snapToGrid/>
                    <w:spacing w:before="0" w:after="0" w:line="240" w:lineRule="auto"/>
                    <w:ind w:right="0"/>
                    <w:jc w:val="center"/>
                    <w:rPr>
                      <w:color w:val="auto"/>
                      <w:sz w:val="21"/>
                      <w:szCs w:val="21"/>
                      <w:u w:val="none" w:color="auto"/>
                    </w:rPr>
                  </w:pPr>
                  <w:r>
                    <w:rPr>
                      <w:color w:val="auto"/>
                      <w:sz w:val="21"/>
                      <w:szCs w:val="21"/>
                      <w:u w:val="none" w:color="auto"/>
                    </w:rPr>
                    <w:t>污染物排放速率/kg/h</w:t>
                  </w:r>
                </w:p>
              </w:tc>
            </w:tr>
            <w:tr w14:paraId="4BF4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69" w:type="pct"/>
                  <w:vMerge w:val="continue"/>
                  <w:noWrap w:val="0"/>
                  <w:vAlign w:val="center"/>
                </w:tcPr>
                <w:p w14:paraId="657C96D6">
                  <w:pPr>
                    <w:pStyle w:val="12"/>
                    <w:widowControl w:val="0"/>
                    <w:snapToGrid/>
                    <w:spacing w:before="0" w:after="0" w:line="240" w:lineRule="auto"/>
                    <w:ind w:right="0"/>
                    <w:jc w:val="center"/>
                    <w:rPr>
                      <w:color w:val="auto"/>
                      <w:sz w:val="21"/>
                      <w:szCs w:val="21"/>
                      <w:u w:val="none" w:color="auto"/>
                    </w:rPr>
                  </w:pPr>
                </w:p>
              </w:tc>
              <w:tc>
                <w:tcPr>
                  <w:tcW w:w="585" w:type="pct"/>
                  <w:vMerge w:val="continue"/>
                  <w:noWrap w:val="0"/>
                  <w:vAlign w:val="center"/>
                </w:tcPr>
                <w:p w14:paraId="7E564F61">
                  <w:pPr>
                    <w:pStyle w:val="12"/>
                    <w:widowControl w:val="0"/>
                    <w:snapToGrid/>
                    <w:spacing w:before="0" w:after="0" w:line="240" w:lineRule="auto"/>
                    <w:ind w:right="0"/>
                    <w:jc w:val="center"/>
                    <w:rPr>
                      <w:color w:val="auto"/>
                      <w:sz w:val="21"/>
                      <w:szCs w:val="21"/>
                      <w:u w:val="none" w:color="auto"/>
                    </w:rPr>
                  </w:pPr>
                </w:p>
              </w:tc>
              <w:tc>
                <w:tcPr>
                  <w:tcW w:w="482" w:type="pct"/>
                  <w:noWrap w:val="0"/>
                  <w:vAlign w:val="center"/>
                </w:tcPr>
                <w:p w14:paraId="295CA94D">
                  <w:pPr>
                    <w:pStyle w:val="12"/>
                    <w:widowControl w:val="0"/>
                    <w:snapToGrid/>
                    <w:spacing w:before="0" w:after="0" w:line="240" w:lineRule="auto"/>
                    <w:ind w:right="0"/>
                    <w:jc w:val="center"/>
                    <w:rPr>
                      <w:rFonts w:hint="eastAsia" w:eastAsia="宋体"/>
                      <w:color w:val="auto"/>
                      <w:sz w:val="21"/>
                      <w:szCs w:val="21"/>
                      <w:u w:val="none" w:color="auto"/>
                      <w:lang w:val="en-US" w:eastAsia="zh-CN"/>
                    </w:rPr>
                  </w:pPr>
                  <w:r>
                    <w:rPr>
                      <w:color w:val="auto"/>
                      <w:sz w:val="21"/>
                      <w:szCs w:val="21"/>
                      <w:u w:val="none" w:color="auto"/>
                    </w:rPr>
                    <w:t>N</w:t>
                  </w:r>
                  <w:r>
                    <w:rPr>
                      <w:rFonts w:hint="eastAsia"/>
                      <w:color w:val="auto"/>
                      <w:sz w:val="21"/>
                      <w:szCs w:val="21"/>
                      <w:u w:val="none" w:color="auto"/>
                      <w:lang w:val="en-US" w:eastAsia="zh-CN"/>
                    </w:rPr>
                    <w:t>°</w:t>
                  </w:r>
                </w:p>
              </w:tc>
              <w:tc>
                <w:tcPr>
                  <w:tcW w:w="503" w:type="pct"/>
                  <w:noWrap w:val="0"/>
                  <w:vAlign w:val="center"/>
                </w:tcPr>
                <w:p w14:paraId="3781C214">
                  <w:pPr>
                    <w:pStyle w:val="12"/>
                    <w:widowControl w:val="0"/>
                    <w:snapToGrid/>
                    <w:spacing w:before="0" w:after="0" w:line="240" w:lineRule="auto"/>
                    <w:ind w:right="0"/>
                    <w:jc w:val="center"/>
                    <w:rPr>
                      <w:rFonts w:hint="eastAsia" w:eastAsia="宋体"/>
                      <w:color w:val="auto"/>
                      <w:sz w:val="21"/>
                      <w:szCs w:val="21"/>
                      <w:u w:val="none" w:color="auto"/>
                      <w:lang w:val="en-US" w:eastAsia="zh-CN"/>
                    </w:rPr>
                  </w:pPr>
                  <w:r>
                    <w:rPr>
                      <w:color w:val="auto"/>
                      <w:sz w:val="21"/>
                      <w:szCs w:val="21"/>
                      <w:u w:val="none" w:color="auto"/>
                    </w:rPr>
                    <w:t>E</w:t>
                  </w:r>
                  <w:r>
                    <w:rPr>
                      <w:rFonts w:hint="eastAsia"/>
                      <w:color w:val="auto"/>
                      <w:sz w:val="21"/>
                      <w:szCs w:val="21"/>
                      <w:u w:val="none" w:color="auto"/>
                      <w:lang w:val="en-US" w:eastAsia="zh-CN"/>
                    </w:rPr>
                    <w:t>°</w:t>
                  </w:r>
                </w:p>
              </w:tc>
              <w:tc>
                <w:tcPr>
                  <w:tcW w:w="434" w:type="pct"/>
                  <w:vMerge w:val="continue"/>
                  <w:noWrap w:val="0"/>
                  <w:vAlign w:val="center"/>
                </w:tcPr>
                <w:p w14:paraId="28220EDA">
                  <w:pPr>
                    <w:pStyle w:val="12"/>
                    <w:widowControl w:val="0"/>
                    <w:snapToGrid/>
                    <w:spacing w:before="0" w:after="0" w:line="240" w:lineRule="auto"/>
                    <w:ind w:right="0"/>
                    <w:jc w:val="center"/>
                    <w:rPr>
                      <w:color w:val="auto"/>
                      <w:sz w:val="21"/>
                      <w:szCs w:val="21"/>
                      <w:u w:val="none" w:color="auto"/>
                    </w:rPr>
                  </w:pPr>
                </w:p>
              </w:tc>
              <w:tc>
                <w:tcPr>
                  <w:tcW w:w="440" w:type="pct"/>
                  <w:vMerge w:val="continue"/>
                  <w:noWrap w:val="0"/>
                  <w:vAlign w:val="center"/>
                </w:tcPr>
                <w:p w14:paraId="354FFD09">
                  <w:pPr>
                    <w:pStyle w:val="12"/>
                    <w:widowControl w:val="0"/>
                    <w:snapToGrid/>
                    <w:spacing w:before="0" w:after="0" w:line="240" w:lineRule="auto"/>
                    <w:ind w:right="0"/>
                    <w:jc w:val="center"/>
                    <w:rPr>
                      <w:color w:val="auto"/>
                      <w:sz w:val="21"/>
                      <w:szCs w:val="21"/>
                      <w:u w:val="none" w:color="auto"/>
                    </w:rPr>
                  </w:pPr>
                </w:p>
              </w:tc>
              <w:tc>
                <w:tcPr>
                  <w:tcW w:w="434" w:type="pct"/>
                  <w:vMerge w:val="continue"/>
                  <w:noWrap w:val="0"/>
                  <w:vAlign w:val="center"/>
                </w:tcPr>
                <w:p w14:paraId="4F07825A">
                  <w:pPr>
                    <w:pStyle w:val="12"/>
                    <w:widowControl w:val="0"/>
                    <w:snapToGrid/>
                    <w:spacing w:before="0" w:after="0" w:line="240" w:lineRule="auto"/>
                    <w:ind w:right="0"/>
                    <w:jc w:val="center"/>
                    <w:rPr>
                      <w:color w:val="auto"/>
                      <w:sz w:val="21"/>
                      <w:szCs w:val="21"/>
                      <w:u w:val="none" w:color="auto"/>
                    </w:rPr>
                  </w:pPr>
                </w:p>
              </w:tc>
              <w:tc>
                <w:tcPr>
                  <w:tcW w:w="434" w:type="pct"/>
                  <w:vMerge w:val="continue"/>
                  <w:noWrap w:val="0"/>
                  <w:vAlign w:val="center"/>
                </w:tcPr>
                <w:p w14:paraId="799A205A">
                  <w:pPr>
                    <w:pStyle w:val="12"/>
                    <w:widowControl w:val="0"/>
                    <w:snapToGrid/>
                    <w:spacing w:before="0" w:after="0" w:line="240" w:lineRule="auto"/>
                    <w:ind w:right="0"/>
                    <w:jc w:val="center"/>
                    <w:rPr>
                      <w:color w:val="auto"/>
                      <w:sz w:val="21"/>
                      <w:szCs w:val="21"/>
                      <w:u w:val="none" w:color="auto"/>
                    </w:rPr>
                  </w:pPr>
                </w:p>
              </w:tc>
              <w:tc>
                <w:tcPr>
                  <w:tcW w:w="434" w:type="pct"/>
                  <w:vMerge w:val="continue"/>
                  <w:noWrap w:val="0"/>
                  <w:vAlign w:val="center"/>
                </w:tcPr>
                <w:p w14:paraId="240B1C8E">
                  <w:pPr>
                    <w:pStyle w:val="12"/>
                    <w:widowControl w:val="0"/>
                    <w:snapToGrid/>
                    <w:spacing w:before="0" w:after="0" w:line="240" w:lineRule="auto"/>
                    <w:ind w:right="0"/>
                    <w:jc w:val="center"/>
                    <w:rPr>
                      <w:color w:val="auto"/>
                      <w:sz w:val="21"/>
                      <w:szCs w:val="21"/>
                      <w:u w:val="none" w:color="auto"/>
                    </w:rPr>
                  </w:pPr>
                </w:p>
              </w:tc>
              <w:tc>
                <w:tcPr>
                  <w:tcW w:w="682" w:type="pct"/>
                  <w:vMerge w:val="continue"/>
                  <w:noWrap w:val="0"/>
                  <w:vAlign w:val="center"/>
                </w:tcPr>
                <w:p w14:paraId="405394B3">
                  <w:pPr>
                    <w:pStyle w:val="12"/>
                    <w:widowControl w:val="0"/>
                    <w:snapToGrid/>
                    <w:spacing w:before="0" w:after="0" w:line="240" w:lineRule="auto"/>
                    <w:ind w:right="0"/>
                    <w:jc w:val="center"/>
                    <w:rPr>
                      <w:color w:val="auto"/>
                      <w:sz w:val="21"/>
                      <w:szCs w:val="21"/>
                      <w:u w:val="none" w:color="auto"/>
                    </w:rPr>
                  </w:pPr>
                </w:p>
              </w:tc>
            </w:tr>
            <w:tr w14:paraId="40B0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9" w:type="pct"/>
                  <w:noWrap w:val="0"/>
                  <w:vAlign w:val="center"/>
                </w:tcPr>
                <w:p w14:paraId="2C3FB24A">
                  <w:pPr>
                    <w:pStyle w:val="12"/>
                    <w:widowControl w:val="0"/>
                    <w:snapToGrid/>
                    <w:spacing w:before="0" w:after="0" w:line="240" w:lineRule="auto"/>
                    <w:ind w:right="0"/>
                    <w:jc w:val="center"/>
                    <w:rPr>
                      <w:color w:val="auto"/>
                      <w:kern w:val="2"/>
                      <w:sz w:val="21"/>
                      <w:szCs w:val="21"/>
                      <w:u w:val="none" w:color="auto"/>
                    </w:rPr>
                  </w:pPr>
                  <w:r>
                    <w:rPr>
                      <w:rFonts w:hint="eastAsia"/>
                      <w:color w:val="auto"/>
                      <w:kern w:val="2"/>
                      <w:sz w:val="21"/>
                      <w:szCs w:val="21"/>
                      <w:u w:val="none" w:color="auto"/>
                    </w:rPr>
                    <w:t>DA001</w:t>
                  </w:r>
                </w:p>
              </w:tc>
              <w:tc>
                <w:tcPr>
                  <w:tcW w:w="585" w:type="pct"/>
                  <w:noWrap w:val="0"/>
                  <w:vAlign w:val="center"/>
                </w:tcPr>
                <w:p w14:paraId="4DF8ADF7">
                  <w:pPr>
                    <w:pStyle w:val="12"/>
                    <w:widowControl w:val="0"/>
                    <w:snapToGrid/>
                    <w:spacing w:before="0" w:after="0" w:line="240" w:lineRule="auto"/>
                    <w:ind w:right="0"/>
                    <w:jc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NMHC</w:t>
                  </w:r>
                </w:p>
              </w:tc>
              <w:tc>
                <w:tcPr>
                  <w:tcW w:w="482" w:type="pct"/>
                  <w:noWrap w:val="0"/>
                  <w:vAlign w:val="center"/>
                </w:tcPr>
                <w:p w14:paraId="1A21AE21">
                  <w:pPr>
                    <w:jc w:val="center"/>
                    <w:rPr>
                      <w:rFonts w:hint="eastAsia" w:eastAsia="宋体"/>
                      <w:color w:val="auto"/>
                      <w:sz w:val="21"/>
                      <w:szCs w:val="21"/>
                      <w:u w:val="none" w:color="auto"/>
                      <w:lang w:val="en-US" w:eastAsia="zh-CN"/>
                    </w:rPr>
                  </w:pPr>
                  <w:r>
                    <w:rPr>
                      <w:rFonts w:hint="eastAsia" w:eastAsia="宋体"/>
                      <w:color w:val="auto"/>
                      <w:sz w:val="21"/>
                      <w:szCs w:val="21"/>
                      <w:u w:val="none" w:color="auto"/>
                      <w:lang w:val="en-US" w:eastAsia="zh-CN"/>
                    </w:rPr>
                    <w:t>29.489965012</w:t>
                  </w:r>
                </w:p>
              </w:tc>
              <w:tc>
                <w:tcPr>
                  <w:tcW w:w="503" w:type="pct"/>
                  <w:noWrap w:val="0"/>
                  <w:vAlign w:val="center"/>
                </w:tcPr>
                <w:p w14:paraId="4A0CBE3D">
                  <w:pPr>
                    <w:jc w:val="center"/>
                    <w:rPr>
                      <w:color w:val="auto"/>
                      <w:sz w:val="21"/>
                      <w:szCs w:val="21"/>
                      <w:u w:val="none" w:color="auto"/>
                    </w:rPr>
                  </w:pPr>
                  <w:r>
                    <w:rPr>
                      <w:rFonts w:hint="eastAsia" w:eastAsia="宋体"/>
                      <w:color w:val="auto"/>
                      <w:sz w:val="21"/>
                      <w:szCs w:val="21"/>
                      <w:u w:val="none" w:color="auto"/>
                      <w:lang w:val="en-US" w:eastAsia="zh-CN"/>
                    </w:rPr>
                    <w:t>113.211108494</w:t>
                  </w:r>
                </w:p>
              </w:tc>
              <w:tc>
                <w:tcPr>
                  <w:tcW w:w="434" w:type="pct"/>
                  <w:noWrap w:val="0"/>
                  <w:vAlign w:val="center"/>
                </w:tcPr>
                <w:p w14:paraId="282657FB">
                  <w:pPr>
                    <w:pStyle w:val="12"/>
                    <w:widowControl w:val="0"/>
                    <w:snapToGrid/>
                    <w:spacing w:before="0" w:after="0" w:line="240" w:lineRule="auto"/>
                    <w:ind w:right="0"/>
                    <w:jc w:val="center"/>
                    <w:rPr>
                      <w:rFonts w:hint="default" w:eastAsia="宋体"/>
                      <w:color w:val="auto"/>
                      <w:kern w:val="2"/>
                      <w:sz w:val="21"/>
                      <w:szCs w:val="21"/>
                      <w:u w:val="none" w:color="auto"/>
                      <w:lang w:val="en-US" w:eastAsia="zh-CN"/>
                    </w:rPr>
                  </w:pPr>
                  <w:r>
                    <w:rPr>
                      <w:rFonts w:hint="eastAsia"/>
                      <w:color w:val="auto"/>
                      <w:kern w:val="2"/>
                      <w:sz w:val="21"/>
                      <w:szCs w:val="21"/>
                      <w:u w:val="none" w:color="auto"/>
                      <w:lang w:val="en-US" w:eastAsia="zh-CN"/>
                    </w:rPr>
                    <w:t>58</w:t>
                  </w:r>
                </w:p>
              </w:tc>
              <w:tc>
                <w:tcPr>
                  <w:tcW w:w="440" w:type="pct"/>
                  <w:noWrap w:val="0"/>
                  <w:vAlign w:val="center"/>
                </w:tcPr>
                <w:p w14:paraId="49421298">
                  <w:pPr>
                    <w:pStyle w:val="12"/>
                    <w:widowControl w:val="0"/>
                    <w:snapToGrid/>
                    <w:spacing w:before="0" w:after="0" w:line="240" w:lineRule="auto"/>
                    <w:ind w:right="0"/>
                    <w:jc w:val="center"/>
                    <w:rPr>
                      <w:rFonts w:hint="default" w:eastAsia="宋体"/>
                      <w:color w:val="auto"/>
                      <w:kern w:val="2"/>
                      <w:sz w:val="21"/>
                      <w:szCs w:val="21"/>
                      <w:u w:val="none" w:color="auto"/>
                      <w:lang w:val="en-US" w:eastAsia="zh-CN"/>
                    </w:rPr>
                  </w:pPr>
                  <w:r>
                    <w:rPr>
                      <w:rFonts w:hint="eastAsia"/>
                      <w:color w:val="auto"/>
                      <w:kern w:val="2"/>
                      <w:sz w:val="21"/>
                      <w:szCs w:val="21"/>
                      <w:u w:val="none" w:color="auto"/>
                      <w:lang w:val="en-US" w:eastAsia="zh-CN"/>
                    </w:rPr>
                    <w:t>30</w:t>
                  </w:r>
                </w:p>
              </w:tc>
              <w:tc>
                <w:tcPr>
                  <w:tcW w:w="434" w:type="pct"/>
                  <w:noWrap w:val="0"/>
                  <w:vAlign w:val="center"/>
                </w:tcPr>
                <w:p w14:paraId="01E4571B">
                  <w:pPr>
                    <w:jc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0.5</w:t>
                  </w:r>
                </w:p>
              </w:tc>
              <w:tc>
                <w:tcPr>
                  <w:tcW w:w="434" w:type="pct"/>
                  <w:noWrap w:val="0"/>
                  <w:vAlign w:val="center"/>
                </w:tcPr>
                <w:p w14:paraId="18BC2389">
                  <w:pPr>
                    <w:jc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25</w:t>
                  </w:r>
                </w:p>
              </w:tc>
              <w:tc>
                <w:tcPr>
                  <w:tcW w:w="434" w:type="pct"/>
                  <w:noWrap w:val="0"/>
                  <w:vAlign w:val="center"/>
                </w:tcPr>
                <w:p w14:paraId="11D9FB7E">
                  <w:pPr>
                    <w:jc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4800</w:t>
                  </w:r>
                </w:p>
              </w:tc>
              <w:tc>
                <w:tcPr>
                  <w:tcW w:w="682" w:type="pct"/>
                  <w:noWrap w:val="0"/>
                  <w:vAlign w:val="center"/>
                </w:tcPr>
                <w:p w14:paraId="50EF630C">
                  <w:pPr>
                    <w:tabs>
                      <w:tab w:val="left" w:pos="3060"/>
                    </w:tabs>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0.292</w:t>
                  </w:r>
                </w:p>
              </w:tc>
            </w:tr>
          </w:tbl>
          <w:p w14:paraId="775B83BA">
            <w:pPr>
              <w:numPr>
                <w:ilvl w:val="0"/>
                <w:numId w:val="4"/>
              </w:numPr>
              <w:spacing w:line="360" w:lineRule="auto"/>
              <w:ind w:firstLine="480" w:firstLineChars="200"/>
              <w:rPr>
                <w:kern w:val="0"/>
                <w:u w:val="none"/>
              </w:rPr>
            </w:pPr>
            <w:r>
              <w:rPr>
                <w:rFonts w:hint="eastAsia"/>
                <w:kern w:val="0"/>
                <w:u w:val="none"/>
              </w:rPr>
              <w:t>污染物排放量核算表</w:t>
            </w:r>
          </w:p>
          <w:p w14:paraId="18A5CDFE">
            <w:pPr>
              <w:spacing w:line="360" w:lineRule="auto"/>
              <w:ind w:firstLine="480" w:firstLineChars="200"/>
              <w:rPr>
                <w:u w:val="none"/>
              </w:rPr>
            </w:pPr>
            <w:r>
              <w:rPr>
                <w:rFonts w:hint="eastAsia"/>
                <w:u w:val="none"/>
                <w:lang w:val="en-US" w:eastAsia="zh-CN"/>
              </w:rPr>
              <w:t>本项目污染物排放量</w:t>
            </w:r>
            <w:r>
              <w:rPr>
                <w:u w:val="none"/>
              </w:rPr>
              <w:t>核算情况如下。</w:t>
            </w:r>
          </w:p>
          <w:p w14:paraId="0775B7C7">
            <w:pPr>
              <w:spacing w:line="360" w:lineRule="auto"/>
              <w:ind w:firstLine="480" w:firstLineChars="200"/>
              <w:jc w:val="left"/>
              <w:rPr>
                <w:sz w:val="24"/>
                <w:szCs w:val="24"/>
                <w:u w:val="none" w:color="auto"/>
              </w:rPr>
            </w:pPr>
            <w:r>
              <w:rPr>
                <w:rFonts w:hint="eastAsia"/>
                <w:sz w:val="24"/>
                <w:szCs w:val="24"/>
                <w:u w:val="none" w:color="auto"/>
              </w:rPr>
              <w:t>①</w:t>
            </w:r>
            <w:r>
              <w:rPr>
                <w:sz w:val="24"/>
                <w:szCs w:val="24"/>
                <w:u w:val="none" w:color="auto"/>
              </w:rPr>
              <w:t xml:space="preserve"> </w:t>
            </w:r>
            <w:r>
              <w:rPr>
                <w:rFonts w:hint="eastAsia"/>
                <w:sz w:val="24"/>
                <w:szCs w:val="24"/>
                <w:u w:val="none" w:color="auto"/>
              </w:rPr>
              <w:t>有</w:t>
            </w:r>
            <w:r>
              <w:rPr>
                <w:sz w:val="24"/>
                <w:szCs w:val="24"/>
                <w:u w:val="none" w:color="auto"/>
              </w:rPr>
              <w:t>组织排放量核算</w:t>
            </w:r>
          </w:p>
          <w:p w14:paraId="5D30571C">
            <w:pPr>
              <w:jc w:val="center"/>
              <w:rPr>
                <w:b/>
                <w:sz w:val="24"/>
                <w:szCs w:val="24"/>
                <w:u w:val="none" w:color="auto"/>
              </w:rPr>
            </w:pPr>
            <w:r>
              <w:rPr>
                <w:b/>
                <w:sz w:val="24"/>
                <w:szCs w:val="24"/>
                <w:u w:val="none" w:color="auto"/>
              </w:rPr>
              <w:t>表</w:t>
            </w:r>
            <w:r>
              <w:rPr>
                <w:rFonts w:hint="eastAsia"/>
                <w:b/>
                <w:sz w:val="24"/>
                <w:szCs w:val="24"/>
                <w:u w:val="none" w:color="auto"/>
              </w:rPr>
              <w:t>4-</w:t>
            </w:r>
            <w:r>
              <w:rPr>
                <w:rFonts w:hint="eastAsia"/>
                <w:b/>
                <w:sz w:val="24"/>
                <w:szCs w:val="24"/>
                <w:u w:val="none" w:color="auto"/>
                <w:lang w:val="en-US" w:eastAsia="zh-CN"/>
              </w:rPr>
              <w:t>3</w:t>
            </w:r>
            <w:r>
              <w:rPr>
                <w:b/>
                <w:sz w:val="24"/>
                <w:szCs w:val="24"/>
                <w:u w:val="none" w:color="auto"/>
              </w:rPr>
              <w:t xml:space="preserve">  大气污染物排放量核算表</w:t>
            </w:r>
          </w:p>
          <w:tbl>
            <w:tblPr>
              <w:tblStyle w:val="3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
              <w:gridCol w:w="871"/>
              <w:gridCol w:w="819"/>
              <w:gridCol w:w="930"/>
              <w:gridCol w:w="1184"/>
              <w:gridCol w:w="2071"/>
              <w:gridCol w:w="1104"/>
              <w:gridCol w:w="847"/>
            </w:tblGrid>
            <w:tr w14:paraId="0B01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2" w:type="pct"/>
                  <w:vMerge w:val="restart"/>
                  <w:noWrap w:val="0"/>
                  <w:vAlign w:val="center"/>
                </w:tcPr>
                <w:p w14:paraId="654DB0E1">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rPr>
                  </w:pPr>
                  <w:r>
                    <w:rPr>
                      <w:rFonts w:hint="default" w:ascii="Times New Roman" w:hAnsi="Times New Roman" w:eastAsia="宋体" w:cs="Times New Roman"/>
                      <w:kern w:val="0"/>
                      <w:sz w:val="21"/>
                      <w:szCs w:val="21"/>
                      <w:u w:val="none" w:color="auto"/>
                    </w:rPr>
                    <w:t>序号</w:t>
                  </w:r>
                </w:p>
              </w:tc>
              <w:tc>
                <w:tcPr>
                  <w:tcW w:w="534" w:type="pct"/>
                  <w:vMerge w:val="restart"/>
                  <w:noWrap w:val="0"/>
                  <w:vAlign w:val="center"/>
                </w:tcPr>
                <w:p w14:paraId="0F2E4F95">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rPr>
                  </w:pPr>
                  <w:r>
                    <w:rPr>
                      <w:rFonts w:hint="default" w:ascii="Times New Roman" w:hAnsi="Times New Roman" w:eastAsia="宋体" w:cs="Times New Roman"/>
                      <w:kern w:val="0"/>
                      <w:sz w:val="21"/>
                      <w:szCs w:val="21"/>
                      <w:u w:val="none" w:color="auto"/>
                    </w:rPr>
                    <w:t>排放口编号</w:t>
                  </w:r>
                </w:p>
              </w:tc>
              <w:tc>
                <w:tcPr>
                  <w:tcW w:w="502" w:type="pct"/>
                  <w:vMerge w:val="restart"/>
                  <w:noWrap w:val="0"/>
                  <w:vAlign w:val="center"/>
                </w:tcPr>
                <w:p w14:paraId="0A13333D">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rPr>
                  </w:pPr>
                  <w:r>
                    <w:rPr>
                      <w:rFonts w:hint="default" w:ascii="Times New Roman" w:hAnsi="Times New Roman" w:eastAsia="宋体" w:cs="Times New Roman"/>
                      <w:kern w:val="0"/>
                      <w:sz w:val="21"/>
                      <w:szCs w:val="21"/>
                      <w:u w:val="none" w:color="auto"/>
                    </w:rPr>
                    <w:t>产污环节</w:t>
                  </w:r>
                </w:p>
              </w:tc>
              <w:tc>
                <w:tcPr>
                  <w:tcW w:w="570" w:type="pct"/>
                  <w:vMerge w:val="restart"/>
                  <w:noWrap w:val="0"/>
                  <w:vAlign w:val="center"/>
                </w:tcPr>
                <w:p w14:paraId="5931F6A2">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rPr>
                  </w:pPr>
                  <w:r>
                    <w:rPr>
                      <w:rFonts w:hint="default" w:ascii="Times New Roman" w:hAnsi="Times New Roman" w:eastAsia="宋体" w:cs="Times New Roman"/>
                      <w:kern w:val="0"/>
                      <w:sz w:val="21"/>
                      <w:szCs w:val="21"/>
                      <w:u w:val="none" w:color="auto"/>
                    </w:rPr>
                    <w:t>污染物</w:t>
                  </w:r>
                </w:p>
              </w:tc>
              <w:tc>
                <w:tcPr>
                  <w:tcW w:w="724" w:type="pct"/>
                  <w:vMerge w:val="restart"/>
                  <w:noWrap w:val="0"/>
                  <w:vAlign w:val="center"/>
                </w:tcPr>
                <w:p w14:paraId="1FF10697">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rPr>
                  </w:pPr>
                  <w:r>
                    <w:rPr>
                      <w:rFonts w:hint="default" w:ascii="Times New Roman" w:hAnsi="Times New Roman" w:eastAsia="宋体" w:cs="Times New Roman"/>
                      <w:kern w:val="0"/>
                      <w:sz w:val="21"/>
                      <w:szCs w:val="21"/>
                      <w:u w:val="none" w:color="auto"/>
                    </w:rPr>
                    <w:t>主要污染防治措施</w:t>
                  </w:r>
                </w:p>
              </w:tc>
              <w:tc>
                <w:tcPr>
                  <w:tcW w:w="1947" w:type="pct"/>
                  <w:gridSpan w:val="2"/>
                  <w:noWrap w:val="0"/>
                  <w:vAlign w:val="center"/>
                </w:tcPr>
                <w:p w14:paraId="023E18D9">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rPr>
                  </w:pPr>
                  <w:r>
                    <w:rPr>
                      <w:rFonts w:hint="default" w:ascii="Times New Roman" w:hAnsi="Times New Roman" w:eastAsia="宋体" w:cs="Times New Roman"/>
                      <w:kern w:val="0"/>
                      <w:sz w:val="21"/>
                      <w:szCs w:val="21"/>
                      <w:u w:val="none" w:color="auto"/>
                    </w:rPr>
                    <w:t>国家或地方污染物排放标准</w:t>
                  </w:r>
                </w:p>
              </w:tc>
              <w:tc>
                <w:tcPr>
                  <w:tcW w:w="518" w:type="pct"/>
                  <w:vMerge w:val="restart"/>
                  <w:noWrap w:val="0"/>
                  <w:vAlign w:val="center"/>
                </w:tcPr>
                <w:p w14:paraId="083606D3">
                  <w:pPr>
                    <w:keepNext w:val="0"/>
                    <w:keepLines w:val="0"/>
                    <w:pageBreakBefore w:val="0"/>
                    <w:kinsoku/>
                    <w:wordWrap/>
                    <w:overflowPunct/>
                    <w:topLinePunct w:val="0"/>
                    <w:bidi w:val="0"/>
                    <w:ind w:firstLine="0"/>
                    <w:jc w:val="center"/>
                    <w:textAlignment w:val="auto"/>
                    <w:rPr>
                      <w:rFonts w:hint="eastAsia" w:ascii="Times New Roman" w:hAnsi="Times New Roman" w:eastAsia="宋体" w:cs="Times New Roman"/>
                      <w:kern w:val="0"/>
                      <w:sz w:val="21"/>
                      <w:szCs w:val="21"/>
                      <w:u w:val="none" w:color="auto"/>
                      <w:lang w:eastAsia="zh-CN"/>
                    </w:rPr>
                  </w:pPr>
                  <w:r>
                    <w:rPr>
                      <w:rFonts w:hint="default" w:ascii="Times New Roman" w:hAnsi="Times New Roman" w:eastAsia="宋体" w:cs="Times New Roman"/>
                      <w:kern w:val="0"/>
                      <w:sz w:val="21"/>
                      <w:szCs w:val="21"/>
                      <w:u w:val="none" w:color="auto"/>
                    </w:rPr>
                    <w:t>年排放量</w:t>
                  </w:r>
                  <w:r>
                    <w:rPr>
                      <w:rFonts w:hint="eastAsia" w:ascii="Times New Roman" w:hAnsi="Times New Roman" w:eastAsia="宋体" w:cs="Times New Roman"/>
                      <w:kern w:val="0"/>
                      <w:sz w:val="21"/>
                      <w:szCs w:val="21"/>
                      <w:u w:val="none" w:color="auto"/>
                      <w:lang w:eastAsia="zh-CN"/>
                    </w:rPr>
                    <w:t>（</w:t>
                  </w:r>
                  <w:r>
                    <w:rPr>
                      <w:rFonts w:hint="eastAsia" w:ascii="Times New Roman" w:hAnsi="Times New Roman" w:eastAsia="宋体" w:cs="Times New Roman"/>
                      <w:kern w:val="0"/>
                      <w:sz w:val="21"/>
                      <w:szCs w:val="21"/>
                      <w:u w:val="none" w:color="auto"/>
                      <w:lang w:val="en-US" w:eastAsia="zh-CN"/>
                    </w:rPr>
                    <w:t>t/a</w:t>
                  </w:r>
                  <w:r>
                    <w:rPr>
                      <w:rFonts w:hint="eastAsia" w:ascii="Times New Roman" w:hAnsi="Times New Roman" w:eastAsia="宋体" w:cs="Times New Roman"/>
                      <w:kern w:val="0"/>
                      <w:sz w:val="21"/>
                      <w:szCs w:val="21"/>
                      <w:u w:val="none" w:color="auto"/>
                      <w:lang w:eastAsia="zh-CN"/>
                    </w:rPr>
                    <w:t>）</w:t>
                  </w:r>
                </w:p>
              </w:tc>
            </w:tr>
            <w:tr w14:paraId="04E7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2" w:type="pct"/>
                  <w:vMerge w:val="continue"/>
                  <w:noWrap w:val="0"/>
                  <w:vAlign w:val="center"/>
                </w:tcPr>
                <w:p w14:paraId="17A42192">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rPr>
                  </w:pPr>
                </w:p>
              </w:tc>
              <w:tc>
                <w:tcPr>
                  <w:tcW w:w="534" w:type="pct"/>
                  <w:vMerge w:val="continue"/>
                  <w:noWrap w:val="0"/>
                  <w:vAlign w:val="center"/>
                </w:tcPr>
                <w:p w14:paraId="3F63584A">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rPr>
                  </w:pPr>
                </w:p>
              </w:tc>
              <w:tc>
                <w:tcPr>
                  <w:tcW w:w="502" w:type="pct"/>
                  <w:vMerge w:val="continue"/>
                  <w:noWrap w:val="0"/>
                  <w:vAlign w:val="center"/>
                </w:tcPr>
                <w:p w14:paraId="08B1056C">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rPr>
                  </w:pPr>
                </w:p>
              </w:tc>
              <w:tc>
                <w:tcPr>
                  <w:tcW w:w="570" w:type="pct"/>
                  <w:vMerge w:val="continue"/>
                  <w:noWrap w:val="0"/>
                  <w:vAlign w:val="center"/>
                </w:tcPr>
                <w:p w14:paraId="5FAABD4E">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rPr>
                  </w:pPr>
                </w:p>
              </w:tc>
              <w:tc>
                <w:tcPr>
                  <w:tcW w:w="724" w:type="pct"/>
                  <w:vMerge w:val="continue"/>
                  <w:noWrap w:val="0"/>
                  <w:vAlign w:val="center"/>
                </w:tcPr>
                <w:p w14:paraId="6AA6C472">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rPr>
                  </w:pPr>
                </w:p>
              </w:tc>
              <w:tc>
                <w:tcPr>
                  <w:tcW w:w="1270" w:type="pct"/>
                  <w:noWrap w:val="0"/>
                  <w:vAlign w:val="center"/>
                </w:tcPr>
                <w:p w14:paraId="22EEE5DD">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rPr>
                  </w:pPr>
                  <w:r>
                    <w:rPr>
                      <w:rFonts w:hint="default" w:ascii="Times New Roman" w:hAnsi="Times New Roman" w:eastAsia="宋体" w:cs="Times New Roman"/>
                      <w:kern w:val="0"/>
                      <w:sz w:val="21"/>
                      <w:szCs w:val="21"/>
                      <w:u w:val="none" w:color="auto"/>
                    </w:rPr>
                    <w:t>标准名称</w:t>
                  </w:r>
                </w:p>
              </w:tc>
              <w:tc>
                <w:tcPr>
                  <w:tcW w:w="676" w:type="pct"/>
                  <w:noWrap w:val="0"/>
                  <w:vAlign w:val="center"/>
                </w:tcPr>
                <w:p w14:paraId="57CBB741">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rPr>
                  </w:pPr>
                  <w:r>
                    <w:rPr>
                      <w:rFonts w:hint="default" w:ascii="Times New Roman" w:hAnsi="Times New Roman" w:eastAsia="宋体" w:cs="Times New Roman"/>
                      <w:kern w:val="0"/>
                      <w:sz w:val="21"/>
                      <w:szCs w:val="21"/>
                      <w:u w:val="none" w:color="auto"/>
                    </w:rPr>
                    <w:t>浓度限值</w:t>
                  </w:r>
                  <w:r>
                    <w:rPr>
                      <w:rFonts w:hint="eastAsia" w:ascii="Times New Roman" w:hAnsi="Times New Roman" w:eastAsia="宋体" w:cs="Times New Roman"/>
                      <w:kern w:val="0"/>
                      <w:sz w:val="21"/>
                      <w:szCs w:val="21"/>
                      <w:u w:val="none" w:color="auto"/>
                      <w:lang w:eastAsia="zh-CN"/>
                    </w:rPr>
                    <w:t>（</w:t>
                  </w:r>
                  <w:r>
                    <w:rPr>
                      <w:rFonts w:hint="default" w:ascii="Times New Roman" w:hAnsi="Times New Roman" w:eastAsia="宋体" w:cs="Times New Roman"/>
                      <w:kern w:val="0"/>
                      <w:sz w:val="21"/>
                      <w:szCs w:val="21"/>
                      <w:u w:val="none" w:color="auto"/>
                    </w:rPr>
                    <w:t>mg/m</w:t>
                  </w:r>
                  <w:r>
                    <w:rPr>
                      <w:rFonts w:hint="default" w:ascii="Times New Roman" w:hAnsi="Times New Roman" w:eastAsia="宋体" w:cs="Times New Roman"/>
                      <w:kern w:val="0"/>
                      <w:sz w:val="21"/>
                      <w:szCs w:val="21"/>
                      <w:u w:val="none" w:color="auto"/>
                      <w:vertAlign w:val="superscript"/>
                    </w:rPr>
                    <w:t>3</w:t>
                  </w:r>
                  <w:r>
                    <w:rPr>
                      <w:rFonts w:hint="eastAsia" w:ascii="Times New Roman" w:hAnsi="Times New Roman" w:eastAsia="宋体" w:cs="Times New Roman"/>
                      <w:kern w:val="0"/>
                      <w:sz w:val="21"/>
                      <w:szCs w:val="21"/>
                      <w:u w:val="none" w:color="auto"/>
                      <w:lang w:eastAsia="zh-CN"/>
                    </w:rPr>
                    <w:t>）</w:t>
                  </w:r>
                </w:p>
              </w:tc>
              <w:tc>
                <w:tcPr>
                  <w:tcW w:w="518" w:type="pct"/>
                  <w:vMerge w:val="continue"/>
                  <w:noWrap w:val="0"/>
                  <w:vAlign w:val="center"/>
                </w:tcPr>
                <w:p w14:paraId="4149336C">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rPr>
                  </w:pPr>
                </w:p>
              </w:tc>
            </w:tr>
            <w:tr w14:paraId="0C3F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02" w:type="pct"/>
                  <w:vMerge w:val="restart"/>
                  <w:noWrap w:val="0"/>
                  <w:vAlign w:val="center"/>
                </w:tcPr>
                <w:p w14:paraId="095EFE72">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rPr>
                  </w:pPr>
                  <w:r>
                    <w:rPr>
                      <w:rFonts w:hint="default" w:ascii="Times New Roman" w:hAnsi="Times New Roman" w:eastAsia="宋体" w:cs="Times New Roman"/>
                      <w:kern w:val="0"/>
                      <w:sz w:val="21"/>
                      <w:szCs w:val="21"/>
                      <w:u w:val="none" w:color="auto"/>
                    </w:rPr>
                    <w:t>1</w:t>
                  </w:r>
                </w:p>
              </w:tc>
              <w:tc>
                <w:tcPr>
                  <w:tcW w:w="534" w:type="pct"/>
                  <w:vMerge w:val="restart"/>
                  <w:noWrap w:val="0"/>
                  <w:vAlign w:val="center"/>
                </w:tcPr>
                <w:p w14:paraId="2E6DB29C">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kern w:val="0"/>
                      <w:sz w:val="21"/>
                      <w:szCs w:val="21"/>
                      <w:u w:val="none" w:color="auto"/>
                    </w:rPr>
                    <w:t>DA001</w:t>
                  </w:r>
                </w:p>
              </w:tc>
              <w:tc>
                <w:tcPr>
                  <w:tcW w:w="502" w:type="pct"/>
                  <w:vMerge w:val="restart"/>
                  <w:noWrap w:val="0"/>
                  <w:vAlign w:val="center"/>
                </w:tcPr>
                <w:p w14:paraId="6AEBF3BA">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sz w:val="21"/>
                      <w:szCs w:val="21"/>
                      <w:u w:val="none" w:color="auto"/>
                      <w:lang w:val="en-US" w:eastAsia="zh-CN"/>
                    </w:rPr>
                  </w:pPr>
                  <w:r>
                    <w:rPr>
                      <w:rFonts w:hint="eastAsia" w:cs="Times New Roman"/>
                      <w:sz w:val="21"/>
                      <w:szCs w:val="21"/>
                      <w:u w:val="none" w:color="auto"/>
                      <w:lang w:val="en-US" w:eastAsia="zh-CN"/>
                    </w:rPr>
                    <w:t>冷凝</w:t>
                  </w:r>
                </w:p>
              </w:tc>
              <w:tc>
                <w:tcPr>
                  <w:tcW w:w="570" w:type="pct"/>
                  <w:shd w:val="clear" w:color="auto" w:fill="auto"/>
                  <w:noWrap w:val="0"/>
                  <w:vAlign w:val="center"/>
                </w:tcPr>
                <w:p w14:paraId="74F530A4">
                  <w:pPr>
                    <w:pStyle w:val="12"/>
                    <w:widowControl w:val="0"/>
                    <w:snapToGrid/>
                    <w:spacing w:before="0" w:after="0" w:line="240" w:lineRule="auto"/>
                    <w:ind w:right="0" w:rightChars="0"/>
                    <w:jc w:val="center"/>
                    <w:rPr>
                      <w:rFonts w:hint="eastAsia" w:ascii="Times New Roman" w:hAnsi="Times New Roman" w:eastAsia="宋体" w:cs="Times New Roman"/>
                      <w:color w:val="auto"/>
                      <w:kern w:val="0"/>
                      <w:sz w:val="21"/>
                      <w:szCs w:val="21"/>
                      <w:u w:val="none" w:color="auto"/>
                      <w:lang w:val="en-US" w:eastAsia="zh-CN" w:bidi="ar-SA"/>
                    </w:rPr>
                  </w:pPr>
                  <w:r>
                    <w:rPr>
                      <w:rFonts w:hint="eastAsia"/>
                      <w:color w:val="auto"/>
                      <w:sz w:val="21"/>
                      <w:szCs w:val="21"/>
                      <w:u w:val="none" w:color="auto"/>
                      <w:lang w:val="en-US" w:eastAsia="zh-CN"/>
                    </w:rPr>
                    <w:t>NMHC</w:t>
                  </w:r>
                </w:p>
              </w:tc>
              <w:tc>
                <w:tcPr>
                  <w:tcW w:w="724" w:type="pct"/>
                  <w:vMerge w:val="restart"/>
                  <w:noWrap w:val="0"/>
                  <w:vAlign w:val="center"/>
                </w:tcPr>
                <w:p w14:paraId="6E4F891A">
                  <w:pPr>
                    <w:keepNext w:val="0"/>
                    <w:keepLines w:val="0"/>
                    <w:pageBreakBefore w:val="0"/>
                    <w:kinsoku/>
                    <w:wordWrap/>
                    <w:overflowPunct/>
                    <w:topLinePunct w:val="0"/>
                    <w:autoSpaceDE w:val="0"/>
                    <w:autoSpaceDN w:val="0"/>
                    <w:bidi w:val="0"/>
                    <w:adjustRightInd w:val="0"/>
                    <w:ind w:firstLine="0"/>
                    <w:jc w:val="center"/>
                    <w:textAlignment w:val="auto"/>
                    <w:rPr>
                      <w:rFonts w:hint="default" w:ascii="Times New Roman" w:hAnsi="Times New Roman" w:eastAsia="宋体" w:cs="Times New Roman"/>
                      <w:sz w:val="21"/>
                      <w:szCs w:val="21"/>
                      <w:u w:val="none" w:color="auto"/>
                      <w:lang w:val="en-US" w:eastAsia="zh-CN"/>
                    </w:rPr>
                  </w:pPr>
                  <w:r>
                    <w:rPr>
                      <w:rFonts w:hint="eastAsia"/>
                      <w:sz w:val="21"/>
                      <w:szCs w:val="21"/>
                      <w:u w:val="none"/>
                      <w:lang w:val="en-US" w:eastAsia="zh-CN"/>
                    </w:rPr>
                    <w:t>二级活性炭+15m排气筒</w:t>
                  </w:r>
                </w:p>
              </w:tc>
              <w:tc>
                <w:tcPr>
                  <w:tcW w:w="1270" w:type="pct"/>
                  <w:noWrap w:val="0"/>
                  <w:vAlign w:val="center"/>
                </w:tcPr>
                <w:p w14:paraId="153E3392">
                  <w:pPr>
                    <w:snapToGrid w:val="0"/>
                    <w:jc w:val="center"/>
                    <w:rPr>
                      <w:rFonts w:hint="eastAsia" w:ascii="Times New Roman" w:hAnsi="Times New Roman" w:eastAsia="宋体" w:cs="Times New Roman"/>
                      <w:bCs/>
                      <w:kern w:val="44"/>
                      <w:sz w:val="21"/>
                      <w:szCs w:val="21"/>
                      <w:u w:val="none" w:color="auto"/>
                      <w:lang w:val="en-US" w:eastAsia="zh-CN"/>
                    </w:rPr>
                  </w:pPr>
                  <w:r>
                    <w:rPr>
                      <w:rFonts w:hint="eastAsia"/>
                      <w:sz w:val="21"/>
                      <w:szCs w:val="21"/>
                      <w:u w:val="none"/>
                      <w:lang w:eastAsia="zh-CN"/>
                    </w:rPr>
                    <w:t>《大气污染物综合排放标准》（GB16297-1996）</w:t>
                  </w:r>
                </w:p>
              </w:tc>
              <w:tc>
                <w:tcPr>
                  <w:tcW w:w="676" w:type="pct"/>
                  <w:noWrap w:val="0"/>
                  <w:vAlign w:val="center"/>
                </w:tcPr>
                <w:p w14:paraId="24C0D1CD">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lang w:val="en-US" w:eastAsia="zh-CN"/>
                    </w:rPr>
                  </w:pPr>
                  <w:r>
                    <w:rPr>
                      <w:rFonts w:hint="eastAsia" w:cs="Times New Roman"/>
                      <w:kern w:val="0"/>
                      <w:sz w:val="21"/>
                      <w:szCs w:val="21"/>
                      <w:u w:val="none" w:color="auto"/>
                      <w:lang w:val="en-US" w:eastAsia="zh-CN"/>
                    </w:rPr>
                    <w:t>120</w:t>
                  </w:r>
                </w:p>
              </w:tc>
              <w:tc>
                <w:tcPr>
                  <w:tcW w:w="518" w:type="pct"/>
                  <w:noWrap w:val="0"/>
                  <w:vAlign w:val="center"/>
                </w:tcPr>
                <w:p w14:paraId="73B86C0A">
                  <w:pPr>
                    <w:keepNext w:val="0"/>
                    <w:keepLines w:val="0"/>
                    <w:pageBreakBefore w:val="0"/>
                    <w:widowControl/>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lang w:val="en-US" w:eastAsia="zh-CN"/>
                    </w:rPr>
                  </w:pPr>
                  <w:r>
                    <w:rPr>
                      <w:rFonts w:hint="eastAsia" w:cs="Times New Roman"/>
                      <w:kern w:val="0"/>
                      <w:sz w:val="21"/>
                      <w:szCs w:val="21"/>
                      <w:u w:val="none" w:color="auto"/>
                      <w:lang w:val="en-US" w:eastAsia="zh-CN"/>
                    </w:rPr>
                    <w:t>1.4</w:t>
                  </w:r>
                </w:p>
              </w:tc>
            </w:tr>
            <w:tr w14:paraId="3CB3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8"/>
                  <w:noWrap w:val="0"/>
                  <w:vAlign w:val="center"/>
                </w:tcPr>
                <w:p w14:paraId="40CFC8C0">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rPr>
                  </w:pPr>
                  <w:r>
                    <w:rPr>
                      <w:rFonts w:hint="default" w:ascii="Times New Roman" w:hAnsi="Times New Roman" w:eastAsia="宋体" w:cs="Times New Roman"/>
                      <w:kern w:val="0"/>
                      <w:sz w:val="21"/>
                      <w:szCs w:val="21"/>
                      <w:u w:val="none" w:color="auto"/>
                    </w:rPr>
                    <w:t>有组织排放总计</w:t>
                  </w:r>
                </w:p>
              </w:tc>
            </w:tr>
            <w:tr w14:paraId="1DC1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34" w:type="pct"/>
                  <w:gridSpan w:val="5"/>
                  <w:noWrap w:val="0"/>
                  <w:vAlign w:val="center"/>
                </w:tcPr>
                <w:p w14:paraId="73F4CD51">
                  <w:pPr>
                    <w:keepNext w:val="0"/>
                    <w:keepLines w:val="0"/>
                    <w:pageBreakBefore w:val="0"/>
                    <w:kinsoku/>
                    <w:wordWrap/>
                    <w:overflowPunct/>
                    <w:topLinePunct w:val="0"/>
                    <w:bidi w:val="0"/>
                    <w:ind w:firstLine="0"/>
                    <w:jc w:val="center"/>
                    <w:textAlignment w:val="auto"/>
                    <w:rPr>
                      <w:rFonts w:hint="default" w:ascii="Times New Roman" w:hAnsi="Times New Roman" w:eastAsia="宋体" w:cs="Times New Roman"/>
                      <w:kern w:val="0"/>
                      <w:sz w:val="21"/>
                      <w:szCs w:val="21"/>
                      <w:u w:val="none" w:color="auto"/>
                    </w:rPr>
                  </w:pPr>
                  <w:r>
                    <w:rPr>
                      <w:rFonts w:hint="default" w:ascii="Times New Roman" w:hAnsi="Times New Roman" w:eastAsia="宋体" w:cs="Times New Roman"/>
                      <w:kern w:val="0"/>
                      <w:sz w:val="21"/>
                      <w:szCs w:val="21"/>
                      <w:u w:val="none" w:color="auto"/>
                    </w:rPr>
                    <w:t>有组织排放总计</w:t>
                  </w:r>
                </w:p>
              </w:tc>
              <w:tc>
                <w:tcPr>
                  <w:tcW w:w="1947" w:type="pct"/>
                  <w:gridSpan w:val="2"/>
                  <w:shd w:val="clear" w:color="auto" w:fill="auto"/>
                  <w:noWrap w:val="0"/>
                  <w:vAlign w:val="center"/>
                </w:tcPr>
                <w:p w14:paraId="256D680C">
                  <w:pPr>
                    <w:pStyle w:val="41"/>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bCs/>
                      <w:color w:val="000000"/>
                      <w:kern w:val="44"/>
                      <w:sz w:val="21"/>
                      <w:szCs w:val="21"/>
                      <w:u w:val="none" w:color="auto"/>
                      <w:lang w:val="en-US" w:eastAsia="zh-CN" w:bidi="ar-SA"/>
                    </w:rPr>
                  </w:pPr>
                  <w:r>
                    <w:rPr>
                      <w:rFonts w:hint="eastAsia" w:ascii="Times New Roman" w:hAnsi="Times New Roman" w:eastAsia="宋体" w:cs="Times New Roman"/>
                      <w:bCs/>
                      <w:kern w:val="44"/>
                      <w:sz w:val="21"/>
                      <w:szCs w:val="21"/>
                      <w:u w:val="none" w:color="auto"/>
                      <w:lang w:val="en-US" w:eastAsia="zh-CN"/>
                    </w:rPr>
                    <w:t>NMHC</w:t>
                  </w:r>
                </w:p>
              </w:tc>
              <w:tc>
                <w:tcPr>
                  <w:tcW w:w="518" w:type="pct"/>
                  <w:shd w:val="clear" w:color="auto" w:fill="auto"/>
                  <w:noWrap w:val="0"/>
                  <w:vAlign w:val="center"/>
                </w:tcPr>
                <w:p w14:paraId="0F74D520">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kern w:val="0"/>
                      <w:sz w:val="21"/>
                      <w:szCs w:val="21"/>
                      <w:u w:val="none" w:color="auto"/>
                      <w:lang w:val="en-US" w:eastAsia="zh-CN" w:bidi="ar-SA"/>
                    </w:rPr>
                  </w:pPr>
                  <w:r>
                    <w:rPr>
                      <w:rFonts w:hint="eastAsia" w:ascii="Times New Roman" w:hAnsi="Times New Roman" w:eastAsia="宋体" w:cs="Times New Roman"/>
                      <w:kern w:val="0"/>
                      <w:sz w:val="21"/>
                      <w:szCs w:val="21"/>
                      <w:u w:val="none" w:color="auto"/>
                      <w:lang w:val="en-US" w:eastAsia="zh-CN"/>
                    </w:rPr>
                    <w:t>1.4</w:t>
                  </w:r>
                </w:p>
              </w:tc>
            </w:tr>
          </w:tbl>
          <w:p w14:paraId="396E891A">
            <w:pPr>
              <w:ind w:firstLine="480" w:firstLineChars="200"/>
              <w:jc w:val="both"/>
              <w:rPr>
                <w:b/>
                <w:u w:val="none"/>
              </w:rPr>
            </w:pPr>
            <w:r>
              <w:rPr>
                <w:sz w:val="24"/>
                <w:szCs w:val="24"/>
                <w:u w:val="none" w:color="auto"/>
              </w:rPr>
              <w:t>② 无组织排放量核算</w:t>
            </w:r>
          </w:p>
          <w:p w14:paraId="28E7ECC5">
            <w:pPr>
              <w:jc w:val="center"/>
              <w:rPr>
                <w:b/>
                <w:u w:val="none"/>
              </w:rPr>
            </w:pPr>
            <w:r>
              <w:rPr>
                <w:b/>
                <w:u w:val="none"/>
              </w:rPr>
              <w:t>表</w:t>
            </w:r>
            <w:r>
              <w:rPr>
                <w:rFonts w:hint="eastAsia"/>
                <w:b/>
                <w:u w:val="none"/>
              </w:rPr>
              <w:t>4-</w:t>
            </w:r>
            <w:r>
              <w:rPr>
                <w:rFonts w:hint="eastAsia"/>
                <w:b/>
                <w:u w:val="none"/>
                <w:lang w:val="en-US" w:eastAsia="zh-CN"/>
              </w:rPr>
              <w:t>4</w:t>
            </w:r>
            <w:r>
              <w:rPr>
                <w:b/>
                <w:u w:val="none"/>
              </w:rPr>
              <w:t xml:space="preserve">  大气污染物无组织排放量核算表</w:t>
            </w:r>
          </w:p>
          <w:tbl>
            <w:tblPr>
              <w:tblStyle w:val="31"/>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687"/>
              <w:gridCol w:w="999"/>
              <w:gridCol w:w="929"/>
              <w:gridCol w:w="1083"/>
              <w:gridCol w:w="1938"/>
              <w:gridCol w:w="1074"/>
              <w:gridCol w:w="1099"/>
            </w:tblGrid>
            <w:tr w14:paraId="7702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9" w:type="dxa"/>
                  <w:vMerge w:val="restart"/>
                  <w:vAlign w:val="center"/>
                </w:tcPr>
                <w:p w14:paraId="5B9B4EB3">
                  <w:pPr>
                    <w:jc w:val="center"/>
                    <w:rPr>
                      <w:kern w:val="0"/>
                      <w:sz w:val="21"/>
                      <w:szCs w:val="21"/>
                      <w:u w:val="none"/>
                    </w:rPr>
                  </w:pPr>
                  <w:r>
                    <w:rPr>
                      <w:kern w:val="0"/>
                      <w:sz w:val="21"/>
                      <w:szCs w:val="21"/>
                      <w:u w:val="none"/>
                    </w:rPr>
                    <w:t>序号</w:t>
                  </w:r>
                </w:p>
              </w:tc>
              <w:tc>
                <w:tcPr>
                  <w:tcW w:w="687" w:type="dxa"/>
                  <w:vMerge w:val="restart"/>
                  <w:vAlign w:val="center"/>
                </w:tcPr>
                <w:p w14:paraId="7C1D03FD">
                  <w:pPr>
                    <w:jc w:val="center"/>
                    <w:rPr>
                      <w:kern w:val="0"/>
                      <w:sz w:val="21"/>
                      <w:szCs w:val="21"/>
                      <w:u w:val="none"/>
                    </w:rPr>
                  </w:pPr>
                  <w:r>
                    <w:rPr>
                      <w:kern w:val="0"/>
                      <w:sz w:val="21"/>
                      <w:szCs w:val="21"/>
                      <w:u w:val="none"/>
                    </w:rPr>
                    <w:t>排放口编号</w:t>
                  </w:r>
                </w:p>
              </w:tc>
              <w:tc>
                <w:tcPr>
                  <w:tcW w:w="999" w:type="dxa"/>
                  <w:vMerge w:val="restart"/>
                  <w:vAlign w:val="center"/>
                </w:tcPr>
                <w:p w14:paraId="113CA93D">
                  <w:pPr>
                    <w:jc w:val="center"/>
                    <w:rPr>
                      <w:kern w:val="0"/>
                      <w:sz w:val="21"/>
                      <w:szCs w:val="21"/>
                      <w:u w:val="none"/>
                    </w:rPr>
                  </w:pPr>
                  <w:r>
                    <w:rPr>
                      <w:kern w:val="0"/>
                      <w:sz w:val="21"/>
                      <w:szCs w:val="21"/>
                      <w:u w:val="none"/>
                    </w:rPr>
                    <w:t>产污环节</w:t>
                  </w:r>
                </w:p>
              </w:tc>
              <w:tc>
                <w:tcPr>
                  <w:tcW w:w="929" w:type="dxa"/>
                  <w:vMerge w:val="restart"/>
                  <w:vAlign w:val="center"/>
                </w:tcPr>
                <w:p w14:paraId="0B08FF2A">
                  <w:pPr>
                    <w:jc w:val="center"/>
                    <w:rPr>
                      <w:kern w:val="0"/>
                      <w:sz w:val="21"/>
                      <w:szCs w:val="21"/>
                      <w:u w:val="none"/>
                    </w:rPr>
                  </w:pPr>
                  <w:r>
                    <w:rPr>
                      <w:kern w:val="0"/>
                      <w:sz w:val="21"/>
                      <w:szCs w:val="21"/>
                      <w:u w:val="none"/>
                    </w:rPr>
                    <w:t>污染物</w:t>
                  </w:r>
                </w:p>
              </w:tc>
              <w:tc>
                <w:tcPr>
                  <w:tcW w:w="1083" w:type="dxa"/>
                  <w:vMerge w:val="restart"/>
                  <w:vAlign w:val="center"/>
                </w:tcPr>
                <w:p w14:paraId="41548496">
                  <w:pPr>
                    <w:jc w:val="center"/>
                    <w:rPr>
                      <w:kern w:val="0"/>
                      <w:sz w:val="21"/>
                      <w:szCs w:val="21"/>
                      <w:u w:val="none"/>
                    </w:rPr>
                  </w:pPr>
                  <w:r>
                    <w:rPr>
                      <w:kern w:val="0"/>
                      <w:sz w:val="21"/>
                      <w:szCs w:val="21"/>
                      <w:u w:val="none"/>
                    </w:rPr>
                    <w:t>主要污染防治措施</w:t>
                  </w:r>
                </w:p>
              </w:tc>
              <w:tc>
                <w:tcPr>
                  <w:tcW w:w="3012" w:type="dxa"/>
                  <w:gridSpan w:val="2"/>
                  <w:vAlign w:val="center"/>
                </w:tcPr>
                <w:p w14:paraId="58031052">
                  <w:pPr>
                    <w:jc w:val="center"/>
                    <w:rPr>
                      <w:kern w:val="0"/>
                      <w:sz w:val="21"/>
                      <w:szCs w:val="21"/>
                      <w:u w:val="none"/>
                    </w:rPr>
                  </w:pPr>
                  <w:r>
                    <w:rPr>
                      <w:kern w:val="0"/>
                      <w:sz w:val="21"/>
                      <w:szCs w:val="21"/>
                      <w:u w:val="none"/>
                    </w:rPr>
                    <w:t>国家或地方污染物排放标准</w:t>
                  </w:r>
                </w:p>
              </w:tc>
              <w:tc>
                <w:tcPr>
                  <w:tcW w:w="1099" w:type="dxa"/>
                  <w:vMerge w:val="restart"/>
                  <w:vAlign w:val="center"/>
                </w:tcPr>
                <w:p w14:paraId="5CF4EF8C">
                  <w:pPr>
                    <w:jc w:val="center"/>
                    <w:rPr>
                      <w:kern w:val="0"/>
                      <w:sz w:val="21"/>
                      <w:szCs w:val="21"/>
                      <w:u w:val="none"/>
                    </w:rPr>
                  </w:pPr>
                  <w:r>
                    <w:rPr>
                      <w:kern w:val="0"/>
                      <w:sz w:val="21"/>
                      <w:szCs w:val="21"/>
                      <w:u w:val="none"/>
                    </w:rPr>
                    <w:t>年排放量/(t/a)</w:t>
                  </w:r>
                </w:p>
              </w:tc>
            </w:tr>
            <w:tr w14:paraId="6CA0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99" w:type="dxa"/>
                  <w:vMerge w:val="continue"/>
                  <w:vAlign w:val="center"/>
                </w:tcPr>
                <w:p w14:paraId="3F57E8B5">
                  <w:pPr>
                    <w:jc w:val="center"/>
                    <w:rPr>
                      <w:kern w:val="0"/>
                      <w:sz w:val="21"/>
                      <w:szCs w:val="21"/>
                      <w:u w:val="none"/>
                    </w:rPr>
                  </w:pPr>
                </w:p>
              </w:tc>
              <w:tc>
                <w:tcPr>
                  <w:tcW w:w="687" w:type="dxa"/>
                  <w:vMerge w:val="continue"/>
                  <w:vAlign w:val="center"/>
                </w:tcPr>
                <w:p w14:paraId="5EA70DD3">
                  <w:pPr>
                    <w:jc w:val="center"/>
                    <w:rPr>
                      <w:kern w:val="0"/>
                      <w:sz w:val="21"/>
                      <w:szCs w:val="21"/>
                      <w:u w:val="none"/>
                    </w:rPr>
                  </w:pPr>
                </w:p>
              </w:tc>
              <w:tc>
                <w:tcPr>
                  <w:tcW w:w="999" w:type="dxa"/>
                  <w:vMerge w:val="continue"/>
                  <w:vAlign w:val="center"/>
                </w:tcPr>
                <w:p w14:paraId="6D50B737">
                  <w:pPr>
                    <w:jc w:val="center"/>
                    <w:rPr>
                      <w:kern w:val="0"/>
                      <w:sz w:val="21"/>
                      <w:szCs w:val="21"/>
                      <w:u w:val="none"/>
                    </w:rPr>
                  </w:pPr>
                </w:p>
              </w:tc>
              <w:tc>
                <w:tcPr>
                  <w:tcW w:w="929" w:type="dxa"/>
                  <w:vMerge w:val="continue"/>
                  <w:vAlign w:val="center"/>
                </w:tcPr>
                <w:p w14:paraId="024404F6">
                  <w:pPr>
                    <w:jc w:val="center"/>
                    <w:rPr>
                      <w:kern w:val="0"/>
                      <w:sz w:val="21"/>
                      <w:szCs w:val="21"/>
                      <w:u w:val="none"/>
                    </w:rPr>
                  </w:pPr>
                </w:p>
              </w:tc>
              <w:tc>
                <w:tcPr>
                  <w:tcW w:w="1083" w:type="dxa"/>
                  <w:vMerge w:val="continue"/>
                  <w:vAlign w:val="center"/>
                </w:tcPr>
                <w:p w14:paraId="2B166A73">
                  <w:pPr>
                    <w:jc w:val="center"/>
                    <w:rPr>
                      <w:kern w:val="0"/>
                      <w:sz w:val="21"/>
                      <w:szCs w:val="21"/>
                      <w:u w:val="none"/>
                    </w:rPr>
                  </w:pPr>
                </w:p>
              </w:tc>
              <w:tc>
                <w:tcPr>
                  <w:tcW w:w="1938" w:type="dxa"/>
                  <w:vAlign w:val="center"/>
                </w:tcPr>
                <w:p w14:paraId="01BDA224">
                  <w:pPr>
                    <w:jc w:val="center"/>
                    <w:rPr>
                      <w:kern w:val="0"/>
                      <w:sz w:val="21"/>
                      <w:szCs w:val="21"/>
                      <w:u w:val="none"/>
                    </w:rPr>
                  </w:pPr>
                  <w:r>
                    <w:rPr>
                      <w:kern w:val="0"/>
                      <w:sz w:val="21"/>
                      <w:szCs w:val="21"/>
                      <w:u w:val="none"/>
                    </w:rPr>
                    <w:t>标准名称</w:t>
                  </w:r>
                </w:p>
              </w:tc>
              <w:tc>
                <w:tcPr>
                  <w:tcW w:w="1074" w:type="dxa"/>
                  <w:vAlign w:val="center"/>
                </w:tcPr>
                <w:p w14:paraId="707BDE5A">
                  <w:pPr>
                    <w:jc w:val="center"/>
                    <w:rPr>
                      <w:kern w:val="0"/>
                      <w:sz w:val="21"/>
                      <w:szCs w:val="21"/>
                      <w:u w:val="none"/>
                    </w:rPr>
                  </w:pPr>
                  <w:r>
                    <w:rPr>
                      <w:kern w:val="0"/>
                      <w:sz w:val="21"/>
                      <w:szCs w:val="21"/>
                      <w:u w:val="none"/>
                    </w:rPr>
                    <w:t>浓度限值/(</w:t>
                  </w:r>
                  <w:r>
                    <w:rPr>
                      <w:rFonts w:hint="eastAsia"/>
                      <w:kern w:val="0"/>
                      <w:sz w:val="21"/>
                      <w:szCs w:val="21"/>
                      <w:u w:val="none"/>
                    </w:rPr>
                    <w:t>m</w:t>
                  </w:r>
                  <w:r>
                    <w:rPr>
                      <w:kern w:val="0"/>
                      <w:sz w:val="21"/>
                      <w:szCs w:val="21"/>
                      <w:u w:val="none"/>
                    </w:rPr>
                    <w:t>g/m</w:t>
                  </w:r>
                  <w:r>
                    <w:rPr>
                      <w:kern w:val="0"/>
                      <w:sz w:val="21"/>
                      <w:szCs w:val="21"/>
                      <w:u w:val="none"/>
                      <w:vertAlign w:val="superscript"/>
                    </w:rPr>
                    <w:t>3</w:t>
                  </w:r>
                  <w:r>
                    <w:rPr>
                      <w:kern w:val="0"/>
                      <w:sz w:val="21"/>
                      <w:szCs w:val="21"/>
                      <w:u w:val="none"/>
                    </w:rPr>
                    <w:t>)</w:t>
                  </w:r>
                </w:p>
              </w:tc>
              <w:tc>
                <w:tcPr>
                  <w:tcW w:w="1099" w:type="dxa"/>
                  <w:vMerge w:val="continue"/>
                  <w:vAlign w:val="center"/>
                </w:tcPr>
                <w:p w14:paraId="4F71E6B9">
                  <w:pPr>
                    <w:jc w:val="center"/>
                    <w:rPr>
                      <w:kern w:val="0"/>
                      <w:sz w:val="21"/>
                      <w:szCs w:val="21"/>
                      <w:u w:val="none"/>
                    </w:rPr>
                  </w:pPr>
                </w:p>
              </w:tc>
            </w:tr>
            <w:tr w14:paraId="3FB9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9" w:type="dxa"/>
                  <w:vMerge w:val="restart"/>
                  <w:vAlign w:val="center"/>
                </w:tcPr>
                <w:p w14:paraId="702C4191">
                  <w:pPr>
                    <w:jc w:val="center"/>
                    <w:rPr>
                      <w:kern w:val="0"/>
                      <w:sz w:val="21"/>
                      <w:szCs w:val="21"/>
                      <w:u w:val="none"/>
                    </w:rPr>
                  </w:pPr>
                  <w:r>
                    <w:rPr>
                      <w:rFonts w:hint="eastAsia"/>
                      <w:kern w:val="0"/>
                      <w:sz w:val="21"/>
                      <w:szCs w:val="21"/>
                      <w:u w:val="none"/>
                    </w:rPr>
                    <w:t>1</w:t>
                  </w:r>
                </w:p>
              </w:tc>
              <w:tc>
                <w:tcPr>
                  <w:tcW w:w="687" w:type="dxa"/>
                  <w:vAlign w:val="center"/>
                </w:tcPr>
                <w:p w14:paraId="788913CF">
                  <w:pPr>
                    <w:pStyle w:val="30"/>
                    <w:tabs>
                      <w:tab w:val="left" w:pos="2076"/>
                    </w:tabs>
                    <w:spacing w:after="0" w:line="240" w:lineRule="auto"/>
                    <w:jc w:val="center"/>
                    <w:rPr>
                      <w:rFonts w:hint="eastAsia" w:eastAsia="宋体"/>
                      <w:kern w:val="2"/>
                      <w:sz w:val="21"/>
                      <w:szCs w:val="21"/>
                      <w:u w:val="none"/>
                      <w:lang w:val="en-US" w:eastAsia="zh-CN"/>
                    </w:rPr>
                  </w:pPr>
                  <w:r>
                    <w:rPr>
                      <w:rFonts w:hint="eastAsia"/>
                      <w:color w:val="000000"/>
                      <w:kern w:val="2"/>
                      <w:sz w:val="21"/>
                      <w:szCs w:val="21"/>
                      <w:u w:val="none"/>
                      <w:lang w:val="en-US" w:eastAsia="zh-CN"/>
                    </w:rPr>
                    <w:t>厂界</w:t>
                  </w:r>
                </w:p>
              </w:tc>
              <w:tc>
                <w:tcPr>
                  <w:tcW w:w="999" w:type="dxa"/>
                  <w:vMerge w:val="restart"/>
                  <w:shd w:val="clear" w:color="auto" w:fill="auto"/>
                  <w:vAlign w:val="center"/>
                </w:tcPr>
                <w:p w14:paraId="59FEF225">
                  <w:pPr>
                    <w:pStyle w:val="12"/>
                    <w:widowControl w:val="0"/>
                    <w:snapToGrid/>
                    <w:spacing w:before="0" w:after="0" w:line="240" w:lineRule="auto"/>
                    <w:ind w:right="0" w:rightChars="0"/>
                    <w:jc w:val="center"/>
                    <w:rPr>
                      <w:rFonts w:hint="default" w:ascii="Times New Roman" w:hAnsi="Times New Roman" w:eastAsia="宋体" w:cs="Times New Roman"/>
                      <w:kern w:val="0"/>
                      <w:sz w:val="21"/>
                      <w:szCs w:val="21"/>
                      <w:u w:val="none"/>
                      <w:lang w:val="en-US" w:eastAsia="zh-CN" w:bidi="ar-SA"/>
                    </w:rPr>
                  </w:pPr>
                  <w:r>
                    <w:rPr>
                      <w:rFonts w:hint="eastAsia"/>
                      <w:sz w:val="21"/>
                      <w:szCs w:val="21"/>
                      <w:u w:val="none"/>
                      <w:lang w:val="en-US" w:eastAsia="zh-CN"/>
                    </w:rPr>
                    <w:t>储罐</w:t>
                  </w:r>
                </w:p>
              </w:tc>
              <w:tc>
                <w:tcPr>
                  <w:tcW w:w="929" w:type="dxa"/>
                  <w:vMerge w:val="restart"/>
                  <w:vAlign w:val="center"/>
                </w:tcPr>
                <w:p w14:paraId="12E0A7EE">
                  <w:pPr>
                    <w:jc w:val="center"/>
                    <w:rPr>
                      <w:rFonts w:hint="default" w:eastAsia="宋体"/>
                      <w:kern w:val="0"/>
                      <w:sz w:val="21"/>
                      <w:szCs w:val="21"/>
                      <w:u w:val="none"/>
                      <w:lang w:val="en-US" w:eastAsia="zh-CN"/>
                    </w:rPr>
                  </w:pPr>
                  <w:r>
                    <w:rPr>
                      <w:rFonts w:hint="eastAsia"/>
                      <w:kern w:val="0"/>
                      <w:sz w:val="21"/>
                      <w:szCs w:val="21"/>
                      <w:u w:val="none"/>
                      <w:lang w:val="en-US" w:eastAsia="zh-CN"/>
                    </w:rPr>
                    <w:t>NMHC</w:t>
                  </w:r>
                </w:p>
              </w:tc>
              <w:tc>
                <w:tcPr>
                  <w:tcW w:w="1083" w:type="dxa"/>
                  <w:vMerge w:val="restart"/>
                  <w:vAlign w:val="center"/>
                </w:tcPr>
                <w:p w14:paraId="70E4E8F4">
                  <w:pPr>
                    <w:jc w:val="center"/>
                    <w:rPr>
                      <w:rFonts w:hint="eastAsia" w:eastAsia="宋体"/>
                      <w:kern w:val="0"/>
                      <w:sz w:val="21"/>
                      <w:szCs w:val="21"/>
                      <w:u w:val="none"/>
                      <w:lang w:val="en-US" w:eastAsia="zh-CN"/>
                    </w:rPr>
                  </w:pPr>
                  <w:r>
                    <w:rPr>
                      <w:rFonts w:hint="eastAsia"/>
                      <w:sz w:val="21"/>
                      <w:szCs w:val="21"/>
                      <w:u w:val="none"/>
                      <w:lang w:val="en-US" w:eastAsia="zh-CN"/>
                    </w:rPr>
                    <w:t>加强通风</w:t>
                  </w:r>
                </w:p>
              </w:tc>
              <w:tc>
                <w:tcPr>
                  <w:tcW w:w="1938" w:type="dxa"/>
                  <w:vAlign w:val="center"/>
                </w:tcPr>
                <w:p w14:paraId="4C638A52">
                  <w:pPr>
                    <w:jc w:val="center"/>
                    <w:rPr>
                      <w:kern w:val="0"/>
                      <w:sz w:val="21"/>
                      <w:szCs w:val="21"/>
                      <w:u w:val="none"/>
                    </w:rPr>
                  </w:pPr>
                  <w:r>
                    <w:rPr>
                      <w:rFonts w:hint="eastAsia"/>
                      <w:sz w:val="21"/>
                      <w:szCs w:val="21"/>
                      <w:u w:val="none"/>
                      <w:lang w:eastAsia="zh-CN"/>
                    </w:rPr>
                    <w:t>《大气污染物综合排放标准》（GB16297-1996）</w:t>
                  </w:r>
                </w:p>
              </w:tc>
              <w:tc>
                <w:tcPr>
                  <w:tcW w:w="1074" w:type="dxa"/>
                  <w:vAlign w:val="center"/>
                </w:tcPr>
                <w:p w14:paraId="0FA3A716">
                  <w:pPr>
                    <w:jc w:val="center"/>
                    <w:rPr>
                      <w:rFonts w:hint="default" w:eastAsia="宋体"/>
                      <w:kern w:val="0"/>
                      <w:sz w:val="21"/>
                      <w:szCs w:val="21"/>
                      <w:u w:val="none"/>
                      <w:lang w:val="en-US" w:eastAsia="zh-CN"/>
                    </w:rPr>
                  </w:pPr>
                  <w:r>
                    <w:rPr>
                      <w:rFonts w:hint="eastAsia"/>
                      <w:kern w:val="0"/>
                      <w:sz w:val="21"/>
                      <w:szCs w:val="21"/>
                      <w:u w:val="none"/>
                      <w:lang w:val="en-US" w:eastAsia="zh-CN"/>
                    </w:rPr>
                    <w:t>4</w:t>
                  </w:r>
                </w:p>
              </w:tc>
              <w:tc>
                <w:tcPr>
                  <w:tcW w:w="1099" w:type="dxa"/>
                  <w:vMerge w:val="restart"/>
                  <w:shd w:val="clear" w:color="auto" w:fill="auto"/>
                  <w:vAlign w:val="center"/>
                </w:tcPr>
                <w:p w14:paraId="607AA757">
                  <w:pPr>
                    <w:widowControl/>
                    <w:jc w:val="center"/>
                    <w:rPr>
                      <w:rFonts w:hint="default" w:ascii="Times New Roman" w:hAnsi="Times New Roman" w:eastAsia="宋体" w:cs="Times New Roman"/>
                      <w:kern w:val="0"/>
                      <w:sz w:val="21"/>
                      <w:szCs w:val="21"/>
                      <w:u w:val="none"/>
                      <w:lang w:val="en-US" w:eastAsia="zh-CN" w:bidi="ar-SA"/>
                    </w:rPr>
                  </w:pPr>
                  <w:r>
                    <w:rPr>
                      <w:rFonts w:hint="eastAsia"/>
                      <w:kern w:val="0"/>
                      <w:sz w:val="21"/>
                      <w:szCs w:val="21"/>
                      <w:u w:val="none"/>
                      <w:lang w:val="en-US" w:eastAsia="zh-CN"/>
                    </w:rPr>
                    <w:t>0.4233</w:t>
                  </w:r>
                </w:p>
              </w:tc>
            </w:tr>
            <w:tr w14:paraId="4D61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9" w:type="dxa"/>
                  <w:vMerge w:val="continue"/>
                  <w:vAlign w:val="center"/>
                </w:tcPr>
                <w:p w14:paraId="084B258D">
                  <w:pPr>
                    <w:jc w:val="center"/>
                    <w:rPr>
                      <w:rFonts w:hint="eastAsia"/>
                      <w:kern w:val="0"/>
                      <w:sz w:val="21"/>
                      <w:szCs w:val="21"/>
                      <w:u w:val="none"/>
                    </w:rPr>
                  </w:pPr>
                </w:p>
              </w:tc>
              <w:tc>
                <w:tcPr>
                  <w:tcW w:w="687" w:type="dxa"/>
                  <w:vAlign w:val="center"/>
                </w:tcPr>
                <w:p w14:paraId="496C5567">
                  <w:pPr>
                    <w:pStyle w:val="30"/>
                    <w:tabs>
                      <w:tab w:val="left" w:pos="2076"/>
                    </w:tabs>
                    <w:spacing w:after="0" w:line="240" w:lineRule="auto"/>
                    <w:jc w:val="center"/>
                    <w:rPr>
                      <w:rFonts w:hint="default"/>
                      <w:color w:val="000000"/>
                      <w:kern w:val="2"/>
                      <w:sz w:val="21"/>
                      <w:szCs w:val="21"/>
                      <w:u w:val="none"/>
                      <w:lang w:val="en-US" w:eastAsia="zh-CN"/>
                    </w:rPr>
                  </w:pPr>
                  <w:r>
                    <w:rPr>
                      <w:rFonts w:hint="eastAsia"/>
                      <w:color w:val="000000"/>
                      <w:kern w:val="2"/>
                      <w:sz w:val="21"/>
                      <w:szCs w:val="21"/>
                      <w:u w:val="none"/>
                      <w:lang w:val="en-US" w:eastAsia="zh-CN"/>
                    </w:rPr>
                    <w:t>厂区内</w:t>
                  </w:r>
                </w:p>
              </w:tc>
              <w:tc>
                <w:tcPr>
                  <w:tcW w:w="999" w:type="dxa"/>
                  <w:vMerge w:val="continue"/>
                  <w:shd w:val="clear" w:color="auto" w:fill="auto"/>
                  <w:vAlign w:val="center"/>
                </w:tcPr>
                <w:p w14:paraId="0FD75DA5">
                  <w:pPr>
                    <w:pStyle w:val="12"/>
                    <w:widowControl w:val="0"/>
                    <w:snapToGrid/>
                    <w:spacing w:before="0" w:after="0" w:line="240" w:lineRule="auto"/>
                    <w:ind w:right="0" w:rightChars="0"/>
                    <w:jc w:val="center"/>
                    <w:rPr>
                      <w:rFonts w:hint="eastAsia"/>
                      <w:sz w:val="21"/>
                      <w:szCs w:val="21"/>
                      <w:u w:val="none"/>
                      <w:lang w:val="en-US" w:eastAsia="zh-CN"/>
                    </w:rPr>
                  </w:pPr>
                </w:p>
              </w:tc>
              <w:tc>
                <w:tcPr>
                  <w:tcW w:w="929" w:type="dxa"/>
                  <w:vMerge w:val="continue"/>
                  <w:vAlign w:val="center"/>
                </w:tcPr>
                <w:p w14:paraId="77452B44">
                  <w:pPr>
                    <w:jc w:val="center"/>
                    <w:rPr>
                      <w:rFonts w:hint="eastAsia"/>
                      <w:kern w:val="0"/>
                      <w:sz w:val="21"/>
                      <w:szCs w:val="21"/>
                      <w:u w:val="none"/>
                      <w:lang w:val="en-US" w:eastAsia="zh-CN"/>
                    </w:rPr>
                  </w:pPr>
                </w:p>
              </w:tc>
              <w:tc>
                <w:tcPr>
                  <w:tcW w:w="1083" w:type="dxa"/>
                  <w:vMerge w:val="continue"/>
                  <w:vAlign w:val="center"/>
                </w:tcPr>
                <w:p w14:paraId="2B7F717D">
                  <w:pPr>
                    <w:jc w:val="center"/>
                    <w:rPr>
                      <w:rFonts w:hint="eastAsia"/>
                      <w:sz w:val="21"/>
                      <w:szCs w:val="21"/>
                      <w:u w:val="none"/>
                      <w:lang w:val="en-US" w:eastAsia="zh-CN"/>
                    </w:rPr>
                  </w:pPr>
                </w:p>
              </w:tc>
              <w:tc>
                <w:tcPr>
                  <w:tcW w:w="1938" w:type="dxa"/>
                  <w:vAlign w:val="center"/>
                </w:tcPr>
                <w:p w14:paraId="1E6B222C">
                  <w:pPr>
                    <w:jc w:val="center"/>
                    <w:rPr>
                      <w:rFonts w:hint="eastAsia"/>
                      <w:sz w:val="21"/>
                      <w:szCs w:val="21"/>
                      <w:u w:val="none"/>
                      <w:lang w:eastAsia="zh-CN"/>
                    </w:rPr>
                  </w:pPr>
                  <w:r>
                    <w:rPr>
                      <w:rFonts w:hint="eastAsia"/>
                      <w:bCs/>
                      <w:sz w:val="21"/>
                      <w:szCs w:val="21"/>
                    </w:rPr>
                    <w:t>《挥发性有机物无组织排放控制标准》（GB 37822—2019）</w:t>
                  </w:r>
                </w:p>
              </w:tc>
              <w:tc>
                <w:tcPr>
                  <w:tcW w:w="1074" w:type="dxa"/>
                  <w:vAlign w:val="center"/>
                </w:tcPr>
                <w:p w14:paraId="289F478F">
                  <w:pPr>
                    <w:jc w:val="center"/>
                    <w:rPr>
                      <w:rFonts w:hint="default"/>
                      <w:kern w:val="0"/>
                      <w:sz w:val="21"/>
                      <w:szCs w:val="21"/>
                      <w:u w:val="none"/>
                      <w:lang w:val="en-US" w:eastAsia="zh-CN"/>
                    </w:rPr>
                  </w:pPr>
                  <w:r>
                    <w:rPr>
                      <w:rFonts w:hint="eastAsia"/>
                      <w:kern w:val="0"/>
                      <w:sz w:val="21"/>
                      <w:szCs w:val="21"/>
                      <w:u w:val="none"/>
                      <w:lang w:val="en-US" w:eastAsia="zh-CN"/>
                    </w:rPr>
                    <w:t>10</w:t>
                  </w:r>
                </w:p>
              </w:tc>
              <w:tc>
                <w:tcPr>
                  <w:tcW w:w="1099" w:type="dxa"/>
                  <w:vMerge w:val="continue"/>
                  <w:shd w:val="clear" w:color="auto" w:fill="auto"/>
                  <w:vAlign w:val="center"/>
                </w:tcPr>
                <w:p w14:paraId="38BEB411">
                  <w:pPr>
                    <w:widowControl/>
                    <w:jc w:val="center"/>
                    <w:rPr>
                      <w:rFonts w:hint="eastAsia"/>
                      <w:kern w:val="0"/>
                      <w:sz w:val="21"/>
                      <w:szCs w:val="21"/>
                      <w:u w:val="none"/>
                      <w:lang w:val="en-US" w:eastAsia="zh-CN"/>
                    </w:rPr>
                  </w:pPr>
                </w:p>
              </w:tc>
            </w:tr>
            <w:tr w14:paraId="3F24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8" w:type="dxa"/>
                  <w:gridSpan w:val="8"/>
                  <w:vAlign w:val="center"/>
                </w:tcPr>
                <w:p w14:paraId="69E8E210">
                  <w:pPr>
                    <w:jc w:val="center"/>
                    <w:rPr>
                      <w:kern w:val="0"/>
                      <w:sz w:val="21"/>
                      <w:szCs w:val="21"/>
                      <w:u w:val="none"/>
                    </w:rPr>
                  </w:pPr>
                  <w:r>
                    <w:rPr>
                      <w:kern w:val="0"/>
                      <w:sz w:val="21"/>
                      <w:szCs w:val="21"/>
                      <w:u w:val="none"/>
                    </w:rPr>
                    <w:t>无组织排放总计</w:t>
                  </w:r>
                </w:p>
              </w:tc>
            </w:tr>
            <w:tr w14:paraId="0080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7" w:type="dxa"/>
                  <w:gridSpan w:val="5"/>
                  <w:vAlign w:val="center"/>
                </w:tcPr>
                <w:p w14:paraId="2C7A1097">
                  <w:pPr>
                    <w:jc w:val="center"/>
                    <w:rPr>
                      <w:kern w:val="0"/>
                      <w:sz w:val="21"/>
                      <w:szCs w:val="21"/>
                      <w:u w:val="none"/>
                    </w:rPr>
                  </w:pPr>
                  <w:r>
                    <w:rPr>
                      <w:kern w:val="0"/>
                      <w:sz w:val="21"/>
                      <w:szCs w:val="21"/>
                      <w:u w:val="none"/>
                    </w:rPr>
                    <w:t>无组织排放总计</w:t>
                  </w:r>
                </w:p>
              </w:tc>
              <w:tc>
                <w:tcPr>
                  <w:tcW w:w="3012" w:type="dxa"/>
                  <w:gridSpan w:val="2"/>
                  <w:vAlign w:val="center"/>
                </w:tcPr>
                <w:p w14:paraId="62F809B7">
                  <w:pPr>
                    <w:jc w:val="center"/>
                    <w:rPr>
                      <w:rFonts w:hint="eastAsia" w:eastAsia="宋体"/>
                      <w:kern w:val="0"/>
                      <w:sz w:val="21"/>
                      <w:szCs w:val="21"/>
                      <w:u w:val="none"/>
                      <w:lang w:eastAsia="zh-CN"/>
                    </w:rPr>
                  </w:pPr>
                  <w:r>
                    <w:rPr>
                      <w:rFonts w:hint="eastAsia"/>
                      <w:kern w:val="0"/>
                      <w:sz w:val="21"/>
                      <w:szCs w:val="21"/>
                      <w:u w:val="none"/>
                      <w:lang w:val="en-US" w:eastAsia="zh-CN"/>
                    </w:rPr>
                    <w:t>NMHC</w:t>
                  </w:r>
                </w:p>
              </w:tc>
              <w:tc>
                <w:tcPr>
                  <w:tcW w:w="1099" w:type="dxa"/>
                  <w:vAlign w:val="center"/>
                </w:tcPr>
                <w:p w14:paraId="6288ED16">
                  <w:pPr>
                    <w:jc w:val="center"/>
                    <w:rPr>
                      <w:rFonts w:hint="default" w:eastAsia="宋体"/>
                      <w:sz w:val="21"/>
                      <w:szCs w:val="21"/>
                      <w:u w:val="none"/>
                      <w:lang w:val="en-US" w:eastAsia="zh-CN"/>
                    </w:rPr>
                  </w:pPr>
                  <w:r>
                    <w:rPr>
                      <w:rFonts w:hint="eastAsia"/>
                      <w:sz w:val="21"/>
                      <w:szCs w:val="21"/>
                      <w:u w:val="none"/>
                      <w:lang w:val="en-US" w:eastAsia="zh-CN"/>
                    </w:rPr>
                    <w:t>0.4233</w:t>
                  </w:r>
                </w:p>
              </w:tc>
            </w:tr>
          </w:tbl>
          <w:p w14:paraId="6B9015F2">
            <w:pPr>
              <w:spacing w:line="360" w:lineRule="auto"/>
              <w:ind w:firstLine="480" w:firstLineChars="200"/>
              <w:rPr>
                <w:u w:val="none"/>
              </w:rPr>
            </w:pPr>
            <w:r>
              <w:rPr>
                <w:u w:val="none"/>
              </w:rPr>
              <w:t>③ 项目大气污染物年排放量核算</w:t>
            </w:r>
          </w:p>
          <w:p w14:paraId="422C05AA">
            <w:pPr>
              <w:jc w:val="center"/>
              <w:rPr>
                <w:b/>
                <w:u w:val="none"/>
              </w:rPr>
            </w:pPr>
          </w:p>
          <w:p w14:paraId="298BD26A">
            <w:pPr>
              <w:jc w:val="center"/>
              <w:rPr>
                <w:b/>
                <w:color w:val="0000FF"/>
                <w:u w:val="none"/>
              </w:rPr>
            </w:pPr>
            <w:r>
              <w:rPr>
                <w:b/>
                <w:u w:val="none"/>
              </w:rPr>
              <w:t>表</w:t>
            </w:r>
            <w:r>
              <w:rPr>
                <w:rFonts w:hint="eastAsia"/>
                <w:b/>
                <w:u w:val="none"/>
              </w:rPr>
              <w:t>4-</w:t>
            </w:r>
            <w:r>
              <w:rPr>
                <w:rFonts w:hint="eastAsia"/>
                <w:b/>
                <w:u w:val="none"/>
                <w:lang w:val="en-US" w:eastAsia="zh-CN"/>
              </w:rPr>
              <w:t>5</w:t>
            </w:r>
            <w:r>
              <w:rPr>
                <w:b/>
                <w:u w:val="none"/>
              </w:rPr>
              <w:t xml:space="preserve">  大气污染物年排放量核算表</w:t>
            </w:r>
          </w:p>
          <w:tbl>
            <w:tblPr>
              <w:tblStyle w:val="31"/>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37"/>
              <w:gridCol w:w="2457"/>
              <w:gridCol w:w="4056"/>
            </w:tblGrid>
            <w:tr w14:paraId="01E357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04" w:type="pct"/>
                  <w:tcBorders>
                    <w:top w:val="single" w:color="auto" w:sz="8" w:space="0"/>
                    <w:left w:val="single" w:color="auto" w:sz="8" w:space="0"/>
                    <w:bottom w:val="single" w:color="auto" w:sz="6" w:space="0"/>
                    <w:right w:val="single" w:color="auto" w:sz="6" w:space="0"/>
                  </w:tcBorders>
                  <w:vAlign w:val="center"/>
                </w:tcPr>
                <w:p w14:paraId="6E40BBF7">
                  <w:pPr>
                    <w:spacing w:line="259" w:lineRule="auto"/>
                    <w:jc w:val="center"/>
                    <w:rPr>
                      <w:bCs/>
                      <w:sz w:val="21"/>
                      <w:szCs w:val="21"/>
                      <w:u w:val="none"/>
                    </w:rPr>
                  </w:pPr>
                  <w:r>
                    <w:rPr>
                      <w:bCs/>
                      <w:sz w:val="21"/>
                      <w:szCs w:val="21"/>
                      <w:u w:val="none"/>
                    </w:rPr>
                    <w:t>序号</w:t>
                  </w:r>
                </w:p>
              </w:tc>
              <w:tc>
                <w:tcPr>
                  <w:tcW w:w="1507" w:type="pct"/>
                  <w:tcBorders>
                    <w:top w:val="single" w:color="auto" w:sz="8" w:space="0"/>
                    <w:left w:val="single" w:color="auto" w:sz="6" w:space="0"/>
                    <w:bottom w:val="single" w:color="auto" w:sz="6" w:space="0"/>
                    <w:right w:val="single" w:color="auto" w:sz="6" w:space="0"/>
                  </w:tcBorders>
                  <w:vAlign w:val="center"/>
                </w:tcPr>
                <w:p w14:paraId="08A89F08">
                  <w:pPr>
                    <w:spacing w:line="259" w:lineRule="auto"/>
                    <w:jc w:val="center"/>
                    <w:rPr>
                      <w:bCs/>
                      <w:sz w:val="21"/>
                      <w:szCs w:val="21"/>
                      <w:u w:val="none"/>
                    </w:rPr>
                  </w:pPr>
                  <w:r>
                    <w:rPr>
                      <w:bCs/>
                      <w:sz w:val="21"/>
                      <w:szCs w:val="21"/>
                      <w:u w:val="none"/>
                    </w:rPr>
                    <w:t>污染物</w:t>
                  </w:r>
                </w:p>
              </w:tc>
              <w:tc>
                <w:tcPr>
                  <w:tcW w:w="2488" w:type="pct"/>
                  <w:tcBorders>
                    <w:top w:val="single" w:color="auto" w:sz="8" w:space="0"/>
                    <w:left w:val="single" w:color="auto" w:sz="6" w:space="0"/>
                    <w:bottom w:val="single" w:color="auto" w:sz="6" w:space="0"/>
                    <w:right w:val="single" w:color="auto" w:sz="8" w:space="0"/>
                  </w:tcBorders>
                  <w:vAlign w:val="center"/>
                </w:tcPr>
                <w:p w14:paraId="1B3F3AB8">
                  <w:pPr>
                    <w:spacing w:line="259" w:lineRule="auto"/>
                    <w:jc w:val="center"/>
                    <w:rPr>
                      <w:bCs/>
                      <w:sz w:val="21"/>
                      <w:szCs w:val="21"/>
                      <w:u w:val="none"/>
                    </w:rPr>
                  </w:pPr>
                  <w:r>
                    <w:rPr>
                      <w:bCs/>
                      <w:sz w:val="21"/>
                      <w:szCs w:val="21"/>
                      <w:u w:val="none"/>
                    </w:rPr>
                    <w:t>年排放量</w:t>
                  </w:r>
                </w:p>
              </w:tc>
            </w:tr>
            <w:tr w14:paraId="4073C6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04" w:type="pct"/>
                  <w:tcBorders>
                    <w:top w:val="single" w:color="auto" w:sz="6" w:space="0"/>
                    <w:left w:val="single" w:color="auto" w:sz="8" w:space="0"/>
                    <w:bottom w:val="single" w:color="auto" w:sz="6" w:space="0"/>
                    <w:right w:val="single" w:color="auto" w:sz="6" w:space="0"/>
                  </w:tcBorders>
                  <w:vAlign w:val="center"/>
                </w:tcPr>
                <w:p w14:paraId="1BC1A023">
                  <w:pPr>
                    <w:spacing w:line="259" w:lineRule="auto"/>
                    <w:jc w:val="center"/>
                    <w:rPr>
                      <w:sz w:val="21"/>
                      <w:szCs w:val="21"/>
                      <w:u w:val="none"/>
                    </w:rPr>
                  </w:pPr>
                  <w:r>
                    <w:rPr>
                      <w:sz w:val="21"/>
                      <w:szCs w:val="21"/>
                      <w:u w:val="none"/>
                    </w:rPr>
                    <w:t>1</w:t>
                  </w:r>
                </w:p>
              </w:tc>
              <w:tc>
                <w:tcPr>
                  <w:tcW w:w="1507" w:type="pct"/>
                  <w:tcBorders>
                    <w:top w:val="single" w:color="auto" w:sz="6" w:space="0"/>
                    <w:left w:val="single" w:color="auto" w:sz="6" w:space="0"/>
                    <w:bottom w:val="single" w:color="auto" w:sz="6" w:space="0"/>
                    <w:right w:val="single" w:color="auto" w:sz="6" w:space="0"/>
                  </w:tcBorders>
                  <w:vAlign w:val="center"/>
                </w:tcPr>
                <w:p w14:paraId="683167C3">
                  <w:pPr>
                    <w:pStyle w:val="41"/>
                    <w:jc w:val="center"/>
                    <w:rPr>
                      <w:rFonts w:ascii="Times New Roman" w:hAnsi="Times New Roman"/>
                      <w:bCs/>
                      <w:kern w:val="44"/>
                      <w:sz w:val="21"/>
                      <w:szCs w:val="21"/>
                      <w:u w:val="none"/>
                    </w:rPr>
                  </w:pPr>
                  <w:r>
                    <w:rPr>
                      <w:rFonts w:hint="default" w:ascii="Times New Roman" w:hAnsi="Times New Roman"/>
                      <w:kern w:val="0"/>
                      <w:sz w:val="21"/>
                      <w:szCs w:val="21"/>
                      <w:u w:val="none"/>
                      <w:lang w:val="en-US" w:eastAsia="zh-CN"/>
                    </w:rPr>
                    <w:t>NMHC</w:t>
                  </w:r>
                </w:p>
              </w:tc>
              <w:tc>
                <w:tcPr>
                  <w:tcW w:w="2488" w:type="pct"/>
                  <w:tcBorders>
                    <w:top w:val="single" w:color="auto" w:sz="6" w:space="0"/>
                    <w:left w:val="single" w:color="auto" w:sz="6" w:space="0"/>
                    <w:bottom w:val="single" w:color="auto" w:sz="6" w:space="0"/>
                    <w:right w:val="single" w:color="auto" w:sz="8" w:space="0"/>
                  </w:tcBorders>
                  <w:vAlign w:val="center"/>
                </w:tcPr>
                <w:p w14:paraId="0CF64E37">
                  <w:pPr>
                    <w:widowControl/>
                    <w:jc w:val="center"/>
                    <w:rPr>
                      <w:kern w:val="0"/>
                      <w:sz w:val="21"/>
                      <w:szCs w:val="21"/>
                      <w:u w:val="none"/>
                    </w:rPr>
                  </w:pPr>
                  <w:r>
                    <w:rPr>
                      <w:rFonts w:hint="eastAsia"/>
                      <w:sz w:val="21"/>
                      <w:szCs w:val="21"/>
                      <w:u w:val="none"/>
                      <w:lang w:val="en-US" w:eastAsia="zh-CN"/>
                    </w:rPr>
                    <w:t>1.8233</w:t>
                  </w:r>
                  <w:r>
                    <w:rPr>
                      <w:rFonts w:hint="default"/>
                      <w:kern w:val="0"/>
                      <w:sz w:val="21"/>
                      <w:szCs w:val="21"/>
                      <w:u w:val="none"/>
                      <w:lang w:val="en-US" w:eastAsia="zh-CN"/>
                    </w:rPr>
                    <w:t>t</w:t>
                  </w:r>
                  <w:r>
                    <w:rPr>
                      <w:rFonts w:hint="default"/>
                      <w:kern w:val="0"/>
                      <w:sz w:val="21"/>
                      <w:szCs w:val="21"/>
                      <w:u w:val="none"/>
                    </w:rPr>
                    <w:t>/a</w:t>
                  </w:r>
                </w:p>
              </w:tc>
            </w:tr>
          </w:tbl>
          <w:p w14:paraId="2ED58E99">
            <w:pPr>
              <w:pStyle w:val="62"/>
              <w:wordWrap w:val="0"/>
              <w:snapToGrid w:val="0"/>
              <w:spacing w:line="360" w:lineRule="auto"/>
              <w:ind w:firstLine="480" w:firstLineChars="200"/>
              <w:jc w:val="left"/>
              <w:rPr>
                <w:rFonts w:hint="eastAsia"/>
                <w:kern w:val="0"/>
                <w:u w:val="none"/>
                <w:lang w:val="en-US" w:eastAsia="zh-CN"/>
              </w:rPr>
            </w:pPr>
            <w:r>
              <w:rPr>
                <w:rFonts w:hint="eastAsia"/>
                <w:kern w:val="0"/>
                <w:u w:val="none"/>
                <w:lang w:eastAsia="zh-CN"/>
              </w:rPr>
              <w:t>（</w:t>
            </w:r>
            <w:r>
              <w:rPr>
                <w:rFonts w:hint="eastAsia"/>
                <w:kern w:val="0"/>
                <w:u w:val="none"/>
                <w:lang w:val="en-US" w:eastAsia="zh-CN"/>
              </w:rPr>
              <w:t>3</w:t>
            </w:r>
            <w:r>
              <w:rPr>
                <w:rFonts w:hint="eastAsia"/>
                <w:kern w:val="0"/>
                <w:u w:val="none"/>
                <w:lang w:eastAsia="zh-CN"/>
              </w:rPr>
              <w:t>）</w:t>
            </w:r>
            <w:r>
              <w:rPr>
                <w:rFonts w:hint="eastAsia"/>
                <w:kern w:val="0"/>
                <w:u w:val="none"/>
                <w:lang w:val="en-US" w:eastAsia="zh-CN"/>
              </w:rPr>
              <w:t>废气处理措施可行性分析</w:t>
            </w:r>
          </w:p>
          <w:p w14:paraId="3F6991A7">
            <w:pPr>
              <w:pStyle w:val="62"/>
              <w:wordWrap w:val="0"/>
              <w:snapToGrid w:val="0"/>
              <w:spacing w:line="360" w:lineRule="auto"/>
              <w:ind w:firstLine="480" w:firstLineChars="200"/>
              <w:jc w:val="left"/>
              <w:rPr>
                <w:rFonts w:hint="eastAsia"/>
                <w:u w:val="none"/>
                <w:lang w:val="en-US" w:eastAsia="zh-CN"/>
              </w:rPr>
            </w:pPr>
            <w:r>
              <w:rPr>
                <w:rFonts w:hint="eastAsia"/>
                <w:u w:val="none"/>
                <w:lang w:val="en-US" w:eastAsia="zh-CN"/>
              </w:rPr>
              <w:t>本项目主要的废气为不凝气体，主要成分为NMHC，根据</w:t>
            </w:r>
            <w:r>
              <w:rPr>
                <w:rFonts w:hint="eastAsia" w:ascii="Times New Roman" w:hAnsi="Times New Roman" w:eastAsia="宋体" w:cs="Times New Roman"/>
                <w:color w:val="000000"/>
                <w:kern w:val="0"/>
                <w:lang w:bidi="ar"/>
              </w:rPr>
              <w:t>《挥发性有机物（VOCs）污染防治技术政策》</w:t>
            </w:r>
            <w:r>
              <w:rPr>
                <w:rFonts w:hint="eastAsia"/>
                <w:u w:val="none"/>
                <w:lang w:val="en-US" w:eastAsia="zh-CN"/>
              </w:rPr>
              <w:t>可知，活性炭吸附为可行性技术，可有效处理NMHC，因此二级活性炭吸附处理措施可行。</w:t>
            </w:r>
          </w:p>
          <w:p w14:paraId="36D3BE30">
            <w:pPr>
              <w:spacing w:line="360" w:lineRule="auto"/>
              <w:ind w:firstLine="480" w:firstLineChars="200"/>
              <w:rPr>
                <w:rFonts w:hint="default"/>
                <w:lang w:val="en-US" w:eastAsia="zh-CN"/>
              </w:rPr>
            </w:pPr>
            <w:r>
              <w:rPr>
                <w:rFonts w:hint="eastAsia"/>
                <w:lang w:eastAsia="zh-CN"/>
              </w:rPr>
              <w:t>（</w:t>
            </w:r>
            <w:r>
              <w:rPr>
                <w:rFonts w:hint="eastAsia"/>
                <w:lang w:val="en-US" w:eastAsia="zh-CN"/>
              </w:rPr>
              <w:t>4</w:t>
            </w:r>
            <w:r>
              <w:rPr>
                <w:rFonts w:hint="eastAsia"/>
                <w:lang w:eastAsia="zh-CN"/>
              </w:rPr>
              <w:t>）</w:t>
            </w:r>
            <w:r>
              <w:rPr>
                <w:rFonts w:hint="eastAsia"/>
                <w:lang w:val="en-US" w:eastAsia="zh-CN"/>
              </w:rPr>
              <w:t>非正常工况废气影响分析</w:t>
            </w:r>
          </w:p>
          <w:p w14:paraId="63968566">
            <w:pPr>
              <w:pStyle w:val="62"/>
              <w:wordWrap w:val="0"/>
              <w:snapToGrid w:val="0"/>
              <w:spacing w:line="360" w:lineRule="auto"/>
              <w:ind w:firstLine="480" w:firstLineChars="200"/>
              <w:jc w:val="left"/>
              <w:rPr>
                <w:rFonts w:hint="default"/>
                <w:kern w:val="0"/>
                <w:u w:val="none"/>
              </w:rPr>
            </w:pPr>
            <w:r>
              <w:rPr>
                <w:rFonts w:hint="default"/>
                <w:kern w:val="0"/>
                <w:u w:val="none"/>
              </w:rPr>
              <w:t>本项目非正常工况主要指污染物排放控制措施达不到应有效率或废气处理设施发生故障，造成废气污染物未经有效处理直接排放，出现以上事故后，企业通过采取及时、有效的应对措施。本项目废气非正常排放源强如下表。</w:t>
            </w:r>
          </w:p>
          <w:p w14:paraId="0B9410CC">
            <w:pPr>
              <w:pStyle w:val="62"/>
              <w:wordWrap w:val="0"/>
              <w:snapToGrid w:val="0"/>
              <w:spacing w:line="240" w:lineRule="auto"/>
              <w:ind w:firstLine="0" w:firstLineChars="0"/>
              <w:jc w:val="center"/>
              <w:rPr>
                <w:rFonts w:hint="default"/>
                <w:kern w:val="0"/>
                <w:u w:val="none"/>
              </w:rPr>
            </w:pPr>
            <w:r>
              <w:rPr>
                <w:b/>
                <w:bCs/>
              </w:rPr>
              <w:t>表4-</w:t>
            </w:r>
            <w:r>
              <w:rPr>
                <w:rFonts w:hint="eastAsia"/>
                <w:b/>
                <w:bCs/>
                <w:lang w:val="en-US" w:eastAsia="zh-CN"/>
              </w:rPr>
              <w:t>6</w:t>
            </w:r>
            <w:r>
              <w:rPr>
                <w:rFonts w:hint="eastAsia"/>
                <w:b/>
                <w:bCs/>
              </w:rPr>
              <w:t xml:space="preserve"> </w:t>
            </w:r>
            <w:r>
              <w:rPr>
                <w:b/>
                <w:bCs/>
              </w:rPr>
              <w:t xml:space="preserve"> </w:t>
            </w:r>
            <w:r>
              <w:rPr>
                <w:rFonts w:hint="eastAsia"/>
                <w:b/>
                <w:bCs/>
              </w:rPr>
              <w:t>废</w:t>
            </w:r>
            <w:r>
              <w:rPr>
                <w:b/>
                <w:bCs/>
              </w:rPr>
              <w:t>气</w:t>
            </w:r>
            <w:r>
              <w:rPr>
                <w:rFonts w:hint="eastAsia"/>
                <w:b/>
                <w:bCs/>
                <w:lang w:val="en-US" w:eastAsia="zh-CN"/>
              </w:rPr>
              <w:t>非正常排放情况一览</w:t>
            </w:r>
            <w:r>
              <w:rPr>
                <w:b/>
                <w:bCs/>
              </w:rPr>
              <w:t>表</w:t>
            </w:r>
          </w:p>
          <w:tbl>
            <w:tblPr>
              <w:tblStyle w:val="32"/>
              <w:tblW w:w="8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069"/>
              <w:gridCol w:w="1017"/>
              <w:gridCol w:w="1100"/>
              <w:gridCol w:w="1283"/>
              <w:gridCol w:w="1100"/>
              <w:gridCol w:w="850"/>
              <w:gridCol w:w="655"/>
            </w:tblGrid>
            <w:tr w14:paraId="36D6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Align w:val="center"/>
                </w:tcPr>
                <w:p w14:paraId="42E0D002">
                  <w:pPr>
                    <w:pStyle w:val="62"/>
                    <w:wordWrap w:val="0"/>
                    <w:autoSpaceDE/>
                    <w:autoSpaceDN/>
                    <w:snapToGrid w:val="0"/>
                    <w:spacing w:line="240" w:lineRule="auto"/>
                    <w:jc w:val="center"/>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非正常排放源</w:t>
                  </w:r>
                </w:p>
              </w:tc>
              <w:tc>
                <w:tcPr>
                  <w:tcW w:w="1069" w:type="dxa"/>
                  <w:vAlign w:val="center"/>
                </w:tcPr>
                <w:p w14:paraId="0DD2FCA0">
                  <w:pPr>
                    <w:pStyle w:val="62"/>
                    <w:wordWrap w:val="0"/>
                    <w:autoSpaceDE/>
                    <w:autoSpaceDN/>
                    <w:snapToGrid w:val="0"/>
                    <w:spacing w:line="240" w:lineRule="auto"/>
                    <w:jc w:val="center"/>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非正常排放原因</w:t>
                  </w:r>
                </w:p>
              </w:tc>
              <w:tc>
                <w:tcPr>
                  <w:tcW w:w="1017" w:type="dxa"/>
                  <w:vAlign w:val="center"/>
                </w:tcPr>
                <w:p w14:paraId="4E62F101">
                  <w:pPr>
                    <w:pStyle w:val="62"/>
                    <w:wordWrap w:val="0"/>
                    <w:autoSpaceDE/>
                    <w:autoSpaceDN/>
                    <w:snapToGrid w:val="0"/>
                    <w:spacing w:line="240" w:lineRule="auto"/>
                    <w:jc w:val="center"/>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污染物</w:t>
                  </w:r>
                </w:p>
              </w:tc>
              <w:tc>
                <w:tcPr>
                  <w:tcW w:w="1100" w:type="dxa"/>
                  <w:vAlign w:val="center"/>
                </w:tcPr>
                <w:p w14:paraId="036FC687">
                  <w:pPr>
                    <w:pStyle w:val="62"/>
                    <w:wordWrap w:val="0"/>
                    <w:autoSpaceDE/>
                    <w:autoSpaceDN/>
                    <w:snapToGrid w:val="0"/>
                    <w:spacing w:line="240" w:lineRule="auto"/>
                    <w:jc w:val="center"/>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非正常排放速率</w:t>
                  </w:r>
                </w:p>
                <w:p w14:paraId="0D7DCD0B">
                  <w:pPr>
                    <w:pStyle w:val="62"/>
                    <w:wordWrap w:val="0"/>
                    <w:autoSpaceDE/>
                    <w:autoSpaceDN/>
                    <w:snapToGrid w:val="0"/>
                    <w:spacing w:line="240" w:lineRule="auto"/>
                    <w:jc w:val="center"/>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（kg/h）</w:t>
                  </w:r>
                </w:p>
              </w:tc>
              <w:tc>
                <w:tcPr>
                  <w:tcW w:w="1283" w:type="dxa"/>
                  <w:vAlign w:val="center"/>
                </w:tcPr>
                <w:p w14:paraId="27DDC3E8">
                  <w:pPr>
                    <w:pStyle w:val="62"/>
                    <w:wordWrap w:val="0"/>
                    <w:autoSpaceDE/>
                    <w:autoSpaceDN/>
                    <w:snapToGrid w:val="0"/>
                    <w:spacing w:line="240" w:lineRule="auto"/>
                    <w:jc w:val="center"/>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非正常排放浓度</w:t>
                  </w:r>
                </w:p>
                <w:p w14:paraId="3EC6EF01">
                  <w:pPr>
                    <w:pStyle w:val="62"/>
                    <w:wordWrap w:val="0"/>
                    <w:autoSpaceDE/>
                    <w:autoSpaceDN/>
                    <w:snapToGrid w:val="0"/>
                    <w:spacing w:line="240" w:lineRule="auto"/>
                    <w:jc w:val="center"/>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（mg/L）</w:t>
                  </w:r>
                </w:p>
              </w:tc>
              <w:tc>
                <w:tcPr>
                  <w:tcW w:w="1100" w:type="dxa"/>
                  <w:vAlign w:val="center"/>
                </w:tcPr>
                <w:p w14:paraId="24A132C5">
                  <w:pPr>
                    <w:pStyle w:val="62"/>
                    <w:wordWrap w:val="0"/>
                    <w:autoSpaceDE/>
                    <w:autoSpaceDN/>
                    <w:snapToGrid w:val="0"/>
                    <w:spacing w:line="240" w:lineRule="auto"/>
                    <w:jc w:val="center"/>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单次持续时间（h）</w:t>
                  </w:r>
                </w:p>
              </w:tc>
              <w:tc>
                <w:tcPr>
                  <w:tcW w:w="850" w:type="dxa"/>
                  <w:vAlign w:val="center"/>
                </w:tcPr>
                <w:p w14:paraId="049E7700">
                  <w:pPr>
                    <w:pStyle w:val="62"/>
                    <w:wordWrap w:val="0"/>
                    <w:autoSpaceDE/>
                    <w:autoSpaceDN/>
                    <w:snapToGrid w:val="0"/>
                    <w:spacing w:line="240" w:lineRule="auto"/>
                    <w:jc w:val="center"/>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年发生频次</w:t>
                  </w:r>
                </w:p>
              </w:tc>
              <w:tc>
                <w:tcPr>
                  <w:tcW w:w="655" w:type="dxa"/>
                  <w:vAlign w:val="center"/>
                </w:tcPr>
                <w:p w14:paraId="65DF2819">
                  <w:pPr>
                    <w:pStyle w:val="62"/>
                    <w:wordWrap w:val="0"/>
                    <w:autoSpaceDE/>
                    <w:autoSpaceDN/>
                    <w:snapToGrid w:val="0"/>
                    <w:spacing w:line="240" w:lineRule="auto"/>
                    <w:jc w:val="center"/>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应对措施</w:t>
                  </w:r>
                </w:p>
              </w:tc>
            </w:tr>
            <w:tr w14:paraId="1522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Align w:val="center"/>
                </w:tcPr>
                <w:p w14:paraId="635BA4D3">
                  <w:pPr>
                    <w:pStyle w:val="62"/>
                    <w:wordWrap w:val="0"/>
                    <w:autoSpaceDE/>
                    <w:autoSpaceDN/>
                    <w:snapToGrid w:val="0"/>
                    <w:spacing w:line="240" w:lineRule="auto"/>
                    <w:jc w:val="center"/>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DA001</w:t>
                  </w:r>
                </w:p>
              </w:tc>
              <w:tc>
                <w:tcPr>
                  <w:tcW w:w="1069" w:type="dxa"/>
                  <w:vAlign w:val="center"/>
                </w:tcPr>
                <w:p w14:paraId="13D3D578">
                  <w:pPr>
                    <w:pStyle w:val="62"/>
                    <w:wordWrap w:val="0"/>
                    <w:autoSpaceDE/>
                    <w:autoSpaceDN/>
                    <w:snapToGrid w:val="0"/>
                    <w:spacing w:line="240" w:lineRule="auto"/>
                    <w:jc w:val="center"/>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设备故障</w:t>
                  </w:r>
                </w:p>
              </w:tc>
              <w:tc>
                <w:tcPr>
                  <w:tcW w:w="1017" w:type="dxa"/>
                  <w:vAlign w:val="center"/>
                </w:tcPr>
                <w:p w14:paraId="54DB6BB3">
                  <w:pPr>
                    <w:pStyle w:val="62"/>
                    <w:wordWrap w:val="0"/>
                    <w:autoSpaceDE/>
                    <w:autoSpaceDN/>
                    <w:snapToGrid w:val="0"/>
                    <w:spacing w:line="240" w:lineRule="auto"/>
                    <w:jc w:val="center"/>
                    <w:rPr>
                      <w:rFonts w:hint="eastAsia" w:ascii="Times New Roman" w:hAnsi="Times New Roman" w:eastAsia="宋体" w:cs="Times New Roman"/>
                      <w:kern w:val="0"/>
                      <w:sz w:val="21"/>
                      <w:szCs w:val="21"/>
                      <w:u w:val="none"/>
                      <w:vertAlign w:val="baseline"/>
                      <w:lang w:val="en-US" w:eastAsia="zh-CN"/>
                    </w:rPr>
                  </w:pPr>
                  <w:r>
                    <w:rPr>
                      <w:rFonts w:hint="eastAsia" w:ascii="Times New Roman" w:hAnsi="Times New Roman" w:cs="Times New Roman"/>
                      <w:sz w:val="21"/>
                      <w:szCs w:val="21"/>
                      <w:lang w:val="en-US" w:eastAsia="zh-CN"/>
                    </w:rPr>
                    <w:t>NMHC</w:t>
                  </w:r>
                </w:p>
              </w:tc>
              <w:tc>
                <w:tcPr>
                  <w:tcW w:w="1100" w:type="dxa"/>
                  <w:vAlign w:val="center"/>
                </w:tcPr>
                <w:p w14:paraId="6B4B059B">
                  <w:pPr>
                    <w:pStyle w:val="62"/>
                    <w:wordWrap w:val="0"/>
                    <w:autoSpaceDE/>
                    <w:autoSpaceDN/>
                    <w:snapToGrid w:val="0"/>
                    <w:spacing w:line="240" w:lineRule="auto"/>
                    <w:jc w:val="center"/>
                    <w:rPr>
                      <w:rFonts w:hint="default" w:ascii="Times New Roman" w:hAnsi="Times New Roman" w:cs="Times New Roman"/>
                      <w:kern w:val="0"/>
                      <w:sz w:val="21"/>
                      <w:szCs w:val="21"/>
                      <w:u w:val="none"/>
                      <w:vertAlign w:val="baseline"/>
                      <w:lang w:val="en-US" w:eastAsia="zh-CN"/>
                    </w:rPr>
                  </w:pPr>
                  <w:r>
                    <w:rPr>
                      <w:rFonts w:hint="eastAsia" w:cs="Times New Roman"/>
                      <w:kern w:val="0"/>
                      <w:sz w:val="21"/>
                      <w:szCs w:val="21"/>
                      <w:u w:val="none"/>
                      <w:vertAlign w:val="baseline"/>
                      <w:lang w:val="en-US" w:eastAsia="zh-CN"/>
                    </w:rPr>
                    <w:t>0.573</w:t>
                  </w:r>
                </w:p>
              </w:tc>
              <w:tc>
                <w:tcPr>
                  <w:tcW w:w="1283" w:type="dxa"/>
                  <w:vAlign w:val="center"/>
                </w:tcPr>
                <w:p w14:paraId="0067340C">
                  <w:pPr>
                    <w:pStyle w:val="62"/>
                    <w:wordWrap w:val="0"/>
                    <w:autoSpaceDE/>
                    <w:autoSpaceDN/>
                    <w:snapToGrid w:val="0"/>
                    <w:spacing w:line="240" w:lineRule="auto"/>
                    <w:jc w:val="center"/>
                    <w:rPr>
                      <w:rFonts w:hint="default" w:ascii="Times New Roman" w:hAnsi="Times New Roman" w:cs="Times New Roman"/>
                      <w:kern w:val="0"/>
                      <w:sz w:val="21"/>
                      <w:szCs w:val="21"/>
                      <w:u w:val="none"/>
                      <w:vertAlign w:val="baseline"/>
                      <w:lang w:val="en-US" w:eastAsia="zh-CN"/>
                    </w:rPr>
                  </w:pPr>
                  <w:r>
                    <w:rPr>
                      <w:rFonts w:hint="eastAsia" w:cs="Times New Roman"/>
                      <w:kern w:val="0"/>
                      <w:sz w:val="21"/>
                      <w:szCs w:val="21"/>
                      <w:u w:val="none"/>
                      <w:vertAlign w:val="baseline"/>
                      <w:lang w:val="en-US" w:eastAsia="zh-CN"/>
                    </w:rPr>
                    <w:t>57.3</w:t>
                  </w:r>
                </w:p>
              </w:tc>
              <w:tc>
                <w:tcPr>
                  <w:tcW w:w="1100" w:type="dxa"/>
                  <w:vAlign w:val="center"/>
                </w:tcPr>
                <w:p w14:paraId="0003BE5F">
                  <w:pPr>
                    <w:pStyle w:val="62"/>
                    <w:wordWrap w:val="0"/>
                    <w:autoSpaceDE/>
                    <w:autoSpaceDN/>
                    <w:snapToGrid w:val="0"/>
                    <w:spacing w:line="240" w:lineRule="auto"/>
                    <w:jc w:val="center"/>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0.5</w:t>
                  </w:r>
                </w:p>
              </w:tc>
              <w:tc>
                <w:tcPr>
                  <w:tcW w:w="850" w:type="dxa"/>
                  <w:vAlign w:val="center"/>
                </w:tcPr>
                <w:p w14:paraId="57FB1654">
                  <w:pPr>
                    <w:pStyle w:val="62"/>
                    <w:wordWrap w:val="0"/>
                    <w:autoSpaceDE/>
                    <w:autoSpaceDN/>
                    <w:snapToGrid w:val="0"/>
                    <w:spacing w:line="240" w:lineRule="auto"/>
                    <w:jc w:val="center"/>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1</w:t>
                  </w:r>
                  <w:r>
                    <w:rPr>
                      <w:rFonts w:hint="default" w:ascii="Times New Roman" w:hAnsi="Times New Roman" w:cs="Times New Roman"/>
                      <w:kern w:val="0"/>
                      <w:sz w:val="21"/>
                      <w:szCs w:val="21"/>
                      <w:u w:val="none"/>
                      <w:vertAlign w:val="baseline"/>
                      <w:lang w:val="en-US" w:eastAsia="zh-CN"/>
                    </w:rPr>
                    <w:t>次</w:t>
                  </w:r>
                </w:p>
              </w:tc>
              <w:tc>
                <w:tcPr>
                  <w:tcW w:w="655" w:type="dxa"/>
                  <w:vAlign w:val="center"/>
                </w:tcPr>
                <w:p w14:paraId="2A72C231">
                  <w:pPr>
                    <w:pStyle w:val="62"/>
                    <w:wordWrap w:val="0"/>
                    <w:autoSpaceDE/>
                    <w:autoSpaceDN/>
                    <w:snapToGrid w:val="0"/>
                    <w:spacing w:line="240" w:lineRule="auto"/>
                    <w:jc w:val="center"/>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停机检修</w:t>
                  </w:r>
                </w:p>
              </w:tc>
            </w:tr>
          </w:tbl>
          <w:p w14:paraId="6F5DF5F7">
            <w:pPr>
              <w:pStyle w:val="62"/>
              <w:wordWrap w:val="0"/>
              <w:snapToGrid w:val="0"/>
              <w:spacing w:line="360" w:lineRule="auto"/>
              <w:ind w:firstLine="480" w:firstLineChars="200"/>
              <w:jc w:val="left"/>
              <w:rPr>
                <w:rFonts w:hint="default"/>
                <w:kern w:val="0"/>
                <w:u w:val="none"/>
              </w:rPr>
            </w:pPr>
            <w:r>
              <w:rPr>
                <w:rFonts w:hint="default"/>
                <w:kern w:val="0"/>
                <w:u w:val="none"/>
              </w:rPr>
              <w:t>上表可知，非正常工况下，排气筒污染物排放速率和排放浓度较高，会造成一定的环境影响。为防止生产废气非正常工况排放，企业必须加强废气处理设施的管理，定期检修，确保废气处理设施正常运行，在废气处理设备停止运行或出现故障时，产生废气的各工序也必须相应停止生产。为杜绝废气非正常排放，应采取以下措施确保废气达标排放。</w:t>
            </w:r>
          </w:p>
          <w:p w14:paraId="5D18308C">
            <w:pPr>
              <w:pStyle w:val="62"/>
              <w:wordWrap w:val="0"/>
              <w:snapToGrid w:val="0"/>
              <w:spacing w:line="360" w:lineRule="auto"/>
              <w:ind w:firstLine="480" w:firstLineChars="200"/>
              <w:jc w:val="left"/>
              <w:rPr>
                <w:rFonts w:hint="default"/>
                <w:kern w:val="0"/>
                <w:u w:val="none"/>
              </w:rPr>
            </w:pPr>
            <w:r>
              <w:rPr>
                <w:rFonts w:hint="default"/>
                <w:kern w:val="0"/>
                <w:u w:val="none"/>
              </w:rPr>
              <w:t>①安排专人负责环保设备的日常维护和管理，每隔固定时间检查、汇报情况，及时发现废气处理设备的隐患，确保废气处理系统正常运行；</w:t>
            </w:r>
          </w:p>
          <w:p w14:paraId="2032D84F">
            <w:pPr>
              <w:spacing w:line="360" w:lineRule="auto"/>
              <w:ind w:firstLine="480" w:firstLineChars="200"/>
              <w:rPr>
                <w:rFonts w:hint="eastAsia"/>
              </w:rPr>
            </w:pPr>
            <w:r>
              <w:rPr>
                <w:rFonts w:hint="eastAsia"/>
                <w:lang w:val="en-US" w:eastAsia="zh-CN"/>
              </w:rPr>
              <w:t>②</w:t>
            </w:r>
            <w:r>
              <w:rPr>
                <w:rFonts w:hint="eastAsia"/>
              </w:rPr>
              <w:t>定期</w:t>
            </w:r>
            <w:r>
              <w:rPr>
                <w:rFonts w:hint="eastAsia"/>
                <w:lang w:val="en-US" w:eastAsia="zh-CN"/>
              </w:rPr>
              <w:t>更换</w:t>
            </w:r>
            <w:r>
              <w:rPr>
                <w:rFonts w:hint="eastAsia"/>
              </w:rPr>
              <w:t>活性炭；</w:t>
            </w:r>
          </w:p>
          <w:p w14:paraId="1573746F">
            <w:pPr>
              <w:spacing w:line="360" w:lineRule="auto"/>
              <w:ind w:firstLine="480" w:firstLineChars="200"/>
              <w:rPr>
                <w:rFonts w:hint="eastAsia"/>
              </w:rPr>
            </w:pPr>
            <w:r>
              <w:rPr>
                <w:rFonts w:hint="eastAsia"/>
              </w:rPr>
              <w:t>③建立健全的环保管理机构，对环保管理人员和技术人员进行岗位培训，委托具有专业资质的环境监测单位对项目排放的各类污染物进行定期检测；</w:t>
            </w:r>
          </w:p>
          <w:p w14:paraId="706B466B">
            <w:pPr>
              <w:spacing w:line="360" w:lineRule="auto"/>
              <w:ind w:firstLine="480" w:firstLineChars="200"/>
              <w:rPr>
                <w:rFonts w:hint="eastAsia"/>
              </w:rPr>
            </w:pPr>
            <w:r>
              <w:rPr>
                <w:rFonts w:hint="eastAsia"/>
              </w:rPr>
              <w:t>④应定期维护、检修废气处理设备，以保持废气处理装置的处理能力和处理效率；</w:t>
            </w:r>
          </w:p>
          <w:p w14:paraId="3E2DDD2C">
            <w:pPr>
              <w:pStyle w:val="12"/>
              <w:spacing w:before="0" w:after="0" w:line="360" w:lineRule="auto"/>
              <w:ind w:right="0" w:firstLine="480" w:firstLineChars="200"/>
              <w:rPr>
                <w:kern w:val="2"/>
                <w:sz w:val="24"/>
                <w:szCs w:val="24"/>
                <w:u w:val="none"/>
              </w:rPr>
            </w:pPr>
            <w:r>
              <w:rPr>
                <w:rFonts w:hint="eastAsia"/>
                <w:sz w:val="24"/>
                <w:szCs w:val="24"/>
              </w:rPr>
              <w:t>⑤生</w:t>
            </w:r>
            <w:r>
              <w:rPr>
                <w:rFonts w:hint="eastAsia"/>
                <w:sz w:val="24"/>
                <w:szCs w:val="24"/>
                <w:u w:val="none"/>
              </w:rPr>
              <w:t>产加工前，废气处理设备开启，设备关机一段时间后再关闭处理设备</w:t>
            </w:r>
            <w:r>
              <w:rPr>
                <w:rFonts w:hint="eastAsia"/>
                <w:sz w:val="24"/>
                <w:szCs w:val="24"/>
                <w:u w:val="none"/>
                <w:lang w:eastAsia="zh-CN"/>
              </w:rPr>
              <w:t>。</w:t>
            </w:r>
          </w:p>
          <w:p w14:paraId="1AE40D8C">
            <w:pPr>
              <w:rPr>
                <w:rFonts w:hint="eastAsia"/>
              </w:rPr>
            </w:pPr>
          </w:p>
          <w:p w14:paraId="3415A6FE">
            <w:pPr>
              <w:pStyle w:val="62"/>
              <w:wordWrap w:val="0"/>
              <w:snapToGrid w:val="0"/>
              <w:spacing w:line="360" w:lineRule="auto"/>
              <w:ind w:firstLine="480" w:firstLineChars="200"/>
              <w:jc w:val="left"/>
              <w:rPr>
                <w:rFonts w:hint="eastAsia"/>
                <w:kern w:val="0"/>
                <w:u w:val="none"/>
                <w:lang w:eastAsia="zh-CN"/>
              </w:rPr>
            </w:pPr>
            <w:r>
              <w:rPr>
                <w:rFonts w:hint="eastAsia"/>
                <w:kern w:val="0"/>
                <w:u w:val="none"/>
                <w:lang w:eastAsia="zh-CN"/>
              </w:rPr>
              <w:t>（</w:t>
            </w:r>
            <w:r>
              <w:rPr>
                <w:rFonts w:hint="eastAsia"/>
                <w:kern w:val="0"/>
                <w:u w:val="none"/>
                <w:lang w:val="en-US" w:eastAsia="zh-CN"/>
              </w:rPr>
              <w:t>5</w:t>
            </w:r>
            <w:r>
              <w:rPr>
                <w:rFonts w:hint="eastAsia"/>
                <w:kern w:val="0"/>
                <w:u w:val="none"/>
                <w:lang w:eastAsia="zh-CN"/>
              </w:rPr>
              <w:t>）</w:t>
            </w:r>
            <w:r>
              <w:rPr>
                <w:rFonts w:hint="eastAsia"/>
                <w:color w:val="auto"/>
                <w:kern w:val="0"/>
                <w:sz w:val="24"/>
                <w:szCs w:val="24"/>
                <w:u w:val="none"/>
              </w:rPr>
              <w:t>排气筒设置合理性分析</w:t>
            </w:r>
          </w:p>
          <w:p w14:paraId="1FC8A79F">
            <w:pPr>
              <w:spacing w:line="360" w:lineRule="auto"/>
              <w:ind w:firstLine="480" w:firstLineChars="200"/>
              <w:rPr>
                <w:rFonts w:hint="eastAsia"/>
                <w:u w:val="none"/>
                <w:lang w:eastAsia="zh-CN"/>
              </w:rPr>
            </w:pPr>
            <w:r>
              <w:rPr>
                <w:color w:val="auto"/>
                <w:sz w:val="24"/>
                <w:szCs w:val="24"/>
                <w:u w:val="none"/>
              </w:rPr>
              <w:t>根据</w:t>
            </w:r>
            <w:r>
              <w:rPr>
                <w:rFonts w:hint="eastAsia"/>
                <w:color w:val="auto"/>
                <w:sz w:val="24"/>
                <w:szCs w:val="24"/>
                <w:u w:val="none"/>
              </w:rPr>
              <w:t>《大气污染物综合排放标准》（GB16297-1996）</w:t>
            </w:r>
            <w:r>
              <w:rPr>
                <w:rFonts w:hint="eastAsia" w:hAnsi="宋体"/>
                <w:color w:val="auto"/>
                <w:sz w:val="24"/>
                <w:szCs w:val="24"/>
                <w:u w:val="none"/>
              </w:rPr>
              <w:t>中</w:t>
            </w:r>
            <w:r>
              <w:rPr>
                <w:rFonts w:hint="eastAsia" w:hAnsi="宋体"/>
                <w:color w:val="auto"/>
                <w:sz w:val="24"/>
                <w:szCs w:val="24"/>
                <w:u w:val="none"/>
                <w:lang w:val="en-US" w:eastAsia="zh-CN"/>
              </w:rPr>
              <w:t>相关要求</w:t>
            </w:r>
            <w:r>
              <w:rPr>
                <w:color w:val="auto"/>
                <w:sz w:val="24"/>
                <w:szCs w:val="24"/>
                <w:u w:val="none"/>
              </w:rPr>
              <w:t>，</w:t>
            </w:r>
            <w:r>
              <w:rPr>
                <w:rFonts w:hint="eastAsia"/>
                <w:color w:val="auto"/>
                <w:sz w:val="24"/>
                <w:szCs w:val="24"/>
                <w:u w:val="none"/>
              </w:rPr>
              <w:t>本项目排气筒高度不得低于15m，</w:t>
            </w:r>
            <w:r>
              <w:rPr>
                <w:rFonts w:hint="eastAsia"/>
                <w:color w:val="auto"/>
                <w:sz w:val="24"/>
                <w:szCs w:val="24"/>
                <w:u w:val="none"/>
                <w:lang w:val="en-US" w:eastAsia="zh-CN"/>
              </w:rPr>
              <w:t>且必须高于200m半径范围的建筑5m以上。本项目位于工业园内，200m范围内基本为厂房，其中最高楼高度约为9m，本环评要</w:t>
            </w:r>
            <w:r>
              <w:rPr>
                <w:rFonts w:hint="eastAsia"/>
                <w:color w:val="auto"/>
                <w:sz w:val="24"/>
                <w:szCs w:val="24"/>
                <w:u w:val="none"/>
              </w:rPr>
              <w:t>排气筒</w:t>
            </w:r>
            <w:r>
              <w:rPr>
                <w:rFonts w:hint="eastAsia"/>
                <w:color w:val="auto"/>
                <w:sz w:val="24"/>
                <w:szCs w:val="24"/>
                <w:u w:val="none"/>
                <w:lang w:val="en-US" w:eastAsia="zh-CN"/>
              </w:rPr>
              <w:t>DA001</w:t>
            </w:r>
            <w:r>
              <w:rPr>
                <w:rFonts w:hint="eastAsia"/>
                <w:color w:val="auto"/>
                <w:sz w:val="24"/>
                <w:szCs w:val="24"/>
                <w:u w:val="none"/>
              </w:rPr>
              <w:t>高度</w:t>
            </w:r>
            <w:r>
              <w:rPr>
                <w:rFonts w:hint="eastAsia"/>
                <w:color w:val="auto"/>
                <w:sz w:val="24"/>
                <w:szCs w:val="24"/>
                <w:u w:val="none"/>
                <w:lang w:val="en-US" w:eastAsia="zh-CN"/>
              </w:rPr>
              <w:t>为15</w:t>
            </w:r>
            <w:r>
              <w:rPr>
                <w:rFonts w:hint="eastAsia"/>
                <w:color w:val="auto"/>
                <w:sz w:val="24"/>
                <w:szCs w:val="24"/>
                <w:u w:val="none"/>
              </w:rPr>
              <w:t>m，可达到标准要求。</w:t>
            </w:r>
          </w:p>
          <w:p w14:paraId="1F3B418F">
            <w:pPr>
              <w:pStyle w:val="62"/>
              <w:wordWrap w:val="0"/>
              <w:snapToGrid w:val="0"/>
              <w:spacing w:line="360" w:lineRule="auto"/>
              <w:ind w:firstLine="480" w:firstLineChars="200"/>
              <w:jc w:val="left"/>
              <w:rPr>
                <w:kern w:val="0"/>
                <w:u w:val="none"/>
              </w:rPr>
            </w:pPr>
            <w:r>
              <w:rPr>
                <w:rFonts w:hint="eastAsia"/>
                <w:kern w:val="0"/>
                <w:u w:val="none"/>
              </w:rPr>
              <w:t>（</w:t>
            </w:r>
            <w:r>
              <w:rPr>
                <w:rFonts w:hint="eastAsia"/>
                <w:kern w:val="0"/>
                <w:u w:val="none"/>
                <w:lang w:val="en-US" w:eastAsia="zh-CN"/>
              </w:rPr>
              <w:t>6</w:t>
            </w:r>
            <w:r>
              <w:rPr>
                <w:rFonts w:hint="eastAsia"/>
                <w:kern w:val="0"/>
                <w:u w:val="none"/>
              </w:rPr>
              <w:t>）</w:t>
            </w:r>
            <w:r>
              <w:rPr>
                <w:kern w:val="0"/>
                <w:u w:val="none"/>
              </w:rPr>
              <w:t>大气环境影响评价结论</w:t>
            </w:r>
          </w:p>
          <w:p w14:paraId="04CFB591">
            <w:pPr>
              <w:spacing w:line="360" w:lineRule="auto"/>
              <w:ind w:firstLine="480" w:firstLineChars="200"/>
              <w:rPr>
                <w:u w:val="none"/>
              </w:rPr>
            </w:pPr>
            <w:r>
              <w:rPr>
                <w:rFonts w:hint="eastAsia"/>
                <w:u w:val="none"/>
              </w:rPr>
              <w:t>本项目位于</w:t>
            </w:r>
            <w:r>
              <w:rPr>
                <w:rFonts w:hint="eastAsia"/>
                <w:u w:val="none"/>
                <w:lang w:val="en-US" w:eastAsia="zh-CN"/>
              </w:rPr>
              <w:t>岳阳市</w:t>
            </w:r>
            <w:r>
              <w:rPr>
                <w:rFonts w:hint="eastAsia"/>
                <w:u w:val="none"/>
              </w:rPr>
              <w:t>，为空气质量达标区。本项目主要的大气污染物为</w:t>
            </w:r>
            <w:r>
              <w:rPr>
                <w:rFonts w:hint="eastAsia"/>
                <w:u w:val="none"/>
                <w:lang w:val="en-US" w:eastAsia="zh-CN"/>
              </w:rPr>
              <w:t>NMHC</w:t>
            </w:r>
            <w:r>
              <w:rPr>
                <w:rFonts w:hint="eastAsia"/>
                <w:u w:val="none"/>
              </w:rPr>
              <w:t>，经</w:t>
            </w:r>
            <w:r>
              <w:rPr>
                <w:rFonts w:hint="eastAsia"/>
                <w:u w:val="none"/>
                <w:lang w:val="en-US" w:eastAsia="zh-CN"/>
              </w:rPr>
              <w:t>二级活性炭以及加强通风等措施处理后</w:t>
            </w:r>
            <w:r>
              <w:rPr>
                <w:rFonts w:hint="eastAsia"/>
                <w:u w:val="none"/>
              </w:rPr>
              <w:t>，其排放浓度</w:t>
            </w:r>
            <w:r>
              <w:rPr>
                <w:rFonts w:hint="eastAsia"/>
                <w:u w:val="none"/>
                <w:lang w:val="en-US" w:eastAsia="zh-CN"/>
              </w:rPr>
              <w:t>均</w:t>
            </w:r>
            <w:r>
              <w:rPr>
                <w:rFonts w:hint="eastAsia"/>
                <w:u w:val="none"/>
              </w:rPr>
              <w:t>可满足《大气污染物综合排放标准》（GB16297-1996）</w:t>
            </w:r>
            <w:r>
              <w:rPr>
                <w:rFonts w:hint="eastAsia"/>
                <w:u w:val="none"/>
                <w:lang w:val="en-US" w:eastAsia="zh-CN"/>
              </w:rPr>
              <w:t>以及</w:t>
            </w:r>
            <w:r>
              <w:rPr>
                <w:rFonts w:hint="eastAsia"/>
                <w:u w:val="none"/>
              </w:rPr>
              <w:t>《挥发性有机物无组织排放控制标准》（GB 37822—2019）中相关标准要求。</w:t>
            </w:r>
          </w:p>
          <w:p w14:paraId="73659F9F">
            <w:pPr>
              <w:pStyle w:val="12"/>
              <w:spacing w:before="0" w:after="0" w:line="360" w:lineRule="auto"/>
              <w:ind w:right="0" w:firstLine="480" w:firstLineChars="200"/>
              <w:rPr>
                <w:kern w:val="2"/>
                <w:sz w:val="24"/>
                <w:szCs w:val="24"/>
                <w:u w:val="none"/>
              </w:rPr>
            </w:pPr>
            <w:r>
              <w:rPr>
                <w:kern w:val="2"/>
                <w:sz w:val="24"/>
                <w:szCs w:val="24"/>
                <w:u w:val="none"/>
              </w:rPr>
              <w:t>项目运营后对所在区域环境影响较小，不会对周边环境产生明显影响，也不会改变区域大气环境级别。综上分析，项目大气环境影响可接受。</w:t>
            </w:r>
          </w:p>
          <w:p w14:paraId="396252E6">
            <w:pPr>
              <w:pStyle w:val="12"/>
              <w:spacing w:before="0" w:after="0" w:line="360" w:lineRule="auto"/>
              <w:ind w:right="0" w:firstLine="482" w:firstLineChars="200"/>
              <w:rPr>
                <w:b/>
                <w:bCs/>
                <w:color w:val="000000"/>
                <w:sz w:val="24"/>
                <w:u w:val="none"/>
              </w:rPr>
            </w:pPr>
            <w:r>
              <w:rPr>
                <w:rFonts w:hint="eastAsia"/>
                <w:b/>
                <w:bCs/>
                <w:color w:val="000000"/>
                <w:sz w:val="24"/>
                <w:u w:val="none"/>
              </w:rPr>
              <w:t>3、监测要求</w:t>
            </w:r>
          </w:p>
          <w:p w14:paraId="6035C5D5">
            <w:pPr>
              <w:pStyle w:val="97"/>
              <w:spacing w:line="360" w:lineRule="auto"/>
              <w:ind w:firstLine="480"/>
              <w:rPr>
                <w:rFonts w:ascii="Times New Roman" w:hAnsi="Times New Roman"/>
                <w:u w:val="none"/>
              </w:rPr>
            </w:pPr>
            <w:r>
              <w:rPr>
                <w:rFonts w:ascii="Times New Roman" w:hAnsi="Times New Roman"/>
                <w:u w:val="none"/>
              </w:rPr>
              <w:t>根据《排污单位自行监测技术指南—总则》（HJ819-2017）</w:t>
            </w:r>
            <w:r>
              <w:rPr>
                <w:rFonts w:hint="eastAsia" w:ascii="Times New Roman" w:hAnsi="Times New Roman"/>
                <w:u w:val="none"/>
                <w:lang w:val="en-US" w:eastAsia="zh-CN"/>
              </w:rPr>
              <w:t>以及《</w:t>
            </w:r>
            <w:r>
              <w:rPr>
                <w:rFonts w:hint="eastAsia" w:ascii="Times New Roman" w:hAnsi="Times New Roman"/>
                <w:u w:val="none"/>
              </w:rPr>
              <w:t>排污许可证申请与核发技术规范 废弃资源加工工业</w:t>
            </w:r>
            <w:r>
              <w:rPr>
                <w:rFonts w:hint="eastAsia" w:ascii="Times New Roman" w:hAnsi="Times New Roman"/>
                <w:u w:val="none"/>
                <w:lang w:val="en-US" w:eastAsia="zh-CN"/>
              </w:rPr>
              <w:t>》</w:t>
            </w:r>
            <w:r>
              <w:rPr>
                <w:rFonts w:hint="eastAsia" w:ascii="Times New Roman" w:hAnsi="Times New Roman"/>
                <w:u w:val="none"/>
              </w:rPr>
              <w:t>（HJ 1034—2019）</w:t>
            </w:r>
            <w:r>
              <w:rPr>
                <w:rFonts w:ascii="Times New Roman" w:hAnsi="Times New Roman"/>
                <w:u w:val="none"/>
              </w:rPr>
              <w:t>等标准规定的排放口及污染物最低频次提出本环评建议的</w:t>
            </w:r>
            <w:r>
              <w:rPr>
                <w:rFonts w:hint="eastAsia" w:ascii="Times New Roman" w:hAnsi="Times New Roman"/>
                <w:u w:val="none"/>
              </w:rPr>
              <w:t>废气</w:t>
            </w:r>
            <w:r>
              <w:rPr>
                <w:rFonts w:ascii="Times New Roman" w:hAnsi="Times New Roman"/>
                <w:u w:val="none"/>
              </w:rPr>
              <w:t>监测计划</w:t>
            </w:r>
            <w:r>
              <w:rPr>
                <w:rFonts w:hint="eastAsia" w:ascii="Times New Roman" w:hAnsi="Times New Roman"/>
                <w:u w:val="none"/>
              </w:rPr>
              <w:t>。</w:t>
            </w:r>
          </w:p>
          <w:p w14:paraId="51A1FC04">
            <w:pPr>
              <w:jc w:val="center"/>
              <w:rPr>
                <w:b/>
                <w:bCs/>
                <w:u w:val="none"/>
              </w:rPr>
            </w:pPr>
            <w:r>
              <w:rPr>
                <w:rFonts w:hint="eastAsia"/>
                <w:b/>
                <w:bCs/>
                <w:u w:val="none"/>
              </w:rPr>
              <w:t>表4-</w:t>
            </w:r>
            <w:r>
              <w:rPr>
                <w:rFonts w:hint="eastAsia"/>
                <w:b/>
                <w:bCs/>
                <w:u w:val="none"/>
                <w:lang w:val="en-US" w:eastAsia="zh-CN"/>
              </w:rPr>
              <w:t>7</w:t>
            </w:r>
            <w:r>
              <w:rPr>
                <w:rFonts w:hint="eastAsia"/>
                <w:b/>
                <w:bCs/>
                <w:u w:val="none"/>
              </w:rPr>
              <w:t xml:space="preserve">  废气监测方案表</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604"/>
              <w:gridCol w:w="3436"/>
              <w:gridCol w:w="1410"/>
            </w:tblGrid>
            <w:tr w14:paraId="362C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9" w:type="pct"/>
                  <w:vAlign w:val="center"/>
                </w:tcPr>
                <w:p w14:paraId="30E26DB3">
                  <w:pPr>
                    <w:jc w:val="center"/>
                    <w:rPr>
                      <w:b/>
                      <w:bCs/>
                      <w:u w:val="none"/>
                    </w:rPr>
                  </w:pPr>
                  <w:r>
                    <w:rPr>
                      <w:sz w:val="21"/>
                      <w:szCs w:val="21"/>
                      <w:u w:val="none"/>
                    </w:rPr>
                    <w:t>项目</w:t>
                  </w:r>
                </w:p>
              </w:tc>
              <w:tc>
                <w:tcPr>
                  <w:tcW w:w="982" w:type="pct"/>
                  <w:vAlign w:val="center"/>
                </w:tcPr>
                <w:p w14:paraId="30DF1718">
                  <w:pPr>
                    <w:jc w:val="center"/>
                    <w:rPr>
                      <w:b/>
                      <w:bCs/>
                      <w:u w:val="none"/>
                    </w:rPr>
                  </w:pPr>
                  <w:r>
                    <w:rPr>
                      <w:sz w:val="21"/>
                      <w:szCs w:val="21"/>
                      <w:u w:val="none"/>
                    </w:rPr>
                    <w:t>监测点位</w:t>
                  </w:r>
                </w:p>
              </w:tc>
              <w:tc>
                <w:tcPr>
                  <w:tcW w:w="2104" w:type="pct"/>
                  <w:vAlign w:val="center"/>
                </w:tcPr>
                <w:p w14:paraId="402A2BF6">
                  <w:pPr>
                    <w:jc w:val="center"/>
                    <w:rPr>
                      <w:b/>
                      <w:bCs/>
                      <w:u w:val="none"/>
                    </w:rPr>
                  </w:pPr>
                  <w:r>
                    <w:rPr>
                      <w:sz w:val="21"/>
                      <w:szCs w:val="21"/>
                      <w:u w:val="none"/>
                    </w:rPr>
                    <w:t>监测</w:t>
                  </w:r>
                  <w:r>
                    <w:rPr>
                      <w:rFonts w:hint="eastAsia"/>
                      <w:sz w:val="21"/>
                      <w:szCs w:val="21"/>
                      <w:u w:val="none"/>
                    </w:rPr>
                    <w:t>因子</w:t>
                  </w:r>
                </w:p>
              </w:tc>
              <w:tc>
                <w:tcPr>
                  <w:tcW w:w="863" w:type="pct"/>
                  <w:vAlign w:val="center"/>
                </w:tcPr>
                <w:p w14:paraId="0B9A8BA7">
                  <w:pPr>
                    <w:jc w:val="center"/>
                    <w:rPr>
                      <w:b/>
                      <w:bCs/>
                      <w:u w:val="none"/>
                    </w:rPr>
                  </w:pPr>
                  <w:r>
                    <w:rPr>
                      <w:sz w:val="21"/>
                      <w:szCs w:val="21"/>
                      <w:u w:val="none"/>
                    </w:rPr>
                    <w:t>监测频次</w:t>
                  </w:r>
                </w:p>
              </w:tc>
            </w:tr>
            <w:tr w14:paraId="0603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9" w:type="pct"/>
                  <w:vMerge w:val="restart"/>
                  <w:vAlign w:val="center"/>
                </w:tcPr>
                <w:p w14:paraId="016551D4">
                  <w:pPr>
                    <w:jc w:val="center"/>
                    <w:rPr>
                      <w:b/>
                      <w:bCs/>
                      <w:u w:val="none"/>
                    </w:rPr>
                  </w:pPr>
                  <w:r>
                    <w:rPr>
                      <w:sz w:val="21"/>
                      <w:szCs w:val="21"/>
                      <w:u w:val="none"/>
                    </w:rPr>
                    <w:t>废气</w:t>
                  </w:r>
                </w:p>
              </w:tc>
              <w:tc>
                <w:tcPr>
                  <w:tcW w:w="982" w:type="pct"/>
                  <w:vAlign w:val="center"/>
                </w:tcPr>
                <w:p w14:paraId="1A49B224">
                  <w:pPr>
                    <w:jc w:val="center"/>
                    <w:rPr>
                      <w:rFonts w:hint="default"/>
                      <w:sz w:val="21"/>
                      <w:szCs w:val="21"/>
                      <w:u w:val="none"/>
                      <w:lang w:val="en-US" w:eastAsia="zh-CN"/>
                    </w:rPr>
                  </w:pPr>
                  <w:r>
                    <w:rPr>
                      <w:rFonts w:hint="eastAsia"/>
                      <w:sz w:val="21"/>
                      <w:szCs w:val="21"/>
                      <w:u w:val="none"/>
                      <w:lang w:val="en-US" w:eastAsia="zh-CN"/>
                    </w:rPr>
                    <w:t>有组织</w:t>
                  </w:r>
                </w:p>
              </w:tc>
              <w:tc>
                <w:tcPr>
                  <w:tcW w:w="2104" w:type="pct"/>
                  <w:vMerge w:val="restart"/>
                  <w:vAlign w:val="center"/>
                </w:tcPr>
                <w:p w14:paraId="0C7930B3">
                  <w:pPr>
                    <w:jc w:val="center"/>
                    <w:rPr>
                      <w:rFonts w:hint="default" w:ascii="Times New Roman" w:hAnsi="Times New Roman" w:eastAsia="宋体" w:cs="Times New Roman"/>
                      <w:kern w:val="2"/>
                      <w:sz w:val="21"/>
                      <w:szCs w:val="21"/>
                      <w:u w:val="none"/>
                      <w:lang w:val="en-US" w:eastAsia="zh-CN" w:bidi="ar-SA"/>
                    </w:rPr>
                  </w:pPr>
                  <w:r>
                    <w:rPr>
                      <w:rFonts w:hint="eastAsia"/>
                      <w:sz w:val="21"/>
                      <w:szCs w:val="21"/>
                      <w:u w:val="none"/>
                      <w:lang w:val="en-US" w:eastAsia="zh-CN"/>
                    </w:rPr>
                    <w:t>NMHC</w:t>
                  </w:r>
                  <w:r>
                    <w:rPr>
                      <w:rFonts w:hint="eastAsia"/>
                      <w:sz w:val="21"/>
                      <w:szCs w:val="21"/>
                      <w:lang w:val="en-US" w:eastAsia="zh-CN"/>
                    </w:rPr>
                    <w:t>、臭气浓度</w:t>
                  </w:r>
                </w:p>
              </w:tc>
              <w:tc>
                <w:tcPr>
                  <w:tcW w:w="863" w:type="pct"/>
                  <w:vMerge w:val="restart"/>
                  <w:vAlign w:val="center"/>
                </w:tcPr>
                <w:p w14:paraId="23750989">
                  <w:pPr>
                    <w:jc w:val="center"/>
                    <w:rPr>
                      <w:b/>
                      <w:bCs/>
                      <w:sz w:val="21"/>
                      <w:szCs w:val="21"/>
                      <w:u w:val="none"/>
                    </w:rPr>
                  </w:pPr>
                  <w:r>
                    <w:rPr>
                      <w:sz w:val="21"/>
                      <w:szCs w:val="21"/>
                      <w:u w:val="none"/>
                    </w:rPr>
                    <w:t>1次/</w:t>
                  </w:r>
                  <w:r>
                    <w:rPr>
                      <w:rFonts w:hint="eastAsia"/>
                      <w:sz w:val="21"/>
                      <w:szCs w:val="21"/>
                      <w:u w:val="none"/>
                    </w:rPr>
                    <w:t>年</w:t>
                  </w:r>
                </w:p>
              </w:tc>
            </w:tr>
            <w:tr w14:paraId="684A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9" w:type="pct"/>
                  <w:vMerge w:val="continue"/>
                  <w:vAlign w:val="center"/>
                </w:tcPr>
                <w:p w14:paraId="2CFAFC25">
                  <w:pPr>
                    <w:jc w:val="center"/>
                    <w:rPr>
                      <w:b/>
                      <w:bCs/>
                      <w:u w:val="none"/>
                    </w:rPr>
                  </w:pPr>
                </w:p>
              </w:tc>
              <w:tc>
                <w:tcPr>
                  <w:tcW w:w="982" w:type="pct"/>
                  <w:shd w:val="clear" w:color="auto" w:fill="auto"/>
                  <w:vAlign w:val="center"/>
                </w:tcPr>
                <w:p w14:paraId="6BD97414">
                  <w:pPr>
                    <w:jc w:val="center"/>
                    <w:rPr>
                      <w:rFonts w:hint="default" w:ascii="Times New Roman" w:hAnsi="Times New Roman" w:eastAsia="宋体" w:cs="Times New Roman"/>
                      <w:kern w:val="2"/>
                      <w:sz w:val="21"/>
                      <w:szCs w:val="21"/>
                      <w:u w:val="none"/>
                      <w:lang w:val="en-US" w:eastAsia="zh-CN" w:bidi="ar-SA"/>
                    </w:rPr>
                  </w:pPr>
                  <w:r>
                    <w:rPr>
                      <w:sz w:val="21"/>
                      <w:szCs w:val="21"/>
                      <w:u w:val="none"/>
                    </w:rPr>
                    <w:t>厂界</w:t>
                  </w:r>
                </w:p>
              </w:tc>
              <w:tc>
                <w:tcPr>
                  <w:tcW w:w="2104" w:type="pct"/>
                  <w:vMerge w:val="continue"/>
                  <w:shd w:val="clear" w:color="auto" w:fill="auto"/>
                  <w:vAlign w:val="center"/>
                </w:tcPr>
                <w:p w14:paraId="40483CB1">
                  <w:pPr>
                    <w:jc w:val="center"/>
                    <w:rPr>
                      <w:rFonts w:hint="default" w:ascii="Times New Roman" w:hAnsi="Times New Roman" w:eastAsia="宋体" w:cs="Times New Roman"/>
                      <w:kern w:val="2"/>
                      <w:sz w:val="21"/>
                      <w:szCs w:val="21"/>
                      <w:u w:val="none"/>
                      <w:lang w:val="en-US" w:eastAsia="zh-CN" w:bidi="ar-SA"/>
                    </w:rPr>
                  </w:pPr>
                </w:p>
              </w:tc>
              <w:tc>
                <w:tcPr>
                  <w:tcW w:w="863" w:type="pct"/>
                  <w:vMerge w:val="continue"/>
                  <w:vAlign w:val="center"/>
                </w:tcPr>
                <w:p w14:paraId="5B0036DE">
                  <w:pPr>
                    <w:jc w:val="center"/>
                    <w:rPr>
                      <w:b/>
                      <w:bCs/>
                      <w:sz w:val="21"/>
                      <w:szCs w:val="21"/>
                      <w:u w:val="none"/>
                    </w:rPr>
                  </w:pPr>
                </w:p>
              </w:tc>
            </w:tr>
            <w:tr w14:paraId="40BC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9" w:type="pct"/>
                  <w:vMerge w:val="continue"/>
                  <w:vAlign w:val="center"/>
                </w:tcPr>
                <w:p w14:paraId="1DE27A44">
                  <w:pPr>
                    <w:jc w:val="center"/>
                    <w:rPr>
                      <w:b/>
                      <w:bCs/>
                      <w:u w:val="none"/>
                    </w:rPr>
                  </w:pPr>
                </w:p>
              </w:tc>
              <w:tc>
                <w:tcPr>
                  <w:tcW w:w="982" w:type="pct"/>
                  <w:shd w:val="clear" w:color="auto" w:fill="auto"/>
                  <w:vAlign w:val="center"/>
                </w:tcPr>
                <w:p w14:paraId="5709E723">
                  <w:pPr>
                    <w:jc w:val="center"/>
                    <w:rPr>
                      <w:rFonts w:hint="default" w:ascii="Times New Roman" w:hAnsi="Times New Roman" w:eastAsia="宋体" w:cs="Times New Roman"/>
                      <w:kern w:val="2"/>
                      <w:sz w:val="21"/>
                      <w:szCs w:val="21"/>
                      <w:u w:val="none"/>
                      <w:lang w:val="en-US" w:eastAsia="zh-CN" w:bidi="ar-SA"/>
                    </w:rPr>
                  </w:pPr>
                  <w:r>
                    <w:rPr>
                      <w:rFonts w:hint="eastAsia"/>
                      <w:sz w:val="21"/>
                      <w:szCs w:val="21"/>
                      <w:u w:val="none"/>
                      <w:lang w:val="en-US" w:eastAsia="zh-CN"/>
                    </w:rPr>
                    <w:t>厂房外</w:t>
                  </w:r>
                </w:p>
              </w:tc>
              <w:tc>
                <w:tcPr>
                  <w:tcW w:w="2104" w:type="pct"/>
                  <w:shd w:val="clear" w:color="auto" w:fill="auto"/>
                  <w:vAlign w:val="center"/>
                </w:tcPr>
                <w:p w14:paraId="0974E7E9">
                  <w:pPr>
                    <w:jc w:val="center"/>
                    <w:rPr>
                      <w:rFonts w:hint="default" w:ascii="Times New Roman" w:hAnsi="Times New Roman" w:eastAsia="宋体" w:cs="Times New Roman"/>
                      <w:kern w:val="2"/>
                      <w:sz w:val="21"/>
                      <w:szCs w:val="21"/>
                      <w:u w:val="none"/>
                      <w:lang w:val="en-US" w:eastAsia="zh-CN" w:bidi="ar-SA"/>
                    </w:rPr>
                  </w:pPr>
                  <w:r>
                    <w:rPr>
                      <w:rFonts w:hint="eastAsia"/>
                      <w:sz w:val="21"/>
                      <w:szCs w:val="21"/>
                      <w:u w:val="none"/>
                      <w:lang w:val="en-US" w:eastAsia="zh-CN"/>
                    </w:rPr>
                    <w:t>NMHC</w:t>
                  </w:r>
                </w:p>
              </w:tc>
              <w:tc>
                <w:tcPr>
                  <w:tcW w:w="863" w:type="pct"/>
                  <w:vMerge w:val="continue"/>
                  <w:vAlign w:val="center"/>
                </w:tcPr>
                <w:p w14:paraId="40F4D552">
                  <w:pPr>
                    <w:jc w:val="center"/>
                    <w:rPr>
                      <w:b/>
                      <w:bCs/>
                      <w:u w:val="none"/>
                    </w:rPr>
                  </w:pPr>
                </w:p>
              </w:tc>
            </w:tr>
          </w:tbl>
          <w:p w14:paraId="6CCCF563">
            <w:pPr>
              <w:pStyle w:val="41"/>
              <w:spacing w:line="360" w:lineRule="auto"/>
              <w:ind w:left="0" w:leftChars="0" w:firstLine="0" w:firstLineChars="0"/>
              <w:rPr>
                <w:rFonts w:ascii="Times New Roman"/>
                <w:b/>
                <w:bCs/>
                <w:color w:val="auto"/>
                <w:sz w:val="24"/>
                <w:szCs w:val="24"/>
              </w:rPr>
            </w:pPr>
            <w:r>
              <w:rPr>
                <w:rFonts w:hint="eastAsia" w:ascii="Times New Roman"/>
                <w:b/>
                <w:bCs/>
                <w:color w:val="auto"/>
                <w:sz w:val="24"/>
                <w:szCs w:val="24"/>
              </w:rPr>
              <w:t>二、</w:t>
            </w:r>
            <w:r>
              <w:rPr>
                <w:rFonts w:ascii="Times New Roman"/>
                <w:b/>
                <w:bCs/>
                <w:color w:val="auto"/>
                <w:sz w:val="24"/>
                <w:szCs w:val="24"/>
              </w:rPr>
              <w:t>水环境影响分析</w:t>
            </w:r>
            <w:r>
              <w:rPr>
                <w:rFonts w:hint="eastAsia" w:ascii="Times New Roman"/>
                <w:b/>
                <w:bCs/>
                <w:sz w:val="24"/>
                <w:szCs w:val="24"/>
              </w:rPr>
              <w:t>和保护措施</w:t>
            </w:r>
          </w:p>
          <w:p w14:paraId="6F570F27">
            <w:pPr>
              <w:pStyle w:val="97"/>
              <w:spacing w:line="360" w:lineRule="auto"/>
              <w:ind w:firstLine="482"/>
              <w:rPr>
                <w:rFonts w:ascii="Times New Roman" w:hAnsi="Times New Roman"/>
                <w:b/>
                <w:bCs/>
                <w:u w:val="none"/>
              </w:rPr>
            </w:pPr>
            <w:r>
              <w:rPr>
                <w:rFonts w:hint="eastAsia" w:ascii="Times New Roman" w:hAnsi="Times New Roman"/>
                <w:b/>
                <w:bCs/>
                <w:u w:val="none"/>
              </w:rPr>
              <w:t>1、废水源强分析</w:t>
            </w:r>
          </w:p>
          <w:p w14:paraId="08075149">
            <w:pPr>
              <w:pStyle w:val="97"/>
              <w:spacing w:line="360" w:lineRule="auto"/>
              <w:ind w:firstLine="480"/>
              <w:rPr>
                <w:rFonts w:ascii="Times New Roman" w:hAnsi="Times New Roman"/>
                <w:u w:val="none"/>
              </w:rPr>
            </w:pPr>
            <w:r>
              <w:rPr>
                <w:rFonts w:hint="default" w:ascii="Times New Roman" w:hAnsi="Times New Roman"/>
                <w:u w:val="none"/>
              </w:rPr>
              <w:t>本项目的废水主要为生活废水</w:t>
            </w:r>
            <w:r>
              <w:rPr>
                <w:rFonts w:hint="eastAsia" w:ascii="Times New Roman" w:hAnsi="Times New Roman"/>
                <w:u w:val="none"/>
                <w:lang w:val="en-US" w:eastAsia="zh-CN"/>
              </w:rPr>
              <w:t>以及冷凝水</w:t>
            </w:r>
            <w:r>
              <w:rPr>
                <w:rFonts w:hint="default" w:ascii="Times New Roman" w:hAnsi="Times New Roman"/>
                <w:u w:val="none"/>
              </w:rPr>
              <w:t>。</w:t>
            </w:r>
            <w:r>
              <w:rPr>
                <w:rFonts w:hint="eastAsia" w:ascii="Times New Roman" w:hAnsi="Times New Roman"/>
                <w:u w:val="none"/>
                <w:lang w:val="en-US" w:eastAsia="zh-CN"/>
              </w:rPr>
              <w:t>根据上文“2.5 公用工程”可知，</w:t>
            </w:r>
            <w:r>
              <w:rPr>
                <w:rFonts w:hint="default" w:ascii="Times New Roman" w:hAnsi="Times New Roman"/>
                <w:u w:val="none"/>
              </w:rPr>
              <w:t>本项目冷凝水</w:t>
            </w:r>
            <w:r>
              <w:rPr>
                <w:rFonts w:hint="eastAsia" w:ascii="Times New Roman" w:hAnsi="Times New Roman"/>
                <w:u w:val="none"/>
                <w:lang w:val="en-US" w:eastAsia="zh-CN"/>
              </w:rPr>
              <w:t>产生量</w:t>
            </w:r>
            <w:r>
              <w:rPr>
                <w:rFonts w:hint="default" w:ascii="Times New Roman" w:hAnsi="Times New Roman"/>
                <w:u w:val="none"/>
              </w:rPr>
              <w:t>为5200t/a，排入岳阳市三峡水环境综合治理有限责任公司临港水质净化厂进行处理。</w:t>
            </w:r>
          </w:p>
          <w:p w14:paraId="391BD5BB">
            <w:pPr>
              <w:pStyle w:val="97"/>
              <w:spacing w:line="360" w:lineRule="auto"/>
              <w:ind w:firstLine="480"/>
              <w:rPr>
                <w:rFonts w:ascii="Times New Roman" w:hAnsi="Times New Roman"/>
                <w:color w:val="000000"/>
                <w:u w:val="none"/>
              </w:rPr>
            </w:pPr>
            <w:r>
              <w:rPr>
                <w:rFonts w:hint="eastAsia" w:ascii="Times New Roman" w:hAnsi="Times New Roman"/>
                <w:u w:val="none"/>
                <w:lang w:val="en-US" w:eastAsia="zh-CN"/>
              </w:rPr>
              <w:t>根据上文“2.5 公用工程”可知，</w:t>
            </w:r>
            <w:r>
              <w:rPr>
                <w:rFonts w:hint="eastAsia" w:ascii="Times New Roman" w:hAnsi="Times New Roman"/>
                <w:u w:val="none"/>
              </w:rPr>
              <w:t>本项目生活废水产生量为</w:t>
            </w:r>
            <w:r>
              <w:rPr>
                <w:rFonts w:hint="eastAsia" w:ascii="Times New Roman" w:hAnsi="Times New Roman"/>
                <w:u w:val="none"/>
                <w:lang w:val="en-US" w:eastAsia="zh-CN"/>
              </w:rPr>
              <w:t>273.6</w:t>
            </w:r>
            <w:r>
              <w:rPr>
                <w:rFonts w:hint="eastAsia" w:ascii="Times New Roman" w:hAnsi="Times New Roman"/>
                <w:u w:val="none"/>
              </w:rPr>
              <w:t>m</w:t>
            </w:r>
            <w:r>
              <w:rPr>
                <w:rFonts w:hint="eastAsia" w:ascii="Times New Roman" w:hAnsi="Times New Roman"/>
                <w:u w:val="none"/>
                <w:vertAlign w:val="superscript"/>
              </w:rPr>
              <w:t>3</w:t>
            </w:r>
            <w:r>
              <w:rPr>
                <w:rFonts w:hint="eastAsia" w:ascii="Times New Roman" w:hAnsi="Times New Roman"/>
                <w:u w:val="none"/>
              </w:rPr>
              <w:t>/a，其主要的污染物为COD、BOD</w:t>
            </w:r>
            <w:r>
              <w:rPr>
                <w:rFonts w:hint="eastAsia" w:ascii="Times New Roman" w:hAnsi="Times New Roman"/>
                <w:u w:val="none"/>
                <w:vertAlign w:val="subscript"/>
              </w:rPr>
              <w:t>5</w:t>
            </w:r>
            <w:r>
              <w:rPr>
                <w:rFonts w:hint="eastAsia" w:ascii="Times New Roman" w:hAnsi="Times New Roman"/>
                <w:u w:val="none"/>
              </w:rPr>
              <w:t>、悬浮物、氨氮</w:t>
            </w:r>
            <w:r>
              <w:rPr>
                <w:rFonts w:hint="eastAsia" w:ascii="Times New Roman" w:hAnsi="Times New Roman"/>
                <w:u w:val="none"/>
                <w:lang w:eastAsia="zh-CN"/>
              </w:rPr>
              <w:t>、</w:t>
            </w:r>
            <w:r>
              <w:rPr>
                <w:rFonts w:hint="eastAsia" w:ascii="Times New Roman" w:hAnsi="Times New Roman"/>
                <w:u w:val="none"/>
                <w:lang w:val="en-US" w:eastAsia="zh-CN"/>
              </w:rPr>
              <w:t>总磷</w:t>
            </w:r>
            <w:r>
              <w:rPr>
                <w:rFonts w:hint="eastAsia" w:ascii="Times New Roman" w:hAnsi="Times New Roman"/>
                <w:u w:val="none"/>
              </w:rPr>
              <w:t>，经园区化粪池处理后，通过</w:t>
            </w:r>
            <w:r>
              <w:rPr>
                <w:rFonts w:hint="eastAsia" w:ascii="Times New Roman" w:hAnsi="Times New Roman"/>
                <w:u w:val="none"/>
                <w:lang w:val="en-US" w:eastAsia="zh-CN"/>
              </w:rPr>
              <w:t>园区</w:t>
            </w:r>
            <w:r>
              <w:rPr>
                <w:rFonts w:hint="eastAsia" w:ascii="Times New Roman" w:hAnsi="Times New Roman"/>
                <w:u w:val="none"/>
              </w:rPr>
              <w:t>管网排入</w:t>
            </w:r>
            <w:r>
              <w:rPr>
                <w:rFonts w:hint="eastAsia" w:ascii="Times New Roman" w:hAnsi="Times New Roman"/>
                <w:u w:val="none"/>
                <w:lang w:eastAsia="zh-CN"/>
              </w:rPr>
              <w:t>岳阳市三峡水环境综合治理有限责任公司临港水质净化厂</w:t>
            </w:r>
            <w:r>
              <w:rPr>
                <w:rFonts w:hint="eastAsia" w:ascii="Times New Roman" w:hAnsi="Times New Roman"/>
                <w:u w:val="none"/>
              </w:rPr>
              <w:t>处理。其中COD</w:t>
            </w:r>
            <w:r>
              <w:rPr>
                <w:rFonts w:hint="eastAsia" w:ascii="Times New Roman" w:hAnsi="Times New Roman"/>
                <w:u w:val="none"/>
                <w:vertAlign w:val="subscript"/>
              </w:rPr>
              <w:t>Cr</w:t>
            </w:r>
            <w:r>
              <w:rPr>
                <w:rFonts w:hint="eastAsia" w:ascii="Times New Roman" w:hAnsi="Times New Roman"/>
                <w:u w:val="none"/>
              </w:rPr>
              <w:t>、NH</w:t>
            </w:r>
            <w:r>
              <w:rPr>
                <w:rFonts w:hint="eastAsia" w:ascii="Times New Roman" w:hAnsi="Times New Roman"/>
                <w:u w:val="none"/>
                <w:vertAlign w:val="subscript"/>
              </w:rPr>
              <w:t>3</w:t>
            </w:r>
            <w:r>
              <w:rPr>
                <w:rFonts w:hint="eastAsia" w:ascii="Times New Roman" w:hAnsi="Times New Roman"/>
                <w:u w:val="none"/>
              </w:rPr>
              <w:t>-N、TP、TN参照《排放源统计调查产排污核算方法和系数手册》中“生活污染源产排污系数手册”中“表1-1城镇生活源水污染物产生系数”，BOD</w:t>
            </w:r>
            <w:r>
              <w:rPr>
                <w:rFonts w:hint="eastAsia" w:ascii="Times New Roman" w:hAnsi="Times New Roman"/>
                <w:u w:val="none"/>
                <w:vertAlign w:val="subscript"/>
              </w:rPr>
              <w:t>5</w:t>
            </w:r>
            <w:r>
              <w:rPr>
                <w:rFonts w:hint="eastAsia" w:ascii="Times New Roman" w:hAnsi="Times New Roman"/>
                <w:u w:val="none"/>
              </w:rPr>
              <w:t>、SS参照《排水工程》（第四版下册）中“典型生活污水水质”中“中常浓度”水质参数，项目生活污水产排情况见下表。</w:t>
            </w:r>
            <w:r>
              <w:rPr>
                <w:rFonts w:hint="eastAsia" w:ascii="Times New Roman" w:hAnsi="Times New Roman"/>
                <w:bCs/>
                <w:kern w:val="2"/>
                <w:u w:val="none"/>
              </w:rPr>
              <w:t>生活废水</w:t>
            </w:r>
            <w:r>
              <w:rPr>
                <w:rFonts w:ascii="Times New Roman" w:hAnsi="Times New Roman"/>
                <w:bCs/>
                <w:kern w:val="2"/>
                <w:u w:val="none"/>
              </w:rPr>
              <w:t>污染物排放情况见下表。</w:t>
            </w:r>
          </w:p>
          <w:p w14:paraId="42838A9E">
            <w:pPr>
              <w:autoSpaceDE w:val="0"/>
              <w:autoSpaceDN w:val="0"/>
              <w:adjustRightInd w:val="0"/>
              <w:spacing w:line="259" w:lineRule="auto"/>
              <w:jc w:val="center"/>
              <w:rPr>
                <w:b/>
                <w:bCs/>
                <w:szCs w:val="21"/>
                <w:u w:val="none"/>
              </w:rPr>
            </w:pPr>
            <w:r>
              <w:rPr>
                <w:rFonts w:hint="eastAsia"/>
                <w:b/>
                <w:bCs/>
                <w:u w:val="none"/>
              </w:rPr>
              <w:t>表4-</w:t>
            </w:r>
            <w:r>
              <w:rPr>
                <w:rFonts w:hint="eastAsia"/>
                <w:b/>
                <w:bCs/>
                <w:u w:val="none"/>
                <w:lang w:val="en-US" w:eastAsia="zh-CN"/>
              </w:rPr>
              <w:t>8</w:t>
            </w:r>
            <w:r>
              <w:rPr>
                <w:rFonts w:hint="eastAsia"/>
                <w:b/>
                <w:bCs/>
                <w:u w:val="none"/>
              </w:rPr>
              <w:t xml:space="preserve">  生活废水污染物浓度一览表</w:t>
            </w:r>
          </w:p>
          <w:tbl>
            <w:tblPr>
              <w:tblStyle w:val="31"/>
              <w:tblW w:w="4997"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10"/>
              <w:gridCol w:w="1198"/>
              <w:gridCol w:w="1536"/>
              <w:gridCol w:w="897"/>
              <w:gridCol w:w="792"/>
              <w:gridCol w:w="752"/>
              <w:gridCol w:w="882"/>
              <w:gridCol w:w="981"/>
            </w:tblGrid>
            <w:tr w14:paraId="1656F8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358" w:type="pct"/>
                  <w:gridSpan w:val="3"/>
                  <w:tcBorders>
                    <w:top w:val="single" w:color="auto" w:sz="8" w:space="0"/>
                    <w:left w:val="single" w:color="auto" w:sz="8" w:space="0"/>
                    <w:bottom w:val="single" w:color="auto" w:sz="6" w:space="0"/>
                    <w:right w:val="single" w:color="auto" w:sz="6" w:space="0"/>
                  </w:tcBorders>
                  <w:noWrap w:val="0"/>
                  <w:vAlign w:val="center"/>
                </w:tcPr>
                <w:p w14:paraId="6C0EE2DC">
                  <w:pPr>
                    <w:spacing w:line="259" w:lineRule="auto"/>
                    <w:jc w:val="center"/>
                    <w:rPr>
                      <w:sz w:val="21"/>
                      <w:szCs w:val="21"/>
                    </w:rPr>
                  </w:pPr>
                  <w:r>
                    <w:rPr>
                      <w:sz w:val="21"/>
                      <w:szCs w:val="21"/>
                    </w:rPr>
                    <w:t>废水性质</w:t>
                  </w:r>
                </w:p>
              </w:tc>
              <w:tc>
                <w:tcPr>
                  <w:tcW w:w="550" w:type="pct"/>
                  <w:tcBorders>
                    <w:top w:val="single" w:color="auto" w:sz="8" w:space="0"/>
                    <w:left w:val="single" w:color="auto" w:sz="6" w:space="0"/>
                    <w:bottom w:val="single" w:color="auto" w:sz="6" w:space="0"/>
                    <w:right w:val="single" w:color="auto" w:sz="6" w:space="0"/>
                  </w:tcBorders>
                  <w:noWrap w:val="0"/>
                  <w:vAlign w:val="center"/>
                </w:tcPr>
                <w:p w14:paraId="1151FA28">
                  <w:pPr>
                    <w:spacing w:line="259" w:lineRule="auto"/>
                    <w:jc w:val="center"/>
                    <w:rPr>
                      <w:sz w:val="21"/>
                      <w:szCs w:val="21"/>
                    </w:rPr>
                  </w:pPr>
                  <w:r>
                    <w:rPr>
                      <w:sz w:val="21"/>
                      <w:szCs w:val="21"/>
                    </w:rPr>
                    <w:t>CODcr</w:t>
                  </w:r>
                </w:p>
              </w:tc>
              <w:tc>
                <w:tcPr>
                  <w:tcW w:w="486" w:type="pct"/>
                  <w:tcBorders>
                    <w:top w:val="single" w:color="auto" w:sz="8" w:space="0"/>
                    <w:left w:val="single" w:color="auto" w:sz="6" w:space="0"/>
                    <w:bottom w:val="single" w:color="auto" w:sz="6" w:space="0"/>
                    <w:right w:val="single" w:color="auto" w:sz="6" w:space="0"/>
                  </w:tcBorders>
                  <w:noWrap w:val="0"/>
                  <w:vAlign w:val="center"/>
                </w:tcPr>
                <w:p w14:paraId="4E7048FA">
                  <w:pPr>
                    <w:spacing w:line="259" w:lineRule="auto"/>
                    <w:jc w:val="center"/>
                    <w:rPr>
                      <w:sz w:val="21"/>
                      <w:szCs w:val="21"/>
                    </w:rPr>
                  </w:pPr>
                  <w:r>
                    <w:rPr>
                      <w:sz w:val="21"/>
                      <w:szCs w:val="21"/>
                    </w:rPr>
                    <w:t>BOD</w:t>
                  </w:r>
                  <w:r>
                    <w:rPr>
                      <w:sz w:val="21"/>
                      <w:szCs w:val="21"/>
                      <w:vertAlign w:val="subscript"/>
                    </w:rPr>
                    <w:t>5</w:t>
                  </w:r>
                </w:p>
              </w:tc>
              <w:tc>
                <w:tcPr>
                  <w:tcW w:w="461" w:type="pct"/>
                  <w:tcBorders>
                    <w:top w:val="single" w:color="auto" w:sz="8" w:space="0"/>
                    <w:left w:val="single" w:color="auto" w:sz="6" w:space="0"/>
                    <w:bottom w:val="single" w:color="auto" w:sz="6" w:space="0"/>
                    <w:right w:val="single" w:color="auto" w:sz="6" w:space="0"/>
                  </w:tcBorders>
                  <w:noWrap w:val="0"/>
                  <w:vAlign w:val="center"/>
                </w:tcPr>
                <w:p w14:paraId="7AA5F3EC">
                  <w:pPr>
                    <w:spacing w:line="259" w:lineRule="auto"/>
                    <w:jc w:val="center"/>
                    <w:rPr>
                      <w:color w:val="000000"/>
                      <w:sz w:val="21"/>
                      <w:szCs w:val="21"/>
                    </w:rPr>
                  </w:pPr>
                  <w:r>
                    <w:rPr>
                      <w:sz w:val="21"/>
                      <w:szCs w:val="21"/>
                    </w:rPr>
                    <w:t>SS</w:t>
                  </w:r>
                </w:p>
              </w:tc>
              <w:tc>
                <w:tcPr>
                  <w:tcW w:w="541" w:type="pct"/>
                  <w:tcBorders>
                    <w:top w:val="single" w:color="auto" w:sz="8" w:space="0"/>
                    <w:left w:val="single" w:color="auto" w:sz="6" w:space="0"/>
                    <w:bottom w:val="single" w:color="auto" w:sz="6" w:space="0"/>
                    <w:right w:val="single" w:color="auto" w:sz="6" w:space="0"/>
                  </w:tcBorders>
                  <w:noWrap w:val="0"/>
                  <w:vAlign w:val="center"/>
                </w:tcPr>
                <w:p w14:paraId="564306C3">
                  <w:pPr>
                    <w:spacing w:line="259" w:lineRule="auto"/>
                    <w:jc w:val="center"/>
                    <w:rPr>
                      <w:sz w:val="21"/>
                      <w:szCs w:val="21"/>
                    </w:rPr>
                  </w:pPr>
                  <w:r>
                    <w:rPr>
                      <w:color w:val="000000"/>
                      <w:sz w:val="21"/>
                      <w:szCs w:val="21"/>
                    </w:rPr>
                    <w:t>NH</w:t>
                  </w:r>
                  <w:r>
                    <w:rPr>
                      <w:color w:val="000000"/>
                      <w:sz w:val="21"/>
                      <w:szCs w:val="21"/>
                      <w:vertAlign w:val="subscript"/>
                    </w:rPr>
                    <w:t>3</w:t>
                  </w:r>
                  <w:r>
                    <w:rPr>
                      <w:color w:val="000000"/>
                      <w:sz w:val="21"/>
                      <w:szCs w:val="21"/>
                    </w:rPr>
                    <w:t>-N</w:t>
                  </w:r>
                </w:p>
              </w:tc>
              <w:tc>
                <w:tcPr>
                  <w:tcW w:w="602" w:type="pct"/>
                  <w:tcBorders>
                    <w:top w:val="single" w:color="auto" w:sz="8" w:space="0"/>
                    <w:left w:val="single" w:color="auto" w:sz="6" w:space="0"/>
                    <w:bottom w:val="single" w:color="auto" w:sz="6" w:space="0"/>
                    <w:right w:val="single" w:color="auto" w:sz="6" w:space="0"/>
                  </w:tcBorders>
                  <w:noWrap w:val="0"/>
                  <w:vAlign w:val="center"/>
                </w:tcPr>
                <w:p w14:paraId="7BE74E6E">
                  <w:pPr>
                    <w:spacing w:line="259" w:lineRule="auto"/>
                    <w:jc w:val="center"/>
                    <w:rPr>
                      <w:rFonts w:hint="default"/>
                      <w:color w:val="000000"/>
                      <w:sz w:val="21"/>
                      <w:szCs w:val="21"/>
                      <w:lang w:val="en-US" w:eastAsia="zh-CN"/>
                    </w:rPr>
                  </w:pPr>
                  <w:r>
                    <w:rPr>
                      <w:rFonts w:hint="eastAsia"/>
                      <w:color w:val="000000"/>
                      <w:sz w:val="21"/>
                      <w:szCs w:val="21"/>
                      <w:lang w:val="en-US" w:eastAsia="zh-CN"/>
                    </w:rPr>
                    <w:t>TP</w:t>
                  </w:r>
                </w:p>
              </w:tc>
            </w:tr>
            <w:tr w14:paraId="28BCCB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1" w:type="pct"/>
                  <w:vMerge w:val="restart"/>
                  <w:tcBorders>
                    <w:top w:val="single" w:color="auto" w:sz="6" w:space="0"/>
                    <w:left w:val="single" w:color="auto" w:sz="8" w:space="0"/>
                    <w:right w:val="single" w:color="auto" w:sz="6" w:space="0"/>
                  </w:tcBorders>
                  <w:noWrap w:val="0"/>
                  <w:vAlign w:val="center"/>
                </w:tcPr>
                <w:p w14:paraId="26C32C23">
                  <w:pPr>
                    <w:widowControl/>
                    <w:spacing w:line="259" w:lineRule="auto"/>
                    <w:jc w:val="center"/>
                    <w:rPr>
                      <w:rFonts w:hint="eastAsia" w:eastAsia="宋体"/>
                      <w:kern w:val="0"/>
                      <w:sz w:val="21"/>
                      <w:szCs w:val="21"/>
                      <w:lang w:eastAsia="zh-CN"/>
                    </w:rPr>
                  </w:pPr>
                  <w:r>
                    <w:rPr>
                      <w:rFonts w:hint="eastAsia"/>
                      <w:kern w:val="0"/>
                      <w:sz w:val="21"/>
                      <w:szCs w:val="21"/>
                      <w:lang w:eastAsia="zh-CN"/>
                    </w:rPr>
                    <w:t>生活</w:t>
                  </w:r>
                  <w:r>
                    <w:rPr>
                      <w:rFonts w:hint="eastAsia"/>
                      <w:kern w:val="0"/>
                      <w:sz w:val="21"/>
                      <w:szCs w:val="21"/>
                      <w:lang w:val="en-US" w:eastAsia="zh-CN"/>
                    </w:rPr>
                    <w:t>废水</w:t>
                  </w:r>
                </w:p>
                <w:p w14:paraId="7BECA4DA">
                  <w:pPr>
                    <w:spacing w:line="259" w:lineRule="auto"/>
                    <w:jc w:val="center"/>
                    <w:rPr>
                      <w:sz w:val="21"/>
                      <w:szCs w:val="21"/>
                    </w:rPr>
                  </w:pPr>
                  <w:r>
                    <w:rPr>
                      <w:rFonts w:hint="eastAsia"/>
                      <w:kern w:val="0"/>
                      <w:sz w:val="21"/>
                      <w:szCs w:val="21"/>
                      <w:lang w:val="en-US" w:eastAsia="zh-CN"/>
                    </w:rPr>
                    <w:t>273.6</w:t>
                  </w:r>
                  <w:r>
                    <w:rPr>
                      <w:sz w:val="21"/>
                      <w:szCs w:val="21"/>
                    </w:rPr>
                    <w:t>m</w:t>
                  </w:r>
                  <w:r>
                    <w:rPr>
                      <w:sz w:val="21"/>
                      <w:szCs w:val="21"/>
                      <w:vertAlign w:val="superscript"/>
                    </w:rPr>
                    <w:t>3</w:t>
                  </w:r>
                  <w:r>
                    <w:rPr>
                      <w:sz w:val="21"/>
                      <w:szCs w:val="21"/>
                    </w:rPr>
                    <w:t>/a</w:t>
                  </w:r>
                </w:p>
              </w:tc>
              <w:tc>
                <w:tcPr>
                  <w:tcW w:w="735" w:type="pct"/>
                  <w:vMerge w:val="restart"/>
                  <w:tcBorders>
                    <w:top w:val="single" w:color="auto" w:sz="6" w:space="0"/>
                    <w:left w:val="single" w:color="auto" w:sz="6" w:space="0"/>
                    <w:bottom w:val="single" w:color="auto" w:sz="6" w:space="0"/>
                    <w:right w:val="single" w:color="auto" w:sz="6" w:space="0"/>
                  </w:tcBorders>
                  <w:noWrap w:val="0"/>
                  <w:vAlign w:val="center"/>
                </w:tcPr>
                <w:p w14:paraId="481D5FA9">
                  <w:pPr>
                    <w:spacing w:line="259" w:lineRule="auto"/>
                    <w:jc w:val="center"/>
                    <w:rPr>
                      <w:sz w:val="21"/>
                      <w:szCs w:val="21"/>
                    </w:rPr>
                  </w:pPr>
                  <w:r>
                    <w:rPr>
                      <w:rFonts w:hint="eastAsia"/>
                      <w:sz w:val="21"/>
                      <w:szCs w:val="21"/>
                    </w:rPr>
                    <w:t>化粪池</w:t>
                  </w:r>
                  <w:r>
                    <w:rPr>
                      <w:sz w:val="21"/>
                      <w:szCs w:val="21"/>
                    </w:rPr>
                    <w:t>处理前</w:t>
                  </w:r>
                </w:p>
              </w:tc>
              <w:tc>
                <w:tcPr>
                  <w:tcW w:w="940" w:type="pct"/>
                  <w:tcBorders>
                    <w:top w:val="single" w:color="auto" w:sz="6" w:space="0"/>
                    <w:left w:val="single" w:color="auto" w:sz="6" w:space="0"/>
                    <w:bottom w:val="single" w:color="auto" w:sz="6" w:space="0"/>
                    <w:right w:val="single" w:color="auto" w:sz="6" w:space="0"/>
                  </w:tcBorders>
                  <w:noWrap w:val="0"/>
                  <w:vAlign w:val="center"/>
                </w:tcPr>
                <w:p w14:paraId="628B8B94">
                  <w:pPr>
                    <w:spacing w:line="259" w:lineRule="auto"/>
                    <w:jc w:val="center"/>
                    <w:rPr>
                      <w:sz w:val="21"/>
                      <w:szCs w:val="21"/>
                    </w:rPr>
                  </w:pPr>
                  <w:r>
                    <w:rPr>
                      <w:sz w:val="21"/>
                      <w:szCs w:val="21"/>
                    </w:rPr>
                    <w:t>产生浓度（mg/L）</w:t>
                  </w:r>
                </w:p>
              </w:tc>
              <w:tc>
                <w:tcPr>
                  <w:tcW w:w="550" w:type="pct"/>
                  <w:tcBorders>
                    <w:top w:val="single" w:color="auto" w:sz="6" w:space="0"/>
                    <w:left w:val="single" w:color="auto" w:sz="6" w:space="0"/>
                    <w:bottom w:val="single" w:color="auto" w:sz="6" w:space="0"/>
                    <w:right w:val="single" w:color="auto" w:sz="6" w:space="0"/>
                  </w:tcBorders>
                  <w:noWrap w:val="0"/>
                  <w:vAlign w:val="center"/>
                </w:tcPr>
                <w:p w14:paraId="31721494">
                  <w:pPr>
                    <w:spacing w:line="259" w:lineRule="auto"/>
                    <w:jc w:val="center"/>
                    <w:rPr>
                      <w:sz w:val="21"/>
                      <w:szCs w:val="21"/>
                    </w:rPr>
                  </w:pPr>
                  <w:r>
                    <w:rPr>
                      <w:rFonts w:hint="eastAsia"/>
                      <w:sz w:val="21"/>
                      <w:szCs w:val="21"/>
                      <w:lang w:val="en-US" w:eastAsia="zh-CN"/>
                    </w:rPr>
                    <w:t>285</w:t>
                  </w:r>
                </w:p>
              </w:tc>
              <w:tc>
                <w:tcPr>
                  <w:tcW w:w="486" w:type="pct"/>
                  <w:tcBorders>
                    <w:top w:val="single" w:color="auto" w:sz="6" w:space="0"/>
                    <w:left w:val="single" w:color="auto" w:sz="6" w:space="0"/>
                    <w:bottom w:val="single" w:color="auto" w:sz="6" w:space="0"/>
                    <w:right w:val="single" w:color="auto" w:sz="6" w:space="0"/>
                  </w:tcBorders>
                  <w:noWrap w:val="0"/>
                  <w:vAlign w:val="center"/>
                </w:tcPr>
                <w:p w14:paraId="7BBFA7E4">
                  <w:pPr>
                    <w:spacing w:line="259" w:lineRule="auto"/>
                    <w:jc w:val="center"/>
                    <w:rPr>
                      <w:sz w:val="21"/>
                      <w:szCs w:val="21"/>
                    </w:rPr>
                  </w:pPr>
                  <w:r>
                    <w:rPr>
                      <w:rFonts w:hint="eastAsia"/>
                      <w:sz w:val="21"/>
                      <w:szCs w:val="21"/>
                      <w:lang w:val="en-US" w:eastAsia="zh-CN"/>
                    </w:rPr>
                    <w:t>200</w:t>
                  </w:r>
                </w:p>
              </w:tc>
              <w:tc>
                <w:tcPr>
                  <w:tcW w:w="461" w:type="pct"/>
                  <w:tcBorders>
                    <w:top w:val="single" w:color="auto" w:sz="6" w:space="0"/>
                    <w:left w:val="single" w:color="auto" w:sz="6" w:space="0"/>
                    <w:bottom w:val="single" w:color="auto" w:sz="6" w:space="0"/>
                    <w:right w:val="single" w:color="auto" w:sz="6" w:space="0"/>
                  </w:tcBorders>
                  <w:noWrap w:val="0"/>
                  <w:vAlign w:val="center"/>
                </w:tcPr>
                <w:p w14:paraId="5C25CA50">
                  <w:pPr>
                    <w:spacing w:line="259" w:lineRule="auto"/>
                    <w:jc w:val="center"/>
                    <w:rPr>
                      <w:sz w:val="21"/>
                      <w:szCs w:val="21"/>
                    </w:rPr>
                  </w:pPr>
                  <w:r>
                    <w:rPr>
                      <w:rFonts w:hint="eastAsia"/>
                      <w:sz w:val="21"/>
                      <w:szCs w:val="21"/>
                      <w:lang w:val="en-US" w:eastAsia="zh-CN"/>
                    </w:rPr>
                    <w:t>220</w:t>
                  </w:r>
                </w:p>
              </w:tc>
              <w:tc>
                <w:tcPr>
                  <w:tcW w:w="541" w:type="pct"/>
                  <w:tcBorders>
                    <w:top w:val="single" w:color="auto" w:sz="6" w:space="0"/>
                    <w:left w:val="single" w:color="auto" w:sz="6" w:space="0"/>
                    <w:bottom w:val="single" w:color="auto" w:sz="6" w:space="0"/>
                    <w:right w:val="single" w:color="auto" w:sz="6" w:space="0"/>
                  </w:tcBorders>
                  <w:noWrap w:val="0"/>
                  <w:vAlign w:val="center"/>
                </w:tcPr>
                <w:p w14:paraId="37680D4B">
                  <w:pPr>
                    <w:spacing w:line="259" w:lineRule="auto"/>
                    <w:jc w:val="center"/>
                    <w:rPr>
                      <w:sz w:val="21"/>
                      <w:szCs w:val="21"/>
                    </w:rPr>
                  </w:pPr>
                  <w:r>
                    <w:rPr>
                      <w:rFonts w:hint="eastAsia"/>
                      <w:sz w:val="21"/>
                      <w:szCs w:val="21"/>
                      <w:lang w:val="en-US" w:eastAsia="zh-CN"/>
                    </w:rPr>
                    <w:t>28.3</w:t>
                  </w:r>
                </w:p>
              </w:tc>
              <w:tc>
                <w:tcPr>
                  <w:tcW w:w="602" w:type="pct"/>
                  <w:tcBorders>
                    <w:top w:val="single" w:color="auto" w:sz="6" w:space="0"/>
                    <w:left w:val="single" w:color="auto" w:sz="6" w:space="0"/>
                    <w:bottom w:val="single" w:color="auto" w:sz="6" w:space="0"/>
                    <w:right w:val="single" w:color="auto" w:sz="6" w:space="0"/>
                  </w:tcBorders>
                  <w:noWrap w:val="0"/>
                  <w:vAlign w:val="center"/>
                </w:tcPr>
                <w:p w14:paraId="0EDF482B">
                  <w:pPr>
                    <w:spacing w:line="259" w:lineRule="auto"/>
                    <w:jc w:val="center"/>
                    <w:rPr>
                      <w:rFonts w:hint="default"/>
                      <w:sz w:val="21"/>
                      <w:szCs w:val="21"/>
                      <w:lang w:val="en-US" w:eastAsia="zh-CN"/>
                    </w:rPr>
                  </w:pPr>
                  <w:r>
                    <w:rPr>
                      <w:rFonts w:hint="eastAsia"/>
                      <w:sz w:val="21"/>
                      <w:szCs w:val="21"/>
                      <w:lang w:val="en-US" w:eastAsia="zh-CN"/>
                    </w:rPr>
                    <w:t>4.10</w:t>
                  </w:r>
                </w:p>
              </w:tc>
            </w:tr>
            <w:tr w14:paraId="78B9DA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1" w:type="pct"/>
                  <w:vMerge w:val="continue"/>
                  <w:tcBorders>
                    <w:left w:val="single" w:color="auto" w:sz="8" w:space="0"/>
                    <w:right w:val="single" w:color="auto" w:sz="6" w:space="0"/>
                  </w:tcBorders>
                  <w:noWrap w:val="0"/>
                  <w:vAlign w:val="center"/>
                </w:tcPr>
                <w:p w14:paraId="29CBE9C1">
                  <w:pPr>
                    <w:spacing w:line="259" w:lineRule="auto"/>
                    <w:rPr>
                      <w:sz w:val="21"/>
                      <w:szCs w:val="21"/>
                    </w:rPr>
                  </w:pPr>
                </w:p>
              </w:tc>
              <w:tc>
                <w:tcPr>
                  <w:tcW w:w="735" w:type="pct"/>
                  <w:vMerge w:val="continue"/>
                  <w:tcBorders>
                    <w:top w:val="single" w:color="auto" w:sz="6" w:space="0"/>
                    <w:left w:val="single" w:color="auto" w:sz="6" w:space="0"/>
                    <w:bottom w:val="single" w:color="auto" w:sz="6" w:space="0"/>
                    <w:right w:val="single" w:color="auto" w:sz="6" w:space="0"/>
                  </w:tcBorders>
                  <w:noWrap w:val="0"/>
                  <w:vAlign w:val="center"/>
                </w:tcPr>
                <w:p w14:paraId="224B6264">
                  <w:pPr>
                    <w:spacing w:line="259" w:lineRule="auto"/>
                    <w:rPr>
                      <w:sz w:val="21"/>
                      <w:szCs w:val="21"/>
                    </w:rPr>
                  </w:pPr>
                </w:p>
              </w:tc>
              <w:tc>
                <w:tcPr>
                  <w:tcW w:w="940" w:type="pct"/>
                  <w:tcBorders>
                    <w:top w:val="single" w:color="auto" w:sz="6" w:space="0"/>
                    <w:left w:val="single" w:color="auto" w:sz="6" w:space="0"/>
                    <w:bottom w:val="single" w:color="auto" w:sz="6" w:space="0"/>
                    <w:right w:val="single" w:color="auto" w:sz="6" w:space="0"/>
                  </w:tcBorders>
                  <w:noWrap w:val="0"/>
                  <w:vAlign w:val="center"/>
                </w:tcPr>
                <w:p w14:paraId="19E429A6">
                  <w:pPr>
                    <w:spacing w:line="259" w:lineRule="auto"/>
                    <w:jc w:val="center"/>
                    <w:rPr>
                      <w:sz w:val="21"/>
                      <w:szCs w:val="21"/>
                    </w:rPr>
                  </w:pPr>
                  <w:r>
                    <w:rPr>
                      <w:sz w:val="21"/>
                      <w:szCs w:val="21"/>
                    </w:rPr>
                    <w:t>产生量（t/a）</w:t>
                  </w:r>
                </w:p>
              </w:tc>
              <w:tc>
                <w:tcPr>
                  <w:tcW w:w="550" w:type="pct"/>
                  <w:tcBorders>
                    <w:top w:val="single" w:color="auto" w:sz="6" w:space="0"/>
                    <w:left w:val="single" w:color="auto" w:sz="6" w:space="0"/>
                    <w:bottom w:val="single" w:color="auto" w:sz="6" w:space="0"/>
                    <w:right w:val="single" w:color="auto" w:sz="6" w:space="0"/>
                  </w:tcBorders>
                  <w:noWrap w:val="0"/>
                  <w:vAlign w:val="center"/>
                </w:tcPr>
                <w:p w14:paraId="48CBD0E7">
                  <w:pPr>
                    <w:spacing w:line="259" w:lineRule="auto"/>
                    <w:jc w:val="center"/>
                    <w:rPr>
                      <w:rFonts w:hint="default" w:eastAsia="宋体"/>
                      <w:sz w:val="21"/>
                      <w:szCs w:val="21"/>
                      <w:lang w:val="en-US" w:eastAsia="zh-CN"/>
                    </w:rPr>
                  </w:pPr>
                  <w:r>
                    <w:rPr>
                      <w:rFonts w:hint="eastAsia"/>
                      <w:sz w:val="21"/>
                      <w:szCs w:val="21"/>
                      <w:lang w:val="en-US" w:eastAsia="zh-CN"/>
                    </w:rPr>
                    <w:t>0.078</w:t>
                  </w:r>
                </w:p>
              </w:tc>
              <w:tc>
                <w:tcPr>
                  <w:tcW w:w="486" w:type="pct"/>
                  <w:tcBorders>
                    <w:top w:val="single" w:color="auto" w:sz="6" w:space="0"/>
                    <w:left w:val="single" w:color="auto" w:sz="6" w:space="0"/>
                    <w:bottom w:val="single" w:color="auto" w:sz="6" w:space="0"/>
                    <w:right w:val="single" w:color="auto" w:sz="6" w:space="0"/>
                  </w:tcBorders>
                  <w:noWrap w:val="0"/>
                  <w:vAlign w:val="center"/>
                </w:tcPr>
                <w:p w14:paraId="57F3896E">
                  <w:pPr>
                    <w:spacing w:line="259" w:lineRule="auto"/>
                    <w:jc w:val="center"/>
                    <w:rPr>
                      <w:rFonts w:hint="default" w:eastAsia="宋体"/>
                      <w:sz w:val="21"/>
                      <w:szCs w:val="21"/>
                      <w:lang w:val="en-US" w:eastAsia="zh-CN"/>
                    </w:rPr>
                  </w:pPr>
                  <w:r>
                    <w:rPr>
                      <w:rFonts w:hint="eastAsia"/>
                      <w:sz w:val="21"/>
                      <w:szCs w:val="21"/>
                      <w:lang w:val="en-US" w:eastAsia="zh-CN"/>
                    </w:rPr>
                    <w:t>0.055</w:t>
                  </w:r>
                </w:p>
              </w:tc>
              <w:tc>
                <w:tcPr>
                  <w:tcW w:w="461" w:type="pct"/>
                  <w:tcBorders>
                    <w:top w:val="single" w:color="auto" w:sz="6" w:space="0"/>
                    <w:left w:val="single" w:color="auto" w:sz="6" w:space="0"/>
                    <w:bottom w:val="single" w:color="auto" w:sz="6" w:space="0"/>
                    <w:right w:val="single" w:color="auto" w:sz="6" w:space="0"/>
                  </w:tcBorders>
                  <w:noWrap w:val="0"/>
                  <w:vAlign w:val="center"/>
                </w:tcPr>
                <w:p w14:paraId="4A984E70">
                  <w:pPr>
                    <w:spacing w:line="259" w:lineRule="auto"/>
                    <w:jc w:val="center"/>
                    <w:rPr>
                      <w:rFonts w:hint="default" w:eastAsia="宋体"/>
                      <w:sz w:val="21"/>
                      <w:szCs w:val="21"/>
                      <w:lang w:val="en-US" w:eastAsia="zh-CN"/>
                    </w:rPr>
                  </w:pPr>
                  <w:r>
                    <w:rPr>
                      <w:rFonts w:hint="eastAsia"/>
                      <w:sz w:val="21"/>
                      <w:szCs w:val="21"/>
                      <w:lang w:val="en-US" w:eastAsia="zh-CN"/>
                    </w:rPr>
                    <w:t>0.060</w:t>
                  </w:r>
                </w:p>
              </w:tc>
              <w:tc>
                <w:tcPr>
                  <w:tcW w:w="541" w:type="pct"/>
                  <w:tcBorders>
                    <w:top w:val="single" w:color="auto" w:sz="6" w:space="0"/>
                    <w:left w:val="single" w:color="auto" w:sz="6" w:space="0"/>
                    <w:bottom w:val="single" w:color="auto" w:sz="6" w:space="0"/>
                    <w:right w:val="single" w:color="auto" w:sz="6" w:space="0"/>
                  </w:tcBorders>
                  <w:noWrap w:val="0"/>
                  <w:vAlign w:val="center"/>
                </w:tcPr>
                <w:p w14:paraId="4DE9C2F6">
                  <w:pPr>
                    <w:spacing w:line="259" w:lineRule="auto"/>
                    <w:jc w:val="center"/>
                    <w:rPr>
                      <w:rFonts w:hint="default" w:eastAsia="宋体"/>
                      <w:sz w:val="21"/>
                      <w:szCs w:val="21"/>
                      <w:lang w:val="en-US" w:eastAsia="zh-CN"/>
                    </w:rPr>
                  </w:pPr>
                  <w:r>
                    <w:rPr>
                      <w:rFonts w:hint="eastAsia"/>
                      <w:sz w:val="21"/>
                      <w:szCs w:val="21"/>
                      <w:lang w:val="en-US" w:eastAsia="zh-CN"/>
                    </w:rPr>
                    <w:t>0.008</w:t>
                  </w:r>
                </w:p>
              </w:tc>
              <w:tc>
                <w:tcPr>
                  <w:tcW w:w="602" w:type="pct"/>
                  <w:tcBorders>
                    <w:top w:val="single" w:color="auto" w:sz="6" w:space="0"/>
                    <w:left w:val="single" w:color="auto" w:sz="6" w:space="0"/>
                    <w:bottom w:val="single" w:color="auto" w:sz="6" w:space="0"/>
                    <w:right w:val="single" w:color="auto" w:sz="6" w:space="0"/>
                  </w:tcBorders>
                  <w:noWrap w:val="0"/>
                  <w:vAlign w:val="center"/>
                </w:tcPr>
                <w:p w14:paraId="39B61AD8">
                  <w:pPr>
                    <w:spacing w:line="259" w:lineRule="auto"/>
                    <w:jc w:val="center"/>
                    <w:rPr>
                      <w:rFonts w:hint="default"/>
                      <w:sz w:val="21"/>
                      <w:szCs w:val="21"/>
                      <w:lang w:val="en-US" w:eastAsia="zh-CN"/>
                    </w:rPr>
                  </w:pPr>
                  <w:r>
                    <w:rPr>
                      <w:rFonts w:hint="eastAsia"/>
                      <w:sz w:val="21"/>
                      <w:szCs w:val="21"/>
                      <w:lang w:val="en-US" w:eastAsia="zh-CN"/>
                    </w:rPr>
                    <w:t>0.001</w:t>
                  </w:r>
                </w:p>
              </w:tc>
            </w:tr>
            <w:tr w14:paraId="229457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1" w:type="pct"/>
                  <w:vMerge w:val="continue"/>
                  <w:tcBorders>
                    <w:left w:val="single" w:color="auto" w:sz="8" w:space="0"/>
                    <w:right w:val="single" w:color="auto" w:sz="6" w:space="0"/>
                  </w:tcBorders>
                  <w:noWrap w:val="0"/>
                  <w:vAlign w:val="center"/>
                </w:tcPr>
                <w:p w14:paraId="69F237C8">
                  <w:pPr>
                    <w:spacing w:line="259" w:lineRule="auto"/>
                    <w:rPr>
                      <w:sz w:val="21"/>
                      <w:szCs w:val="21"/>
                    </w:rPr>
                  </w:pPr>
                </w:p>
              </w:tc>
              <w:tc>
                <w:tcPr>
                  <w:tcW w:w="735" w:type="pct"/>
                  <w:vMerge w:val="restart"/>
                  <w:tcBorders>
                    <w:top w:val="single" w:color="auto" w:sz="6" w:space="0"/>
                    <w:left w:val="single" w:color="auto" w:sz="6" w:space="0"/>
                    <w:bottom w:val="single" w:color="auto" w:sz="6" w:space="0"/>
                    <w:right w:val="single" w:color="auto" w:sz="6" w:space="0"/>
                  </w:tcBorders>
                  <w:noWrap w:val="0"/>
                  <w:vAlign w:val="center"/>
                </w:tcPr>
                <w:p w14:paraId="34D5031B">
                  <w:pPr>
                    <w:spacing w:line="259" w:lineRule="auto"/>
                    <w:jc w:val="center"/>
                    <w:rPr>
                      <w:sz w:val="21"/>
                      <w:szCs w:val="21"/>
                    </w:rPr>
                  </w:pPr>
                  <w:r>
                    <w:rPr>
                      <w:rFonts w:hint="eastAsia"/>
                      <w:sz w:val="21"/>
                      <w:szCs w:val="21"/>
                    </w:rPr>
                    <w:t>化粪池</w:t>
                  </w:r>
                  <w:r>
                    <w:rPr>
                      <w:sz w:val="21"/>
                      <w:szCs w:val="21"/>
                    </w:rPr>
                    <w:t>处理后</w:t>
                  </w:r>
                </w:p>
              </w:tc>
              <w:tc>
                <w:tcPr>
                  <w:tcW w:w="940" w:type="pct"/>
                  <w:tcBorders>
                    <w:top w:val="single" w:color="auto" w:sz="6" w:space="0"/>
                    <w:left w:val="single" w:color="auto" w:sz="6" w:space="0"/>
                    <w:bottom w:val="single" w:color="auto" w:sz="6" w:space="0"/>
                    <w:right w:val="single" w:color="auto" w:sz="6" w:space="0"/>
                  </w:tcBorders>
                  <w:noWrap w:val="0"/>
                  <w:vAlign w:val="center"/>
                </w:tcPr>
                <w:p w14:paraId="11571038">
                  <w:pPr>
                    <w:spacing w:line="259" w:lineRule="auto"/>
                    <w:jc w:val="center"/>
                    <w:rPr>
                      <w:sz w:val="21"/>
                      <w:szCs w:val="21"/>
                    </w:rPr>
                  </w:pPr>
                  <w:r>
                    <w:rPr>
                      <w:sz w:val="21"/>
                      <w:szCs w:val="21"/>
                    </w:rPr>
                    <w:t>排放浓度（mg/L）</w:t>
                  </w:r>
                </w:p>
              </w:tc>
              <w:tc>
                <w:tcPr>
                  <w:tcW w:w="550" w:type="pct"/>
                  <w:tcBorders>
                    <w:top w:val="single" w:color="auto" w:sz="6" w:space="0"/>
                    <w:left w:val="single" w:color="auto" w:sz="6" w:space="0"/>
                    <w:bottom w:val="single" w:color="auto" w:sz="6" w:space="0"/>
                    <w:right w:val="single" w:color="auto" w:sz="6" w:space="0"/>
                  </w:tcBorders>
                  <w:noWrap w:val="0"/>
                  <w:vAlign w:val="center"/>
                </w:tcPr>
                <w:p w14:paraId="6CABBA05">
                  <w:pPr>
                    <w:spacing w:line="259" w:lineRule="auto"/>
                    <w:jc w:val="center"/>
                    <w:rPr>
                      <w:sz w:val="21"/>
                      <w:szCs w:val="21"/>
                    </w:rPr>
                  </w:pPr>
                  <w:r>
                    <w:rPr>
                      <w:rFonts w:hint="eastAsia"/>
                      <w:sz w:val="21"/>
                      <w:szCs w:val="21"/>
                      <w:lang w:val="en-US" w:eastAsia="zh-CN"/>
                    </w:rPr>
                    <w:t>228</w:t>
                  </w:r>
                </w:p>
              </w:tc>
              <w:tc>
                <w:tcPr>
                  <w:tcW w:w="486" w:type="pct"/>
                  <w:tcBorders>
                    <w:top w:val="single" w:color="auto" w:sz="6" w:space="0"/>
                    <w:left w:val="single" w:color="auto" w:sz="6" w:space="0"/>
                    <w:bottom w:val="single" w:color="auto" w:sz="6" w:space="0"/>
                    <w:right w:val="single" w:color="auto" w:sz="6" w:space="0"/>
                  </w:tcBorders>
                  <w:noWrap w:val="0"/>
                  <w:vAlign w:val="center"/>
                </w:tcPr>
                <w:p w14:paraId="524CB016">
                  <w:pPr>
                    <w:spacing w:line="259" w:lineRule="auto"/>
                    <w:jc w:val="center"/>
                    <w:rPr>
                      <w:sz w:val="21"/>
                      <w:szCs w:val="21"/>
                    </w:rPr>
                  </w:pPr>
                  <w:r>
                    <w:rPr>
                      <w:rFonts w:hint="eastAsia"/>
                      <w:sz w:val="21"/>
                      <w:szCs w:val="21"/>
                      <w:lang w:val="en-US" w:eastAsia="zh-CN"/>
                    </w:rPr>
                    <w:t>160</w:t>
                  </w:r>
                </w:p>
              </w:tc>
              <w:tc>
                <w:tcPr>
                  <w:tcW w:w="461" w:type="pct"/>
                  <w:tcBorders>
                    <w:top w:val="single" w:color="auto" w:sz="6" w:space="0"/>
                    <w:left w:val="single" w:color="auto" w:sz="6" w:space="0"/>
                    <w:bottom w:val="single" w:color="auto" w:sz="6" w:space="0"/>
                    <w:right w:val="single" w:color="auto" w:sz="6" w:space="0"/>
                  </w:tcBorders>
                  <w:noWrap w:val="0"/>
                  <w:vAlign w:val="center"/>
                </w:tcPr>
                <w:p w14:paraId="22878B0A">
                  <w:pPr>
                    <w:spacing w:line="259" w:lineRule="auto"/>
                    <w:jc w:val="center"/>
                    <w:rPr>
                      <w:sz w:val="21"/>
                      <w:szCs w:val="21"/>
                    </w:rPr>
                  </w:pPr>
                  <w:r>
                    <w:rPr>
                      <w:rFonts w:hint="eastAsia"/>
                      <w:sz w:val="21"/>
                      <w:szCs w:val="21"/>
                      <w:lang w:val="en-US" w:eastAsia="zh-CN"/>
                    </w:rPr>
                    <w:t>176</w:t>
                  </w:r>
                </w:p>
              </w:tc>
              <w:tc>
                <w:tcPr>
                  <w:tcW w:w="541" w:type="pct"/>
                  <w:tcBorders>
                    <w:top w:val="single" w:color="auto" w:sz="6" w:space="0"/>
                    <w:left w:val="single" w:color="auto" w:sz="6" w:space="0"/>
                    <w:bottom w:val="single" w:color="auto" w:sz="6" w:space="0"/>
                    <w:right w:val="single" w:color="auto" w:sz="6" w:space="0"/>
                  </w:tcBorders>
                  <w:noWrap w:val="0"/>
                  <w:vAlign w:val="center"/>
                </w:tcPr>
                <w:p w14:paraId="0399932F">
                  <w:pPr>
                    <w:spacing w:line="259" w:lineRule="auto"/>
                    <w:jc w:val="center"/>
                    <w:rPr>
                      <w:sz w:val="21"/>
                      <w:szCs w:val="21"/>
                    </w:rPr>
                  </w:pPr>
                  <w:r>
                    <w:rPr>
                      <w:rFonts w:hint="eastAsia"/>
                      <w:sz w:val="21"/>
                      <w:szCs w:val="21"/>
                      <w:lang w:val="en-US" w:eastAsia="zh-CN"/>
                    </w:rPr>
                    <w:t>25.5</w:t>
                  </w:r>
                </w:p>
              </w:tc>
              <w:tc>
                <w:tcPr>
                  <w:tcW w:w="602" w:type="pct"/>
                  <w:tcBorders>
                    <w:top w:val="single" w:color="auto" w:sz="6" w:space="0"/>
                    <w:left w:val="single" w:color="auto" w:sz="6" w:space="0"/>
                    <w:bottom w:val="single" w:color="auto" w:sz="6" w:space="0"/>
                    <w:right w:val="single" w:color="auto" w:sz="6" w:space="0"/>
                  </w:tcBorders>
                  <w:noWrap w:val="0"/>
                  <w:vAlign w:val="center"/>
                </w:tcPr>
                <w:p w14:paraId="7868A6E1">
                  <w:pPr>
                    <w:spacing w:line="259" w:lineRule="auto"/>
                    <w:jc w:val="center"/>
                    <w:rPr>
                      <w:rFonts w:hint="default"/>
                      <w:sz w:val="21"/>
                      <w:szCs w:val="21"/>
                      <w:lang w:val="en-US" w:eastAsia="zh-CN"/>
                    </w:rPr>
                  </w:pPr>
                  <w:r>
                    <w:rPr>
                      <w:rFonts w:hint="eastAsia"/>
                      <w:sz w:val="21"/>
                      <w:szCs w:val="21"/>
                      <w:lang w:val="en-US" w:eastAsia="zh-CN"/>
                    </w:rPr>
                    <w:t>3.69</w:t>
                  </w:r>
                </w:p>
              </w:tc>
            </w:tr>
            <w:tr w14:paraId="466B64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1" w:type="pct"/>
                  <w:vMerge w:val="continue"/>
                  <w:tcBorders>
                    <w:left w:val="single" w:color="auto" w:sz="8" w:space="0"/>
                    <w:right w:val="single" w:color="auto" w:sz="6" w:space="0"/>
                  </w:tcBorders>
                  <w:noWrap w:val="0"/>
                  <w:vAlign w:val="center"/>
                </w:tcPr>
                <w:p w14:paraId="7866B966">
                  <w:pPr>
                    <w:spacing w:line="259" w:lineRule="auto"/>
                    <w:rPr>
                      <w:sz w:val="21"/>
                      <w:szCs w:val="21"/>
                    </w:rPr>
                  </w:pPr>
                </w:p>
              </w:tc>
              <w:tc>
                <w:tcPr>
                  <w:tcW w:w="735" w:type="pct"/>
                  <w:vMerge w:val="continue"/>
                  <w:tcBorders>
                    <w:top w:val="single" w:color="auto" w:sz="6" w:space="0"/>
                    <w:left w:val="single" w:color="auto" w:sz="6" w:space="0"/>
                    <w:bottom w:val="single" w:color="auto" w:sz="6" w:space="0"/>
                    <w:right w:val="single" w:color="auto" w:sz="6" w:space="0"/>
                  </w:tcBorders>
                  <w:noWrap w:val="0"/>
                  <w:vAlign w:val="center"/>
                </w:tcPr>
                <w:p w14:paraId="6B211A97">
                  <w:pPr>
                    <w:spacing w:line="259" w:lineRule="auto"/>
                    <w:rPr>
                      <w:sz w:val="21"/>
                      <w:szCs w:val="21"/>
                    </w:rPr>
                  </w:pPr>
                </w:p>
              </w:tc>
              <w:tc>
                <w:tcPr>
                  <w:tcW w:w="940" w:type="pct"/>
                  <w:tcBorders>
                    <w:top w:val="single" w:color="auto" w:sz="6" w:space="0"/>
                    <w:left w:val="single" w:color="auto" w:sz="6" w:space="0"/>
                    <w:bottom w:val="single" w:color="auto" w:sz="6" w:space="0"/>
                    <w:right w:val="single" w:color="auto" w:sz="6" w:space="0"/>
                  </w:tcBorders>
                  <w:noWrap w:val="0"/>
                  <w:vAlign w:val="center"/>
                </w:tcPr>
                <w:p w14:paraId="2BBE9CCF">
                  <w:pPr>
                    <w:spacing w:line="259" w:lineRule="auto"/>
                    <w:jc w:val="center"/>
                    <w:rPr>
                      <w:sz w:val="21"/>
                      <w:szCs w:val="21"/>
                    </w:rPr>
                  </w:pPr>
                  <w:r>
                    <w:rPr>
                      <w:sz w:val="21"/>
                      <w:szCs w:val="21"/>
                    </w:rPr>
                    <w:t>排放量（t/a）</w:t>
                  </w:r>
                </w:p>
              </w:tc>
              <w:tc>
                <w:tcPr>
                  <w:tcW w:w="550" w:type="pct"/>
                  <w:tcBorders>
                    <w:top w:val="single" w:color="auto" w:sz="6" w:space="0"/>
                    <w:left w:val="single" w:color="auto" w:sz="6" w:space="0"/>
                    <w:bottom w:val="single" w:color="auto" w:sz="6" w:space="0"/>
                    <w:right w:val="single" w:color="auto" w:sz="6" w:space="0"/>
                  </w:tcBorders>
                  <w:noWrap w:val="0"/>
                  <w:vAlign w:val="center"/>
                </w:tcPr>
                <w:p w14:paraId="5CFCC270">
                  <w:pPr>
                    <w:spacing w:line="259" w:lineRule="auto"/>
                    <w:jc w:val="center"/>
                    <w:rPr>
                      <w:rFonts w:hint="default" w:eastAsia="宋体"/>
                      <w:sz w:val="21"/>
                      <w:szCs w:val="21"/>
                      <w:lang w:val="en-US" w:eastAsia="zh-CN"/>
                    </w:rPr>
                  </w:pPr>
                  <w:r>
                    <w:rPr>
                      <w:rFonts w:hint="eastAsia"/>
                      <w:sz w:val="21"/>
                      <w:szCs w:val="21"/>
                      <w:lang w:val="en-US" w:eastAsia="zh-CN"/>
                    </w:rPr>
                    <w:t>0.062</w:t>
                  </w:r>
                </w:p>
              </w:tc>
              <w:tc>
                <w:tcPr>
                  <w:tcW w:w="486" w:type="pct"/>
                  <w:tcBorders>
                    <w:top w:val="single" w:color="auto" w:sz="6" w:space="0"/>
                    <w:left w:val="single" w:color="auto" w:sz="6" w:space="0"/>
                    <w:bottom w:val="single" w:color="auto" w:sz="6" w:space="0"/>
                    <w:right w:val="single" w:color="auto" w:sz="6" w:space="0"/>
                  </w:tcBorders>
                  <w:noWrap w:val="0"/>
                  <w:vAlign w:val="center"/>
                </w:tcPr>
                <w:p w14:paraId="41221F38">
                  <w:pPr>
                    <w:spacing w:line="259" w:lineRule="auto"/>
                    <w:jc w:val="center"/>
                    <w:rPr>
                      <w:rFonts w:hint="default" w:eastAsia="宋体"/>
                      <w:sz w:val="21"/>
                      <w:szCs w:val="21"/>
                      <w:lang w:val="en-US" w:eastAsia="zh-CN"/>
                    </w:rPr>
                  </w:pPr>
                  <w:r>
                    <w:rPr>
                      <w:rFonts w:hint="eastAsia"/>
                      <w:sz w:val="21"/>
                      <w:szCs w:val="21"/>
                      <w:lang w:val="en-US" w:eastAsia="zh-CN"/>
                    </w:rPr>
                    <w:t>0.044</w:t>
                  </w:r>
                </w:p>
              </w:tc>
              <w:tc>
                <w:tcPr>
                  <w:tcW w:w="461" w:type="pct"/>
                  <w:tcBorders>
                    <w:top w:val="single" w:color="auto" w:sz="6" w:space="0"/>
                    <w:left w:val="single" w:color="auto" w:sz="6" w:space="0"/>
                    <w:bottom w:val="single" w:color="auto" w:sz="6" w:space="0"/>
                    <w:right w:val="single" w:color="auto" w:sz="6" w:space="0"/>
                  </w:tcBorders>
                  <w:noWrap w:val="0"/>
                  <w:vAlign w:val="center"/>
                </w:tcPr>
                <w:p w14:paraId="3FE4CE04">
                  <w:pPr>
                    <w:spacing w:line="259" w:lineRule="auto"/>
                    <w:jc w:val="center"/>
                    <w:rPr>
                      <w:rFonts w:hint="default" w:eastAsia="宋体"/>
                      <w:sz w:val="21"/>
                      <w:szCs w:val="21"/>
                      <w:lang w:val="en-US" w:eastAsia="zh-CN"/>
                    </w:rPr>
                  </w:pPr>
                  <w:r>
                    <w:rPr>
                      <w:rFonts w:hint="eastAsia"/>
                      <w:sz w:val="21"/>
                      <w:szCs w:val="21"/>
                      <w:lang w:val="en-US" w:eastAsia="zh-CN"/>
                    </w:rPr>
                    <w:t>0.048</w:t>
                  </w:r>
                </w:p>
              </w:tc>
              <w:tc>
                <w:tcPr>
                  <w:tcW w:w="541" w:type="pct"/>
                  <w:tcBorders>
                    <w:top w:val="single" w:color="auto" w:sz="6" w:space="0"/>
                    <w:left w:val="single" w:color="auto" w:sz="6" w:space="0"/>
                    <w:bottom w:val="single" w:color="auto" w:sz="6" w:space="0"/>
                    <w:right w:val="single" w:color="auto" w:sz="6" w:space="0"/>
                  </w:tcBorders>
                  <w:noWrap w:val="0"/>
                  <w:vAlign w:val="center"/>
                </w:tcPr>
                <w:p w14:paraId="3160DB15">
                  <w:pPr>
                    <w:spacing w:line="259" w:lineRule="auto"/>
                    <w:jc w:val="center"/>
                    <w:rPr>
                      <w:rFonts w:hint="default" w:eastAsia="宋体"/>
                      <w:sz w:val="21"/>
                      <w:szCs w:val="21"/>
                      <w:lang w:val="en-US" w:eastAsia="zh-CN"/>
                    </w:rPr>
                  </w:pPr>
                  <w:r>
                    <w:rPr>
                      <w:rFonts w:hint="eastAsia"/>
                      <w:sz w:val="21"/>
                      <w:szCs w:val="21"/>
                      <w:lang w:val="en-US" w:eastAsia="zh-CN"/>
                    </w:rPr>
                    <w:t>0.007</w:t>
                  </w:r>
                </w:p>
              </w:tc>
              <w:tc>
                <w:tcPr>
                  <w:tcW w:w="602" w:type="pct"/>
                  <w:tcBorders>
                    <w:top w:val="single" w:color="auto" w:sz="6" w:space="0"/>
                    <w:left w:val="single" w:color="auto" w:sz="6" w:space="0"/>
                    <w:bottom w:val="single" w:color="auto" w:sz="6" w:space="0"/>
                    <w:right w:val="single" w:color="auto" w:sz="6" w:space="0"/>
                  </w:tcBorders>
                  <w:noWrap w:val="0"/>
                  <w:vAlign w:val="center"/>
                </w:tcPr>
                <w:p w14:paraId="189CE897">
                  <w:pPr>
                    <w:spacing w:line="259" w:lineRule="auto"/>
                    <w:jc w:val="center"/>
                    <w:rPr>
                      <w:rFonts w:hint="default"/>
                      <w:sz w:val="21"/>
                      <w:szCs w:val="21"/>
                      <w:lang w:val="en-US" w:eastAsia="zh-CN"/>
                    </w:rPr>
                  </w:pPr>
                  <w:r>
                    <w:rPr>
                      <w:rFonts w:hint="eastAsia"/>
                      <w:sz w:val="21"/>
                      <w:szCs w:val="21"/>
                      <w:lang w:val="en-US" w:eastAsia="zh-CN"/>
                    </w:rPr>
                    <w:t>0.001</w:t>
                  </w:r>
                </w:p>
              </w:tc>
            </w:tr>
            <w:tr w14:paraId="5633D3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1" w:type="pct"/>
                  <w:vMerge w:val="continue"/>
                  <w:tcBorders>
                    <w:left w:val="single" w:color="auto" w:sz="8" w:space="0"/>
                    <w:right w:val="single" w:color="auto" w:sz="6" w:space="0"/>
                  </w:tcBorders>
                  <w:noWrap w:val="0"/>
                  <w:vAlign w:val="center"/>
                </w:tcPr>
                <w:p w14:paraId="0DF2EFAA">
                  <w:pPr>
                    <w:spacing w:line="259" w:lineRule="auto"/>
                    <w:rPr>
                      <w:sz w:val="21"/>
                      <w:szCs w:val="21"/>
                    </w:rPr>
                  </w:pPr>
                </w:p>
              </w:tc>
              <w:tc>
                <w:tcPr>
                  <w:tcW w:w="735" w:type="pct"/>
                  <w:vMerge w:val="restart"/>
                  <w:tcBorders>
                    <w:top w:val="single" w:color="auto" w:sz="6" w:space="0"/>
                    <w:left w:val="single" w:color="auto" w:sz="6" w:space="0"/>
                    <w:right w:val="single" w:color="auto" w:sz="6" w:space="0"/>
                  </w:tcBorders>
                  <w:noWrap w:val="0"/>
                  <w:vAlign w:val="center"/>
                </w:tcPr>
                <w:p w14:paraId="2E924AEA">
                  <w:pPr>
                    <w:spacing w:line="259" w:lineRule="auto"/>
                    <w:jc w:val="center"/>
                    <w:rPr>
                      <w:sz w:val="21"/>
                      <w:szCs w:val="21"/>
                    </w:rPr>
                  </w:pPr>
                  <w:r>
                    <w:rPr>
                      <w:rFonts w:hint="eastAsia"/>
                      <w:sz w:val="21"/>
                      <w:szCs w:val="21"/>
                    </w:rPr>
                    <w:t>污水处理厂处理后</w:t>
                  </w:r>
                </w:p>
              </w:tc>
              <w:tc>
                <w:tcPr>
                  <w:tcW w:w="940" w:type="pct"/>
                  <w:tcBorders>
                    <w:top w:val="single" w:color="auto" w:sz="6" w:space="0"/>
                    <w:left w:val="single" w:color="auto" w:sz="6" w:space="0"/>
                    <w:bottom w:val="single" w:color="auto" w:sz="6" w:space="0"/>
                    <w:right w:val="single" w:color="auto" w:sz="6" w:space="0"/>
                  </w:tcBorders>
                  <w:noWrap w:val="0"/>
                  <w:vAlign w:val="center"/>
                </w:tcPr>
                <w:p w14:paraId="63EA9782">
                  <w:pPr>
                    <w:spacing w:line="259" w:lineRule="auto"/>
                    <w:jc w:val="center"/>
                    <w:rPr>
                      <w:sz w:val="21"/>
                      <w:szCs w:val="21"/>
                    </w:rPr>
                  </w:pPr>
                  <w:r>
                    <w:rPr>
                      <w:sz w:val="21"/>
                      <w:szCs w:val="21"/>
                    </w:rPr>
                    <w:t>排放浓度（mg/L）</w:t>
                  </w:r>
                </w:p>
              </w:tc>
              <w:tc>
                <w:tcPr>
                  <w:tcW w:w="550" w:type="pct"/>
                  <w:tcBorders>
                    <w:top w:val="single" w:color="auto" w:sz="6" w:space="0"/>
                    <w:left w:val="single" w:color="auto" w:sz="6" w:space="0"/>
                    <w:bottom w:val="single" w:color="auto" w:sz="6" w:space="0"/>
                    <w:right w:val="single" w:color="auto" w:sz="6" w:space="0"/>
                  </w:tcBorders>
                  <w:noWrap w:val="0"/>
                  <w:vAlign w:val="center"/>
                </w:tcPr>
                <w:p w14:paraId="312D9A6F">
                  <w:pPr>
                    <w:spacing w:line="259" w:lineRule="auto"/>
                    <w:jc w:val="center"/>
                    <w:rPr>
                      <w:sz w:val="21"/>
                      <w:szCs w:val="21"/>
                    </w:rPr>
                  </w:pPr>
                  <w:r>
                    <w:rPr>
                      <w:rFonts w:hint="eastAsia"/>
                      <w:sz w:val="21"/>
                      <w:szCs w:val="21"/>
                    </w:rPr>
                    <w:t>50</w:t>
                  </w:r>
                </w:p>
              </w:tc>
              <w:tc>
                <w:tcPr>
                  <w:tcW w:w="486" w:type="pct"/>
                  <w:tcBorders>
                    <w:top w:val="single" w:color="auto" w:sz="6" w:space="0"/>
                    <w:left w:val="single" w:color="auto" w:sz="6" w:space="0"/>
                    <w:bottom w:val="single" w:color="auto" w:sz="6" w:space="0"/>
                    <w:right w:val="single" w:color="auto" w:sz="6" w:space="0"/>
                  </w:tcBorders>
                  <w:noWrap w:val="0"/>
                  <w:vAlign w:val="center"/>
                </w:tcPr>
                <w:p w14:paraId="236BDA7F">
                  <w:pPr>
                    <w:spacing w:line="259" w:lineRule="auto"/>
                    <w:jc w:val="center"/>
                    <w:rPr>
                      <w:sz w:val="21"/>
                      <w:szCs w:val="21"/>
                    </w:rPr>
                  </w:pPr>
                  <w:r>
                    <w:rPr>
                      <w:rFonts w:hint="eastAsia"/>
                      <w:sz w:val="21"/>
                      <w:szCs w:val="21"/>
                    </w:rPr>
                    <w:t>10</w:t>
                  </w:r>
                </w:p>
              </w:tc>
              <w:tc>
                <w:tcPr>
                  <w:tcW w:w="461" w:type="pct"/>
                  <w:tcBorders>
                    <w:top w:val="single" w:color="auto" w:sz="6" w:space="0"/>
                    <w:left w:val="single" w:color="auto" w:sz="6" w:space="0"/>
                    <w:bottom w:val="single" w:color="auto" w:sz="6" w:space="0"/>
                    <w:right w:val="single" w:color="auto" w:sz="6" w:space="0"/>
                  </w:tcBorders>
                  <w:noWrap w:val="0"/>
                  <w:vAlign w:val="center"/>
                </w:tcPr>
                <w:p w14:paraId="69A50ADF">
                  <w:pPr>
                    <w:spacing w:line="259" w:lineRule="auto"/>
                    <w:jc w:val="center"/>
                    <w:rPr>
                      <w:sz w:val="21"/>
                      <w:szCs w:val="21"/>
                    </w:rPr>
                  </w:pPr>
                  <w:r>
                    <w:rPr>
                      <w:rFonts w:hint="eastAsia"/>
                      <w:sz w:val="21"/>
                      <w:szCs w:val="21"/>
                    </w:rPr>
                    <w:t>10</w:t>
                  </w:r>
                </w:p>
              </w:tc>
              <w:tc>
                <w:tcPr>
                  <w:tcW w:w="541" w:type="pct"/>
                  <w:tcBorders>
                    <w:top w:val="single" w:color="auto" w:sz="6" w:space="0"/>
                    <w:left w:val="single" w:color="auto" w:sz="6" w:space="0"/>
                    <w:bottom w:val="single" w:color="auto" w:sz="6" w:space="0"/>
                    <w:right w:val="single" w:color="auto" w:sz="6" w:space="0"/>
                  </w:tcBorders>
                  <w:noWrap w:val="0"/>
                  <w:vAlign w:val="center"/>
                </w:tcPr>
                <w:p w14:paraId="1281E5E9">
                  <w:pPr>
                    <w:spacing w:line="259" w:lineRule="auto"/>
                    <w:jc w:val="center"/>
                    <w:rPr>
                      <w:sz w:val="21"/>
                      <w:szCs w:val="21"/>
                    </w:rPr>
                  </w:pPr>
                  <w:r>
                    <w:rPr>
                      <w:rFonts w:hint="eastAsia"/>
                      <w:sz w:val="21"/>
                      <w:szCs w:val="21"/>
                    </w:rPr>
                    <w:t>5</w:t>
                  </w:r>
                </w:p>
              </w:tc>
              <w:tc>
                <w:tcPr>
                  <w:tcW w:w="602" w:type="pct"/>
                  <w:tcBorders>
                    <w:top w:val="single" w:color="auto" w:sz="6" w:space="0"/>
                    <w:left w:val="single" w:color="auto" w:sz="6" w:space="0"/>
                    <w:bottom w:val="single" w:color="auto" w:sz="6" w:space="0"/>
                    <w:right w:val="single" w:color="auto" w:sz="6" w:space="0"/>
                  </w:tcBorders>
                  <w:noWrap w:val="0"/>
                  <w:vAlign w:val="center"/>
                </w:tcPr>
                <w:p w14:paraId="1A893844">
                  <w:pPr>
                    <w:spacing w:line="259" w:lineRule="auto"/>
                    <w:jc w:val="center"/>
                    <w:rPr>
                      <w:rFonts w:hint="default"/>
                      <w:sz w:val="21"/>
                      <w:szCs w:val="21"/>
                      <w:lang w:val="en-US" w:eastAsia="zh-CN"/>
                    </w:rPr>
                  </w:pPr>
                  <w:r>
                    <w:rPr>
                      <w:rFonts w:hint="eastAsia"/>
                      <w:sz w:val="21"/>
                      <w:szCs w:val="21"/>
                      <w:lang w:val="en-US" w:eastAsia="zh-CN"/>
                    </w:rPr>
                    <w:t>0.5</w:t>
                  </w:r>
                </w:p>
              </w:tc>
            </w:tr>
            <w:tr w14:paraId="69F812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1" w:type="pct"/>
                  <w:vMerge w:val="continue"/>
                  <w:tcBorders>
                    <w:left w:val="single" w:color="auto" w:sz="8" w:space="0"/>
                    <w:right w:val="single" w:color="auto" w:sz="6" w:space="0"/>
                  </w:tcBorders>
                  <w:noWrap w:val="0"/>
                  <w:vAlign w:val="center"/>
                </w:tcPr>
                <w:p w14:paraId="11D15F97">
                  <w:pPr>
                    <w:spacing w:line="259" w:lineRule="auto"/>
                    <w:rPr>
                      <w:sz w:val="21"/>
                      <w:szCs w:val="21"/>
                    </w:rPr>
                  </w:pPr>
                </w:p>
              </w:tc>
              <w:tc>
                <w:tcPr>
                  <w:tcW w:w="735" w:type="pct"/>
                  <w:vMerge w:val="continue"/>
                  <w:tcBorders>
                    <w:left w:val="single" w:color="auto" w:sz="6" w:space="0"/>
                    <w:bottom w:val="single" w:color="auto" w:sz="6" w:space="0"/>
                    <w:right w:val="single" w:color="auto" w:sz="6" w:space="0"/>
                  </w:tcBorders>
                  <w:noWrap w:val="0"/>
                  <w:vAlign w:val="center"/>
                </w:tcPr>
                <w:p w14:paraId="670EF5D6">
                  <w:pPr>
                    <w:spacing w:line="259" w:lineRule="auto"/>
                    <w:rPr>
                      <w:sz w:val="21"/>
                      <w:szCs w:val="21"/>
                    </w:rPr>
                  </w:pPr>
                </w:p>
              </w:tc>
              <w:tc>
                <w:tcPr>
                  <w:tcW w:w="940" w:type="pct"/>
                  <w:tcBorders>
                    <w:top w:val="single" w:color="auto" w:sz="6" w:space="0"/>
                    <w:left w:val="single" w:color="auto" w:sz="6" w:space="0"/>
                    <w:bottom w:val="single" w:color="auto" w:sz="6" w:space="0"/>
                    <w:right w:val="single" w:color="auto" w:sz="6" w:space="0"/>
                  </w:tcBorders>
                  <w:noWrap w:val="0"/>
                  <w:vAlign w:val="center"/>
                </w:tcPr>
                <w:p w14:paraId="31BBD297">
                  <w:pPr>
                    <w:spacing w:line="259" w:lineRule="auto"/>
                    <w:jc w:val="center"/>
                    <w:rPr>
                      <w:sz w:val="21"/>
                      <w:szCs w:val="21"/>
                    </w:rPr>
                  </w:pPr>
                  <w:r>
                    <w:rPr>
                      <w:sz w:val="21"/>
                      <w:szCs w:val="21"/>
                    </w:rPr>
                    <w:t>排放量（t/a）</w:t>
                  </w:r>
                </w:p>
              </w:tc>
              <w:tc>
                <w:tcPr>
                  <w:tcW w:w="550" w:type="pct"/>
                  <w:tcBorders>
                    <w:top w:val="single" w:color="auto" w:sz="6" w:space="0"/>
                    <w:left w:val="single" w:color="auto" w:sz="6" w:space="0"/>
                    <w:bottom w:val="single" w:color="auto" w:sz="6" w:space="0"/>
                    <w:right w:val="single" w:color="auto" w:sz="6" w:space="0"/>
                  </w:tcBorders>
                  <w:noWrap w:val="0"/>
                  <w:vAlign w:val="center"/>
                </w:tcPr>
                <w:p w14:paraId="49409E92">
                  <w:pPr>
                    <w:spacing w:line="259" w:lineRule="auto"/>
                    <w:jc w:val="center"/>
                    <w:rPr>
                      <w:rFonts w:hint="default" w:eastAsia="宋体"/>
                      <w:sz w:val="21"/>
                      <w:szCs w:val="21"/>
                      <w:lang w:val="en-US" w:eastAsia="zh-CN"/>
                    </w:rPr>
                  </w:pPr>
                  <w:r>
                    <w:rPr>
                      <w:rFonts w:hint="eastAsia"/>
                      <w:sz w:val="21"/>
                      <w:szCs w:val="21"/>
                      <w:lang w:val="en-US" w:eastAsia="zh-CN"/>
                    </w:rPr>
                    <w:t>0.014</w:t>
                  </w:r>
                </w:p>
              </w:tc>
              <w:tc>
                <w:tcPr>
                  <w:tcW w:w="486" w:type="pct"/>
                  <w:tcBorders>
                    <w:top w:val="single" w:color="auto" w:sz="6" w:space="0"/>
                    <w:left w:val="single" w:color="auto" w:sz="6" w:space="0"/>
                    <w:bottom w:val="single" w:color="auto" w:sz="6" w:space="0"/>
                    <w:right w:val="single" w:color="auto" w:sz="6" w:space="0"/>
                  </w:tcBorders>
                  <w:noWrap w:val="0"/>
                  <w:vAlign w:val="center"/>
                </w:tcPr>
                <w:p w14:paraId="301E3786">
                  <w:pPr>
                    <w:spacing w:line="259" w:lineRule="auto"/>
                    <w:jc w:val="center"/>
                    <w:rPr>
                      <w:rFonts w:hint="default" w:eastAsia="宋体"/>
                      <w:sz w:val="21"/>
                      <w:szCs w:val="21"/>
                      <w:lang w:val="en-US" w:eastAsia="zh-CN"/>
                    </w:rPr>
                  </w:pPr>
                  <w:r>
                    <w:rPr>
                      <w:rFonts w:hint="eastAsia"/>
                      <w:sz w:val="21"/>
                      <w:szCs w:val="21"/>
                      <w:lang w:val="en-US" w:eastAsia="zh-CN"/>
                    </w:rPr>
                    <w:t>0.003</w:t>
                  </w:r>
                </w:p>
              </w:tc>
              <w:tc>
                <w:tcPr>
                  <w:tcW w:w="461" w:type="pct"/>
                  <w:tcBorders>
                    <w:top w:val="single" w:color="auto" w:sz="6" w:space="0"/>
                    <w:left w:val="single" w:color="auto" w:sz="6" w:space="0"/>
                    <w:bottom w:val="single" w:color="auto" w:sz="6" w:space="0"/>
                    <w:right w:val="single" w:color="auto" w:sz="6" w:space="0"/>
                  </w:tcBorders>
                  <w:noWrap w:val="0"/>
                  <w:vAlign w:val="center"/>
                </w:tcPr>
                <w:p w14:paraId="0D2A82E0">
                  <w:pPr>
                    <w:spacing w:line="259" w:lineRule="auto"/>
                    <w:jc w:val="center"/>
                    <w:rPr>
                      <w:rFonts w:hint="default" w:eastAsia="宋体"/>
                      <w:sz w:val="21"/>
                      <w:szCs w:val="21"/>
                      <w:lang w:val="en-US" w:eastAsia="zh-CN"/>
                    </w:rPr>
                  </w:pPr>
                  <w:r>
                    <w:rPr>
                      <w:rFonts w:hint="eastAsia"/>
                      <w:sz w:val="21"/>
                      <w:szCs w:val="21"/>
                      <w:lang w:val="en-US" w:eastAsia="zh-CN"/>
                    </w:rPr>
                    <w:t>0.003</w:t>
                  </w:r>
                </w:p>
              </w:tc>
              <w:tc>
                <w:tcPr>
                  <w:tcW w:w="541" w:type="pct"/>
                  <w:tcBorders>
                    <w:top w:val="single" w:color="auto" w:sz="6" w:space="0"/>
                    <w:left w:val="single" w:color="auto" w:sz="6" w:space="0"/>
                    <w:bottom w:val="single" w:color="auto" w:sz="6" w:space="0"/>
                    <w:right w:val="single" w:color="auto" w:sz="6" w:space="0"/>
                  </w:tcBorders>
                  <w:noWrap w:val="0"/>
                  <w:vAlign w:val="center"/>
                </w:tcPr>
                <w:p w14:paraId="681A1E9C">
                  <w:pPr>
                    <w:spacing w:line="259" w:lineRule="auto"/>
                    <w:jc w:val="center"/>
                    <w:rPr>
                      <w:rFonts w:hint="default" w:eastAsia="宋体"/>
                      <w:sz w:val="21"/>
                      <w:szCs w:val="21"/>
                      <w:lang w:val="en-US" w:eastAsia="zh-CN"/>
                    </w:rPr>
                  </w:pPr>
                  <w:r>
                    <w:rPr>
                      <w:rFonts w:hint="eastAsia"/>
                      <w:sz w:val="21"/>
                      <w:szCs w:val="21"/>
                      <w:lang w:val="en-US" w:eastAsia="zh-CN"/>
                    </w:rPr>
                    <w:t>0.001</w:t>
                  </w:r>
                </w:p>
              </w:tc>
              <w:tc>
                <w:tcPr>
                  <w:tcW w:w="602" w:type="pct"/>
                  <w:tcBorders>
                    <w:top w:val="single" w:color="auto" w:sz="6" w:space="0"/>
                    <w:left w:val="single" w:color="auto" w:sz="6" w:space="0"/>
                    <w:bottom w:val="single" w:color="auto" w:sz="6" w:space="0"/>
                    <w:right w:val="single" w:color="auto" w:sz="6" w:space="0"/>
                  </w:tcBorders>
                  <w:noWrap w:val="0"/>
                  <w:vAlign w:val="center"/>
                </w:tcPr>
                <w:p w14:paraId="7A229FDF">
                  <w:pPr>
                    <w:spacing w:line="259" w:lineRule="auto"/>
                    <w:jc w:val="center"/>
                    <w:rPr>
                      <w:rFonts w:hint="default"/>
                      <w:sz w:val="21"/>
                      <w:szCs w:val="21"/>
                      <w:lang w:val="en-US" w:eastAsia="zh-CN"/>
                    </w:rPr>
                  </w:pPr>
                  <w:r>
                    <w:rPr>
                      <w:rFonts w:hint="eastAsia"/>
                      <w:sz w:val="21"/>
                      <w:szCs w:val="21"/>
                      <w:lang w:val="en-US" w:eastAsia="zh-CN"/>
                    </w:rPr>
                    <w:t>0.0001</w:t>
                  </w:r>
                </w:p>
              </w:tc>
            </w:tr>
          </w:tbl>
          <w:p w14:paraId="38D481B2">
            <w:pPr>
              <w:pStyle w:val="97"/>
              <w:spacing w:line="360" w:lineRule="auto"/>
              <w:ind w:firstLine="482"/>
              <w:rPr>
                <w:rFonts w:ascii="Times New Roman" w:hAnsi="Times New Roman"/>
                <w:b/>
                <w:bCs/>
                <w:u w:val="none"/>
              </w:rPr>
            </w:pPr>
            <w:r>
              <w:rPr>
                <w:rFonts w:hint="eastAsia" w:ascii="Times New Roman" w:hAnsi="Times New Roman"/>
                <w:b/>
                <w:bCs/>
                <w:u w:val="none"/>
              </w:rPr>
              <w:t>2、废水影响分析</w:t>
            </w:r>
          </w:p>
          <w:p w14:paraId="3D707E65">
            <w:pPr>
              <w:pStyle w:val="97"/>
              <w:spacing w:line="360" w:lineRule="auto"/>
              <w:ind w:firstLine="480"/>
              <w:rPr>
                <w:rFonts w:ascii="Times New Roman" w:hAnsi="Times New Roman"/>
                <w:u w:val="none"/>
              </w:rPr>
            </w:pPr>
            <w:r>
              <w:rPr>
                <w:rFonts w:hint="eastAsia" w:ascii="Times New Roman" w:hAnsi="Times New Roman"/>
                <w:u w:val="none"/>
              </w:rPr>
              <w:t>（1）废水</w:t>
            </w:r>
            <w:r>
              <w:rPr>
                <w:rFonts w:ascii="Times New Roman" w:hAnsi="Times New Roman"/>
                <w:u w:val="none"/>
              </w:rPr>
              <w:t>排放</w:t>
            </w:r>
            <w:r>
              <w:rPr>
                <w:rFonts w:hint="eastAsia" w:ascii="Times New Roman" w:hAnsi="Times New Roman"/>
                <w:u w:val="none"/>
              </w:rPr>
              <w:t>情况一览表</w:t>
            </w:r>
          </w:p>
          <w:p w14:paraId="6F0E347A">
            <w:pPr>
              <w:pStyle w:val="12"/>
              <w:spacing w:before="0" w:after="0" w:line="360" w:lineRule="auto"/>
              <w:ind w:right="0" w:firstLine="480" w:firstLineChars="200"/>
              <w:rPr>
                <w:sz w:val="24"/>
                <w:szCs w:val="24"/>
                <w:u w:val="none"/>
              </w:rPr>
            </w:pPr>
            <w:r>
              <w:rPr>
                <w:sz w:val="24"/>
                <w:szCs w:val="24"/>
                <w:u w:val="none"/>
              </w:rPr>
              <w:t>本项目</w:t>
            </w:r>
            <w:r>
              <w:rPr>
                <w:rFonts w:hint="eastAsia"/>
                <w:sz w:val="24"/>
                <w:szCs w:val="24"/>
                <w:u w:val="none"/>
              </w:rPr>
              <w:t>废水</w:t>
            </w:r>
            <w:r>
              <w:rPr>
                <w:sz w:val="24"/>
                <w:szCs w:val="24"/>
                <w:u w:val="none"/>
              </w:rPr>
              <w:t>污染物信息表如下表</w:t>
            </w:r>
            <w:r>
              <w:rPr>
                <w:rFonts w:hint="eastAsia"/>
                <w:sz w:val="24"/>
                <w:szCs w:val="24"/>
                <w:u w:val="none"/>
              </w:rPr>
              <w:t>4-</w:t>
            </w:r>
            <w:r>
              <w:rPr>
                <w:rFonts w:hint="eastAsia"/>
                <w:sz w:val="24"/>
                <w:szCs w:val="24"/>
                <w:u w:val="none"/>
                <w:lang w:val="en-US" w:eastAsia="zh-CN"/>
              </w:rPr>
              <w:t>9</w:t>
            </w:r>
            <w:r>
              <w:rPr>
                <w:sz w:val="24"/>
                <w:szCs w:val="24"/>
                <w:u w:val="none"/>
              </w:rPr>
              <w:t>所示</w:t>
            </w:r>
            <w:r>
              <w:rPr>
                <w:rFonts w:hint="eastAsia"/>
                <w:sz w:val="24"/>
                <w:szCs w:val="24"/>
                <w:u w:val="none"/>
              </w:rPr>
              <w:t>，废水</w:t>
            </w:r>
            <w:r>
              <w:rPr>
                <w:sz w:val="24"/>
                <w:szCs w:val="24"/>
                <w:u w:val="none"/>
              </w:rPr>
              <w:t>排放口情况如下表</w:t>
            </w:r>
            <w:r>
              <w:rPr>
                <w:rFonts w:hint="eastAsia"/>
                <w:sz w:val="24"/>
                <w:szCs w:val="24"/>
                <w:u w:val="none"/>
              </w:rPr>
              <w:t>4-</w:t>
            </w:r>
            <w:r>
              <w:rPr>
                <w:rFonts w:hint="eastAsia"/>
                <w:sz w:val="24"/>
                <w:szCs w:val="24"/>
                <w:u w:val="none"/>
                <w:lang w:val="en-US" w:eastAsia="zh-CN"/>
              </w:rPr>
              <w:t>10</w:t>
            </w:r>
            <w:r>
              <w:rPr>
                <w:sz w:val="24"/>
                <w:szCs w:val="24"/>
                <w:u w:val="none"/>
              </w:rPr>
              <w:t>所示</w:t>
            </w:r>
            <w:r>
              <w:rPr>
                <w:rFonts w:hint="eastAsia"/>
                <w:sz w:val="24"/>
                <w:szCs w:val="24"/>
                <w:u w:val="none"/>
              </w:rPr>
              <w:t>。</w:t>
            </w:r>
          </w:p>
          <w:p w14:paraId="12FC7044">
            <w:pPr>
              <w:pStyle w:val="98"/>
              <w:spacing w:beforeLines="20" w:line="240" w:lineRule="auto"/>
              <w:rPr>
                <w:szCs w:val="24"/>
                <w:u w:val="none"/>
              </w:rPr>
            </w:pPr>
            <w:r>
              <w:rPr>
                <w:szCs w:val="24"/>
                <w:u w:val="none"/>
              </w:rPr>
              <w:t>表4-</w:t>
            </w:r>
            <w:r>
              <w:rPr>
                <w:rFonts w:hint="eastAsia"/>
                <w:szCs w:val="24"/>
                <w:u w:val="none"/>
                <w:lang w:val="en-US" w:eastAsia="zh-CN"/>
              </w:rPr>
              <w:t>9</w:t>
            </w:r>
            <w:r>
              <w:rPr>
                <w:rFonts w:hint="eastAsia"/>
                <w:szCs w:val="24"/>
                <w:u w:val="none"/>
              </w:rPr>
              <w:t xml:space="preserve"> </w:t>
            </w:r>
            <w:r>
              <w:rPr>
                <w:szCs w:val="24"/>
                <w:u w:val="none"/>
              </w:rPr>
              <w:t xml:space="preserve"> 废水污染物信息表</w:t>
            </w:r>
          </w:p>
          <w:tbl>
            <w:tblPr>
              <w:tblStyle w:val="31"/>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903"/>
              <w:gridCol w:w="702"/>
              <w:gridCol w:w="877"/>
              <w:gridCol w:w="828"/>
              <w:gridCol w:w="1053"/>
              <w:gridCol w:w="926"/>
              <w:gridCol w:w="779"/>
              <w:gridCol w:w="1655"/>
            </w:tblGrid>
            <w:tr w14:paraId="0F8DD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jc w:val="center"/>
              </w:trPr>
              <w:tc>
                <w:tcPr>
                  <w:tcW w:w="265" w:type="pct"/>
                  <w:vAlign w:val="center"/>
                </w:tcPr>
                <w:p w14:paraId="0FA35617">
                  <w:pPr>
                    <w:pStyle w:val="12"/>
                    <w:widowControl w:val="0"/>
                    <w:snapToGrid/>
                    <w:spacing w:before="0" w:after="0" w:line="240" w:lineRule="auto"/>
                    <w:ind w:right="0"/>
                    <w:jc w:val="center"/>
                    <w:rPr>
                      <w:sz w:val="21"/>
                      <w:szCs w:val="21"/>
                      <w:u w:val="none"/>
                    </w:rPr>
                  </w:pPr>
                  <w:r>
                    <w:rPr>
                      <w:sz w:val="21"/>
                      <w:szCs w:val="21"/>
                      <w:u w:val="none"/>
                    </w:rPr>
                    <w:t>序号</w:t>
                  </w:r>
                </w:p>
              </w:tc>
              <w:tc>
                <w:tcPr>
                  <w:tcW w:w="554" w:type="pct"/>
                  <w:vAlign w:val="center"/>
                </w:tcPr>
                <w:p w14:paraId="12E06104">
                  <w:pPr>
                    <w:pStyle w:val="12"/>
                    <w:widowControl w:val="0"/>
                    <w:snapToGrid/>
                    <w:spacing w:before="0" w:after="0" w:line="240" w:lineRule="auto"/>
                    <w:ind w:right="0"/>
                    <w:jc w:val="center"/>
                    <w:rPr>
                      <w:sz w:val="21"/>
                      <w:szCs w:val="21"/>
                      <w:u w:val="none"/>
                    </w:rPr>
                  </w:pPr>
                  <w:r>
                    <w:rPr>
                      <w:sz w:val="21"/>
                      <w:szCs w:val="21"/>
                      <w:u w:val="none"/>
                    </w:rPr>
                    <w:t>产污环节名称</w:t>
                  </w:r>
                </w:p>
              </w:tc>
              <w:tc>
                <w:tcPr>
                  <w:tcW w:w="430" w:type="pct"/>
                  <w:vAlign w:val="center"/>
                </w:tcPr>
                <w:p w14:paraId="48BD139D">
                  <w:pPr>
                    <w:pStyle w:val="12"/>
                    <w:widowControl w:val="0"/>
                    <w:snapToGrid/>
                    <w:spacing w:before="0" w:after="0" w:line="240" w:lineRule="auto"/>
                    <w:ind w:right="0"/>
                    <w:jc w:val="center"/>
                    <w:rPr>
                      <w:sz w:val="21"/>
                      <w:szCs w:val="21"/>
                      <w:u w:val="none"/>
                    </w:rPr>
                  </w:pPr>
                  <w:r>
                    <w:rPr>
                      <w:sz w:val="21"/>
                      <w:szCs w:val="21"/>
                      <w:u w:val="none"/>
                    </w:rPr>
                    <w:t>污染物种类</w:t>
                  </w:r>
                </w:p>
              </w:tc>
              <w:tc>
                <w:tcPr>
                  <w:tcW w:w="537" w:type="pct"/>
                  <w:vAlign w:val="center"/>
                </w:tcPr>
                <w:p w14:paraId="2FB1F342">
                  <w:pPr>
                    <w:pStyle w:val="12"/>
                    <w:widowControl w:val="0"/>
                    <w:snapToGrid/>
                    <w:spacing w:before="0" w:after="0" w:line="240" w:lineRule="auto"/>
                    <w:ind w:right="0"/>
                    <w:jc w:val="center"/>
                    <w:rPr>
                      <w:sz w:val="21"/>
                      <w:szCs w:val="21"/>
                      <w:u w:val="none"/>
                    </w:rPr>
                  </w:pPr>
                  <w:r>
                    <w:rPr>
                      <w:sz w:val="21"/>
                      <w:szCs w:val="21"/>
                      <w:u w:val="none"/>
                    </w:rPr>
                    <w:t>污染物</w:t>
                  </w:r>
                </w:p>
                <w:p w14:paraId="0F48FB49">
                  <w:pPr>
                    <w:pStyle w:val="12"/>
                    <w:widowControl w:val="0"/>
                    <w:snapToGrid/>
                    <w:spacing w:before="0" w:after="0" w:line="240" w:lineRule="auto"/>
                    <w:ind w:right="0"/>
                    <w:jc w:val="center"/>
                    <w:rPr>
                      <w:sz w:val="21"/>
                      <w:szCs w:val="21"/>
                      <w:u w:val="none"/>
                    </w:rPr>
                  </w:pPr>
                  <w:r>
                    <w:rPr>
                      <w:rFonts w:hint="eastAsia"/>
                      <w:sz w:val="21"/>
                      <w:szCs w:val="21"/>
                      <w:u w:val="none"/>
                    </w:rPr>
                    <w:t>产生</w:t>
                  </w:r>
                  <w:r>
                    <w:rPr>
                      <w:sz w:val="21"/>
                      <w:szCs w:val="21"/>
                      <w:u w:val="none"/>
                    </w:rPr>
                    <w:t>浓度</w:t>
                  </w:r>
                  <w:r>
                    <w:rPr>
                      <w:rFonts w:hint="eastAsia"/>
                      <w:sz w:val="21"/>
                      <w:szCs w:val="21"/>
                      <w:u w:val="none"/>
                    </w:rPr>
                    <w:t>（</w:t>
                  </w:r>
                  <w:r>
                    <w:rPr>
                      <w:bCs/>
                      <w:sz w:val="21"/>
                      <w:szCs w:val="21"/>
                      <w:u w:val="none"/>
                    </w:rPr>
                    <w:t>mg/L</w:t>
                  </w:r>
                  <w:r>
                    <w:rPr>
                      <w:rFonts w:hint="eastAsia"/>
                      <w:bCs/>
                      <w:sz w:val="21"/>
                      <w:szCs w:val="21"/>
                      <w:u w:val="none"/>
                    </w:rPr>
                    <w:t>）</w:t>
                  </w:r>
                </w:p>
              </w:tc>
              <w:tc>
                <w:tcPr>
                  <w:tcW w:w="507" w:type="pct"/>
                  <w:vAlign w:val="center"/>
                </w:tcPr>
                <w:p w14:paraId="413BDF7E">
                  <w:pPr>
                    <w:pStyle w:val="12"/>
                    <w:widowControl w:val="0"/>
                    <w:snapToGrid/>
                    <w:spacing w:before="0" w:after="0" w:line="240" w:lineRule="auto"/>
                    <w:ind w:right="0"/>
                    <w:jc w:val="center"/>
                    <w:rPr>
                      <w:sz w:val="21"/>
                      <w:szCs w:val="21"/>
                      <w:u w:val="none"/>
                    </w:rPr>
                  </w:pPr>
                  <w:r>
                    <w:rPr>
                      <w:sz w:val="21"/>
                      <w:szCs w:val="21"/>
                      <w:u w:val="none"/>
                    </w:rPr>
                    <w:t>污染物</w:t>
                  </w:r>
                </w:p>
                <w:p w14:paraId="66AC4FD5">
                  <w:pPr>
                    <w:pStyle w:val="12"/>
                    <w:widowControl w:val="0"/>
                    <w:snapToGrid/>
                    <w:spacing w:before="0" w:after="0" w:line="240" w:lineRule="auto"/>
                    <w:ind w:right="0"/>
                    <w:jc w:val="center"/>
                    <w:rPr>
                      <w:sz w:val="21"/>
                      <w:szCs w:val="21"/>
                      <w:u w:val="none"/>
                    </w:rPr>
                  </w:pPr>
                  <w:r>
                    <w:rPr>
                      <w:sz w:val="21"/>
                      <w:szCs w:val="21"/>
                      <w:u w:val="none"/>
                    </w:rPr>
                    <w:t>产生量</w:t>
                  </w:r>
                  <w:r>
                    <w:rPr>
                      <w:rFonts w:hint="eastAsia"/>
                      <w:sz w:val="21"/>
                      <w:szCs w:val="21"/>
                      <w:u w:val="none"/>
                    </w:rPr>
                    <w:t>（t/a）</w:t>
                  </w:r>
                </w:p>
              </w:tc>
              <w:tc>
                <w:tcPr>
                  <w:tcW w:w="645" w:type="pct"/>
                  <w:vAlign w:val="center"/>
                </w:tcPr>
                <w:p w14:paraId="1022703C">
                  <w:pPr>
                    <w:pStyle w:val="12"/>
                    <w:widowControl w:val="0"/>
                    <w:snapToGrid/>
                    <w:spacing w:before="0" w:after="0" w:line="240" w:lineRule="auto"/>
                    <w:ind w:right="0"/>
                    <w:jc w:val="center"/>
                    <w:rPr>
                      <w:sz w:val="21"/>
                      <w:szCs w:val="21"/>
                      <w:u w:val="none"/>
                    </w:rPr>
                  </w:pPr>
                  <w:r>
                    <w:rPr>
                      <w:sz w:val="21"/>
                      <w:szCs w:val="21"/>
                      <w:u w:val="none"/>
                    </w:rPr>
                    <w:t>污染治理设施名称</w:t>
                  </w:r>
                </w:p>
              </w:tc>
              <w:tc>
                <w:tcPr>
                  <w:tcW w:w="567" w:type="pct"/>
                  <w:vAlign w:val="center"/>
                </w:tcPr>
                <w:p w14:paraId="6D94A5FA">
                  <w:pPr>
                    <w:pStyle w:val="12"/>
                    <w:widowControl w:val="0"/>
                    <w:snapToGrid/>
                    <w:spacing w:before="0" w:after="0" w:line="240" w:lineRule="auto"/>
                    <w:ind w:right="0"/>
                    <w:jc w:val="center"/>
                    <w:rPr>
                      <w:sz w:val="21"/>
                      <w:szCs w:val="21"/>
                      <w:u w:val="none"/>
                    </w:rPr>
                  </w:pPr>
                  <w:r>
                    <w:rPr>
                      <w:sz w:val="21"/>
                      <w:szCs w:val="21"/>
                      <w:u w:val="none"/>
                    </w:rPr>
                    <w:t>污染物</w:t>
                  </w:r>
                </w:p>
                <w:p w14:paraId="3095337D">
                  <w:pPr>
                    <w:pStyle w:val="12"/>
                    <w:widowControl w:val="0"/>
                    <w:snapToGrid/>
                    <w:spacing w:before="0" w:after="0" w:line="240" w:lineRule="auto"/>
                    <w:ind w:right="0"/>
                    <w:jc w:val="center"/>
                    <w:rPr>
                      <w:sz w:val="21"/>
                      <w:szCs w:val="21"/>
                      <w:u w:val="none"/>
                    </w:rPr>
                  </w:pPr>
                  <w:r>
                    <w:rPr>
                      <w:sz w:val="21"/>
                      <w:szCs w:val="21"/>
                      <w:u w:val="none"/>
                    </w:rPr>
                    <w:t>排放浓度</w:t>
                  </w:r>
                  <w:r>
                    <w:rPr>
                      <w:rFonts w:hint="eastAsia"/>
                      <w:sz w:val="21"/>
                      <w:szCs w:val="21"/>
                      <w:u w:val="none"/>
                    </w:rPr>
                    <w:t>（</w:t>
                  </w:r>
                  <w:r>
                    <w:rPr>
                      <w:bCs/>
                      <w:sz w:val="21"/>
                      <w:szCs w:val="21"/>
                      <w:u w:val="none"/>
                    </w:rPr>
                    <w:t>mg/L</w:t>
                  </w:r>
                  <w:r>
                    <w:rPr>
                      <w:rFonts w:hint="eastAsia"/>
                      <w:bCs/>
                      <w:sz w:val="21"/>
                      <w:szCs w:val="21"/>
                      <w:u w:val="none"/>
                    </w:rPr>
                    <w:t>）</w:t>
                  </w:r>
                </w:p>
              </w:tc>
              <w:tc>
                <w:tcPr>
                  <w:tcW w:w="477" w:type="pct"/>
                  <w:vAlign w:val="center"/>
                </w:tcPr>
                <w:p w14:paraId="132E3993">
                  <w:pPr>
                    <w:pStyle w:val="12"/>
                    <w:widowControl w:val="0"/>
                    <w:snapToGrid/>
                    <w:spacing w:before="0" w:after="0" w:line="240" w:lineRule="auto"/>
                    <w:ind w:right="0"/>
                    <w:jc w:val="center"/>
                    <w:rPr>
                      <w:sz w:val="21"/>
                      <w:szCs w:val="21"/>
                      <w:u w:val="none"/>
                    </w:rPr>
                  </w:pPr>
                  <w:r>
                    <w:rPr>
                      <w:sz w:val="21"/>
                      <w:szCs w:val="21"/>
                      <w:u w:val="none"/>
                    </w:rPr>
                    <w:t>污染物排放量</w:t>
                  </w:r>
                  <w:r>
                    <w:rPr>
                      <w:rFonts w:hint="eastAsia"/>
                      <w:sz w:val="21"/>
                      <w:szCs w:val="21"/>
                      <w:u w:val="none"/>
                    </w:rPr>
                    <w:t>（t/a）</w:t>
                  </w:r>
                </w:p>
              </w:tc>
              <w:tc>
                <w:tcPr>
                  <w:tcW w:w="1014" w:type="pct"/>
                  <w:vAlign w:val="center"/>
                </w:tcPr>
                <w:p w14:paraId="4E7483C5">
                  <w:pPr>
                    <w:pStyle w:val="12"/>
                    <w:widowControl w:val="0"/>
                    <w:snapToGrid/>
                    <w:spacing w:before="0" w:after="0" w:line="240" w:lineRule="auto"/>
                    <w:ind w:right="0"/>
                    <w:jc w:val="center"/>
                    <w:rPr>
                      <w:sz w:val="21"/>
                      <w:szCs w:val="21"/>
                      <w:u w:val="none"/>
                    </w:rPr>
                  </w:pPr>
                  <w:r>
                    <w:rPr>
                      <w:sz w:val="21"/>
                      <w:szCs w:val="21"/>
                      <w:u w:val="none"/>
                    </w:rPr>
                    <w:t>排放标准</w:t>
                  </w:r>
                </w:p>
              </w:tc>
            </w:tr>
            <w:tr w14:paraId="359B4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65" w:type="pct"/>
                  <w:vMerge w:val="restart"/>
                  <w:vAlign w:val="center"/>
                </w:tcPr>
                <w:p w14:paraId="59673CB7">
                  <w:pPr>
                    <w:pStyle w:val="12"/>
                    <w:widowControl w:val="0"/>
                    <w:snapToGrid/>
                    <w:spacing w:before="0" w:after="0" w:line="240" w:lineRule="auto"/>
                    <w:ind w:right="0"/>
                    <w:jc w:val="center"/>
                    <w:rPr>
                      <w:rFonts w:hint="eastAsia" w:eastAsia="宋体"/>
                      <w:sz w:val="21"/>
                      <w:szCs w:val="21"/>
                      <w:u w:val="none"/>
                      <w:lang w:eastAsia="zh-CN"/>
                    </w:rPr>
                  </w:pPr>
                  <w:r>
                    <w:rPr>
                      <w:rFonts w:hint="eastAsia"/>
                      <w:sz w:val="21"/>
                      <w:szCs w:val="21"/>
                      <w:u w:val="none"/>
                      <w:lang w:val="en-US" w:eastAsia="zh-CN"/>
                    </w:rPr>
                    <w:t>1</w:t>
                  </w:r>
                </w:p>
              </w:tc>
              <w:tc>
                <w:tcPr>
                  <w:tcW w:w="554" w:type="pct"/>
                  <w:vMerge w:val="restart"/>
                  <w:vAlign w:val="center"/>
                </w:tcPr>
                <w:p w14:paraId="392E1BDC">
                  <w:pPr>
                    <w:widowControl/>
                    <w:spacing w:line="259" w:lineRule="auto"/>
                    <w:jc w:val="center"/>
                    <w:rPr>
                      <w:kern w:val="0"/>
                      <w:sz w:val="21"/>
                      <w:szCs w:val="21"/>
                      <w:u w:val="none"/>
                    </w:rPr>
                  </w:pPr>
                  <w:r>
                    <w:rPr>
                      <w:kern w:val="0"/>
                      <w:sz w:val="21"/>
                      <w:szCs w:val="21"/>
                      <w:u w:val="none"/>
                    </w:rPr>
                    <w:t>生活</w:t>
                  </w:r>
                  <w:r>
                    <w:rPr>
                      <w:rFonts w:hint="eastAsia"/>
                      <w:kern w:val="0"/>
                      <w:sz w:val="21"/>
                      <w:szCs w:val="21"/>
                      <w:u w:val="none"/>
                    </w:rPr>
                    <w:t>废水</w:t>
                  </w:r>
                </w:p>
                <w:p w14:paraId="5EB654E0">
                  <w:pPr>
                    <w:pStyle w:val="12"/>
                    <w:widowControl w:val="0"/>
                    <w:snapToGrid/>
                    <w:spacing w:before="0" w:after="0" w:line="240" w:lineRule="auto"/>
                    <w:ind w:right="0"/>
                    <w:jc w:val="center"/>
                    <w:rPr>
                      <w:sz w:val="21"/>
                      <w:szCs w:val="21"/>
                      <w:u w:val="none"/>
                    </w:rPr>
                  </w:pPr>
                  <w:r>
                    <w:rPr>
                      <w:rFonts w:hint="eastAsia"/>
                      <w:sz w:val="21"/>
                      <w:szCs w:val="21"/>
                      <w:u w:val="none"/>
                      <w:lang w:val="en-US" w:eastAsia="zh-CN"/>
                    </w:rPr>
                    <w:t>273.6</w:t>
                  </w:r>
                  <w:r>
                    <w:rPr>
                      <w:sz w:val="21"/>
                      <w:szCs w:val="21"/>
                      <w:u w:val="none"/>
                    </w:rPr>
                    <w:t>m</w:t>
                  </w:r>
                  <w:r>
                    <w:rPr>
                      <w:sz w:val="21"/>
                      <w:szCs w:val="21"/>
                      <w:u w:val="none"/>
                      <w:vertAlign w:val="superscript"/>
                    </w:rPr>
                    <w:t>3</w:t>
                  </w:r>
                  <w:r>
                    <w:rPr>
                      <w:sz w:val="21"/>
                      <w:szCs w:val="21"/>
                      <w:u w:val="none"/>
                    </w:rPr>
                    <w:t>/a</w:t>
                  </w:r>
                </w:p>
              </w:tc>
              <w:tc>
                <w:tcPr>
                  <w:tcW w:w="430" w:type="pct"/>
                  <w:shd w:val="clear" w:color="auto" w:fill="auto"/>
                  <w:vAlign w:val="center"/>
                </w:tcPr>
                <w:p w14:paraId="7A13516D">
                  <w:pPr>
                    <w:pStyle w:val="99"/>
                    <w:spacing w:line="240" w:lineRule="auto"/>
                    <w:ind w:firstLine="0" w:firstLineChars="0"/>
                    <w:rPr>
                      <w:rFonts w:ascii="Times New Roman" w:hAnsi="Times New Roman" w:eastAsia="宋体" w:cs="Times New Roman"/>
                      <w:color w:val="000000"/>
                      <w:kern w:val="2"/>
                      <w:sz w:val="21"/>
                      <w:szCs w:val="21"/>
                      <w:lang w:val="en-US" w:eastAsia="zh-CN" w:bidi="ar-SA"/>
                    </w:rPr>
                  </w:pPr>
                  <w:r>
                    <w:rPr>
                      <w:rFonts w:ascii="Times New Roman" w:hAnsi="Times New Roman"/>
                      <w:szCs w:val="21"/>
                    </w:rPr>
                    <w:t>COD</w:t>
                  </w:r>
                </w:p>
              </w:tc>
              <w:tc>
                <w:tcPr>
                  <w:tcW w:w="537" w:type="pct"/>
                  <w:shd w:val="clear" w:color="auto" w:fill="auto"/>
                  <w:vAlign w:val="center"/>
                </w:tcPr>
                <w:p w14:paraId="45CD9AEB">
                  <w:pPr>
                    <w:pStyle w:val="12"/>
                    <w:widowControl w:val="0"/>
                    <w:snapToGrid/>
                    <w:spacing w:before="0" w:after="0" w:line="240" w:lineRule="auto"/>
                    <w:ind w:right="0" w:rightChars="0"/>
                    <w:jc w:val="center"/>
                    <w:rPr>
                      <w:rFonts w:ascii="Times New Roman" w:hAnsi="Times New Roman" w:eastAsia="宋体" w:cs="Times New Roman"/>
                      <w:bCs/>
                      <w:kern w:val="0"/>
                      <w:sz w:val="21"/>
                      <w:szCs w:val="21"/>
                      <w:lang w:val="en-US" w:eastAsia="zh-CN" w:bidi="ar-SA"/>
                    </w:rPr>
                  </w:pPr>
                  <w:r>
                    <w:rPr>
                      <w:rFonts w:hint="eastAsia"/>
                      <w:sz w:val="21"/>
                      <w:szCs w:val="21"/>
                      <w:lang w:val="en-US" w:eastAsia="zh-CN"/>
                    </w:rPr>
                    <w:t>285</w:t>
                  </w:r>
                </w:p>
              </w:tc>
              <w:tc>
                <w:tcPr>
                  <w:tcW w:w="507" w:type="pct"/>
                  <w:vAlign w:val="center"/>
                </w:tcPr>
                <w:p w14:paraId="4541743B">
                  <w:pPr>
                    <w:pStyle w:val="12"/>
                    <w:widowControl w:val="0"/>
                    <w:snapToGrid/>
                    <w:spacing w:before="0" w:after="0" w:line="240" w:lineRule="auto"/>
                    <w:ind w:right="0"/>
                    <w:jc w:val="center"/>
                    <w:rPr>
                      <w:bCs/>
                      <w:sz w:val="21"/>
                      <w:szCs w:val="21"/>
                      <w:u w:val="none"/>
                    </w:rPr>
                  </w:pPr>
                  <w:r>
                    <w:rPr>
                      <w:rFonts w:hint="eastAsia"/>
                      <w:sz w:val="21"/>
                      <w:szCs w:val="21"/>
                      <w:lang w:val="en-US" w:eastAsia="zh-CN"/>
                    </w:rPr>
                    <w:t>0.078</w:t>
                  </w:r>
                </w:p>
              </w:tc>
              <w:tc>
                <w:tcPr>
                  <w:tcW w:w="645" w:type="pct"/>
                  <w:vMerge w:val="restart"/>
                  <w:vAlign w:val="center"/>
                </w:tcPr>
                <w:p w14:paraId="362EF19D">
                  <w:pPr>
                    <w:pStyle w:val="12"/>
                    <w:widowControl w:val="0"/>
                    <w:snapToGrid/>
                    <w:spacing w:before="0" w:after="0" w:line="240" w:lineRule="auto"/>
                    <w:ind w:right="0"/>
                    <w:jc w:val="center"/>
                    <w:rPr>
                      <w:sz w:val="21"/>
                      <w:szCs w:val="21"/>
                      <w:u w:val="none"/>
                    </w:rPr>
                  </w:pPr>
                  <w:r>
                    <w:rPr>
                      <w:sz w:val="21"/>
                      <w:szCs w:val="21"/>
                      <w:u w:val="none"/>
                    </w:rPr>
                    <w:t>园区化粪池</w:t>
                  </w:r>
                </w:p>
              </w:tc>
              <w:tc>
                <w:tcPr>
                  <w:tcW w:w="567" w:type="pct"/>
                  <w:shd w:val="clear" w:color="auto" w:fill="auto"/>
                  <w:vAlign w:val="center"/>
                </w:tcPr>
                <w:p w14:paraId="661E2B87">
                  <w:pPr>
                    <w:pStyle w:val="12"/>
                    <w:widowControl w:val="0"/>
                    <w:snapToGrid/>
                    <w:spacing w:before="0" w:after="0" w:line="240" w:lineRule="auto"/>
                    <w:ind w:right="0" w:rightChars="0"/>
                    <w:jc w:val="center"/>
                    <w:rPr>
                      <w:rFonts w:ascii="Times New Roman" w:hAnsi="Times New Roman" w:eastAsia="宋体" w:cs="Times New Roman"/>
                      <w:kern w:val="0"/>
                      <w:sz w:val="21"/>
                      <w:szCs w:val="21"/>
                      <w:lang w:val="en-US" w:eastAsia="zh-CN" w:bidi="ar-SA"/>
                    </w:rPr>
                  </w:pPr>
                  <w:r>
                    <w:rPr>
                      <w:rFonts w:hint="eastAsia"/>
                      <w:sz w:val="21"/>
                      <w:szCs w:val="21"/>
                      <w:lang w:val="en-US" w:eastAsia="zh-CN"/>
                    </w:rPr>
                    <w:t>228</w:t>
                  </w:r>
                </w:p>
              </w:tc>
              <w:tc>
                <w:tcPr>
                  <w:tcW w:w="477" w:type="pct"/>
                  <w:vAlign w:val="center"/>
                </w:tcPr>
                <w:p w14:paraId="369CC0DF">
                  <w:pPr>
                    <w:pStyle w:val="12"/>
                    <w:widowControl w:val="0"/>
                    <w:snapToGrid/>
                    <w:spacing w:before="0" w:after="0" w:line="240" w:lineRule="auto"/>
                    <w:ind w:right="0"/>
                    <w:jc w:val="center"/>
                    <w:rPr>
                      <w:sz w:val="21"/>
                      <w:szCs w:val="21"/>
                      <w:u w:val="none"/>
                    </w:rPr>
                  </w:pPr>
                  <w:r>
                    <w:rPr>
                      <w:rFonts w:hint="eastAsia"/>
                      <w:sz w:val="21"/>
                      <w:szCs w:val="21"/>
                      <w:lang w:val="en-US" w:eastAsia="zh-CN"/>
                    </w:rPr>
                    <w:t>0.062</w:t>
                  </w:r>
                </w:p>
              </w:tc>
              <w:tc>
                <w:tcPr>
                  <w:tcW w:w="1014" w:type="pct"/>
                  <w:vMerge w:val="restart"/>
                  <w:vAlign w:val="center"/>
                </w:tcPr>
                <w:p w14:paraId="12A91659">
                  <w:pPr>
                    <w:pStyle w:val="12"/>
                    <w:widowControl w:val="0"/>
                    <w:snapToGrid/>
                    <w:spacing w:before="0" w:after="0" w:line="240" w:lineRule="auto"/>
                    <w:ind w:right="0"/>
                    <w:jc w:val="center"/>
                    <w:rPr>
                      <w:sz w:val="21"/>
                      <w:szCs w:val="21"/>
                      <w:u w:val="none"/>
                    </w:rPr>
                  </w:pPr>
                  <w:r>
                    <w:rPr>
                      <w:rFonts w:hint="eastAsia"/>
                      <w:sz w:val="21"/>
                      <w:szCs w:val="21"/>
                      <w:u w:val="none"/>
                      <w:lang w:eastAsia="zh-CN"/>
                    </w:rPr>
                    <w:t>岳阳市三峡水环境综合治理有限责任公司临港水质净化厂</w:t>
                  </w:r>
                  <w:r>
                    <w:rPr>
                      <w:rFonts w:hint="eastAsia"/>
                      <w:sz w:val="21"/>
                      <w:szCs w:val="21"/>
                      <w:u w:val="none"/>
                    </w:rPr>
                    <w:t>进水水质标准</w:t>
                  </w:r>
                </w:p>
              </w:tc>
            </w:tr>
            <w:tr w14:paraId="1C4A0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65" w:type="pct"/>
                  <w:vMerge w:val="continue"/>
                  <w:vAlign w:val="center"/>
                </w:tcPr>
                <w:p w14:paraId="51426F56">
                  <w:pPr>
                    <w:pStyle w:val="12"/>
                    <w:widowControl w:val="0"/>
                    <w:snapToGrid/>
                    <w:spacing w:before="0" w:after="0" w:line="240" w:lineRule="auto"/>
                    <w:ind w:right="0"/>
                    <w:jc w:val="center"/>
                    <w:rPr>
                      <w:sz w:val="21"/>
                      <w:szCs w:val="21"/>
                      <w:u w:val="none"/>
                    </w:rPr>
                  </w:pPr>
                </w:p>
              </w:tc>
              <w:tc>
                <w:tcPr>
                  <w:tcW w:w="554" w:type="pct"/>
                  <w:vMerge w:val="continue"/>
                  <w:vAlign w:val="center"/>
                </w:tcPr>
                <w:p w14:paraId="452777FF">
                  <w:pPr>
                    <w:pStyle w:val="12"/>
                    <w:widowControl w:val="0"/>
                    <w:snapToGrid/>
                    <w:spacing w:before="0" w:after="0" w:line="240" w:lineRule="auto"/>
                    <w:ind w:right="0"/>
                    <w:jc w:val="center"/>
                    <w:rPr>
                      <w:sz w:val="21"/>
                      <w:szCs w:val="21"/>
                      <w:u w:val="none"/>
                    </w:rPr>
                  </w:pPr>
                </w:p>
              </w:tc>
              <w:tc>
                <w:tcPr>
                  <w:tcW w:w="430" w:type="pct"/>
                  <w:shd w:val="clear" w:color="auto" w:fill="auto"/>
                  <w:vAlign w:val="center"/>
                </w:tcPr>
                <w:p w14:paraId="6332BBE2">
                  <w:pPr>
                    <w:pStyle w:val="99"/>
                    <w:spacing w:line="240" w:lineRule="auto"/>
                    <w:ind w:firstLine="0" w:firstLineChars="0"/>
                    <w:rPr>
                      <w:rFonts w:ascii="Times New Roman" w:hAnsi="Times New Roman" w:eastAsia="宋体" w:cs="Times New Roman"/>
                      <w:color w:val="000000"/>
                      <w:kern w:val="2"/>
                      <w:sz w:val="21"/>
                      <w:szCs w:val="21"/>
                      <w:lang w:val="en-US" w:eastAsia="zh-CN" w:bidi="ar-SA"/>
                    </w:rPr>
                  </w:pPr>
                  <w:r>
                    <w:rPr>
                      <w:rFonts w:ascii="Times New Roman" w:hAnsi="Times New Roman"/>
                      <w:szCs w:val="21"/>
                    </w:rPr>
                    <w:t>BOD</w:t>
                  </w:r>
                  <w:r>
                    <w:rPr>
                      <w:rFonts w:ascii="Times New Roman" w:hAnsi="Times New Roman"/>
                      <w:szCs w:val="21"/>
                      <w:vertAlign w:val="subscript"/>
                    </w:rPr>
                    <w:t>5</w:t>
                  </w:r>
                </w:p>
              </w:tc>
              <w:tc>
                <w:tcPr>
                  <w:tcW w:w="537" w:type="pct"/>
                  <w:shd w:val="clear" w:color="auto" w:fill="auto"/>
                  <w:vAlign w:val="center"/>
                </w:tcPr>
                <w:p w14:paraId="680FFEA0">
                  <w:pPr>
                    <w:pStyle w:val="12"/>
                    <w:widowControl w:val="0"/>
                    <w:snapToGrid/>
                    <w:spacing w:before="0" w:after="0" w:line="240" w:lineRule="auto"/>
                    <w:ind w:right="0" w:rightChars="0"/>
                    <w:jc w:val="center"/>
                    <w:rPr>
                      <w:rFonts w:ascii="Times New Roman" w:hAnsi="Times New Roman" w:eastAsia="宋体" w:cs="Times New Roman"/>
                      <w:bCs/>
                      <w:kern w:val="0"/>
                      <w:sz w:val="21"/>
                      <w:szCs w:val="21"/>
                      <w:lang w:val="en-US" w:eastAsia="zh-CN" w:bidi="ar-SA"/>
                    </w:rPr>
                  </w:pPr>
                  <w:r>
                    <w:rPr>
                      <w:rFonts w:hint="eastAsia"/>
                      <w:sz w:val="21"/>
                      <w:szCs w:val="21"/>
                      <w:lang w:val="en-US" w:eastAsia="zh-CN"/>
                    </w:rPr>
                    <w:t>200</w:t>
                  </w:r>
                </w:p>
              </w:tc>
              <w:tc>
                <w:tcPr>
                  <w:tcW w:w="507" w:type="pct"/>
                  <w:vAlign w:val="center"/>
                </w:tcPr>
                <w:p w14:paraId="6F1FE4F0">
                  <w:pPr>
                    <w:pStyle w:val="12"/>
                    <w:widowControl w:val="0"/>
                    <w:snapToGrid/>
                    <w:spacing w:before="0" w:after="0" w:line="240" w:lineRule="auto"/>
                    <w:ind w:right="0"/>
                    <w:jc w:val="center"/>
                    <w:rPr>
                      <w:bCs/>
                      <w:sz w:val="21"/>
                      <w:szCs w:val="21"/>
                      <w:u w:val="none"/>
                    </w:rPr>
                  </w:pPr>
                  <w:r>
                    <w:rPr>
                      <w:rFonts w:hint="eastAsia"/>
                      <w:sz w:val="21"/>
                      <w:szCs w:val="21"/>
                      <w:lang w:val="en-US" w:eastAsia="zh-CN"/>
                    </w:rPr>
                    <w:t>0.055</w:t>
                  </w:r>
                </w:p>
              </w:tc>
              <w:tc>
                <w:tcPr>
                  <w:tcW w:w="645" w:type="pct"/>
                  <w:vMerge w:val="continue"/>
                  <w:vAlign w:val="center"/>
                </w:tcPr>
                <w:p w14:paraId="3CC88EE4">
                  <w:pPr>
                    <w:pStyle w:val="12"/>
                    <w:widowControl w:val="0"/>
                    <w:snapToGrid/>
                    <w:spacing w:before="0" w:after="0" w:line="240" w:lineRule="auto"/>
                    <w:ind w:right="0"/>
                    <w:jc w:val="center"/>
                    <w:rPr>
                      <w:sz w:val="21"/>
                      <w:szCs w:val="21"/>
                      <w:u w:val="none"/>
                    </w:rPr>
                  </w:pPr>
                </w:p>
              </w:tc>
              <w:tc>
                <w:tcPr>
                  <w:tcW w:w="567" w:type="pct"/>
                  <w:shd w:val="clear" w:color="auto" w:fill="auto"/>
                  <w:vAlign w:val="center"/>
                </w:tcPr>
                <w:p w14:paraId="1C0552FA">
                  <w:pPr>
                    <w:pStyle w:val="12"/>
                    <w:widowControl w:val="0"/>
                    <w:snapToGrid/>
                    <w:spacing w:before="0" w:after="0" w:line="240" w:lineRule="auto"/>
                    <w:ind w:right="0" w:rightChars="0"/>
                    <w:jc w:val="center"/>
                    <w:rPr>
                      <w:rFonts w:ascii="Times New Roman" w:hAnsi="Times New Roman" w:eastAsia="宋体" w:cs="Times New Roman"/>
                      <w:kern w:val="0"/>
                      <w:sz w:val="21"/>
                      <w:szCs w:val="21"/>
                      <w:lang w:val="en-US" w:eastAsia="zh-CN" w:bidi="ar-SA"/>
                    </w:rPr>
                  </w:pPr>
                  <w:r>
                    <w:rPr>
                      <w:rFonts w:hint="eastAsia"/>
                      <w:sz w:val="21"/>
                      <w:szCs w:val="21"/>
                      <w:lang w:val="en-US" w:eastAsia="zh-CN"/>
                    </w:rPr>
                    <w:t>160</w:t>
                  </w:r>
                </w:p>
              </w:tc>
              <w:tc>
                <w:tcPr>
                  <w:tcW w:w="477" w:type="pct"/>
                  <w:vAlign w:val="center"/>
                </w:tcPr>
                <w:p w14:paraId="5CEAFBC3">
                  <w:pPr>
                    <w:pStyle w:val="12"/>
                    <w:widowControl w:val="0"/>
                    <w:snapToGrid/>
                    <w:spacing w:before="0" w:after="0" w:line="240" w:lineRule="auto"/>
                    <w:ind w:right="0"/>
                    <w:jc w:val="center"/>
                    <w:rPr>
                      <w:sz w:val="21"/>
                      <w:szCs w:val="21"/>
                      <w:u w:val="none"/>
                    </w:rPr>
                  </w:pPr>
                  <w:r>
                    <w:rPr>
                      <w:rFonts w:hint="eastAsia"/>
                      <w:sz w:val="21"/>
                      <w:szCs w:val="21"/>
                      <w:lang w:val="en-US" w:eastAsia="zh-CN"/>
                    </w:rPr>
                    <w:t>0.044</w:t>
                  </w:r>
                </w:p>
              </w:tc>
              <w:tc>
                <w:tcPr>
                  <w:tcW w:w="1014" w:type="pct"/>
                  <w:vMerge w:val="continue"/>
                  <w:vAlign w:val="center"/>
                </w:tcPr>
                <w:p w14:paraId="41E76F19">
                  <w:pPr>
                    <w:pStyle w:val="12"/>
                    <w:widowControl w:val="0"/>
                    <w:snapToGrid/>
                    <w:spacing w:before="0" w:after="0" w:line="240" w:lineRule="auto"/>
                    <w:ind w:right="0"/>
                    <w:jc w:val="center"/>
                    <w:rPr>
                      <w:sz w:val="21"/>
                      <w:szCs w:val="21"/>
                      <w:u w:val="none"/>
                    </w:rPr>
                  </w:pPr>
                </w:p>
              </w:tc>
            </w:tr>
            <w:tr w14:paraId="0C020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65" w:type="pct"/>
                  <w:vMerge w:val="continue"/>
                  <w:vAlign w:val="center"/>
                </w:tcPr>
                <w:p w14:paraId="0A6AAC4E">
                  <w:pPr>
                    <w:pStyle w:val="12"/>
                    <w:widowControl w:val="0"/>
                    <w:snapToGrid/>
                    <w:spacing w:before="0" w:after="0" w:line="240" w:lineRule="auto"/>
                    <w:ind w:right="0"/>
                    <w:jc w:val="center"/>
                    <w:rPr>
                      <w:sz w:val="21"/>
                      <w:szCs w:val="21"/>
                      <w:u w:val="none"/>
                    </w:rPr>
                  </w:pPr>
                </w:p>
              </w:tc>
              <w:tc>
                <w:tcPr>
                  <w:tcW w:w="554" w:type="pct"/>
                  <w:vMerge w:val="continue"/>
                  <w:vAlign w:val="center"/>
                </w:tcPr>
                <w:p w14:paraId="7384215A">
                  <w:pPr>
                    <w:pStyle w:val="12"/>
                    <w:widowControl w:val="0"/>
                    <w:snapToGrid/>
                    <w:spacing w:before="0" w:after="0" w:line="240" w:lineRule="auto"/>
                    <w:ind w:right="0"/>
                    <w:jc w:val="center"/>
                    <w:rPr>
                      <w:sz w:val="21"/>
                      <w:szCs w:val="21"/>
                      <w:u w:val="none"/>
                    </w:rPr>
                  </w:pPr>
                </w:p>
              </w:tc>
              <w:tc>
                <w:tcPr>
                  <w:tcW w:w="430" w:type="pct"/>
                  <w:shd w:val="clear" w:color="auto" w:fill="auto"/>
                  <w:vAlign w:val="center"/>
                </w:tcPr>
                <w:p w14:paraId="1109CC83">
                  <w:pPr>
                    <w:pStyle w:val="99"/>
                    <w:spacing w:line="240" w:lineRule="auto"/>
                    <w:ind w:firstLine="0" w:firstLineChars="0"/>
                    <w:rPr>
                      <w:rFonts w:ascii="Times New Roman" w:hAnsi="Times New Roman" w:eastAsia="宋体" w:cs="Times New Roman"/>
                      <w:color w:val="000000"/>
                      <w:kern w:val="2"/>
                      <w:sz w:val="21"/>
                      <w:szCs w:val="21"/>
                      <w:lang w:val="en-US" w:eastAsia="zh-CN" w:bidi="ar-SA"/>
                    </w:rPr>
                  </w:pPr>
                  <w:r>
                    <w:rPr>
                      <w:rFonts w:ascii="Times New Roman" w:hAnsi="Times New Roman"/>
                      <w:szCs w:val="21"/>
                    </w:rPr>
                    <w:t>SS</w:t>
                  </w:r>
                </w:p>
              </w:tc>
              <w:tc>
                <w:tcPr>
                  <w:tcW w:w="537" w:type="pct"/>
                  <w:shd w:val="clear" w:color="auto" w:fill="auto"/>
                  <w:vAlign w:val="center"/>
                </w:tcPr>
                <w:p w14:paraId="7E935570">
                  <w:pPr>
                    <w:pStyle w:val="12"/>
                    <w:widowControl w:val="0"/>
                    <w:snapToGrid/>
                    <w:spacing w:before="0" w:after="0" w:line="240" w:lineRule="auto"/>
                    <w:ind w:right="0" w:rightChars="0"/>
                    <w:jc w:val="center"/>
                    <w:rPr>
                      <w:rFonts w:ascii="Times New Roman" w:hAnsi="Times New Roman" w:eastAsia="宋体" w:cs="Times New Roman"/>
                      <w:bCs/>
                      <w:kern w:val="0"/>
                      <w:sz w:val="21"/>
                      <w:szCs w:val="21"/>
                      <w:lang w:val="en-US" w:eastAsia="zh-CN" w:bidi="ar-SA"/>
                    </w:rPr>
                  </w:pPr>
                  <w:r>
                    <w:rPr>
                      <w:rFonts w:hint="eastAsia"/>
                      <w:sz w:val="21"/>
                      <w:szCs w:val="21"/>
                      <w:lang w:val="en-US" w:eastAsia="zh-CN"/>
                    </w:rPr>
                    <w:t>220</w:t>
                  </w:r>
                </w:p>
              </w:tc>
              <w:tc>
                <w:tcPr>
                  <w:tcW w:w="507" w:type="pct"/>
                  <w:vAlign w:val="center"/>
                </w:tcPr>
                <w:p w14:paraId="414AFA42">
                  <w:pPr>
                    <w:pStyle w:val="12"/>
                    <w:widowControl w:val="0"/>
                    <w:snapToGrid/>
                    <w:spacing w:before="0" w:after="0" w:line="240" w:lineRule="auto"/>
                    <w:ind w:right="0"/>
                    <w:jc w:val="center"/>
                    <w:rPr>
                      <w:bCs/>
                      <w:sz w:val="21"/>
                      <w:szCs w:val="21"/>
                      <w:u w:val="none"/>
                    </w:rPr>
                  </w:pPr>
                  <w:r>
                    <w:rPr>
                      <w:rFonts w:hint="eastAsia"/>
                      <w:sz w:val="21"/>
                      <w:szCs w:val="21"/>
                      <w:lang w:val="en-US" w:eastAsia="zh-CN"/>
                    </w:rPr>
                    <w:t>0.060</w:t>
                  </w:r>
                </w:p>
              </w:tc>
              <w:tc>
                <w:tcPr>
                  <w:tcW w:w="645" w:type="pct"/>
                  <w:vMerge w:val="continue"/>
                  <w:vAlign w:val="center"/>
                </w:tcPr>
                <w:p w14:paraId="7431005A">
                  <w:pPr>
                    <w:pStyle w:val="12"/>
                    <w:widowControl w:val="0"/>
                    <w:snapToGrid/>
                    <w:spacing w:before="0" w:after="0" w:line="240" w:lineRule="auto"/>
                    <w:ind w:right="0"/>
                    <w:jc w:val="center"/>
                    <w:rPr>
                      <w:sz w:val="21"/>
                      <w:szCs w:val="21"/>
                      <w:u w:val="none"/>
                    </w:rPr>
                  </w:pPr>
                </w:p>
              </w:tc>
              <w:tc>
                <w:tcPr>
                  <w:tcW w:w="567" w:type="pct"/>
                  <w:shd w:val="clear" w:color="auto" w:fill="auto"/>
                  <w:vAlign w:val="center"/>
                </w:tcPr>
                <w:p w14:paraId="4E8B972A">
                  <w:pPr>
                    <w:pStyle w:val="12"/>
                    <w:widowControl w:val="0"/>
                    <w:snapToGrid/>
                    <w:spacing w:before="0" w:after="0" w:line="240" w:lineRule="auto"/>
                    <w:ind w:right="0" w:rightChars="0"/>
                    <w:jc w:val="center"/>
                    <w:rPr>
                      <w:rFonts w:ascii="Times New Roman" w:hAnsi="Times New Roman" w:eastAsia="宋体" w:cs="Times New Roman"/>
                      <w:kern w:val="0"/>
                      <w:sz w:val="21"/>
                      <w:szCs w:val="21"/>
                      <w:lang w:val="en-US" w:eastAsia="zh-CN" w:bidi="ar-SA"/>
                    </w:rPr>
                  </w:pPr>
                  <w:r>
                    <w:rPr>
                      <w:rFonts w:hint="eastAsia"/>
                      <w:sz w:val="21"/>
                      <w:szCs w:val="21"/>
                      <w:lang w:val="en-US" w:eastAsia="zh-CN"/>
                    </w:rPr>
                    <w:t>176</w:t>
                  </w:r>
                </w:p>
              </w:tc>
              <w:tc>
                <w:tcPr>
                  <w:tcW w:w="477" w:type="pct"/>
                  <w:vAlign w:val="center"/>
                </w:tcPr>
                <w:p w14:paraId="48B5EB06">
                  <w:pPr>
                    <w:pStyle w:val="12"/>
                    <w:widowControl w:val="0"/>
                    <w:snapToGrid/>
                    <w:spacing w:before="0" w:after="0" w:line="240" w:lineRule="auto"/>
                    <w:ind w:right="0"/>
                    <w:jc w:val="center"/>
                    <w:rPr>
                      <w:sz w:val="21"/>
                      <w:szCs w:val="21"/>
                      <w:u w:val="none"/>
                    </w:rPr>
                  </w:pPr>
                  <w:r>
                    <w:rPr>
                      <w:rFonts w:hint="eastAsia"/>
                      <w:sz w:val="21"/>
                      <w:szCs w:val="21"/>
                      <w:lang w:val="en-US" w:eastAsia="zh-CN"/>
                    </w:rPr>
                    <w:t>0.048</w:t>
                  </w:r>
                </w:p>
              </w:tc>
              <w:tc>
                <w:tcPr>
                  <w:tcW w:w="1014" w:type="pct"/>
                  <w:vMerge w:val="continue"/>
                  <w:vAlign w:val="center"/>
                </w:tcPr>
                <w:p w14:paraId="43B1DBC5">
                  <w:pPr>
                    <w:pStyle w:val="12"/>
                    <w:widowControl w:val="0"/>
                    <w:snapToGrid/>
                    <w:spacing w:before="0" w:after="0" w:line="240" w:lineRule="auto"/>
                    <w:ind w:right="0"/>
                    <w:jc w:val="center"/>
                    <w:rPr>
                      <w:sz w:val="21"/>
                      <w:szCs w:val="21"/>
                      <w:u w:val="none"/>
                    </w:rPr>
                  </w:pPr>
                </w:p>
              </w:tc>
            </w:tr>
            <w:tr w14:paraId="03DFC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65" w:type="pct"/>
                  <w:vMerge w:val="continue"/>
                  <w:vAlign w:val="center"/>
                </w:tcPr>
                <w:p w14:paraId="52C076E9">
                  <w:pPr>
                    <w:pStyle w:val="12"/>
                    <w:widowControl w:val="0"/>
                    <w:snapToGrid/>
                    <w:spacing w:before="0" w:after="0" w:line="240" w:lineRule="auto"/>
                    <w:ind w:right="0"/>
                    <w:jc w:val="center"/>
                    <w:rPr>
                      <w:sz w:val="21"/>
                      <w:szCs w:val="21"/>
                      <w:u w:val="none"/>
                    </w:rPr>
                  </w:pPr>
                </w:p>
              </w:tc>
              <w:tc>
                <w:tcPr>
                  <w:tcW w:w="554" w:type="pct"/>
                  <w:vMerge w:val="continue"/>
                  <w:vAlign w:val="center"/>
                </w:tcPr>
                <w:p w14:paraId="04B259D2">
                  <w:pPr>
                    <w:pStyle w:val="12"/>
                    <w:widowControl w:val="0"/>
                    <w:snapToGrid/>
                    <w:spacing w:before="0" w:after="0" w:line="240" w:lineRule="auto"/>
                    <w:ind w:right="0"/>
                    <w:jc w:val="center"/>
                    <w:rPr>
                      <w:sz w:val="21"/>
                      <w:szCs w:val="21"/>
                      <w:u w:val="none"/>
                    </w:rPr>
                  </w:pPr>
                </w:p>
              </w:tc>
              <w:tc>
                <w:tcPr>
                  <w:tcW w:w="430" w:type="pct"/>
                  <w:shd w:val="clear" w:color="auto" w:fill="auto"/>
                  <w:vAlign w:val="center"/>
                </w:tcPr>
                <w:p w14:paraId="00102DF1">
                  <w:pPr>
                    <w:pStyle w:val="99"/>
                    <w:spacing w:line="240" w:lineRule="auto"/>
                    <w:ind w:firstLine="0" w:firstLineChars="0"/>
                    <w:rPr>
                      <w:rFonts w:hint="eastAsia" w:ascii="Times New Roman" w:hAnsi="Times New Roman" w:eastAsia="宋体" w:cs="Times New Roman"/>
                      <w:color w:val="000000"/>
                      <w:kern w:val="2"/>
                      <w:sz w:val="21"/>
                      <w:szCs w:val="21"/>
                      <w:lang w:val="en-US" w:eastAsia="zh-CN" w:bidi="ar-SA"/>
                    </w:rPr>
                  </w:pPr>
                  <w:r>
                    <w:rPr>
                      <w:rFonts w:ascii="Times New Roman" w:hAnsi="Times New Roman"/>
                      <w:szCs w:val="21"/>
                    </w:rPr>
                    <w:t>NH</w:t>
                  </w:r>
                  <w:r>
                    <w:rPr>
                      <w:rFonts w:ascii="Times New Roman" w:hAnsi="Times New Roman"/>
                      <w:szCs w:val="21"/>
                      <w:vertAlign w:val="subscript"/>
                    </w:rPr>
                    <w:t>3</w:t>
                  </w:r>
                  <w:r>
                    <w:rPr>
                      <w:rFonts w:ascii="Times New Roman" w:hAnsi="Times New Roman"/>
                      <w:szCs w:val="21"/>
                    </w:rPr>
                    <w:t>-N</w:t>
                  </w:r>
                </w:p>
              </w:tc>
              <w:tc>
                <w:tcPr>
                  <w:tcW w:w="537" w:type="pct"/>
                  <w:shd w:val="clear" w:color="auto" w:fill="auto"/>
                  <w:vAlign w:val="center"/>
                </w:tcPr>
                <w:p w14:paraId="1F616118">
                  <w:pPr>
                    <w:pStyle w:val="12"/>
                    <w:widowControl w:val="0"/>
                    <w:snapToGrid/>
                    <w:spacing w:before="0" w:after="0" w:line="240" w:lineRule="auto"/>
                    <w:ind w:right="0" w:rightChars="0"/>
                    <w:jc w:val="center"/>
                    <w:rPr>
                      <w:rFonts w:hint="eastAsia" w:ascii="Times New Roman" w:hAnsi="Times New Roman" w:eastAsia="宋体" w:cs="Times New Roman"/>
                      <w:bCs/>
                      <w:kern w:val="0"/>
                      <w:sz w:val="21"/>
                      <w:szCs w:val="21"/>
                      <w:lang w:val="en-US" w:eastAsia="zh-CN" w:bidi="ar-SA"/>
                    </w:rPr>
                  </w:pPr>
                  <w:r>
                    <w:rPr>
                      <w:rFonts w:hint="eastAsia"/>
                      <w:sz w:val="21"/>
                      <w:szCs w:val="21"/>
                      <w:lang w:val="en-US" w:eastAsia="zh-CN"/>
                    </w:rPr>
                    <w:t>28.3</w:t>
                  </w:r>
                </w:p>
              </w:tc>
              <w:tc>
                <w:tcPr>
                  <w:tcW w:w="507" w:type="pct"/>
                  <w:vAlign w:val="center"/>
                </w:tcPr>
                <w:p w14:paraId="5674279A">
                  <w:pPr>
                    <w:pStyle w:val="12"/>
                    <w:widowControl w:val="0"/>
                    <w:snapToGrid/>
                    <w:spacing w:before="0" w:after="0" w:line="240" w:lineRule="auto"/>
                    <w:ind w:right="0"/>
                    <w:jc w:val="center"/>
                    <w:rPr>
                      <w:bCs/>
                      <w:sz w:val="21"/>
                      <w:szCs w:val="21"/>
                      <w:u w:val="none"/>
                    </w:rPr>
                  </w:pPr>
                  <w:r>
                    <w:rPr>
                      <w:rFonts w:hint="eastAsia"/>
                      <w:sz w:val="21"/>
                      <w:szCs w:val="21"/>
                      <w:lang w:val="en-US" w:eastAsia="zh-CN"/>
                    </w:rPr>
                    <w:t>0.008</w:t>
                  </w:r>
                </w:p>
              </w:tc>
              <w:tc>
                <w:tcPr>
                  <w:tcW w:w="645" w:type="pct"/>
                  <w:vMerge w:val="continue"/>
                  <w:vAlign w:val="center"/>
                </w:tcPr>
                <w:p w14:paraId="55EFDA8D">
                  <w:pPr>
                    <w:pStyle w:val="12"/>
                    <w:widowControl w:val="0"/>
                    <w:snapToGrid/>
                    <w:spacing w:before="0" w:after="0" w:line="240" w:lineRule="auto"/>
                    <w:ind w:right="0"/>
                    <w:jc w:val="center"/>
                    <w:rPr>
                      <w:sz w:val="21"/>
                      <w:szCs w:val="21"/>
                      <w:u w:val="none"/>
                    </w:rPr>
                  </w:pPr>
                </w:p>
              </w:tc>
              <w:tc>
                <w:tcPr>
                  <w:tcW w:w="567" w:type="pct"/>
                  <w:shd w:val="clear" w:color="auto" w:fill="auto"/>
                  <w:vAlign w:val="center"/>
                </w:tcPr>
                <w:p w14:paraId="1BCD62D5">
                  <w:pPr>
                    <w:pStyle w:val="12"/>
                    <w:widowControl w:val="0"/>
                    <w:snapToGrid/>
                    <w:spacing w:before="0" w:after="0" w:line="240" w:lineRule="auto"/>
                    <w:ind w:right="0" w:rightChars="0"/>
                    <w:jc w:val="center"/>
                    <w:rPr>
                      <w:rFonts w:hint="eastAsia" w:ascii="Times New Roman" w:hAnsi="Times New Roman" w:eastAsia="宋体" w:cs="Times New Roman"/>
                      <w:kern w:val="0"/>
                      <w:sz w:val="21"/>
                      <w:szCs w:val="21"/>
                      <w:lang w:val="en-US" w:eastAsia="zh-CN" w:bidi="ar-SA"/>
                    </w:rPr>
                  </w:pPr>
                  <w:r>
                    <w:rPr>
                      <w:rFonts w:hint="eastAsia"/>
                      <w:sz w:val="21"/>
                      <w:szCs w:val="21"/>
                      <w:lang w:val="en-US" w:eastAsia="zh-CN"/>
                    </w:rPr>
                    <w:t>25.5</w:t>
                  </w:r>
                </w:p>
              </w:tc>
              <w:tc>
                <w:tcPr>
                  <w:tcW w:w="477" w:type="pct"/>
                  <w:vAlign w:val="center"/>
                </w:tcPr>
                <w:p w14:paraId="61497860">
                  <w:pPr>
                    <w:pStyle w:val="12"/>
                    <w:widowControl w:val="0"/>
                    <w:snapToGrid/>
                    <w:spacing w:before="0" w:after="0" w:line="240" w:lineRule="auto"/>
                    <w:ind w:right="0"/>
                    <w:jc w:val="center"/>
                    <w:rPr>
                      <w:rFonts w:hint="default" w:eastAsia="宋体"/>
                      <w:sz w:val="21"/>
                      <w:szCs w:val="21"/>
                      <w:u w:val="none"/>
                      <w:lang w:val="en-US" w:eastAsia="zh-CN"/>
                    </w:rPr>
                  </w:pPr>
                  <w:r>
                    <w:rPr>
                      <w:rFonts w:hint="eastAsia"/>
                      <w:sz w:val="21"/>
                      <w:szCs w:val="21"/>
                      <w:lang w:val="en-US" w:eastAsia="zh-CN"/>
                    </w:rPr>
                    <w:t>0.007</w:t>
                  </w:r>
                </w:p>
              </w:tc>
              <w:tc>
                <w:tcPr>
                  <w:tcW w:w="1014" w:type="pct"/>
                  <w:vMerge w:val="continue"/>
                  <w:vAlign w:val="center"/>
                </w:tcPr>
                <w:p w14:paraId="14784799">
                  <w:pPr>
                    <w:pStyle w:val="12"/>
                    <w:widowControl w:val="0"/>
                    <w:snapToGrid/>
                    <w:spacing w:before="0" w:after="0" w:line="240" w:lineRule="auto"/>
                    <w:ind w:right="0"/>
                    <w:jc w:val="center"/>
                    <w:rPr>
                      <w:sz w:val="21"/>
                      <w:szCs w:val="21"/>
                      <w:u w:val="none"/>
                    </w:rPr>
                  </w:pPr>
                </w:p>
              </w:tc>
            </w:tr>
            <w:tr w14:paraId="3AE99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65" w:type="pct"/>
                  <w:vMerge w:val="continue"/>
                  <w:vAlign w:val="center"/>
                </w:tcPr>
                <w:p w14:paraId="4FAA680A">
                  <w:pPr>
                    <w:pStyle w:val="12"/>
                    <w:widowControl w:val="0"/>
                    <w:snapToGrid/>
                    <w:spacing w:before="0" w:after="0" w:line="240" w:lineRule="auto"/>
                    <w:ind w:right="0"/>
                    <w:jc w:val="center"/>
                    <w:rPr>
                      <w:sz w:val="21"/>
                      <w:szCs w:val="21"/>
                      <w:u w:val="none"/>
                    </w:rPr>
                  </w:pPr>
                </w:p>
              </w:tc>
              <w:tc>
                <w:tcPr>
                  <w:tcW w:w="554" w:type="pct"/>
                  <w:vMerge w:val="continue"/>
                  <w:vAlign w:val="center"/>
                </w:tcPr>
                <w:p w14:paraId="6DCCB802">
                  <w:pPr>
                    <w:pStyle w:val="12"/>
                    <w:widowControl w:val="0"/>
                    <w:snapToGrid/>
                    <w:spacing w:before="0" w:after="0" w:line="240" w:lineRule="auto"/>
                    <w:ind w:right="0"/>
                    <w:jc w:val="center"/>
                    <w:rPr>
                      <w:sz w:val="21"/>
                      <w:szCs w:val="21"/>
                      <w:u w:val="none"/>
                    </w:rPr>
                  </w:pPr>
                </w:p>
              </w:tc>
              <w:tc>
                <w:tcPr>
                  <w:tcW w:w="430" w:type="pct"/>
                  <w:shd w:val="clear" w:color="auto" w:fill="auto"/>
                  <w:vAlign w:val="center"/>
                </w:tcPr>
                <w:p w14:paraId="30C61FF5">
                  <w:pPr>
                    <w:pStyle w:val="99"/>
                    <w:spacing w:line="240" w:lineRule="auto"/>
                    <w:ind w:firstLine="0" w:firstLineChars="0"/>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szCs w:val="21"/>
                      <w:lang w:val="en-US" w:eastAsia="zh-CN"/>
                    </w:rPr>
                    <w:t>TP</w:t>
                  </w:r>
                </w:p>
              </w:tc>
              <w:tc>
                <w:tcPr>
                  <w:tcW w:w="537" w:type="pct"/>
                  <w:shd w:val="clear" w:color="auto" w:fill="auto"/>
                  <w:vAlign w:val="center"/>
                </w:tcPr>
                <w:p w14:paraId="70343317">
                  <w:pPr>
                    <w:pStyle w:val="12"/>
                    <w:widowControl w:val="0"/>
                    <w:snapToGrid/>
                    <w:spacing w:before="0" w:after="0" w:line="240" w:lineRule="auto"/>
                    <w:ind w:right="0" w:rightChars="0"/>
                    <w:jc w:val="center"/>
                    <w:rPr>
                      <w:rFonts w:hint="eastAsia" w:ascii="Times New Roman" w:hAnsi="Times New Roman" w:eastAsia="宋体" w:cs="Times New Roman"/>
                      <w:bCs/>
                      <w:kern w:val="0"/>
                      <w:sz w:val="21"/>
                      <w:szCs w:val="21"/>
                      <w:lang w:val="en-US" w:eastAsia="zh-CN" w:bidi="ar-SA"/>
                    </w:rPr>
                  </w:pPr>
                  <w:r>
                    <w:rPr>
                      <w:rFonts w:hint="eastAsia"/>
                      <w:sz w:val="21"/>
                      <w:szCs w:val="21"/>
                      <w:lang w:val="en-US" w:eastAsia="zh-CN"/>
                    </w:rPr>
                    <w:t>4.10</w:t>
                  </w:r>
                </w:p>
              </w:tc>
              <w:tc>
                <w:tcPr>
                  <w:tcW w:w="507" w:type="pct"/>
                  <w:vAlign w:val="center"/>
                </w:tcPr>
                <w:p w14:paraId="4E910D7F">
                  <w:pPr>
                    <w:pStyle w:val="12"/>
                    <w:widowControl w:val="0"/>
                    <w:snapToGrid/>
                    <w:spacing w:before="0" w:after="0" w:line="240" w:lineRule="auto"/>
                    <w:ind w:right="0"/>
                    <w:jc w:val="center"/>
                    <w:rPr>
                      <w:rFonts w:hint="default" w:eastAsia="宋体"/>
                      <w:bCs/>
                      <w:sz w:val="21"/>
                      <w:szCs w:val="21"/>
                      <w:u w:val="none"/>
                      <w:lang w:val="en-US" w:eastAsia="zh-CN"/>
                    </w:rPr>
                  </w:pPr>
                  <w:r>
                    <w:rPr>
                      <w:rFonts w:hint="eastAsia"/>
                      <w:sz w:val="21"/>
                      <w:szCs w:val="21"/>
                      <w:lang w:val="en-US" w:eastAsia="zh-CN"/>
                    </w:rPr>
                    <w:t>0.001</w:t>
                  </w:r>
                </w:p>
              </w:tc>
              <w:tc>
                <w:tcPr>
                  <w:tcW w:w="645" w:type="pct"/>
                  <w:vMerge w:val="continue"/>
                  <w:vAlign w:val="center"/>
                </w:tcPr>
                <w:p w14:paraId="48FF2A48">
                  <w:pPr>
                    <w:pStyle w:val="12"/>
                    <w:widowControl w:val="0"/>
                    <w:snapToGrid/>
                    <w:spacing w:before="0" w:after="0" w:line="240" w:lineRule="auto"/>
                    <w:ind w:right="0"/>
                    <w:jc w:val="center"/>
                    <w:rPr>
                      <w:sz w:val="21"/>
                      <w:szCs w:val="21"/>
                      <w:u w:val="none"/>
                    </w:rPr>
                  </w:pPr>
                </w:p>
              </w:tc>
              <w:tc>
                <w:tcPr>
                  <w:tcW w:w="567" w:type="pct"/>
                  <w:shd w:val="clear" w:color="auto" w:fill="auto"/>
                  <w:vAlign w:val="center"/>
                </w:tcPr>
                <w:p w14:paraId="1C49EA6A">
                  <w:pPr>
                    <w:pStyle w:val="12"/>
                    <w:widowControl w:val="0"/>
                    <w:snapToGrid/>
                    <w:spacing w:before="0" w:after="0" w:line="240" w:lineRule="auto"/>
                    <w:ind w:right="0" w:rightChars="0"/>
                    <w:jc w:val="center"/>
                    <w:rPr>
                      <w:rFonts w:hint="eastAsia" w:ascii="Times New Roman" w:hAnsi="Times New Roman" w:eastAsia="宋体" w:cs="Times New Roman"/>
                      <w:kern w:val="0"/>
                      <w:sz w:val="21"/>
                      <w:szCs w:val="21"/>
                      <w:lang w:val="en-US" w:eastAsia="zh-CN" w:bidi="ar-SA"/>
                    </w:rPr>
                  </w:pPr>
                  <w:r>
                    <w:rPr>
                      <w:rFonts w:hint="eastAsia"/>
                      <w:sz w:val="21"/>
                      <w:szCs w:val="21"/>
                      <w:lang w:val="en-US" w:eastAsia="zh-CN"/>
                    </w:rPr>
                    <w:t>3.69</w:t>
                  </w:r>
                </w:p>
              </w:tc>
              <w:tc>
                <w:tcPr>
                  <w:tcW w:w="477" w:type="pct"/>
                  <w:vAlign w:val="center"/>
                </w:tcPr>
                <w:p w14:paraId="6FE6C3D2">
                  <w:pPr>
                    <w:pStyle w:val="12"/>
                    <w:widowControl w:val="0"/>
                    <w:snapToGrid/>
                    <w:spacing w:before="0" w:after="0" w:line="240" w:lineRule="auto"/>
                    <w:ind w:right="0"/>
                    <w:jc w:val="center"/>
                    <w:rPr>
                      <w:rFonts w:hint="default" w:eastAsia="宋体"/>
                      <w:sz w:val="21"/>
                      <w:szCs w:val="21"/>
                      <w:u w:val="none"/>
                      <w:lang w:val="en-US" w:eastAsia="zh-CN"/>
                    </w:rPr>
                  </w:pPr>
                  <w:r>
                    <w:rPr>
                      <w:rFonts w:hint="eastAsia"/>
                      <w:sz w:val="21"/>
                      <w:szCs w:val="21"/>
                      <w:lang w:val="en-US" w:eastAsia="zh-CN"/>
                    </w:rPr>
                    <w:t>0.001</w:t>
                  </w:r>
                </w:p>
              </w:tc>
              <w:tc>
                <w:tcPr>
                  <w:tcW w:w="1014" w:type="pct"/>
                  <w:vMerge w:val="continue"/>
                  <w:vAlign w:val="center"/>
                </w:tcPr>
                <w:p w14:paraId="5098AE21">
                  <w:pPr>
                    <w:pStyle w:val="12"/>
                    <w:widowControl w:val="0"/>
                    <w:snapToGrid/>
                    <w:spacing w:before="0" w:after="0" w:line="240" w:lineRule="auto"/>
                    <w:ind w:right="0"/>
                    <w:jc w:val="center"/>
                    <w:rPr>
                      <w:sz w:val="21"/>
                      <w:szCs w:val="21"/>
                      <w:u w:val="none"/>
                    </w:rPr>
                  </w:pPr>
                </w:p>
              </w:tc>
            </w:tr>
          </w:tbl>
          <w:p w14:paraId="7F49DD7C">
            <w:pPr>
              <w:pStyle w:val="98"/>
              <w:spacing w:beforeLines="20" w:line="240" w:lineRule="auto"/>
              <w:rPr>
                <w:szCs w:val="24"/>
                <w:u w:val="none"/>
              </w:rPr>
            </w:pPr>
          </w:p>
          <w:p w14:paraId="586258DD">
            <w:pPr>
              <w:pStyle w:val="98"/>
              <w:spacing w:beforeLines="20" w:line="240" w:lineRule="auto"/>
              <w:rPr>
                <w:szCs w:val="24"/>
                <w:u w:val="none"/>
              </w:rPr>
            </w:pPr>
          </w:p>
          <w:p w14:paraId="0FC8C047">
            <w:pPr>
              <w:pStyle w:val="98"/>
              <w:spacing w:beforeLines="20" w:line="240" w:lineRule="auto"/>
              <w:rPr>
                <w:szCs w:val="24"/>
                <w:u w:val="none"/>
              </w:rPr>
            </w:pPr>
            <w:r>
              <w:rPr>
                <w:szCs w:val="24"/>
                <w:u w:val="none"/>
              </w:rPr>
              <w:t>表4-</w:t>
            </w:r>
            <w:r>
              <w:rPr>
                <w:rFonts w:hint="eastAsia"/>
                <w:szCs w:val="24"/>
                <w:u w:val="none"/>
                <w:lang w:val="en-US" w:eastAsia="zh-CN"/>
              </w:rPr>
              <w:t>10</w:t>
            </w:r>
            <w:r>
              <w:rPr>
                <w:rFonts w:hint="eastAsia"/>
                <w:szCs w:val="24"/>
                <w:u w:val="none"/>
              </w:rPr>
              <w:t xml:space="preserve"> </w:t>
            </w:r>
            <w:r>
              <w:rPr>
                <w:szCs w:val="24"/>
                <w:u w:val="none"/>
              </w:rPr>
              <w:t xml:space="preserve"> 废水排放口基本情况表</w:t>
            </w:r>
          </w:p>
          <w:tbl>
            <w:tblPr>
              <w:tblStyle w:val="31"/>
              <w:tblW w:w="499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568"/>
              <w:gridCol w:w="791"/>
              <w:gridCol w:w="762"/>
              <w:gridCol w:w="698"/>
              <w:gridCol w:w="892"/>
              <w:gridCol w:w="928"/>
              <w:gridCol w:w="592"/>
              <w:gridCol w:w="772"/>
              <w:gridCol w:w="910"/>
              <w:gridCol w:w="1235"/>
            </w:tblGrid>
            <w:tr w14:paraId="62CAC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82" w:hRule="atLeast"/>
                <w:jc w:val="center"/>
              </w:trPr>
              <w:tc>
                <w:tcPr>
                  <w:tcW w:w="348" w:type="pct"/>
                  <w:vMerge w:val="restart"/>
                  <w:vAlign w:val="center"/>
                </w:tcPr>
                <w:p w14:paraId="6BB43BF2">
                  <w:pPr>
                    <w:pStyle w:val="77"/>
                    <w:autoSpaceDE/>
                    <w:autoSpaceDN/>
                    <w:adjustRightInd/>
                    <w:jc w:val="center"/>
                    <w:rPr>
                      <w:sz w:val="21"/>
                      <w:szCs w:val="21"/>
                      <w:u w:val="none"/>
                    </w:rPr>
                  </w:pPr>
                  <w:r>
                    <w:rPr>
                      <w:sz w:val="21"/>
                      <w:szCs w:val="21"/>
                      <w:u w:val="none"/>
                    </w:rPr>
                    <w:t>序号</w:t>
                  </w:r>
                </w:p>
              </w:tc>
              <w:tc>
                <w:tcPr>
                  <w:tcW w:w="485" w:type="pct"/>
                  <w:vMerge w:val="restart"/>
                  <w:vAlign w:val="center"/>
                </w:tcPr>
                <w:p w14:paraId="3B20C99D">
                  <w:pPr>
                    <w:pStyle w:val="77"/>
                    <w:autoSpaceDE/>
                    <w:autoSpaceDN/>
                    <w:adjustRightInd/>
                    <w:jc w:val="center"/>
                    <w:rPr>
                      <w:sz w:val="21"/>
                      <w:szCs w:val="21"/>
                      <w:u w:val="none"/>
                    </w:rPr>
                  </w:pPr>
                  <w:r>
                    <w:rPr>
                      <w:sz w:val="21"/>
                      <w:szCs w:val="21"/>
                      <w:u w:val="none"/>
                    </w:rPr>
                    <w:t>排放口编号</w:t>
                  </w:r>
                </w:p>
              </w:tc>
              <w:tc>
                <w:tcPr>
                  <w:tcW w:w="467" w:type="pct"/>
                  <w:vMerge w:val="restart"/>
                  <w:vAlign w:val="center"/>
                </w:tcPr>
                <w:p w14:paraId="4AE636BF">
                  <w:pPr>
                    <w:pStyle w:val="77"/>
                    <w:autoSpaceDE/>
                    <w:autoSpaceDN/>
                    <w:adjustRightInd/>
                    <w:jc w:val="center"/>
                    <w:rPr>
                      <w:sz w:val="21"/>
                      <w:szCs w:val="21"/>
                      <w:u w:val="none"/>
                    </w:rPr>
                  </w:pPr>
                  <w:r>
                    <w:rPr>
                      <w:sz w:val="21"/>
                      <w:szCs w:val="21"/>
                      <w:u w:val="none"/>
                    </w:rPr>
                    <w:t>排放口名称</w:t>
                  </w:r>
                </w:p>
              </w:tc>
              <w:tc>
                <w:tcPr>
                  <w:tcW w:w="428" w:type="pct"/>
                  <w:vMerge w:val="restart"/>
                  <w:vAlign w:val="center"/>
                </w:tcPr>
                <w:p w14:paraId="102A5F7C">
                  <w:pPr>
                    <w:pStyle w:val="77"/>
                    <w:autoSpaceDE/>
                    <w:autoSpaceDN/>
                    <w:adjustRightInd/>
                    <w:jc w:val="center"/>
                    <w:rPr>
                      <w:sz w:val="21"/>
                      <w:szCs w:val="21"/>
                      <w:u w:val="none"/>
                    </w:rPr>
                  </w:pPr>
                  <w:r>
                    <w:rPr>
                      <w:sz w:val="21"/>
                      <w:szCs w:val="21"/>
                      <w:u w:val="none"/>
                    </w:rPr>
                    <w:t>排口类型</w:t>
                  </w:r>
                </w:p>
              </w:tc>
              <w:tc>
                <w:tcPr>
                  <w:tcW w:w="1116" w:type="pct"/>
                  <w:gridSpan w:val="2"/>
                  <w:vAlign w:val="center"/>
                </w:tcPr>
                <w:p w14:paraId="0DD6C2F8">
                  <w:pPr>
                    <w:pStyle w:val="99"/>
                    <w:spacing w:line="240" w:lineRule="auto"/>
                    <w:ind w:firstLine="0" w:firstLineChars="0"/>
                    <w:rPr>
                      <w:rFonts w:ascii="Times New Roman" w:hAnsi="Times New Roman"/>
                      <w:szCs w:val="21"/>
                      <w:u w:val="none"/>
                    </w:rPr>
                  </w:pPr>
                  <w:r>
                    <w:rPr>
                      <w:rFonts w:ascii="Times New Roman" w:hAnsi="Times New Roman"/>
                      <w:szCs w:val="21"/>
                      <w:u w:val="none"/>
                    </w:rPr>
                    <w:t>排放口地理坐标</w:t>
                  </w:r>
                </w:p>
              </w:tc>
              <w:tc>
                <w:tcPr>
                  <w:tcW w:w="363" w:type="pct"/>
                  <w:vMerge w:val="restart"/>
                  <w:vAlign w:val="center"/>
                </w:tcPr>
                <w:p w14:paraId="314B07F5">
                  <w:pPr>
                    <w:pStyle w:val="77"/>
                    <w:autoSpaceDE/>
                    <w:autoSpaceDN/>
                    <w:adjustRightInd/>
                    <w:jc w:val="center"/>
                    <w:rPr>
                      <w:color w:val="000000"/>
                      <w:kern w:val="2"/>
                      <w:sz w:val="21"/>
                      <w:szCs w:val="21"/>
                      <w:u w:val="none"/>
                      <w:lang w:val="zh-CN"/>
                    </w:rPr>
                  </w:pPr>
                  <w:r>
                    <w:rPr>
                      <w:color w:val="000000"/>
                      <w:kern w:val="2"/>
                      <w:sz w:val="21"/>
                      <w:szCs w:val="21"/>
                      <w:u w:val="none"/>
                    </w:rPr>
                    <w:t>排放方式</w:t>
                  </w:r>
                </w:p>
              </w:tc>
              <w:tc>
                <w:tcPr>
                  <w:tcW w:w="473" w:type="pct"/>
                  <w:vMerge w:val="restart"/>
                  <w:vAlign w:val="center"/>
                </w:tcPr>
                <w:p w14:paraId="53BAACDC">
                  <w:pPr>
                    <w:pStyle w:val="77"/>
                    <w:autoSpaceDE/>
                    <w:autoSpaceDN/>
                    <w:adjustRightInd/>
                    <w:jc w:val="center"/>
                    <w:rPr>
                      <w:color w:val="000000"/>
                      <w:kern w:val="2"/>
                      <w:sz w:val="21"/>
                      <w:szCs w:val="21"/>
                      <w:u w:val="none"/>
                      <w:lang w:val="zh-CN"/>
                    </w:rPr>
                  </w:pPr>
                  <w:r>
                    <w:rPr>
                      <w:color w:val="000000"/>
                      <w:kern w:val="2"/>
                      <w:sz w:val="21"/>
                      <w:szCs w:val="21"/>
                      <w:u w:val="none"/>
                    </w:rPr>
                    <w:t>排放去向</w:t>
                  </w:r>
                </w:p>
              </w:tc>
              <w:tc>
                <w:tcPr>
                  <w:tcW w:w="558" w:type="pct"/>
                  <w:vMerge w:val="restart"/>
                  <w:vAlign w:val="center"/>
                </w:tcPr>
                <w:p w14:paraId="44FEC90E">
                  <w:pPr>
                    <w:pStyle w:val="77"/>
                    <w:autoSpaceDE/>
                    <w:autoSpaceDN/>
                    <w:adjustRightInd/>
                    <w:jc w:val="center"/>
                    <w:rPr>
                      <w:color w:val="000000"/>
                      <w:kern w:val="2"/>
                      <w:sz w:val="21"/>
                      <w:szCs w:val="21"/>
                      <w:u w:val="none"/>
                      <w:lang w:val="zh-CN"/>
                    </w:rPr>
                  </w:pPr>
                  <w:r>
                    <w:rPr>
                      <w:color w:val="000000"/>
                      <w:kern w:val="2"/>
                      <w:sz w:val="21"/>
                      <w:szCs w:val="21"/>
                      <w:u w:val="none"/>
                    </w:rPr>
                    <w:t>排放规律</w:t>
                  </w:r>
                </w:p>
              </w:tc>
              <w:tc>
                <w:tcPr>
                  <w:tcW w:w="757" w:type="pct"/>
                  <w:vMerge w:val="restart"/>
                  <w:vAlign w:val="center"/>
                </w:tcPr>
                <w:p w14:paraId="5D3BFD80">
                  <w:pPr>
                    <w:pStyle w:val="99"/>
                    <w:spacing w:line="240" w:lineRule="auto"/>
                    <w:ind w:firstLine="0" w:firstLineChars="0"/>
                    <w:rPr>
                      <w:rFonts w:ascii="Times New Roman" w:hAnsi="Times New Roman"/>
                      <w:szCs w:val="21"/>
                      <w:u w:val="none"/>
                    </w:rPr>
                  </w:pPr>
                  <w:r>
                    <w:rPr>
                      <w:rFonts w:ascii="Times New Roman" w:hAnsi="Times New Roman"/>
                      <w:szCs w:val="21"/>
                      <w:u w:val="none"/>
                    </w:rPr>
                    <w:t>受纳污水处理厂名称</w:t>
                  </w:r>
                </w:p>
              </w:tc>
            </w:tr>
            <w:tr w14:paraId="68D3F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82" w:hRule="atLeast"/>
                <w:jc w:val="center"/>
              </w:trPr>
              <w:tc>
                <w:tcPr>
                  <w:tcW w:w="348" w:type="pct"/>
                  <w:vMerge w:val="continue"/>
                  <w:vAlign w:val="center"/>
                </w:tcPr>
                <w:p w14:paraId="2A2DC78B">
                  <w:pPr>
                    <w:pStyle w:val="99"/>
                    <w:spacing w:line="240" w:lineRule="auto"/>
                    <w:ind w:firstLine="0" w:firstLineChars="0"/>
                    <w:rPr>
                      <w:rFonts w:ascii="Times New Roman" w:hAnsi="Times New Roman"/>
                      <w:szCs w:val="21"/>
                      <w:u w:val="none"/>
                    </w:rPr>
                  </w:pPr>
                </w:p>
              </w:tc>
              <w:tc>
                <w:tcPr>
                  <w:tcW w:w="485" w:type="pct"/>
                  <w:vMerge w:val="continue"/>
                  <w:vAlign w:val="center"/>
                </w:tcPr>
                <w:p w14:paraId="2F3F4D75">
                  <w:pPr>
                    <w:pStyle w:val="99"/>
                    <w:spacing w:line="240" w:lineRule="auto"/>
                    <w:ind w:firstLine="0" w:firstLineChars="0"/>
                    <w:rPr>
                      <w:rFonts w:ascii="Times New Roman" w:hAnsi="Times New Roman"/>
                      <w:szCs w:val="21"/>
                      <w:u w:val="none"/>
                    </w:rPr>
                  </w:pPr>
                </w:p>
              </w:tc>
              <w:tc>
                <w:tcPr>
                  <w:tcW w:w="467" w:type="pct"/>
                  <w:vMerge w:val="continue"/>
                  <w:vAlign w:val="center"/>
                </w:tcPr>
                <w:p w14:paraId="532E65C9">
                  <w:pPr>
                    <w:pStyle w:val="99"/>
                    <w:spacing w:line="240" w:lineRule="auto"/>
                    <w:ind w:firstLine="0" w:firstLineChars="0"/>
                    <w:rPr>
                      <w:rFonts w:ascii="Times New Roman" w:hAnsi="Times New Roman"/>
                      <w:szCs w:val="21"/>
                      <w:u w:val="none"/>
                    </w:rPr>
                  </w:pPr>
                </w:p>
              </w:tc>
              <w:tc>
                <w:tcPr>
                  <w:tcW w:w="428" w:type="pct"/>
                  <w:vMerge w:val="continue"/>
                  <w:vAlign w:val="center"/>
                </w:tcPr>
                <w:p w14:paraId="56F6A966">
                  <w:pPr>
                    <w:pStyle w:val="99"/>
                    <w:spacing w:line="240" w:lineRule="auto"/>
                    <w:ind w:firstLine="0" w:firstLineChars="0"/>
                    <w:rPr>
                      <w:rFonts w:ascii="Times New Roman" w:hAnsi="Times New Roman"/>
                      <w:szCs w:val="21"/>
                      <w:u w:val="none"/>
                    </w:rPr>
                  </w:pPr>
                </w:p>
              </w:tc>
              <w:tc>
                <w:tcPr>
                  <w:tcW w:w="547" w:type="pct"/>
                  <w:vAlign w:val="center"/>
                </w:tcPr>
                <w:p w14:paraId="69142E2D">
                  <w:pPr>
                    <w:pStyle w:val="99"/>
                    <w:spacing w:line="240" w:lineRule="auto"/>
                    <w:ind w:firstLine="0" w:firstLineChars="0"/>
                    <w:rPr>
                      <w:rFonts w:ascii="Times New Roman" w:hAnsi="Times New Roman"/>
                      <w:szCs w:val="21"/>
                      <w:u w:val="none"/>
                    </w:rPr>
                  </w:pPr>
                  <w:r>
                    <w:rPr>
                      <w:rFonts w:ascii="Times New Roman" w:hAnsi="Times New Roman"/>
                      <w:szCs w:val="21"/>
                      <w:u w:val="none"/>
                    </w:rPr>
                    <w:t>经度</w:t>
                  </w:r>
                </w:p>
              </w:tc>
              <w:tc>
                <w:tcPr>
                  <w:tcW w:w="568" w:type="pct"/>
                  <w:vAlign w:val="center"/>
                </w:tcPr>
                <w:p w14:paraId="71F7ADE0">
                  <w:pPr>
                    <w:pStyle w:val="99"/>
                    <w:spacing w:line="240" w:lineRule="auto"/>
                    <w:ind w:firstLine="0" w:firstLineChars="0"/>
                    <w:rPr>
                      <w:rFonts w:ascii="Times New Roman" w:hAnsi="Times New Roman"/>
                      <w:szCs w:val="21"/>
                      <w:u w:val="none"/>
                    </w:rPr>
                  </w:pPr>
                  <w:r>
                    <w:rPr>
                      <w:rFonts w:ascii="Times New Roman" w:hAnsi="Times New Roman"/>
                      <w:szCs w:val="21"/>
                      <w:u w:val="none"/>
                    </w:rPr>
                    <w:t>纬度</w:t>
                  </w:r>
                </w:p>
              </w:tc>
              <w:tc>
                <w:tcPr>
                  <w:tcW w:w="363" w:type="pct"/>
                  <w:vMerge w:val="continue"/>
                  <w:vAlign w:val="center"/>
                </w:tcPr>
                <w:p w14:paraId="4FF88BC3">
                  <w:pPr>
                    <w:pStyle w:val="99"/>
                    <w:spacing w:line="240" w:lineRule="auto"/>
                    <w:ind w:firstLine="0" w:firstLineChars="0"/>
                    <w:rPr>
                      <w:rFonts w:ascii="Times New Roman" w:hAnsi="Times New Roman"/>
                      <w:szCs w:val="21"/>
                      <w:u w:val="none"/>
                    </w:rPr>
                  </w:pPr>
                </w:p>
              </w:tc>
              <w:tc>
                <w:tcPr>
                  <w:tcW w:w="473" w:type="pct"/>
                  <w:vMerge w:val="continue"/>
                  <w:vAlign w:val="center"/>
                </w:tcPr>
                <w:p w14:paraId="7F5DAD58">
                  <w:pPr>
                    <w:pStyle w:val="99"/>
                    <w:spacing w:line="240" w:lineRule="auto"/>
                    <w:ind w:firstLine="0" w:firstLineChars="0"/>
                    <w:rPr>
                      <w:rFonts w:ascii="Times New Roman" w:hAnsi="Times New Roman"/>
                      <w:szCs w:val="21"/>
                      <w:u w:val="none"/>
                    </w:rPr>
                  </w:pPr>
                </w:p>
              </w:tc>
              <w:tc>
                <w:tcPr>
                  <w:tcW w:w="558" w:type="pct"/>
                  <w:vMerge w:val="continue"/>
                  <w:vAlign w:val="center"/>
                </w:tcPr>
                <w:p w14:paraId="75F598A0">
                  <w:pPr>
                    <w:pStyle w:val="99"/>
                    <w:spacing w:line="240" w:lineRule="auto"/>
                    <w:ind w:firstLine="0" w:firstLineChars="0"/>
                    <w:rPr>
                      <w:rFonts w:ascii="Times New Roman" w:hAnsi="Times New Roman"/>
                      <w:szCs w:val="21"/>
                      <w:u w:val="none"/>
                    </w:rPr>
                  </w:pPr>
                </w:p>
              </w:tc>
              <w:tc>
                <w:tcPr>
                  <w:tcW w:w="757" w:type="pct"/>
                  <w:vMerge w:val="continue"/>
                  <w:vAlign w:val="center"/>
                </w:tcPr>
                <w:p w14:paraId="30AD0717">
                  <w:pPr>
                    <w:pStyle w:val="99"/>
                    <w:spacing w:line="240" w:lineRule="auto"/>
                    <w:ind w:firstLine="0" w:firstLineChars="0"/>
                    <w:rPr>
                      <w:rFonts w:ascii="Times New Roman" w:hAnsi="Times New Roman"/>
                      <w:szCs w:val="21"/>
                      <w:u w:val="none"/>
                    </w:rPr>
                  </w:pPr>
                </w:p>
              </w:tc>
            </w:tr>
            <w:tr w14:paraId="0BC3D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925" w:hRule="atLeast"/>
                <w:jc w:val="center"/>
              </w:trPr>
              <w:tc>
                <w:tcPr>
                  <w:tcW w:w="348" w:type="pct"/>
                  <w:vAlign w:val="center"/>
                </w:tcPr>
                <w:p w14:paraId="0A7EE50C">
                  <w:pPr>
                    <w:pStyle w:val="99"/>
                    <w:spacing w:line="240" w:lineRule="auto"/>
                    <w:ind w:firstLine="0" w:firstLineChars="0"/>
                    <w:rPr>
                      <w:rFonts w:ascii="Times New Roman" w:hAnsi="Times New Roman"/>
                      <w:szCs w:val="21"/>
                      <w:u w:val="none"/>
                    </w:rPr>
                  </w:pPr>
                  <w:r>
                    <w:rPr>
                      <w:rFonts w:ascii="Times New Roman" w:hAnsi="Times New Roman"/>
                      <w:szCs w:val="21"/>
                      <w:u w:val="none"/>
                    </w:rPr>
                    <w:t>1</w:t>
                  </w:r>
                </w:p>
              </w:tc>
              <w:tc>
                <w:tcPr>
                  <w:tcW w:w="485" w:type="pct"/>
                  <w:vAlign w:val="center"/>
                </w:tcPr>
                <w:p w14:paraId="013E0BD5">
                  <w:pPr>
                    <w:pStyle w:val="99"/>
                    <w:spacing w:line="240" w:lineRule="auto"/>
                    <w:ind w:firstLine="0" w:firstLineChars="0"/>
                    <w:rPr>
                      <w:rFonts w:ascii="Times New Roman" w:hAnsi="Times New Roman"/>
                      <w:szCs w:val="21"/>
                      <w:u w:val="none"/>
                    </w:rPr>
                  </w:pPr>
                  <w:r>
                    <w:rPr>
                      <w:rFonts w:ascii="Times New Roman" w:hAnsi="Times New Roman"/>
                      <w:szCs w:val="21"/>
                      <w:u w:val="none"/>
                    </w:rPr>
                    <w:t>DW001</w:t>
                  </w:r>
                </w:p>
              </w:tc>
              <w:tc>
                <w:tcPr>
                  <w:tcW w:w="467" w:type="pct"/>
                  <w:vAlign w:val="center"/>
                </w:tcPr>
                <w:p w14:paraId="32B687A2">
                  <w:pPr>
                    <w:pStyle w:val="99"/>
                    <w:spacing w:line="240" w:lineRule="auto"/>
                    <w:ind w:firstLine="0" w:firstLineChars="0"/>
                    <w:rPr>
                      <w:rFonts w:ascii="Times New Roman" w:hAnsi="Times New Roman"/>
                      <w:szCs w:val="21"/>
                      <w:u w:val="none"/>
                    </w:rPr>
                  </w:pPr>
                  <w:r>
                    <w:rPr>
                      <w:rFonts w:hint="eastAsia" w:ascii="Times New Roman" w:hAnsi="Times New Roman"/>
                      <w:szCs w:val="21"/>
                      <w:u w:val="none"/>
                    </w:rPr>
                    <w:t>化粪池</w:t>
                  </w:r>
                  <w:r>
                    <w:rPr>
                      <w:rFonts w:ascii="Times New Roman" w:hAnsi="Times New Roman"/>
                      <w:szCs w:val="21"/>
                      <w:u w:val="none"/>
                    </w:rPr>
                    <w:t>排口</w:t>
                  </w:r>
                </w:p>
              </w:tc>
              <w:tc>
                <w:tcPr>
                  <w:tcW w:w="428" w:type="pct"/>
                  <w:vAlign w:val="center"/>
                </w:tcPr>
                <w:p w14:paraId="1495F4B3">
                  <w:pPr>
                    <w:pStyle w:val="99"/>
                    <w:spacing w:line="240" w:lineRule="auto"/>
                    <w:ind w:firstLine="0" w:firstLineChars="0"/>
                    <w:rPr>
                      <w:rFonts w:ascii="Times New Roman" w:hAnsi="Times New Roman"/>
                      <w:szCs w:val="21"/>
                      <w:u w:val="none"/>
                    </w:rPr>
                  </w:pPr>
                  <w:r>
                    <w:rPr>
                      <w:rFonts w:ascii="Times New Roman" w:hAnsi="Times New Roman"/>
                      <w:szCs w:val="21"/>
                      <w:u w:val="none"/>
                    </w:rPr>
                    <w:t>一般排放口</w:t>
                  </w:r>
                </w:p>
              </w:tc>
              <w:tc>
                <w:tcPr>
                  <w:tcW w:w="547" w:type="pct"/>
                  <w:vAlign w:val="center"/>
                </w:tcPr>
                <w:p w14:paraId="235EE107">
                  <w:pPr>
                    <w:pStyle w:val="99"/>
                    <w:spacing w:line="240" w:lineRule="auto"/>
                    <w:ind w:firstLine="0" w:firstLineChars="0"/>
                    <w:rPr>
                      <w:rFonts w:ascii="Times New Roman" w:hAnsi="Times New Roman"/>
                      <w:szCs w:val="21"/>
                      <w:u w:val="none"/>
                    </w:rPr>
                  </w:pPr>
                  <w:r>
                    <w:rPr>
                      <w:rFonts w:hint="eastAsia" w:ascii="Times New Roman" w:hAnsi="Times New Roman"/>
                      <w:szCs w:val="21"/>
                      <w:u w:val="none"/>
                    </w:rPr>
                    <w:t>113.209478647,</w:t>
                  </w:r>
                </w:p>
              </w:tc>
              <w:tc>
                <w:tcPr>
                  <w:tcW w:w="568" w:type="pct"/>
                  <w:vAlign w:val="center"/>
                </w:tcPr>
                <w:p w14:paraId="3CD1F6EE">
                  <w:pPr>
                    <w:pStyle w:val="99"/>
                    <w:spacing w:line="240" w:lineRule="auto"/>
                    <w:ind w:firstLine="0" w:firstLineChars="0"/>
                    <w:rPr>
                      <w:rFonts w:ascii="Times New Roman" w:hAnsi="Times New Roman"/>
                      <w:szCs w:val="21"/>
                      <w:u w:val="none"/>
                    </w:rPr>
                  </w:pPr>
                  <w:r>
                    <w:rPr>
                      <w:rFonts w:hint="eastAsia" w:ascii="Times New Roman" w:hAnsi="Times New Roman"/>
                      <w:szCs w:val="21"/>
                      <w:u w:val="none"/>
                    </w:rPr>
                    <w:t>29.488918489</w:t>
                  </w:r>
                </w:p>
              </w:tc>
              <w:tc>
                <w:tcPr>
                  <w:tcW w:w="363" w:type="pct"/>
                  <w:vAlign w:val="center"/>
                </w:tcPr>
                <w:p w14:paraId="64BF1652">
                  <w:pPr>
                    <w:pStyle w:val="99"/>
                    <w:spacing w:line="240" w:lineRule="auto"/>
                    <w:ind w:firstLine="0" w:firstLineChars="0"/>
                    <w:rPr>
                      <w:rFonts w:ascii="Times New Roman" w:hAnsi="Times New Roman"/>
                      <w:szCs w:val="21"/>
                      <w:u w:val="none"/>
                    </w:rPr>
                  </w:pPr>
                  <w:r>
                    <w:rPr>
                      <w:rFonts w:ascii="Times New Roman" w:hAnsi="Times New Roman"/>
                      <w:szCs w:val="21"/>
                      <w:u w:val="none"/>
                    </w:rPr>
                    <w:t>间接排放</w:t>
                  </w:r>
                </w:p>
              </w:tc>
              <w:tc>
                <w:tcPr>
                  <w:tcW w:w="473" w:type="pct"/>
                  <w:vAlign w:val="center"/>
                </w:tcPr>
                <w:p w14:paraId="63225003">
                  <w:pPr>
                    <w:pStyle w:val="99"/>
                    <w:spacing w:line="240" w:lineRule="auto"/>
                    <w:ind w:firstLine="0" w:firstLineChars="0"/>
                    <w:rPr>
                      <w:rFonts w:ascii="Times New Roman" w:hAnsi="Times New Roman"/>
                      <w:szCs w:val="21"/>
                      <w:u w:val="none"/>
                    </w:rPr>
                  </w:pPr>
                  <w:r>
                    <w:rPr>
                      <w:rFonts w:ascii="Times New Roman" w:hAnsi="Times New Roman"/>
                      <w:szCs w:val="21"/>
                      <w:u w:val="none"/>
                    </w:rPr>
                    <w:t>污水处理厂</w:t>
                  </w:r>
                </w:p>
              </w:tc>
              <w:tc>
                <w:tcPr>
                  <w:tcW w:w="558" w:type="pct"/>
                  <w:vAlign w:val="center"/>
                </w:tcPr>
                <w:p w14:paraId="29D4534E">
                  <w:pPr>
                    <w:pStyle w:val="99"/>
                    <w:spacing w:line="240" w:lineRule="auto"/>
                    <w:ind w:firstLine="0" w:firstLineChars="0"/>
                    <w:rPr>
                      <w:rFonts w:ascii="Times New Roman" w:hAnsi="Times New Roman"/>
                      <w:szCs w:val="21"/>
                      <w:u w:val="none"/>
                    </w:rPr>
                  </w:pPr>
                  <w:r>
                    <w:rPr>
                      <w:rFonts w:ascii="Times New Roman" w:hAnsi="Times New Roman"/>
                      <w:szCs w:val="21"/>
                      <w:u w:val="none"/>
                    </w:rPr>
                    <w:t>间断排放，流量稳定，但有周期性规律</w:t>
                  </w:r>
                </w:p>
              </w:tc>
              <w:tc>
                <w:tcPr>
                  <w:tcW w:w="757" w:type="pct"/>
                  <w:vAlign w:val="center"/>
                </w:tcPr>
                <w:p w14:paraId="651EB30A">
                  <w:pPr>
                    <w:pStyle w:val="99"/>
                    <w:spacing w:line="240" w:lineRule="auto"/>
                    <w:ind w:firstLine="0" w:firstLineChars="0"/>
                    <w:rPr>
                      <w:rFonts w:hint="eastAsia" w:ascii="Times New Roman" w:hAnsi="Times New Roman" w:eastAsia="宋体"/>
                      <w:szCs w:val="21"/>
                      <w:u w:val="none"/>
                      <w:lang w:eastAsia="zh-CN"/>
                    </w:rPr>
                  </w:pPr>
                  <w:r>
                    <w:rPr>
                      <w:rFonts w:hint="eastAsia" w:ascii="Times New Roman" w:hAnsi="Times New Roman"/>
                      <w:szCs w:val="21"/>
                      <w:u w:val="none"/>
                      <w:lang w:eastAsia="zh-CN"/>
                    </w:rPr>
                    <w:t>岳阳市三峡水环境综合治理有限责任公司临港水质净化厂</w:t>
                  </w:r>
                </w:p>
              </w:tc>
            </w:tr>
          </w:tbl>
          <w:p w14:paraId="1A35369F">
            <w:pPr>
              <w:pStyle w:val="97"/>
              <w:spacing w:line="360" w:lineRule="auto"/>
              <w:ind w:firstLine="480"/>
              <w:rPr>
                <w:rFonts w:ascii="Times New Roman" w:hAnsi="Times New Roman"/>
                <w:u w:val="none"/>
              </w:rPr>
            </w:pPr>
            <w:r>
              <w:rPr>
                <w:rFonts w:hint="eastAsia" w:ascii="Times New Roman" w:hAnsi="Times New Roman"/>
                <w:color w:val="000000"/>
                <w:u w:val="none"/>
              </w:rPr>
              <w:t>（2）</w:t>
            </w:r>
            <w:r>
              <w:rPr>
                <w:rFonts w:hint="eastAsia" w:ascii="Times New Roman" w:hAnsi="Times New Roman"/>
                <w:u w:val="none"/>
              </w:rPr>
              <w:t>生活</w:t>
            </w:r>
            <w:r>
              <w:rPr>
                <w:rFonts w:ascii="Times New Roman" w:hAnsi="Times New Roman"/>
                <w:u w:val="none"/>
              </w:rPr>
              <w:t>废水进入</w:t>
            </w:r>
            <w:r>
              <w:rPr>
                <w:rFonts w:hint="eastAsia" w:ascii="Times New Roman" w:hAnsi="Times New Roman"/>
                <w:szCs w:val="32"/>
                <w:u w:val="none"/>
                <w:lang w:eastAsia="zh-CN"/>
              </w:rPr>
              <w:t>污水处理厂</w:t>
            </w:r>
            <w:r>
              <w:rPr>
                <w:rFonts w:ascii="Times New Roman" w:hAnsi="Times New Roman"/>
                <w:u w:val="none"/>
              </w:rPr>
              <w:t>处理可行性分析</w:t>
            </w:r>
          </w:p>
          <w:p w14:paraId="12A65C1D">
            <w:pPr>
              <w:widowControl/>
              <w:spacing w:line="360" w:lineRule="auto"/>
              <w:ind w:firstLine="480" w:firstLineChars="200"/>
              <w:jc w:val="both"/>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 w:val="24"/>
                <w:highlight w:val="none"/>
                <w:u w:val="none" w:color="auto"/>
              </w:rPr>
              <w:t>岳阳市三峡水环境综合治理有限责任公司临港水质净化厂</w:t>
            </w: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原</w:t>
            </w:r>
            <w:r>
              <w:rPr>
                <w:rFonts w:hint="default" w:ascii="Times New Roman" w:hAnsi="Times New Roman" w:eastAsia="宋体" w:cs="Times New Roman"/>
                <w:color w:val="auto"/>
                <w:sz w:val="24"/>
                <w:highlight w:val="none"/>
                <w:u w:val="none" w:color="auto"/>
              </w:rPr>
              <w:t>湖南城陵矶临港产业新区污水处理厂</w:t>
            </w:r>
            <w:r>
              <w:rPr>
                <w:rFonts w:hint="eastAsia"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纳污范围包括岳阳临港高新技术产业开发区和岳阳城陵矶综合保税区两个园区的工业废水和生活污水，此外还承担了纳污范围内的城镇生活污水和工业废水。湖南城陵矶临港产业新区污水处理厂（一期）于2014年3月取得岳阳市生态环境局（原岳阳市环境保护局）《关于湖南城陵矶临港新区开发投资有限公司湖南城陵矶临港产业新区污水处理厂（一期）工程环境影响报告书的批复》（岳城港环评[2014]2号），其一期工程于2016年3月14日完成工程建设任务，同年10月份由岳阳联泰水务有限公司组织投产运营，主要采用CASS工艺，出水达《城镇污水处理厂污染物排放标准》（GB18918-2002）一级B排放标准，尾水排至长江。岳阳联泰水务有限公司于2019年1月委托湖南志远环境咨询服务有限公司完成《湖南城陵矶临港产业新区污水处理厂一期提标改造工程环境影响报告表》，同年2月28日取得了岳阳市环境保护局的批复（岳港环批[2019]4号）</w:t>
            </w:r>
            <w:r>
              <w:rPr>
                <w:rFonts w:hint="default" w:ascii="Times New Roman" w:hAnsi="Times New Roman" w:eastAsia="宋体" w:cs="Times New Roman"/>
                <w:color w:val="auto"/>
                <w:sz w:val="24"/>
                <w:highlight w:val="none"/>
                <w:u w:val="none" w:color="auto"/>
                <w:lang w:eastAsia="zh-CN"/>
              </w:rPr>
              <w:t>，</w:t>
            </w:r>
            <w:r>
              <w:rPr>
                <w:rFonts w:hint="eastAsia" w:ascii="Times New Roman" w:hAnsi="Times New Roman" w:eastAsia="宋体" w:cs="Times New Roman"/>
                <w:color w:val="auto"/>
                <w:sz w:val="24"/>
                <w:highlight w:val="none"/>
                <w:u w:val="none" w:color="auto"/>
                <w:lang w:val="en-US" w:eastAsia="zh-CN"/>
              </w:rPr>
              <w:t>并于2021年7月通过了竣工环保验收。</w:t>
            </w:r>
            <w:r>
              <w:rPr>
                <w:rFonts w:hint="default" w:ascii="Times New Roman" w:hAnsi="Times New Roman" w:eastAsia="宋体" w:cs="Times New Roman"/>
                <w:color w:val="auto"/>
                <w:sz w:val="24"/>
                <w:highlight w:val="none"/>
                <w:u w:val="none" w:color="auto"/>
              </w:rPr>
              <w:t>改扩建方案</w:t>
            </w:r>
            <w:r>
              <w:rPr>
                <w:rFonts w:hint="default" w:ascii="Times New Roman" w:hAnsi="Times New Roman" w:eastAsia="宋体" w:cs="Times New Roman"/>
                <w:color w:val="auto"/>
                <w:sz w:val="24"/>
                <w:highlight w:val="none"/>
                <w:u w:val="none" w:color="auto"/>
                <w:lang w:eastAsia="zh-CN"/>
              </w:rPr>
              <w:t>包括有新建</w:t>
            </w:r>
            <w:r>
              <w:rPr>
                <w:rFonts w:hint="default" w:ascii="Times New Roman" w:hAnsi="Times New Roman" w:eastAsia="宋体" w:cs="Times New Roman"/>
                <w:color w:val="auto"/>
                <w:sz w:val="24"/>
                <w:highlight w:val="none"/>
                <w:u w:val="none" w:color="auto"/>
              </w:rPr>
              <w:t>1座调节池、1座絮凝沉淀池、1座中间提升泵房、1座高效絮凝沉淀池、1座反硝化深床滤池、1座加药间及次氯酸钠消毒渠、除臭系统</w:t>
            </w: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在原紫外消毒渠处增设灯管28根</w:t>
            </w: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提标改造工程对已建项目进行提标，工程规模为3万m</w:t>
            </w:r>
            <w:r>
              <w:rPr>
                <w:rFonts w:hint="default" w:ascii="Times New Roman" w:hAnsi="Times New Roman" w:eastAsia="宋体" w:cs="Times New Roman"/>
                <w:color w:val="auto"/>
                <w:sz w:val="24"/>
                <w:highlight w:val="none"/>
                <w:u w:val="none" w:color="auto"/>
                <w:vertAlign w:val="superscript"/>
              </w:rPr>
              <w:t>3</w:t>
            </w:r>
            <w:r>
              <w:rPr>
                <w:rFonts w:hint="default" w:ascii="Times New Roman" w:hAnsi="Times New Roman" w:eastAsia="宋体" w:cs="Times New Roman"/>
                <w:color w:val="auto"/>
                <w:sz w:val="24"/>
                <w:highlight w:val="none"/>
                <w:u w:val="none" w:color="auto"/>
              </w:rPr>
              <w:t>/d，改造后出水水质提升为《城镇污水处理厂污染物排放标准》（GB18918-2002）一级A排放标准</w:t>
            </w:r>
            <w:r>
              <w:rPr>
                <w:rFonts w:hint="default" w:ascii="Times New Roman" w:hAnsi="Times New Roman" w:eastAsia="宋体" w:cs="Times New Roman"/>
                <w:color w:val="auto"/>
                <w:sz w:val="24"/>
                <w:highlight w:val="none"/>
                <w:u w:val="none" w:color="auto"/>
                <w:lang w:eastAsia="zh-CN"/>
              </w:rPr>
              <w:t>。现阶段污水处理工艺为</w:t>
            </w:r>
            <w:r>
              <w:rPr>
                <w:rFonts w:hint="default" w:ascii="Times New Roman" w:hAnsi="Times New Roman" w:eastAsia="宋体" w:cs="Times New Roman"/>
                <w:color w:val="auto"/>
                <w:sz w:val="24"/>
                <w:highlight w:val="none"/>
                <w:u w:val="none" w:color="auto"/>
              </w:rPr>
              <w:t>“粗格栅+提升泵站+细格栅+平流式沉淀池+高效沉淀池+反硝化深床滤池工艺+紫外线消毒工艺（辅以次氯酸钠消毒）”</w:t>
            </w: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管道接纳标准为pH</w:t>
            </w: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6~9、COD≤500mg/L、BOD</w:t>
            </w:r>
            <w:r>
              <w:rPr>
                <w:rFonts w:hint="default" w:ascii="Times New Roman" w:hAnsi="Times New Roman" w:eastAsia="宋体" w:cs="Times New Roman"/>
                <w:color w:val="auto"/>
                <w:sz w:val="24"/>
                <w:highlight w:val="none"/>
                <w:u w:val="none" w:color="auto"/>
                <w:vertAlign w:val="subscript"/>
              </w:rPr>
              <w:t>5</w:t>
            </w:r>
            <w:r>
              <w:rPr>
                <w:rFonts w:hint="default" w:ascii="Times New Roman" w:hAnsi="Times New Roman" w:eastAsia="宋体" w:cs="Times New Roman"/>
                <w:color w:val="auto"/>
                <w:sz w:val="24"/>
                <w:highlight w:val="none"/>
                <w:u w:val="none" w:color="auto"/>
              </w:rPr>
              <w:t>≤200mg/L、SS≤</w:t>
            </w:r>
            <w:r>
              <w:rPr>
                <w:rFonts w:hint="default" w:ascii="Times New Roman" w:hAnsi="Times New Roman" w:eastAsia="宋体" w:cs="Times New Roman"/>
                <w:color w:val="auto"/>
                <w:sz w:val="24"/>
                <w:highlight w:val="none"/>
                <w:u w:val="none" w:color="auto"/>
                <w:lang w:val="en-US" w:eastAsia="zh-CN"/>
              </w:rPr>
              <w:t>3</w:t>
            </w:r>
            <w:r>
              <w:rPr>
                <w:rFonts w:hint="default" w:ascii="Times New Roman" w:hAnsi="Times New Roman" w:eastAsia="宋体" w:cs="Times New Roman"/>
                <w:color w:val="auto"/>
                <w:sz w:val="24"/>
                <w:highlight w:val="none"/>
                <w:u w:val="none" w:color="auto"/>
              </w:rPr>
              <w:t>00mg/L、NH</w:t>
            </w:r>
            <w:r>
              <w:rPr>
                <w:rFonts w:hint="default" w:ascii="Times New Roman" w:hAnsi="Times New Roman" w:eastAsia="宋体" w:cs="Times New Roman"/>
                <w:color w:val="auto"/>
                <w:sz w:val="24"/>
                <w:highlight w:val="none"/>
                <w:u w:val="none" w:color="auto"/>
                <w:vertAlign w:val="subscript"/>
              </w:rPr>
              <w:t>3</w:t>
            </w:r>
            <w:r>
              <w:rPr>
                <w:rFonts w:hint="default" w:ascii="Times New Roman" w:hAnsi="Times New Roman" w:eastAsia="宋体" w:cs="Times New Roman"/>
                <w:color w:val="auto"/>
                <w:sz w:val="24"/>
                <w:highlight w:val="none"/>
                <w:u w:val="none" w:color="auto"/>
              </w:rPr>
              <w:t>-N≤30mg/L、</w:t>
            </w:r>
            <w:r>
              <w:rPr>
                <w:rFonts w:hint="default" w:ascii="Times New Roman" w:hAnsi="Times New Roman" w:eastAsia="宋体" w:cs="Times New Roman"/>
                <w:color w:val="auto"/>
                <w:sz w:val="24"/>
                <w:highlight w:val="none"/>
                <w:u w:val="none" w:color="auto"/>
                <w:lang w:val="en-US" w:eastAsia="zh-CN"/>
              </w:rPr>
              <w:t>TN</w:t>
            </w:r>
            <w:r>
              <w:rPr>
                <w:rFonts w:hint="default" w:ascii="Times New Roman" w:hAnsi="Times New Roman" w:eastAsia="宋体" w:cs="Times New Roman"/>
                <w:color w:val="auto"/>
                <w:sz w:val="24"/>
                <w:highlight w:val="none"/>
                <w:u w:val="none" w:color="auto"/>
              </w:rPr>
              <w:t>≤</w:t>
            </w:r>
            <w:r>
              <w:rPr>
                <w:rFonts w:hint="default" w:ascii="Times New Roman" w:hAnsi="Times New Roman" w:eastAsia="宋体" w:cs="Times New Roman"/>
                <w:color w:val="auto"/>
                <w:sz w:val="24"/>
                <w:highlight w:val="none"/>
                <w:u w:val="none" w:color="auto"/>
                <w:lang w:val="en-US" w:eastAsia="zh-CN"/>
              </w:rPr>
              <w:t>40</w:t>
            </w:r>
            <w:r>
              <w:rPr>
                <w:rFonts w:hint="default" w:ascii="Times New Roman" w:hAnsi="Times New Roman" w:eastAsia="宋体" w:cs="Times New Roman"/>
                <w:color w:val="auto"/>
                <w:sz w:val="24"/>
                <w:highlight w:val="none"/>
                <w:u w:val="none" w:color="auto"/>
              </w:rPr>
              <w:t>mg/L</w:t>
            </w:r>
            <w:r>
              <w:rPr>
                <w:rFonts w:hint="default" w:ascii="Times New Roman" w:hAnsi="Times New Roman" w:eastAsia="宋体" w:cs="Times New Roman"/>
                <w:color w:val="auto"/>
                <w:sz w:val="24"/>
                <w:highlight w:val="none"/>
                <w:u w:val="none" w:color="auto"/>
                <w:lang w:val="en-US" w:eastAsia="zh-CN"/>
              </w:rPr>
              <w:t>、TP</w:t>
            </w:r>
            <w:r>
              <w:rPr>
                <w:rFonts w:hint="default" w:ascii="Times New Roman" w:hAnsi="Times New Roman" w:eastAsia="宋体" w:cs="Times New Roman"/>
                <w:color w:val="auto"/>
                <w:sz w:val="24"/>
                <w:highlight w:val="none"/>
                <w:u w:val="none" w:color="auto"/>
              </w:rPr>
              <w:t>≤</w:t>
            </w:r>
            <w:r>
              <w:rPr>
                <w:rFonts w:hint="default" w:ascii="Times New Roman" w:hAnsi="Times New Roman" w:eastAsia="宋体" w:cs="Times New Roman"/>
                <w:color w:val="auto"/>
                <w:sz w:val="24"/>
                <w:highlight w:val="none"/>
                <w:u w:val="none" w:color="auto"/>
                <w:lang w:val="en-US" w:eastAsia="zh-CN"/>
              </w:rPr>
              <w:t>3.0</w:t>
            </w:r>
            <w:r>
              <w:rPr>
                <w:rFonts w:hint="default" w:ascii="Times New Roman" w:hAnsi="Times New Roman" w:eastAsia="宋体" w:cs="Times New Roman"/>
                <w:color w:val="auto"/>
                <w:sz w:val="24"/>
                <w:highlight w:val="none"/>
                <w:u w:val="none" w:color="auto"/>
              </w:rPr>
              <w:t>mg/L</w:t>
            </w:r>
            <w:r>
              <w:rPr>
                <w:rFonts w:hint="default" w:ascii="Times New Roman" w:hAnsi="Times New Roman" w:eastAsia="宋体" w:cs="Times New Roman"/>
                <w:color w:val="auto"/>
                <w:sz w:val="24"/>
                <w:highlight w:val="none"/>
                <w:u w:val="none" w:color="auto"/>
                <w:lang w:val="en-US" w:eastAsia="zh-CN"/>
              </w:rPr>
              <w:t>、</w:t>
            </w:r>
            <w:r>
              <w:rPr>
                <w:rFonts w:hint="default" w:ascii="Times New Roman" w:hAnsi="Times New Roman" w:eastAsia="宋体" w:cs="Times New Roman"/>
                <w:color w:val="auto"/>
                <w:sz w:val="24"/>
                <w:highlight w:val="none"/>
                <w:u w:val="none" w:color="auto"/>
              </w:rPr>
              <w:t>石油类≤</w:t>
            </w:r>
            <w:r>
              <w:rPr>
                <w:rFonts w:hint="default" w:ascii="Times New Roman" w:hAnsi="Times New Roman" w:eastAsia="宋体" w:cs="Times New Roman"/>
                <w:color w:val="auto"/>
                <w:sz w:val="24"/>
                <w:highlight w:val="none"/>
                <w:u w:val="none" w:color="auto"/>
                <w:lang w:val="en-US" w:eastAsia="zh-CN"/>
              </w:rPr>
              <w:t>15</w:t>
            </w:r>
            <w:r>
              <w:rPr>
                <w:rFonts w:hint="default" w:ascii="Times New Roman" w:hAnsi="Times New Roman" w:eastAsia="宋体" w:cs="Times New Roman"/>
                <w:color w:val="auto"/>
                <w:sz w:val="24"/>
                <w:highlight w:val="none"/>
                <w:u w:val="none" w:color="auto"/>
              </w:rPr>
              <w:t>mg/L，出水水质执行《城镇污水处理厂污染物排放标准》（GB18918-2002）一级A标准，尾水经象骨港汇入长江。</w:t>
            </w:r>
          </w:p>
          <w:p w14:paraId="45A597D9">
            <w:pPr>
              <w:pStyle w:val="97"/>
              <w:spacing w:line="360" w:lineRule="auto"/>
              <w:ind w:firstLine="480"/>
              <w:rPr>
                <w:rFonts w:ascii="Times New Roman" w:hAnsi="Times New Roman"/>
                <w:u w:val="none"/>
              </w:rPr>
            </w:pPr>
            <w:r>
              <w:rPr>
                <w:rFonts w:hint="default" w:ascii="Times New Roman" w:hAnsi="Times New Roman" w:eastAsia="宋体" w:cs="Times New Roman"/>
                <w:color w:val="auto"/>
                <w:szCs w:val="24"/>
                <w:u w:val="none" w:color="auto"/>
              </w:rPr>
              <w:t>本项目排放废水仅为生活污水，废水污染物成份主要为pH、COD、BOD</w:t>
            </w:r>
            <w:r>
              <w:rPr>
                <w:rFonts w:hint="default" w:ascii="Times New Roman" w:hAnsi="Times New Roman" w:eastAsia="宋体" w:cs="Times New Roman"/>
                <w:color w:val="auto"/>
                <w:szCs w:val="24"/>
                <w:u w:val="none" w:color="auto"/>
                <w:vertAlign w:val="subscript"/>
              </w:rPr>
              <w:t>5</w:t>
            </w:r>
            <w:r>
              <w:rPr>
                <w:rFonts w:hint="default" w:ascii="Times New Roman" w:hAnsi="Times New Roman" w:eastAsia="宋体" w:cs="Times New Roman"/>
                <w:color w:val="auto"/>
                <w:szCs w:val="24"/>
                <w:u w:val="none" w:color="auto"/>
              </w:rPr>
              <w:t>、SS等，水质简单，</w:t>
            </w:r>
            <w:r>
              <w:rPr>
                <w:rFonts w:hint="eastAsia" w:ascii="Times New Roman" w:hAnsi="Times New Roman" w:eastAsia="宋体" w:cs="Times New Roman"/>
                <w:color w:val="auto"/>
                <w:u w:val="none" w:color="auto"/>
                <w:lang w:val="en-US" w:eastAsia="zh-CN"/>
              </w:rPr>
              <w:t>经</w:t>
            </w:r>
            <w:r>
              <w:rPr>
                <w:rFonts w:hint="default" w:ascii="Times New Roman" w:hAnsi="Times New Roman" w:eastAsia="宋体" w:cs="Times New Roman"/>
                <w:color w:val="auto"/>
                <w:szCs w:val="24"/>
                <w:u w:val="none" w:color="auto"/>
              </w:rPr>
              <w:t>化粪池处理后可达到</w:t>
            </w:r>
            <w:r>
              <w:rPr>
                <w:rFonts w:hint="eastAsia" w:ascii="Times New Roman" w:hAnsi="Times New Roman" w:cs="Times New Roman"/>
                <w:color w:val="auto"/>
                <w:kern w:val="0"/>
                <w:szCs w:val="24"/>
                <w:u w:val="none" w:color="auto"/>
                <w:lang w:eastAsia="zh-CN" w:bidi="ar"/>
              </w:rPr>
              <w:t>岳阳市三峡水环境综合治理有限责任公司临港水质净化厂</w:t>
            </w:r>
            <w:r>
              <w:rPr>
                <w:rFonts w:hint="default" w:ascii="Times New Roman" w:hAnsi="Times New Roman" w:eastAsia="宋体" w:cs="Times New Roman"/>
                <w:color w:val="auto"/>
                <w:u w:val="none" w:color="auto"/>
              </w:rPr>
              <w:t>进水水质标准</w:t>
            </w:r>
            <w:r>
              <w:rPr>
                <w:rFonts w:hint="default" w:ascii="Times New Roman" w:hAnsi="Times New Roman" w:eastAsia="宋体" w:cs="Times New Roman"/>
                <w:color w:val="auto"/>
                <w:szCs w:val="24"/>
                <w:u w:val="none" w:color="auto"/>
              </w:rPr>
              <w:t>要求</w:t>
            </w:r>
            <w:r>
              <w:rPr>
                <w:rFonts w:hint="eastAsia" w:ascii="Times New Roman" w:hAnsi="Times New Roman" w:eastAsia="宋体" w:cs="Times New Roman"/>
                <w:color w:val="auto"/>
                <w:szCs w:val="24"/>
                <w:u w:val="none" w:color="auto"/>
                <w:lang w:eastAsia="zh-CN"/>
              </w:rPr>
              <w:t>；</w:t>
            </w:r>
            <w:r>
              <w:rPr>
                <w:rFonts w:hint="eastAsia" w:ascii="Times New Roman" w:hAnsi="Times New Roman"/>
                <w:u w:val="none"/>
              </w:rPr>
              <w:t>项目生活废水排放总量为</w:t>
            </w:r>
            <w:r>
              <w:rPr>
                <w:rFonts w:hint="eastAsia" w:ascii="Times New Roman" w:hAnsi="Times New Roman"/>
                <w:u w:val="none"/>
                <w:lang w:val="en-US" w:eastAsia="zh-CN"/>
              </w:rPr>
              <w:t>0.91</w:t>
            </w:r>
            <w:r>
              <w:rPr>
                <w:rFonts w:ascii="Times New Roman" w:hAnsi="Times New Roman"/>
                <w:u w:val="none"/>
              </w:rPr>
              <w:t>t/d</w:t>
            </w:r>
            <w:r>
              <w:rPr>
                <w:rFonts w:hint="eastAsia" w:ascii="Times New Roman" w:hAnsi="Times New Roman"/>
                <w:u w:val="none"/>
              </w:rPr>
              <w:t>，</w:t>
            </w:r>
            <w:r>
              <w:rPr>
                <w:rFonts w:hint="eastAsia" w:ascii="Times New Roman" w:hAnsi="Times New Roman"/>
                <w:u w:val="none"/>
                <w:lang w:val="en-US" w:eastAsia="zh-CN"/>
              </w:rPr>
              <w:t>冷凝水排放总量为17.3</w:t>
            </w:r>
            <w:r>
              <w:rPr>
                <w:rFonts w:ascii="Times New Roman" w:hAnsi="Times New Roman"/>
                <w:u w:val="none"/>
              </w:rPr>
              <w:t>t/d</w:t>
            </w:r>
            <w:r>
              <w:rPr>
                <w:rFonts w:hint="eastAsia" w:ascii="Times New Roman" w:hAnsi="Times New Roman"/>
                <w:u w:val="none"/>
              </w:rPr>
              <w:t>，</w:t>
            </w:r>
            <w:r>
              <w:rPr>
                <w:rFonts w:hint="eastAsia" w:ascii="Times New Roman" w:hAnsi="Times New Roman"/>
                <w:szCs w:val="32"/>
                <w:u w:val="none"/>
                <w:lang w:eastAsia="zh-CN"/>
              </w:rPr>
              <w:t>岳阳市三峡水环境综合治理有限责任公司临港水质净化厂</w:t>
            </w:r>
            <w:r>
              <w:rPr>
                <w:rFonts w:hint="eastAsia" w:ascii="Times New Roman" w:hAnsi="Times New Roman"/>
                <w:szCs w:val="32"/>
                <w:u w:val="none"/>
                <w:lang w:val="en-US" w:eastAsia="zh-CN"/>
              </w:rPr>
              <w:t>目前</w:t>
            </w:r>
            <w:r>
              <w:rPr>
                <w:rFonts w:ascii="Times New Roman" w:hAnsi="Times New Roman"/>
                <w:u w:val="none"/>
              </w:rPr>
              <w:t>处理规模为</w:t>
            </w:r>
            <w:r>
              <w:rPr>
                <w:rFonts w:hint="eastAsia" w:ascii="Times New Roman" w:hAnsi="Times New Roman"/>
                <w:u w:val="none"/>
                <w:lang w:val="en-US" w:eastAsia="zh-CN"/>
              </w:rPr>
              <w:t>3</w:t>
            </w:r>
            <w:r>
              <w:rPr>
                <w:rFonts w:ascii="Times New Roman" w:hAnsi="Times New Roman"/>
                <w:u w:val="none"/>
              </w:rPr>
              <w:t>万t/d，占其处理量比重</w:t>
            </w:r>
            <w:r>
              <w:rPr>
                <w:rFonts w:hint="eastAsia" w:ascii="Times New Roman" w:hAnsi="Times New Roman"/>
                <w:u w:val="none"/>
              </w:rPr>
              <w:t>极小</w:t>
            </w:r>
            <w:r>
              <w:rPr>
                <w:rFonts w:ascii="Times New Roman" w:hAnsi="Times New Roman"/>
                <w:u w:val="none"/>
              </w:rPr>
              <w:t>，有充足的能力接纳本项目的废水</w:t>
            </w:r>
            <w:r>
              <w:rPr>
                <w:rFonts w:hint="eastAsia" w:ascii="Times New Roman" w:hAnsi="Times New Roman"/>
                <w:u w:val="none"/>
              </w:rPr>
              <w:t>，项目废水的排入不会对</w:t>
            </w:r>
            <w:r>
              <w:rPr>
                <w:rFonts w:hint="eastAsia" w:ascii="Times New Roman" w:hAnsi="Times New Roman"/>
                <w:szCs w:val="32"/>
                <w:u w:val="none"/>
                <w:lang w:eastAsia="zh-CN"/>
              </w:rPr>
              <w:t>岳阳市三峡水环境综合治理有限责任公司临港水质净化厂</w:t>
            </w:r>
            <w:r>
              <w:rPr>
                <w:rFonts w:hint="eastAsia" w:ascii="Times New Roman" w:hAnsi="Times New Roman"/>
                <w:u w:val="none"/>
              </w:rPr>
              <w:t>运行造成冲击。</w:t>
            </w:r>
          </w:p>
          <w:p w14:paraId="03D2535F">
            <w:pPr>
              <w:pStyle w:val="97"/>
              <w:spacing w:line="360" w:lineRule="auto"/>
              <w:ind w:firstLine="480"/>
              <w:rPr>
                <w:rFonts w:hAnsi="Calibri"/>
                <w:u w:val="none"/>
              </w:rPr>
            </w:pPr>
            <w:r>
              <w:rPr>
                <w:rFonts w:hint="eastAsia" w:ascii="Times New Roman" w:hAnsi="Times New Roman"/>
                <w:u w:val="none"/>
              </w:rPr>
              <w:t>综上所述，本项目</w:t>
            </w:r>
            <w:r>
              <w:rPr>
                <w:rFonts w:hAnsi="Calibri"/>
                <w:u w:val="none"/>
              </w:rPr>
              <w:t>依托</w:t>
            </w:r>
            <w:r>
              <w:rPr>
                <w:rFonts w:hint="eastAsia" w:hAnsi="Calibri"/>
                <w:u w:val="none"/>
                <w:lang w:eastAsia="zh-CN"/>
              </w:rPr>
              <w:t>岳阳市三峡水环境综合治理有限责任公司临港水质净化厂</w:t>
            </w:r>
            <w:r>
              <w:rPr>
                <w:rFonts w:hAnsi="Calibri"/>
                <w:u w:val="none"/>
              </w:rPr>
              <w:t>可行</w:t>
            </w:r>
            <w:r>
              <w:rPr>
                <w:rFonts w:hint="eastAsia" w:hAnsi="Calibri"/>
                <w:u w:val="none"/>
              </w:rPr>
              <w:t>。</w:t>
            </w:r>
          </w:p>
          <w:p w14:paraId="353BBC29">
            <w:pPr>
              <w:pStyle w:val="97"/>
              <w:spacing w:line="360" w:lineRule="auto"/>
              <w:ind w:firstLine="482"/>
              <w:rPr>
                <w:rFonts w:ascii="Times New Roman" w:hAnsi="Times New Roman"/>
                <w:b/>
                <w:bCs/>
                <w:u w:val="none"/>
              </w:rPr>
            </w:pPr>
            <w:r>
              <w:rPr>
                <w:rFonts w:hint="eastAsia" w:ascii="Times New Roman" w:hAnsi="Times New Roman"/>
                <w:b/>
                <w:bCs/>
                <w:u w:val="none"/>
              </w:rPr>
              <w:t>3、监测要求</w:t>
            </w:r>
          </w:p>
          <w:p w14:paraId="0E9E7A6D">
            <w:pPr>
              <w:pStyle w:val="38"/>
              <w:rPr>
                <w:rFonts w:hint="default" w:eastAsia="宋体"/>
                <w:lang w:val="en-US" w:eastAsia="zh-CN"/>
              </w:rPr>
            </w:pPr>
            <w:r>
              <w:rPr>
                <w:rFonts w:ascii="Times New Roman" w:hAnsi="Times New Roman"/>
                <w:u w:val="none"/>
              </w:rPr>
              <w:t>根据《排污单位自行监测技术指南—总则》（HJ819-2017）等标准规定</w:t>
            </w:r>
            <w:r>
              <w:rPr>
                <w:rFonts w:hint="eastAsia" w:ascii="Times New Roman" w:hAnsi="Times New Roman"/>
                <w:u w:val="none"/>
                <w:lang w:eastAsia="zh-CN"/>
              </w:rPr>
              <w:t>，</w:t>
            </w:r>
            <w:r>
              <w:rPr>
                <w:rFonts w:hint="eastAsia" w:ascii="Times New Roman" w:hAnsi="Times New Roman"/>
                <w:u w:val="none"/>
              </w:rPr>
              <w:t>本项目外排</w:t>
            </w:r>
            <w:r>
              <w:rPr>
                <w:rFonts w:hint="eastAsia" w:ascii="Times New Roman" w:hAnsi="Times New Roman"/>
                <w:u w:val="none"/>
                <w:lang w:val="en-US" w:eastAsia="zh-CN"/>
              </w:rPr>
              <w:t>废水仅为生活废水，且</w:t>
            </w:r>
            <w:r>
              <w:rPr>
                <w:rFonts w:hint="eastAsia" w:ascii="Times New Roman" w:hAnsi="Times New Roman"/>
                <w:u w:val="none"/>
              </w:rPr>
              <w:t>生活</w:t>
            </w:r>
            <w:r>
              <w:rPr>
                <w:rFonts w:hint="eastAsia" w:ascii="Times New Roman" w:hAnsi="Times New Roman"/>
                <w:u w:val="none"/>
                <w:lang w:val="en-US" w:eastAsia="zh-CN"/>
              </w:rPr>
              <w:t>废水</w:t>
            </w:r>
            <w:r>
              <w:rPr>
                <w:rFonts w:hint="eastAsia" w:ascii="Times New Roman" w:hAnsi="Times New Roman"/>
                <w:u w:val="none"/>
              </w:rPr>
              <w:t>进入污水处理厂，可不开展监测</w:t>
            </w:r>
            <w:r>
              <w:rPr>
                <w:rFonts w:hint="eastAsia" w:ascii="Times New Roman" w:hAnsi="Times New Roman"/>
                <w:u w:val="none"/>
                <w:lang w:val="en-US" w:eastAsia="zh-CN"/>
              </w:rPr>
              <w:t>。</w:t>
            </w:r>
          </w:p>
          <w:p w14:paraId="2CC71A30">
            <w:pPr>
              <w:pStyle w:val="41"/>
              <w:spacing w:line="360" w:lineRule="auto"/>
              <w:ind w:left="0" w:leftChars="0" w:firstLine="0" w:firstLineChars="0"/>
              <w:rPr>
                <w:rFonts w:ascii="Times New Roman"/>
                <w:b/>
                <w:bCs/>
                <w:color w:val="auto"/>
                <w:sz w:val="24"/>
                <w:szCs w:val="24"/>
              </w:rPr>
            </w:pPr>
            <w:r>
              <w:rPr>
                <w:rFonts w:hint="eastAsia" w:ascii="Times New Roman"/>
                <w:b/>
                <w:bCs/>
                <w:color w:val="auto"/>
                <w:sz w:val="24"/>
                <w:szCs w:val="24"/>
              </w:rPr>
              <w:t>三、</w:t>
            </w:r>
            <w:r>
              <w:rPr>
                <w:rFonts w:ascii="Times New Roman"/>
                <w:b/>
                <w:bCs/>
                <w:color w:val="auto"/>
                <w:sz w:val="24"/>
                <w:szCs w:val="24"/>
              </w:rPr>
              <w:t>声环境影响分析</w:t>
            </w:r>
            <w:r>
              <w:rPr>
                <w:rFonts w:hint="eastAsia" w:ascii="Times New Roman"/>
                <w:b/>
                <w:bCs/>
                <w:color w:val="auto"/>
                <w:sz w:val="24"/>
                <w:szCs w:val="24"/>
              </w:rPr>
              <w:t>和保护措施</w:t>
            </w:r>
          </w:p>
          <w:p w14:paraId="352FF4B3">
            <w:pPr>
              <w:pStyle w:val="41"/>
              <w:spacing w:line="360" w:lineRule="auto"/>
              <w:ind w:firstLine="482" w:firstLineChars="200"/>
              <w:rPr>
                <w:rFonts w:ascii="Times New Roman"/>
                <w:b/>
                <w:bCs/>
                <w:color w:val="auto"/>
                <w:sz w:val="24"/>
                <w:szCs w:val="24"/>
              </w:rPr>
            </w:pPr>
            <w:r>
              <w:rPr>
                <w:rFonts w:hint="eastAsia" w:ascii="Times New Roman"/>
                <w:b/>
                <w:bCs/>
                <w:snapToGrid w:val="0"/>
                <w:color w:val="auto"/>
                <w:kern w:val="0"/>
                <w:sz w:val="24"/>
                <w:szCs w:val="24"/>
              </w:rPr>
              <w:t>1、噪声影响分析</w:t>
            </w:r>
          </w:p>
          <w:p w14:paraId="0CD6F17A">
            <w:pPr>
              <w:spacing w:line="360" w:lineRule="auto"/>
              <w:ind w:right="62" w:rightChars="26"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rPr>
              <w:t>项目的噪声主要来源于设备噪声。项目</w:t>
            </w:r>
            <w:r>
              <w:rPr>
                <w:rFonts w:hint="eastAsia" w:ascii="Times New Roman" w:hAnsi="Times New Roman" w:cs="Times New Roman"/>
                <w:color w:val="auto"/>
                <w:sz w:val="24"/>
                <w:szCs w:val="24"/>
                <w:lang w:eastAsia="zh-CN"/>
              </w:rPr>
              <w:t>各车间主要设备</w:t>
            </w:r>
            <w:r>
              <w:rPr>
                <w:rFonts w:hint="default" w:ascii="Times New Roman" w:hAnsi="Times New Roman" w:cs="Times New Roman"/>
                <w:color w:val="auto"/>
                <w:sz w:val="24"/>
                <w:szCs w:val="24"/>
              </w:rPr>
              <w:t>噪声污染源强见表</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w:t>
            </w:r>
            <w:r>
              <w:rPr>
                <w:rFonts w:hint="eastAsia" w:cs="Times New Roman"/>
                <w:color w:val="auto"/>
                <w:sz w:val="24"/>
                <w:szCs w:val="24"/>
                <w:lang w:val="en-US" w:eastAsia="zh-CN"/>
              </w:rPr>
              <w:t>11</w:t>
            </w:r>
            <w:r>
              <w:rPr>
                <w:rFonts w:hint="default" w:ascii="Times New Roman" w:hAnsi="Times New Roman" w:cs="Times New Roman"/>
                <w:color w:val="auto"/>
                <w:sz w:val="24"/>
                <w:szCs w:val="24"/>
              </w:rPr>
              <w:t>。</w:t>
            </w:r>
          </w:p>
          <w:p w14:paraId="33AB038B">
            <w:pPr>
              <w:spacing w:line="240" w:lineRule="auto"/>
              <w:jc w:val="center"/>
              <w:rPr>
                <w:rFonts w:hint="default" w:ascii="Times New Roman" w:hAnsi="Times New Roman" w:eastAsia="宋体" w:cs="Times New Roman"/>
                <w:b/>
                <w:bCs/>
                <w:sz w:val="24"/>
                <w:szCs w:val="21"/>
              </w:rPr>
            </w:pPr>
            <w:r>
              <w:rPr>
                <w:rFonts w:hint="default" w:ascii="Times New Roman" w:hAnsi="Times New Roman" w:eastAsia="宋体" w:cs="Times New Roman"/>
                <w:b/>
                <w:bCs/>
                <w:spacing w:val="0"/>
                <w:kern w:val="2"/>
                <w:sz w:val="24"/>
                <w:szCs w:val="21"/>
                <w:u w:val="none"/>
                <w:lang w:val="en-US" w:eastAsia="zh-CN" w:bidi="ar-SA"/>
              </w:rPr>
              <w:t>表</w:t>
            </w:r>
            <w:r>
              <w:rPr>
                <w:rFonts w:hint="eastAsia" w:ascii="Times New Roman" w:hAnsi="Times New Roman" w:eastAsia="宋体" w:cs="Times New Roman"/>
                <w:b/>
                <w:bCs/>
                <w:spacing w:val="0"/>
                <w:kern w:val="2"/>
                <w:sz w:val="24"/>
                <w:szCs w:val="21"/>
                <w:u w:val="none"/>
                <w:lang w:val="en-US" w:eastAsia="zh-CN" w:bidi="ar-SA"/>
              </w:rPr>
              <w:t>4</w:t>
            </w:r>
            <w:r>
              <w:rPr>
                <w:rFonts w:hint="default" w:ascii="Times New Roman" w:hAnsi="Times New Roman" w:eastAsia="宋体" w:cs="Times New Roman"/>
                <w:b/>
                <w:bCs/>
                <w:spacing w:val="0"/>
                <w:kern w:val="2"/>
                <w:sz w:val="24"/>
                <w:szCs w:val="21"/>
                <w:u w:val="none"/>
                <w:lang w:val="en-US" w:eastAsia="zh-CN" w:bidi="ar-SA"/>
              </w:rPr>
              <w:t>-</w:t>
            </w:r>
            <w:r>
              <w:rPr>
                <w:rFonts w:hint="eastAsia" w:cs="Times New Roman"/>
                <w:b/>
                <w:bCs/>
                <w:spacing w:val="0"/>
                <w:kern w:val="2"/>
                <w:sz w:val="24"/>
                <w:szCs w:val="21"/>
                <w:u w:val="none"/>
                <w:lang w:val="en-US" w:eastAsia="zh-CN" w:bidi="ar-SA"/>
              </w:rPr>
              <w:t>11</w:t>
            </w:r>
            <w:r>
              <w:rPr>
                <w:rFonts w:hint="default" w:ascii="Times New Roman" w:hAnsi="Times New Roman" w:eastAsia="宋体" w:cs="Times New Roman"/>
                <w:b/>
                <w:bCs/>
                <w:spacing w:val="0"/>
                <w:kern w:val="2"/>
                <w:sz w:val="24"/>
                <w:szCs w:val="21"/>
                <w:u w:val="none"/>
                <w:lang w:val="en-US" w:eastAsia="zh-CN" w:bidi="ar-SA"/>
              </w:rPr>
              <w:t xml:space="preserve"> </w:t>
            </w:r>
            <w:r>
              <w:rPr>
                <w:rFonts w:hint="eastAsia" w:cs="Times New Roman"/>
                <w:b/>
                <w:bCs/>
                <w:spacing w:val="0"/>
                <w:kern w:val="2"/>
                <w:sz w:val="24"/>
                <w:szCs w:val="21"/>
                <w:u w:val="none"/>
                <w:lang w:val="en-US" w:eastAsia="zh-CN" w:bidi="ar-SA"/>
              </w:rPr>
              <w:t xml:space="preserve"> </w:t>
            </w:r>
            <w:r>
              <w:rPr>
                <w:rFonts w:hint="default" w:ascii="Times New Roman" w:hAnsi="Times New Roman" w:eastAsia="宋体" w:cs="Times New Roman"/>
                <w:b/>
                <w:bCs/>
                <w:sz w:val="24"/>
                <w:szCs w:val="21"/>
              </w:rPr>
              <w:t>项目噪声排放情况一览表（室内声源）</w:t>
            </w:r>
          </w:p>
          <w:tbl>
            <w:tblPr>
              <w:tblStyle w:val="3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
              <w:gridCol w:w="404"/>
              <w:gridCol w:w="408"/>
              <w:gridCol w:w="357"/>
              <w:gridCol w:w="308"/>
              <w:gridCol w:w="310"/>
              <w:gridCol w:w="320"/>
              <w:gridCol w:w="310"/>
              <w:gridCol w:w="310"/>
              <w:gridCol w:w="310"/>
              <w:gridCol w:w="323"/>
              <w:gridCol w:w="310"/>
              <w:gridCol w:w="310"/>
              <w:gridCol w:w="310"/>
              <w:gridCol w:w="331"/>
              <w:gridCol w:w="556"/>
              <w:gridCol w:w="285"/>
              <w:gridCol w:w="285"/>
              <w:gridCol w:w="285"/>
              <w:gridCol w:w="298"/>
              <w:gridCol w:w="285"/>
              <w:gridCol w:w="285"/>
              <w:gridCol w:w="286"/>
              <w:gridCol w:w="286"/>
              <w:gridCol w:w="321"/>
            </w:tblGrid>
            <w:tr w14:paraId="3CD4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trPr>
              <w:tc>
                <w:tcPr>
                  <w:tcW w:w="222" w:type="pct"/>
                  <w:vMerge w:val="restart"/>
                  <w:noWrap w:val="0"/>
                  <w:vAlign w:val="center"/>
                </w:tcPr>
                <w:p w14:paraId="665D20ED">
                  <w:pPr>
                    <w:pStyle w:val="117"/>
                    <w:rPr>
                      <w:rFonts w:hint="default" w:ascii="Times New Roman" w:hAnsi="Times New Roman" w:eastAsia="宋体" w:cs="Times New Roman"/>
                      <w:color w:val="000000"/>
                      <w:sz w:val="18"/>
                      <w:szCs w:val="18"/>
                    </w:rPr>
                  </w:pPr>
                  <w:r>
                    <w:rPr>
                      <w:rFonts w:hint="default" w:ascii="Times New Roman" w:hAnsi="Times New Roman" w:eastAsia="宋体" w:cs="Times New Roman"/>
                      <w:b/>
                      <w:color w:val="000000"/>
                      <w:sz w:val="18"/>
                      <w:szCs w:val="18"/>
                    </w:rPr>
                    <w:t>建筑物名称</w:t>
                  </w:r>
                </w:p>
              </w:tc>
              <w:tc>
                <w:tcPr>
                  <w:tcW w:w="248" w:type="pct"/>
                  <w:vMerge w:val="restart"/>
                  <w:noWrap w:val="0"/>
                  <w:vAlign w:val="center"/>
                </w:tcPr>
                <w:p w14:paraId="3A8924BB">
                  <w:pPr>
                    <w:pStyle w:val="117"/>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声源名称</w:t>
                  </w:r>
                </w:p>
              </w:tc>
              <w:tc>
                <w:tcPr>
                  <w:tcW w:w="250" w:type="pct"/>
                  <w:noWrap w:val="0"/>
                  <w:vAlign w:val="center"/>
                </w:tcPr>
                <w:p w14:paraId="1D744B7D">
                  <w:pPr>
                    <w:pStyle w:val="117"/>
                    <w:rPr>
                      <w:rFonts w:hint="default" w:ascii="Times New Roman" w:hAnsi="Times New Roman" w:eastAsia="宋体" w:cs="Times New Roman"/>
                      <w:b/>
                      <w:bCs/>
                      <w:color w:val="000000"/>
                      <w:sz w:val="18"/>
                      <w:szCs w:val="18"/>
                      <w:lang w:eastAsia="zh-CN"/>
                    </w:rPr>
                  </w:pPr>
                  <w:r>
                    <w:rPr>
                      <w:rFonts w:hint="default" w:ascii="Times New Roman" w:hAnsi="Times New Roman" w:eastAsia="宋体" w:cs="Times New Roman"/>
                      <w:b/>
                      <w:bCs/>
                      <w:color w:val="000000"/>
                      <w:sz w:val="18"/>
                      <w:szCs w:val="18"/>
                      <w:lang w:eastAsia="zh-CN"/>
                    </w:rPr>
                    <w:t>声源源强</w:t>
                  </w:r>
                </w:p>
              </w:tc>
              <w:tc>
                <w:tcPr>
                  <w:tcW w:w="219" w:type="pct"/>
                  <w:vMerge w:val="restart"/>
                  <w:noWrap w:val="0"/>
                  <w:vAlign w:val="center"/>
                </w:tcPr>
                <w:p w14:paraId="1D11C65D">
                  <w:pPr>
                    <w:pStyle w:val="117"/>
                    <w:rPr>
                      <w:rFonts w:hint="default" w:ascii="Times New Roman" w:hAnsi="Times New Roman" w:eastAsia="宋体" w:cs="Times New Roman"/>
                      <w:color w:val="000000"/>
                      <w:sz w:val="18"/>
                      <w:szCs w:val="18"/>
                    </w:rPr>
                  </w:pPr>
                  <w:r>
                    <w:rPr>
                      <w:rFonts w:hint="default" w:ascii="Times New Roman" w:hAnsi="Times New Roman" w:eastAsia="宋体" w:cs="Times New Roman"/>
                      <w:b/>
                      <w:color w:val="000000"/>
                      <w:sz w:val="18"/>
                      <w:szCs w:val="18"/>
                    </w:rPr>
                    <w:t>声源控制措施</w:t>
                  </w:r>
                </w:p>
              </w:tc>
              <w:tc>
                <w:tcPr>
                  <w:tcW w:w="575" w:type="pct"/>
                  <w:gridSpan w:val="3"/>
                  <w:noWrap w:val="0"/>
                  <w:vAlign w:val="center"/>
                </w:tcPr>
                <w:p w14:paraId="371A2F87">
                  <w:pPr>
                    <w:pStyle w:val="117"/>
                    <w:rPr>
                      <w:rFonts w:hint="default" w:ascii="Times New Roman" w:hAnsi="Times New Roman" w:eastAsia="宋体" w:cs="Times New Roman"/>
                      <w:color w:val="000000"/>
                      <w:sz w:val="18"/>
                      <w:szCs w:val="18"/>
                    </w:rPr>
                  </w:pPr>
                  <w:r>
                    <w:rPr>
                      <w:rFonts w:hint="default" w:ascii="Times New Roman" w:hAnsi="Times New Roman" w:eastAsia="宋体" w:cs="Times New Roman"/>
                      <w:b/>
                      <w:color w:val="000000"/>
                      <w:sz w:val="18"/>
                      <w:szCs w:val="18"/>
                    </w:rPr>
                    <w:t>空间相对位置/m</w:t>
                  </w:r>
                </w:p>
              </w:tc>
              <w:tc>
                <w:tcPr>
                  <w:tcW w:w="768" w:type="pct"/>
                  <w:gridSpan w:val="4"/>
                  <w:noWrap w:val="0"/>
                  <w:vAlign w:val="center"/>
                </w:tcPr>
                <w:p w14:paraId="230947E3">
                  <w:pPr>
                    <w:pStyle w:val="117"/>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rPr>
                    <w:t>距室内边界距离/m</w:t>
                  </w:r>
                </w:p>
              </w:tc>
              <w:tc>
                <w:tcPr>
                  <w:tcW w:w="773" w:type="pct"/>
                  <w:gridSpan w:val="4"/>
                  <w:noWrap w:val="0"/>
                  <w:vAlign w:val="center"/>
                </w:tcPr>
                <w:p w14:paraId="3EB3A34C">
                  <w:pPr>
                    <w:pStyle w:val="117"/>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rPr>
                    <w:t>室内边界声级/dB(A)</w:t>
                  </w:r>
                </w:p>
              </w:tc>
              <w:tc>
                <w:tcPr>
                  <w:tcW w:w="341" w:type="pct"/>
                  <w:vMerge w:val="restart"/>
                  <w:noWrap w:val="0"/>
                  <w:vAlign w:val="center"/>
                </w:tcPr>
                <w:p w14:paraId="6CEF6D37">
                  <w:pPr>
                    <w:pStyle w:val="117"/>
                    <w:rPr>
                      <w:rFonts w:hint="default" w:ascii="Times New Roman" w:hAnsi="Times New Roman" w:eastAsia="宋体" w:cs="Times New Roman"/>
                      <w:color w:val="000000"/>
                      <w:sz w:val="18"/>
                      <w:szCs w:val="18"/>
                    </w:rPr>
                  </w:pPr>
                  <w:r>
                    <w:rPr>
                      <w:rFonts w:hint="default" w:ascii="Times New Roman" w:hAnsi="Times New Roman" w:eastAsia="宋体" w:cs="Times New Roman"/>
                      <w:b/>
                      <w:color w:val="000000"/>
                      <w:sz w:val="18"/>
                      <w:szCs w:val="18"/>
                    </w:rPr>
                    <w:t>运行时段</w:t>
                  </w:r>
                </w:p>
              </w:tc>
              <w:tc>
                <w:tcPr>
                  <w:tcW w:w="708" w:type="pct"/>
                  <w:gridSpan w:val="4"/>
                  <w:noWrap w:val="0"/>
                  <w:vAlign w:val="center"/>
                </w:tcPr>
                <w:p w14:paraId="0F8580FA">
                  <w:pPr>
                    <w:pStyle w:val="117"/>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rPr>
                    <w:t>建筑物插入损失 / dB(A)</w:t>
                  </w:r>
                </w:p>
              </w:tc>
              <w:tc>
                <w:tcPr>
                  <w:tcW w:w="892" w:type="pct"/>
                  <w:gridSpan w:val="5"/>
                  <w:noWrap w:val="0"/>
                  <w:vAlign w:val="center"/>
                </w:tcPr>
                <w:p w14:paraId="0D8AFAEF">
                  <w:pPr>
                    <w:pStyle w:val="117"/>
                    <w:rPr>
                      <w:rFonts w:hint="default" w:ascii="Times New Roman" w:hAnsi="Times New Roman" w:eastAsia="宋体" w:cs="Times New Roman"/>
                      <w:b/>
                      <w:bCs w:val="0"/>
                      <w:color w:val="000000"/>
                      <w:sz w:val="18"/>
                      <w:szCs w:val="18"/>
                    </w:rPr>
                  </w:pPr>
                  <w:r>
                    <w:rPr>
                      <w:rFonts w:hint="default" w:ascii="Times New Roman" w:hAnsi="Times New Roman" w:eastAsia="宋体" w:cs="Times New Roman"/>
                      <w:b/>
                      <w:bCs w:val="0"/>
                      <w:color w:val="000000"/>
                      <w:sz w:val="18"/>
                      <w:szCs w:val="18"/>
                    </w:rPr>
                    <w:t>建筑物外噪声声压级/dB(A)</w:t>
                  </w:r>
                </w:p>
              </w:tc>
            </w:tr>
            <w:tr w14:paraId="3D8E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222" w:type="pct"/>
                  <w:vMerge w:val="continue"/>
                  <w:shd w:val="clear" w:color="auto" w:fill="FFFFFF"/>
                  <w:noWrap w:val="0"/>
                  <w:tcMar>
                    <w:top w:w="0" w:type="dxa"/>
                    <w:left w:w="0" w:type="dxa"/>
                    <w:bottom w:w="0" w:type="dxa"/>
                    <w:right w:w="0" w:type="dxa"/>
                  </w:tcMar>
                  <w:vAlign w:val="center"/>
                </w:tcPr>
                <w:p w14:paraId="5CAB24E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p>
              </w:tc>
              <w:tc>
                <w:tcPr>
                  <w:tcW w:w="248" w:type="pct"/>
                  <w:vMerge w:val="continue"/>
                  <w:shd w:val="clear" w:color="auto" w:fill="FFFFFF"/>
                  <w:noWrap w:val="0"/>
                  <w:tcMar>
                    <w:top w:w="0" w:type="dxa"/>
                    <w:left w:w="0" w:type="dxa"/>
                    <w:bottom w:w="0" w:type="dxa"/>
                    <w:right w:w="0" w:type="dxa"/>
                  </w:tcMar>
                  <w:vAlign w:val="center"/>
                </w:tcPr>
                <w:p w14:paraId="1CC0302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000000"/>
                      <w:sz w:val="18"/>
                      <w:szCs w:val="18"/>
                    </w:rPr>
                  </w:pPr>
                </w:p>
              </w:tc>
              <w:tc>
                <w:tcPr>
                  <w:tcW w:w="250" w:type="pct"/>
                  <w:shd w:val="clear" w:color="auto" w:fill="FFFFFF"/>
                  <w:noWrap w:val="0"/>
                  <w:tcMar>
                    <w:top w:w="0" w:type="dxa"/>
                    <w:left w:w="0" w:type="dxa"/>
                    <w:bottom w:w="0" w:type="dxa"/>
                    <w:right w:w="0" w:type="dxa"/>
                  </w:tcMar>
                  <w:vAlign w:val="center"/>
                </w:tcPr>
                <w:p w14:paraId="4A7A3A4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sz w:val="18"/>
                      <w:szCs w:val="18"/>
                    </w:rPr>
                    <w:t>声功率级/dB</w:t>
                  </w:r>
                </w:p>
              </w:tc>
              <w:tc>
                <w:tcPr>
                  <w:tcW w:w="219" w:type="pct"/>
                  <w:vMerge w:val="continue"/>
                  <w:shd w:val="clear" w:color="auto" w:fill="FFFFFF"/>
                  <w:noWrap w:val="0"/>
                  <w:tcMar>
                    <w:top w:w="0" w:type="dxa"/>
                    <w:left w:w="0" w:type="dxa"/>
                    <w:bottom w:w="0" w:type="dxa"/>
                    <w:right w:w="0" w:type="dxa"/>
                  </w:tcMar>
                  <w:vAlign w:val="center"/>
                </w:tcPr>
                <w:p w14:paraId="2E638C0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p>
              </w:tc>
              <w:tc>
                <w:tcPr>
                  <w:tcW w:w="189" w:type="pct"/>
                  <w:shd w:val="clear" w:color="auto" w:fill="FFFFFF"/>
                  <w:noWrap w:val="0"/>
                  <w:tcMar>
                    <w:top w:w="0" w:type="dxa"/>
                    <w:left w:w="0" w:type="dxa"/>
                    <w:bottom w:w="0" w:type="dxa"/>
                    <w:right w:w="0" w:type="dxa"/>
                  </w:tcMar>
                  <w:vAlign w:val="center"/>
                </w:tcPr>
                <w:p w14:paraId="6CF411A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X</w:t>
                  </w:r>
                </w:p>
              </w:tc>
              <w:tc>
                <w:tcPr>
                  <w:tcW w:w="190" w:type="pct"/>
                  <w:shd w:val="clear" w:color="auto" w:fill="FFFFFF"/>
                  <w:noWrap w:val="0"/>
                  <w:tcMar>
                    <w:top w:w="0" w:type="dxa"/>
                    <w:left w:w="0" w:type="dxa"/>
                    <w:bottom w:w="0" w:type="dxa"/>
                    <w:right w:w="0" w:type="dxa"/>
                  </w:tcMar>
                  <w:vAlign w:val="center"/>
                </w:tcPr>
                <w:p w14:paraId="2358EE8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Y</w:t>
                  </w:r>
                </w:p>
              </w:tc>
              <w:tc>
                <w:tcPr>
                  <w:tcW w:w="195" w:type="pct"/>
                  <w:shd w:val="clear" w:color="auto" w:fill="FFFFFF"/>
                  <w:noWrap w:val="0"/>
                  <w:tcMar>
                    <w:top w:w="0" w:type="dxa"/>
                    <w:left w:w="0" w:type="dxa"/>
                    <w:bottom w:w="0" w:type="dxa"/>
                    <w:right w:w="0" w:type="dxa"/>
                  </w:tcMar>
                  <w:vAlign w:val="center"/>
                </w:tcPr>
                <w:p w14:paraId="1DE85B9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Z</w:t>
                  </w:r>
                </w:p>
              </w:tc>
              <w:tc>
                <w:tcPr>
                  <w:tcW w:w="190" w:type="pct"/>
                  <w:shd w:val="clear" w:color="auto" w:fill="FFFFFF"/>
                  <w:noWrap w:val="0"/>
                  <w:tcMar>
                    <w:top w:w="0" w:type="dxa"/>
                    <w:left w:w="0" w:type="dxa"/>
                    <w:bottom w:w="0" w:type="dxa"/>
                    <w:right w:w="0" w:type="dxa"/>
                  </w:tcMar>
                  <w:vAlign w:val="center"/>
                </w:tcPr>
                <w:p w14:paraId="34E89FD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东</w:t>
                  </w:r>
                </w:p>
              </w:tc>
              <w:tc>
                <w:tcPr>
                  <w:tcW w:w="190" w:type="pct"/>
                  <w:shd w:val="clear" w:color="auto" w:fill="FFFFFF"/>
                  <w:noWrap w:val="0"/>
                  <w:tcMar>
                    <w:top w:w="0" w:type="dxa"/>
                    <w:left w:w="0" w:type="dxa"/>
                    <w:bottom w:w="0" w:type="dxa"/>
                    <w:right w:w="0" w:type="dxa"/>
                  </w:tcMar>
                  <w:vAlign w:val="center"/>
                </w:tcPr>
                <w:p w14:paraId="71AE6F3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南</w:t>
                  </w:r>
                </w:p>
              </w:tc>
              <w:tc>
                <w:tcPr>
                  <w:tcW w:w="190" w:type="pct"/>
                  <w:shd w:val="clear" w:color="auto" w:fill="FFFFFF"/>
                  <w:noWrap w:val="0"/>
                  <w:tcMar>
                    <w:top w:w="0" w:type="dxa"/>
                    <w:left w:w="0" w:type="dxa"/>
                    <w:bottom w:w="0" w:type="dxa"/>
                    <w:right w:w="0" w:type="dxa"/>
                  </w:tcMar>
                  <w:vAlign w:val="center"/>
                </w:tcPr>
                <w:p w14:paraId="7712D7B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西</w:t>
                  </w:r>
                </w:p>
              </w:tc>
              <w:tc>
                <w:tcPr>
                  <w:tcW w:w="195" w:type="pct"/>
                  <w:shd w:val="clear" w:color="auto" w:fill="FFFFFF"/>
                  <w:noWrap w:val="0"/>
                  <w:tcMar>
                    <w:top w:w="0" w:type="dxa"/>
                    <w:left w:w="0" w:type="dxa"/>
                    <w:bottom w:w="0" w:type="dxa"/>
                    <w:right w:w="0" w:type="dxa"/>
                  </w:tcMar>
                  <w:vAlign w:val="center"/>
                </w:tcPr>
                <w:p w14:paraId="6A845B4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北</w:t>
                  </w:r>
                </w:p>
              </w:tc>
              <w:tc>
                <w:tcPr>
                  <w:tcW w:w="190" w:type="pct"/>
                  <w:shd w:val="clear" w:color="auto" w:fill="FFFFFF"/>
                  <w:noWrap w:val="0"/>
                  <w:tcMar>
                    <w:top w:w="0" w:type="dxa"/>
                    <w:left w:w="0" w:type="dxa"/>
                    <w:bottom w:w="0" w:type="dxa"/>
                    <w:right w:w="0" w:type="dxa"/>
                  </w:tcMar>
                  <w:vAlign w:val="center"/>
                </w:tcPr>
                <w:p w14:paraId="69FDA5A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东</w:t>
                  </w:r>
                </w:p>
              </w:tc>
              <w:tc>
                <w:tcPr>
                  <w:tcW w:w="190" w:type="pct"/>
                  <w:shd w:val="clear" w:color="auto" w:fill="FFFFFF"/>
                  <w:noWrap w:val="0"/>
                  <w:tcMar>
                    <w:top w:w="0" w:type="dxa"/>
                    <w:left w:w="0" w:type="dxa"/>
                    <w:bottom w:w="0" w:type="dxa"/>
                    <w:right w:w="0" w:type="dxa"/>
                  </w:tcMar>
                  <w:vAlign w:val="center"/>
                </w:tcPr>
                <w:p w14:paraId="428D78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南</w:t>
                  </w:r>
                </w:p>
              </w:tc>
              <w:tc>
                <w:tcPr>
                  <w:tcW w:w="190" w:type="pct"/>
                  <w:shd w:val="clear" w:color="auto" w:fill="FFFFFF"/>
                  <w:noWrap w:val="0"/>
                  <w:tcMar>
                    <w:top w:w="0" w:type="dxa"/>
                    <w:left w:w="0" w:type="dxa"/>
                    <w:bottom w:w="0" w:type="dxa"/>
                    <w:right w:w="0" w:type="dxa"/>
                  </w:tcMar>
                  <w:vAlign w:val="center"/>
                </w:tcPr>
                <w:p w14:paraId="7EA53A9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西</w:t>
                  </w:r>
                </w:p>
              </w:tc>
              <w:tc>
                <w:tcPr>
                  <w:tcW w:w="200" w:type="pct"/>
                  <w:shd w:val="clear" w:color="auto" w:fill="FFFFFF"/>
                  <w:noWrap w:val="0"/>
                  <w:tcMar>
                    <w:top w:w="0" w:type="dxa"/>
                    <w:left w:w="0" w:type="dxa"/>
                    <w:bottom w:w="0" w:type="dxa"/>
                    <w:right w:w="0" w:type="dxa"/>
                  </w:tcMar>
                  <w:vAlign w:val="center"/>
                </w:tcPr>
                <w:p w14:paraId="6DB7AC5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北</w:t>
                  </w:r>
                </w:p>
              </w:tc>
              <w:tc>
                <w:tcPr>
                  <w:tcW w:w="341" w:type="pct"/>
                  <w:vMerge w:val="continue"/>
                  <w:shd w:val="clear" w:color="auto" w:fill="FFFFFF"/>
                  <w:noWrap w:val="0"/>
                  <w:tcMar>
                    <w:top w:w="0" w:type="dxa"/>
                    <w:left w:w="0" w:type="dxa"/>
                    <w:bottom w:w="0" w:type="dxa"/>
                    <w:right w:w="0" w:type="dxa"/>
                  </w:tcMar>
                  <w:vAlign w:val="center"/>
                </w:tcPr>
                <w:p w14:paraId="7345424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p>
              </w:tc>
              <w:tc>
                <w:tcPr>
                  <w:tcW w:w="175" w:type="pct"/>
                  <w:shd w:val="clear" w:color="auto" w:fill="FFFFFF"/>
                  <w:noWrap w:val="0"/>
                  <w:tcMar>
                    <w:top w:w="0" w:type="dxa"/>
                    <w:left w:w="0" w:type="dxa"/>
                    <w:bottom w:w="0" w:type="dxa"/>
                    <w:right w:w="0" w:type="dxa"/>
                  </w:tcMar>
                  <w:vAlign w:val="center"/>
                </w:tcPr>
                <w:p w14:paraId="5E6CE1B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东</w:t>
                  </w:r>
                </w:p>
              </w:tc>
              <w:tc>
                <w:tcPr>
                  <w:tcW w:w="175" w:type="pct"/>
                  <w:shd w:val="clear" w:color="auto" w:fill="FFFFFF"/>
                  <w:noWrap w:val="0"/>
                  <w:tcMar>
                    <w:top w:w="0" w:type="dxa"/>
                    <w:left w:w="0" w:type="dxa"/>
                    <w:bottom w:w="0" w:type="dxa"/>
                    <w:right w:w="0" w:type="dxa"/>
                  </w:tcMar>
                  <w:vAlign w:val="center"/>
                </w:tcPr>
                <w:p w14:paraId="2575471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南</w:t>
                  </w:r>
                </w:p>
              </w:tc>
              <w:tc>
                <w:tcPr>
                  <w:tcW w:w="175" w:type="pct"/>
                  <w:shd w:val="clear" w:color="auto" w:fill="FFFFFF"/>
                  <w:noWrap w:val="0"/>
                  <w:tcMar>
                    <w:top w:w="0" w:type="dxa"/>
                    <w:left w:w="0" w:type="dxa"/>
                    <w:bottom w:w="0" w:type="dxa"/>
                    <w:right w:w="0" w:type="dxa"/>
                  </w:tcMar>
                  <w:vAlign w:val="center"/>
                </w:tcPr>
                <w:p w14:paraId="65012C9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西</w:t>
                  </w:r>
                </w:p>
              </w:tc>
              <w:tc>
                <w:tcPr>
                  <w:tcW w:w="182" w:type="pct"/>
                  <w:shd w:val="clear" w:color="auto" w:fill="FFFFFF"/>
                  <w:noWrap w:val="0"/>
                  <w:tcMar>
                    <w:top w:w="0" w:type="dxa"/>
                    <w:left w:w="0" w:type="dxa"/>
                    <w:bottom w:w="0" w:type="dxa"/>
                    <w:right w:w="0" w:type="dxa"/>
                  </w:tcMar>
                  <w:vAlign w:val="center"/>
                </w:tcPr>
                <w:p w14:paraId="0C2BFBD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北</w:t>
                  </w:r>
                </w:p>
              </w:tc>
              <w:tc>
                <w:tcPr>
                  <w:tcW w:w="175" w:type="pct"/>
                  <w:shd w:val="clear" w:color="auto" w:fill="FFFFFF"/>
                  <w:noWrap w:val="0"/>
                  <w:tcMar>
                    <w:top w:w="0" w:type="dxa"/>
                    <w:left w:w="0" w:type="dxa"/>
                    <w:bottom w:w="0" w:type="dxa"/>
                    <w:right w:w="0" w:type="dxa"/>
                  </w:tcMar>
                  <w:vAlign w:val="center"/>
                </w:tcPr>
                <w:p w14:paraId="0116571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东</w:t>
                  </w:r>
                </w:p>
              </w:tc>
              <w:tc>
                <w:tcPr>
                  <w:tcW w:w="175" w:type="pct"/>
                  <w:shd w:val="clear" w:color="auto" w:fill="FFFFFF"/>
                  <w:noWrap w:val="0"/>
                  <w:tcMar>
                    <w:top w:w="0" w:type="dxa"/>
                    <w:left w:w="0" w:type="dxa"/>
                    <w:bottom w:w="0" w:type="dxa"/>
                    <w:right w:w="0" w:type="dxa"/>
                  </w:tcMar>
                  <w:vAlign w:val="center"/>
                </w:tcPr>
                <w:p w14:paraId="0B0E026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南</w:t>
                  </w:r>
                </w:p>
              </w:tc>
              <w:tc>
                <w:tcPr>
                  <w:tcW w:w="175" w:type="pct"/>
                  <w:shd w:val="clear" w:color="auto" w:fill="FFFFFF"/>
                  <w:noWrap w:val="0"/>
                  <w:tcMar>
                    <w:top w:w="0" w:type="dxa"/>
                    <w:left w:w="0" w:type="dxa"/>
                    <w:bottom w:w="0" w:type="dxa"/>
                    <w:right w:w="0" w:type="dxa"/>
                  </w:tcMar>
                  <w:vAlign w:val="center"/>
                </w:tcPr>
                <w:p w14:paraId="18321C1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西</w:t>
                  </w:r>
                </w:p>
              </w:tc>
              <w:tc>
                <w:tcPr>
                  <w:tcW w:w="175" w:type="pct"/>
                  <w:shd w:val="clear" w:color="auto" w:fill="FFFFFF"/>
                  <w:noWrap w:val="0"/>
                  <w:tcMar>
                    <w:top w:w="0" w:type="dxa"/>
                    <w:left w:w="0" w:type="dxa"/>
                    <w:bottom w:w="0" w:type="dxa"/>
                    <w:right w:w="0" w:type="dxa"/>
                  </w:tcMar>
                  <w:vAlign w:val="center"/>
                </w:tcPr>
                <w:p w14:paraId="3429419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北</w:t>
                  </w:r>
                </w:p>
              </w:tc>
              <w:tc>
                <w:tcPr>
                  <w:tcW w:w="190" w:type="pct"/>
                  <w:shd w:val="clear" w:color="auto" w:fill="FFFFFF"/>
                  <w:noWrap w:val="0"/>
                  <w:tcMar>
                    <w:top w:w="0" w:type="dxa"/>
                    <w:left w:w="0" w:type="dxa"/>
                    <w:bottom w:w="0" w:type="dxa"/>
                    <w:right w:w="0" w:type="dxa"/>
                  </w:tcMar>
                  <w:vAlign w:val="center"/>
                </w:tcPr>
                <w:p w14:paraId="5EC19BE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建筑物外距离</w:t>
                  </w:r>
                </w:p>
              </w:tc>
            </w:tr>
            <w:tr w14:paraId="0283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222" w:type="pct"/>
                  <w:vMerge w:val="restart"/>
                  <w:shd w:val="clear" w:color="auto" w:fill="FFFFFF"/>
                  <w:noWrap w:val="0"/>
                  <w:tcMar>
                    <w:top w:w="0" w:type="dxa"/>
                    <w:left w:w="0" w:type="dxa"/>
                    <w:bottom w:w="0" w:type="dxa"/>
                    <w:right w:w="0" w:type="dxa"/>
                  </w:tcMar>
                  <w:vAlign w:val="center"/>
                </w:tcPr>
                <w:p w14:paraId="49BF80F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lang w:val="en-US" w:eastAsia="zh-CN"/>
                    </w:rPr>
                  </w:pPr>
                  <w:r>
                    <w:rPr>
                      <w:rFonts w:hint="eastAsia" w:ascii="Times New Roman" w:hAnsi="Times New Roman" w:cs="Times New Roman"/>
                      <w:color w:val="000000"/>
                      <w:sz w:val="18"/>
                      <w:szCs w:val="18"/>
                      <w:lang w:val="en-US" w:eastAsia="zh-CN"/>
                    </w:rPr>
                    <w:t>生产厂房</w:t>
                  </w:r>
                </w:p>
              </w:tc>
              <w:tc>
                <w:tcPr>
                  <w:tcW w:w="248" w:type="pct"/>
                  <w:shd w:val="clear" w:color="auto" w:fill="FFFFFF"/>
                  <w:noWrap w:val="0"/>
                  <w:tcMar>
                    <w:top w:w="0" w:type="dxa"/>
                    <w:left w:w="0" w:type="dxa"/>
                    <w:bottom w:w="0" w:type="dxa"/>
                    <w:right w:w="0" w:type="dxa"/>
                  </w:tcMar>
                  <w:vAlign w:val="center"/>
                </w:tcPr>
                <w:p w14:paraId="2C8B98D2">
                  <w:pPr>
                    <w:jc w:val="center"/>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干燥机</w:t>
                  </w:r>
                </w:p>
              </w:tc>
              <w:tc>
                <w:tcPr>
                  <w:tcW w:w="250" w:type="pct"/>
                  <w:shd w:val="clear" w:color="auto" w:fill="FFFFFF"/>
                  <w:noWrap w:val="0"/>
                  <w:tcMar>
                    <w:top w:w="0" w:type="dxa"/>
                    <w:left w:w="0" w:type="dxa"/>
                    <w:bottom w:w="0" w:type="dxa"/>
                    <w:right w:w="0" w:type="dxa"/>
                  </w:tcMar>
                  <w:vAlign w:val="center"/>
                </w:tcPr>
                <w:p w14:paraId="435FEC3F">
                  <w:pPr>
                    <w:keepNext w:val="0"/>
                    <w:keepLines w:val="0"/>
                    <w:pageBreakBefore w:val="0"/>
                    <w:widowControl w:val="0"/>
                    <w:kinsoku/>
                    <w:wordWrap/>
                    <w:topLinePunct w:val="0"/>
                    <w:bidi w:val="0"/>
                    <w:jc w:val="center"/>
                    <w:textAlignment w:val="auto"/>
                    <w:rPr>
                      <w:rFonts w:hint="default" w:ascii="Times New Roman" w:hAnsi="Times New Roman" w:cs="Times New Roman"/>
                      <w:color w:val="000000"/>
                      <w:kern w:val="2"/>
                      <w:sz w:val="18"/>
                      <w:szCs w:val="18"/>
                      <w:lang w:val="en-US" w:eastAsia="zh-CN" w:bidi="ar-SA"/>
                    </w:rPr>
                  </w:pPr>
                  <w:r>
                    <w:rPr>
                      <w:rFonts w:hint="eastAsia" w:cs="Times New Roman"/>
                      <w:color w:val="000000"/>
                      <w:kern w:val="2"/>
                      <w:sz w:val="18"/>
                      <w:szCs w:val="18"/>
                      <w:lang w:val="en-US" w:eastAsia="zh-CN" w:bidi="ar-SA"/>
                    </w:rPr>
                    <w:t>80</w:t>
                  </w:r>
                </w:p>
              </w:tc>
              <w:tc>
                <w:tcPr>
                  <w:tcW w:w="219" w:type="pct"/>
                  <w:vMerge w:val="restart"/>
                  <w:shd w:val="clear" w:color="auto" w:fill="FFFFFF"/>
                  <w:noWrap w:val="0"/>
                  <w:tcMar>
                    <w:top w:w="0" w:type="dxa"/>
                    <w:left w:w="0" w:type="dxa"/>
                    <w:bottom w:w="0" w:type="dxa"/>
                    <w:right w:w="0" w:type="dxa"/>
                  </w:tcMar>
                  <w:vAlign w:val="center"/>
                </w:tcPr>
                <w:p w14:paraId="7AE3B38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 w:val="18"/>
                      <w:szCs w:val="18"/>
                      <w:lang w:eastAsia="zh-CN"/>
                    </w:rPr>
                  </w:pPr>
                  <w:r>
                    <w:rPr>
                      <w:rFonts w:hint="eastAsia" w:ascii="Times New Roman" w:hAnsi="Times New Roman" w:cs="Times New Roman"/>
                      <w:color w:val="000000"/>
                      <w:sz w:val="18"/>
                      <w:szCs w:val="18"/>
                      <w:lang w:eastAsia="zh-CN"/>
                    </w:rPr>
                    <w:t>车间隔声</w:t>
                  </w:r>
                </w:p>
              </w:tc>
              <w:tc>
                <w:tcPr>
                  <w:tcW w:w="189" w:type="pct"/>
                  <w:shd w:val="clear" w:color="auto" w:fill="FFFFFF"/>
                  <w:noWrap w:val="0"/>
                  <w:tcMar>
                    <w:top w:w="0" w:type="dxa"/>
                    <w:left w:w="0" w:type="dxa"/>
                    <w:bottom w:w="0" w:type="dxa"/>
                    <w:right w:w="0" w:type="dxa"/>
                  </w:tcMar>
                  <w:vAlign w:val="center"/>
                </w:tcPr>
                <w:p w14:paraId="17543521">
                  <w:pPr>
                    <w:jc w:val="center"/>
                    <w:rPr>
                      <w:rFonts w:hint="default"/>
                      <w:color w:val="auto"/>
                      <w:spacing w:val="8"/>
                      <w:kern w:val="2"/>
                      <w:sz w:val="18"/>
                      <w:szCs w:val="18"/>
                      <w:lang w:val="en-US" w:eastAsia="zh-CN" w:bidi="ar-SA"/>
                    </w:rPr>
                  </w:pPr>
                  <w:r>
                    <w:rPr>
                      <w:rFonts w:hint="eastAsia"/>
                      <w:color w:val="auto"/>
                      <w:spacing w:val="8"/>
                      <w:kern w:val="2"/>
                      <w:sz w:val="18"/>
                      <w:szCs w:val="18"/>
                      <w:lang w:val="en-US" w:eastAsia="zh-CN" w:bidi="ar-SA"/>
                    </w:rPr>
                    <w:t>95</w:t>
                  </w:r>
                </w:p>
              </w:tc>
              <w:tc>
                <w:tcPr>
                  <w:tcW w:w="190" w:type="pct"/>
                  <w:shd w:val="clear" w:color="auto" w:fill="FFFFFF"/>
                  <w:noWrap w:val="0"/>
                  <w:tcMar>
                    <w:top w:w="0" w:type="dxa"/>
                    <w:left w:w="0" w:type="dxa"/>
                    <w:bottom w:w="0" w:type="dxa"/>
                    <w:right w:w="0" w:type="dxa"/>
                  </w:tcMar>
                  <w:vAlign w:val="center"/>
                </w:tcPr>
                <w:p w14:paraId="2D482CB4">
                  <w:pPr>
                    <w:jc w:val="center"/>
                    <w:rPr>
                      <w:rFonts w:hint="default" w:eastAsia="宋体"/>
                      <w:color w:val="auto"/>
                      <w:spacing w:val="8"/>
                      <w:kern w:val="2"/>
                      <w:sz w:val="18"/>
                      <w:szCs w:val="18"/>
                      <w:lang w:val="en-US" w:eastAsia="zh-CN" w:bidi="ar-SA"/>
                    </w:rPr>
                  </w:pPr>
                  <w:r>
                    <w:rPr>
                      <w:rFonts w:hint="eastAsia"/>
                      <w:color w:val="auto"/>
                      <w:spacing w:val="8"/>
                      <w:kern w:val="2"/>
                      <w:sz w:val="18"/>
                      <w:szCs w:val="18"/>
                      <w:lang w:val="en-US" w:eastAsia="zh-CN" w:bidi="ar-SA"/>
                    </w:rPr>
                    <w:t>-11</w:t>
                  </w:r>
                </w:p>
              </w:tc>
              <w:tc>
                <w:tcPr>
                  <w:tcW w:w="195" w:type="pct"/>
                  <w:shd w:val="clear" w:color="auto" w:fill="FFFFFF"/>
                  <w:noWrap w:val="0"/>
                  <w:tcMar>
                    <w:top w:w="0" w:type="dxa"/>
                    <w:left w:w="0" w:type="dxa"/>
                    <w:bottom w:w="0" w:type="dxa"/>
                    <w:right w:w="0" w:type="dxa"/>
                  </w:tcMar>
                  <w:vAlign w:val="center"/>
                </w:tcPr>
                <w:p w14:paraId="4175EBD2">
                  <w:pPr>
                    <w:jc w:val="center"/>
                    <w:rPr>
                      <w:rFonts w:hint="default" w:eastAsia="宋体"/>
                      <w:color w:val="auto"/>
                      <w:spacing w:val="8"/>
                      <w:kern w:val="2"/>
                      <w:sz w:val="18"/>
                      <w:szCs w:val="18"/>
                      <w:lang w:val="en-US" w:eastAsia="zh-CN" w:bidi="ar-SA"/>
                    </w:rPr>
                  </w:pPr>
                  <w:r>
                    <w:rPr>
                      <w:rFonts w:hint="eastAsia"/>
                      <w:color w:val="auto"/>
                      <w:spacing w:val="8"/>
                      <w:kern w:val="2"/>
                      <w:sz w:val="18"/>
                      <w:szCs w:val="18"/>
                      <w:lang w:val="en-US" w:eastAsia="zh-CN" w:bidi="ar-SA"/>
                    </w:rPr>
                    <w:t>1.2</w:t>
                  </w:r>
                </w:p>
              </w:tc>
              <w:tc>
                <w:tcPr>
                  <w:tcW w:w="190" w:type="pct"/>
                  <w:shd w:val="clear" w:color="auto" w:fill="FFFFFF"/>
                  <w:noWrap w:val="0"/>
                  <w:tcMar>
                    <w:top w:w="0" w:type="dxa"/>
                    <w:left w:w="0" w:type="dxa"/>
                    <w:bottom w:w="0" w:type="dxa"/>
                    <w:right w:w="0" w:type="dxa"/>
                  </w:tcMar>
                  <w:vAlign w:val="center"/>
                </w:tcPr>
                <w:p w14:paraId="5925BC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9</w:t>
                  </w:r>
                </w:p>
              </w:tc>
              <w:tc>
                <w:tcPr>
                  <w:tcW w:w="190" w:type="pct"/>
                  <w:shd w:val="clear" w:color="auto" w:fill="FFFFFF"/>
                  <w:noWrap w:val="0"/>
                  <w:tcMar>
                    <w:top w:w="0" w:type="dxa"/>
                    <w:left w:w="0" w:type="dxa"/>
                    <w:bottom w:w="0" w:type="dxa"/>
                    <w:right w:w="0" w:type="dxa"/>
                  </w:tcMar>
                  <w:vAlign w:val="center"/>
                </w:tcPr>
                <w:p w14:paraId="108E393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13</w:t>
                  </w:r>
                </w:p>
              </w:tc>
              <w:tc>
                <w:tcPr>
                  <w:tcW w:w="190" w:type="pct"/>
                  <w:shd w:val="clear" w:color="auto" w:fill="FFFFFF"/>
                  <w:noWrap w:val="0"/>
                  <w:tcMar>
                    <w:top w:w="0" w:type="dxa"/>
                    <w:left w:w="0" w:type="dxa"/>
                    <w:bottom w:w="0" w:type="dxa"/>
                    <w:right w:w="0" w:type="dxa"/>
                  </w:tcMar>
                  <w:vAlign w:val="center"/>
                </w:tcPr>
                <w:p w14:paraId="05F93C1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53</w:t>
                  </w:r>
                </w:p>
              </w:tc>
              <w:tc>
                <w:tcPr>
                  <w:tcW w:w="195" w:type="pct"/>
                  <w:shd w:val="clear" w:color="auto" w:fill="FFFFFF"/>
                  <w:noWrap w:val="0"/>
                  <w:tcMar>
                    <w:top w:w="0" w:type="dxa"/>
                    <w:left w:w="0" w:type="dxa"/>
                    <w:bottom w:w="0" w:type="dxa"/>
                    <w:right w:w="0" w:type="dxa"/>
                  </w:tcMar>
                  <w:vAlign w:val="center"/>
                </w:tcPr>
                <w:p w14:paraId="34D9EAA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11</w:t>
                  </w:r>
                </w:p>
              </w:tc>
              <w:tc>
                <w:tcPr>
                  <w:tcW w:w="190" w:type="pct"/>
                  <w:shd w:val="clear" w:color="auto" w:fill="FFFFFF"/>
                  <w:noWrap w:val="0"/>
                  <w:tcMar>
                    <w:top w:w="0" w:type="dxa"/>
                    <w:left w:w="0" w:type="dxa"/>
                    <w:bottom w:w="0" w:type="dxa"/>
                    <w:right w:w="0" w:type="dxa"/>
                  </w:tcMar>
                  <w:vAlign w:val="center"/>
                </w:tcPr>
                <w:p w14:paraId="16E7CC4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eastAsia" w:cs="Times New Roman"/>
                      <w:color w:val="000000"/>
                      <w:sz w:val="18"/>
                      <w:szCs w:val="18"/>
                      <w:u w:val="none"/>
                      <w:lang w:val="en-US" w:eastAsia="zh-CN"/>
                    </w:rPr>
                    <w:t>61</w:t>
                  </w:r>
                </w:p>
              </w:tc>
              <w:tc>
                <w:tcPr>
                  <w:tcW w:w="190" w:type="pct"/>
                  <w:shd w:val="clear" w:color="auto" w:fill="FFFFFF"/>
                  <w:noWrap w:val="0"/>
                  <w:tcMar>
                    <w:top w:w="0" w:type="dxa"/>
                    <w:left w:w="0" w:type="dxa"/>
                    <w:bottom w:w="0" w:type="dxa"/>
                    <w:right w:w="0" w:type="dxa"/>
                  </w:tcMar>
                  <w:vAlign w:val="center"/>
                </w:tcPr>
                <w:p w14:paraId="22B2E14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sz w:val="18"/>
                      <w:szCs w:val="18"/>
                      <w:u w:val="none"/>
                      <w:lang w:val="en-US" w:eastAsia="zh-CN"/>
                    </w:rPr>
                  </w:pPr>
                  <w:r>
                    <w:rPr>
                      <w:rFonts w:hint="eastAsia" w:cs="Times New Roman"/>
                      <w:color w:val="000000"/>
                      <w:sz w:val="18"/>
                      <w:szCs w:val="18"/>
                      <w:u w:val="none"/>
                      <w:lang w:val="en-US" w:eastAsia="zh-CN"/>
                    </w:rPr>
                    <w:t>58</w:t>
                  </w:r>
                </w:p>
              </w:tc>
              <w:tc>
                <w:tcPr>
                  <w:tcW w:w="190" w:type="pct"/>
                  <w:shd w:val="clear" w:color="auto" w:fill="FFFFFF"/>
                  <w:noWrap w:val="0"/>
                  <w:tcMar>
                    <w:top w:w="0" w:type="dxa"/>
                    <w:left w:w="0" w:type="dxa"/>
                    <w:bottom w:w="0" w:type="dxa"/>
                    <w:right w:w="0" w:type="dxa"/>
                  </w:tcMar>
                  <w:vAlign w:val="center"/>
                </w:tcPr>
                <w:p w14:paraId="61A78FC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eastAsia" w:cs="Times New Roman"/>
                      <w:color w:val="000000"/>
                      <w:kern w:val="2"/>
                      <w:sz w:val="18"/>
                      <w:szCs w:val="18"/>
                      <w:u w:val="none"/>
                      <w:lang w:val="en-US" w:eastAsia="zh-CN" w:bidi="ar-SA"/>
                    </w:rPr>
                    <w:t>46</w:t>
                  </w:r>
                </w:p>
              </w:tc>
              <w:tc>
                <w:tcPr>
                  <w:tcW w:w="200" w:type="pct"/>
                  <w:shd w:val="clear" w:color="auto" w:fill="FFFFFF"/>
                  <w:noWrap w:val="0"/>
                  <w:tcMar>
                    <w:top w:w="0" w:type="dxa"/>
                    <w:left w:w="0" w:type="dxa"/>
                    <w:bottom w:w="0" w:type="dxa"/>
                    <w:right w:w="0" w:type="dxa"/>
                  </w:tcMar>
                  <w:vAlign w:val="center"/>
                </w:tcPr>
                <w:p w14:paraId="20E5CD6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eastAsia" w:cs="Times New Roman"/>
                      <w:color w:val="000000"/>
                      <w:kern w:val="2"/>
                      <w:sz w:val="18"/>
                      <w:szCs w:val="18"/>
                      <w:u w:val="none"/>
                      <w:lang w:val="en-US" w:eastAsia="zh-CN" w:bidi="ar-SA"/>
                    </w:rPr>
                    <w:t>59</w:t>
                  </w:r>
                </w:p>
              </w:tc>
              <w:tc>
                <w:tcPr>
                  <w:tcW w:w="341" w:type="pct"/>
                  <w:vMerge w:val="restart"/>
                  <w:shd w:val="clear" w:color="auto" w:fill="FFFFFF"/>
                  <w:noWrap w:val="0"/>
                  <w:tcMar>
                    <w:top w:w="0" w:type="dxa"/>
                    <w:left w:w="0" w:type="dxa"/>
                    <w:bottom w:w="0" w:type="dxa"/>
                    <w:right w:w="0" w:type="dxa"/>
                  </w:tcMar>
                  <w:vAlign w:val="center"/>
                </w:tcPr>
                <w:p w14:paraId="4BD4BB1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8:00</w:t>
                  </w:r>
                  <w:r>
                    <w:rPr>
                      <w:rFonts w:hint="eastAsia" w:ascii="Times New Roman" w:hAnsi="Times New Roman" w:cs="Times New Roman"/>
                      <w:color w:val="000000"/>
                      <w:sz w:val="18"/>
                      <w:szCs w:val="18"/>
                      <w:lang w:val="en-US" w:eastAsia="zh-CN"/>
                    </w:rPr>
                    <w:t>~</w:t>
                  </w:r>
                </w:p>
                <w:p w14:paraId="6574F21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lang w:val="en-US" w:eastAsia="zh-CN"/>
                    </w:rPr>
                  </w:pPr>
                  <w:r>
                    <w:rPr>
                      <w:rFonts w:hint="eastAsia" w:ascii="Times New Roman" w:hAnsi="Times New Roman" w:eastAsia="宋体" w:cs="Times New Roman"/>
                      <w:color w:val="000000"/>
                      <w:sz w:val="18"/>
                      <w:szCs w:val="18"/>
                      <w:lang w:val="en-US" w:eastAsia="zh-CN"/>
                    </w:rPr>
                    <w:t>18:00</w:t>
                  </w:r>
                </w:p>
              </w:tc>
              <w:tc>
                <w:tcPr>
                  <w:tcW w:w="175" w:type="pct"/>
                  <w:shd w:val="clear" w:color="auto" w:fill="FFFFFF"/>
                  <w:noWrap w:val="0"/>
                  <w:tcMar>
                    <w:top w:w="0" w:type="dxa"/>
                    <w:left w:w="0" w:type="dxa"/>
                    <w:bottom w:w="0" w:type="dxa"/>
                    <w:right w:w="0" w:type="dxa"/>
                  </w:tcMar>
                  <w:vAlign w:val="center"/>
                </w:tcPr>
                <w:p w14:paraId="01CAC78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lang w:val="en-US" w:eastAsia="zh-CN"/>
                    </w:rPr>
                  </w:pPr>
                  <w:r>
                    <w:rPr>
                      <w:rFonts w:hint="eastAsia" w:ascii="Times New Roman" w:hAnsi="Times New Roman" w:cs="Times New Roman"/>
                      <w:color w:val="000000"/>
                      <w:sz w:val="18"/>
                      <w:szCs w:val="18"/>
                      <w:lang w:val="en-US" w:eastAsia="zh-CN"/>
                    </w:rPr>
                    <w:t>15</w:t>
                  </w:r>
                </w:p>
              </w:tc>
              <w:tc>
                <w:tcPr>
                  <w:tcW w:w="175" w:type="pct"/>
                  <w:shd w:val="clear" w:color="auto" w:fill="FFFFFF"/>
                  <w:noWrap w:val="0"/>
                  <w:tcMar>
                    <w:top w:w="0" w:type="dxa"/>
                    <w:left w:w="0" w:type="dxa"/>
                    <w:bottom w:w="0" w:type="dxa"/>
                    <w:right w:w="0" w:type="dxa"/>
                  </w:tcMar>
                  <w:vAlign w:val="center"/>
                </w:tcPr>
                <w:p w14:paraId="0F737A5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sz w:val="18"/>
                      <w:szCs w:val="18"/>
                    </w:rPr>
                  </w:pPr>
                  <w:r>
                    <w:rPr>
                      <w:rFonts w:hint="eastAsia" w:ascii="Times New Roman" w:hAnsi="Times New Roman" w:cs="Times New Roman"/>
                      <w:color w:val="000000"/>
                      <w:sz w:val="18"/>
                      <w:szCs w:val="18"/>
                      <w:lang w:val="en-US" w:eastAsia="zh-CN"/>
                    </w:rPr>
                    <w:t>15</w:t>
                  </w:r>
                </w:p>
              </w:tc>
              <w:tc>
                <w:tcPr>
                  <w:tcW w:w="175" w:type="pct"/>
                  <w:shd w:val="clear" w:color="auto" w:fill="FFFFFF"/>
                  <w:noWrap w:val="0"/>
                  <w:tcMar>
                    <w:top w:w="0" w:type="dxa"/>
                    <w:left w:w="0" w:type="dxa"/>
                    <w:bottom w:w="0" w:type="dxa"/>
                    <w:right w:w="0" w:type="dxa"/>
                  </w:tcMar>
                  <w:vAlign w:val="center"/>
                </w:tcPr>
                <w:p w14:paraId="02A8143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sz w:val="18"/>
                      <w:szCs w:val="18"/>
                    </w:rPr>
                  </w:pPr>
                  <w:r>
                    <w:rPr>
                      <w:rFonts w:hint="eastAsia" w:ascii="Times New Roman" w:hAnsi="Times New Roman" w:cs="Times New Roman"/>
                      <w:color w:val="000000"/>
                      <w:sz w:val="18"/>
                      <w:szCs w:val="18"/>
                      <w:lang w:val="en-US" w:eastAsia="zh-CN"/>
                    </w:rPr>
                    <w:t>15</w:t>
                  </w:r>
                </w:p>
              </w:tc>
              <w:tc>
                <w:tcPr>
                  <w:tcW w:w="182" w:type="pct"/>
                  <w:shd w:val="clear" w:color="auto" w:fill="FFFFFF"/>
                  <w:noWrap w:val="0"/>
                  <w:tcMar>
                    <w:top w:w="0" w:type="dxa"/>
                    <w:left w:w="0" w:type="dxa"/>
                    <w:bottom w:w="0" w:type="dxa"/>
                    <w:right w:w="0" w:type="dxa"/>
                  </w:tcMar>
                  <w:vAlign w:val="center"/>
                </w:tcPr>
                <w:p w14:paraId="77A9F5B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sz w:val="18"/>
                      <w:szCs w:val="18"/>
                    </w:rPr>
                  </w:pPr>
                  <w:r>
                    <w:rPr>
                      <w:rFonts w:hint="eastAsia" w:ascii="Times New Roman" w:hAnsi="Times New Roman" w:cs="Times New Roman"/>
                      <w:color w:val="000000"/>
                      <w:sz w:val="18"/>
                      <w:szCs w:val="18"/>
                      <w:lang w:val="en-US" w:eastAsia="zh-CN"/>
                    </w:rPr>
                    <w:t>15</w:t>
                  </w:r>
                </w:p>
              </w:tc>
              <w:tc>
                <w:tcPr>
                  <w:tcW w:w="175" w:type="pct"/>
                  <w:shd w:val="clear" w:color="auto" w:fill="FFFFFF"/>
                  <w:noWrap w:val="0"/>
                  <w:tcMar>
                    <w:top w:w="0" w:type="dxa"/>
                    <w:left w:w="0" w:type="dxa"/>
                    <w:bottom w:w="0" w:type="dxa"/>
                    <w:right w:w="0" w:type="dxa"/>
                  </w:tcMar>
                  <w:vAlign w:val="center"/>
                </w:tcPr>
                <w:p w14:paraId="2751C49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lang w:val="en-US" w:eastAsia="zh-CN"/>
                    </w:rPr>
                  </w:pPr>
                  <w:r>
                    <w:rPr>
                      <w:rFonts w:hint="eastAsia" w:cs="Times New Roman"/>
                      <w:color w:val="000000"/>
                      <w:sz w:val="18"/>
                      <w:szCs w:val="18"/>
                      <w:lang w:val="en-US" w:eastAsia="zh-CN"/>
                    </w:rPr>
                    <w:t>46</w:t>
                  </w:r>
                </w:p>
              </w:tc>
              <w:tc>
                <w:tcPr>
                  <w:tcW w:w="175" w:type="pct"/>
                  <w:shd w:val="clear" w:color="auto" w:fill="FFFFFF"/>
                  <w:noWrap w:val="0"/>
                  <w:tcMar>
                    <w:top w:w="0" w:type="dxa"/>
                    <w:left w:w="0" w:type="dxa"/>
                    <w:bottom w:w="0" w:type="dxa"/>
                    <w:right w:w="0" w:type="dxa"/>
                  </w:tcMar>
                  <w:vAlign w:val="center"/>
                </w:tcPr>
                <w:p w14:paraId="5BD91B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18"/>
                      <w:szCs w:val="18"/>
                      <w:lang w:val="en-US" w:eastAsia="zh-CN"/>
                    </w:rPr>
                  </w:pPr>
                  <w:r>
                    <w:rPr>
                      <w:rFonts w:hint="eastAsia" w:cs="Times New Roman"/>
                      <w:color w:val="000000"/>
                      <w:sz w:val="18"/>
                      <w:szCs w:val="18"/>
                      <w:lang w:val="en-US" w:eastAsia="zh-CN"/>
                    </w:rPr>
                    <w:t>43</w:t>
                  </w:r>
                </w:p>
              </w:tc>
              <w:tc>
                <w:tcPr>
                  <w:tcW w:w="175" w:type="pct"/>
                  <w:shd w:val="clear" w:color="auto" w:fill="FFFFFF"/>
                  <w:noWrap w:val="0"/>
                  <w:tcMar>
                    <w:top w:w="0" w:type="dxa"/>
                    <w:left w:w="0" w:type="dxa"/>
                    <w:bottom w:w="0" w:type="dxa"/>
                    <w:right w:w="0" w:type="dxa"/>
                  </w:tcMar>
                  <w:vAlign w:val="center"/>
                </w:tcPr>
                <w:p w14:paraId="16A4997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31</w:t>
                  </w:r>
                </w:p>
              </w:tc>
              <w:tc>
                <w:tcPr>
                  <w:tcW w:w="175" w:type="pct"/>
                  <w:shd w:val="clear" w:color="auto" w:fill="FFFFFF"/>
                  <w:noWrap w:val="0"/>
                  <w:tcMar>
                    <w:top w:w="0" w:type="dxa"/>
                    <w:left w:w="0" w:type="dxa"/>
                    <w:bottom w:w="0" w:type="dxa"/>
                    <w:right w:w="0" w:type="dxa"/>
                  </w:tcMar>
                  <w:vAlign w:val="center"/>
                </w:tcPr>
                <w:p w14:paraId="0543F17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44</w:t>
                  </w:r>
                </w:p>
              </w:tc>
              <w:tc>
                <w:tcPr>
                  <w:tcW w:w="190" w:type="pct"/>
                  <w:shd w:val="clear" w:color="auto" w:fill="FFFFFF"/>
                  <w:noWrap w:val="0"/>
                  <w:tcMar>
                    <w:top w:w="0" w:type="dxa"/>
                    <w:left w:w="0" w:type="dxa"/>
                    <w:bottom w:w="0" w:type="dxa"/>
                    <w:right w:w="0" w:type="dxa"/>
                  </w:tcMar>
                  <w:vAlign w:val="center"/>
                </w:tcPr>
                <w:p w14:paraId="5A46BAC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sz w:val="18"/>
                      <w:szCs w:val="18"/>
                    </w:rPr>
                  </w:pPr>
                  <w:r>
                    <w:rPr>
                      <w:rFonts w:hint="default" w:ascii="Times New Roman" w:hAnsi="Times New Roman" w:eastAsia="Arial" w:cs="Times New Roman"/>
                      <w:color w:val="000000"/>
                      <w:sz w:val="18"/>
                      <w:szCs w:val="18"/>
                    </w:rPr>
                    <w:t>1</w:t>
                  </w:r>
                </w:p>
              </w:tc>
            </w:tr>
            <w:tr w14:paraId="728E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222" w:type="pct"/>
                  <w:vMerge w:val="continue"/>
                  <w:shd w:val="clear" w:color="auto" w:fill="FFFFFF"/>
                  <w:noWrap w:val="0"/>
                  <w:tcMar>
                    <w:top w:w="0" w:type="dxa"/>
                    <w:left w:w="0" w:type="dxa"/>
                    <w:bottom w:w="0" w:type="dxa"/>
                    <w:right w:w="0" w:type="dxa"/>
                  </w:tcMar>
                  <w:vAlign w:val="center"/>
                </w:tcPr>
                <w:p w14:paraId="0D1E462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 w:val="18"/>
                      <w:szCs w:val="18"/>
                      <w:lang w:eastAsia="zh-CN"/>
                    </w:rPr>
                  </w:pPr>
                </w:p>
              </w:tc>
              <w:tc>
                <w:tcPr>
                  <w:tcW w:w="248" w:type="pct"/>
                  <w:shd w:val="clear" w:color="auto" w:fill="FFFFFF"/>
                  <w:noWrap w:val="0"/>
                  <w:tcMar>
                    <w:top w:w="0" w:type="dxa"/>
                    <w:left w:w="0" w:type="dxa"/>
                    <w:bottom w:w="0" w:type="dxa"/>
                    <w:right w:w="0" w:type="dxa"/>
                  </w:tcMar>
                  <w:vAlign w:val="center"/>
                </w:tcPr>
                <w:p w14:paraId="380B7BCD">
                  <w:pPr>
                    <w:jc w:val="center"/>
                    <w:rPr>
                      <w:rFonts w:hint="eastAsia"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干燥机</w:t>
                  </w:r>
                </w:p>
              </w:tc>
              <w:tc>
                <w:tcPr>
                  <w:tcW w:w="250" w:type="pct"/>
                  <w:shd w:val="clear" w:color="auto" w:fill="FFFFFF"/>
                  <w:noWrap w:val="0"/>
                  <w:tcMar>
                    <w:top w:w="0" w:type="dxa"/>
                    <w:left w:w="0" w:type="dxa"/>
                    <w:bottom w:w="0" w:type="dxa"/>
                    <w:right w:w="0" w:type="dxa"/>
                  </w:tcMar>
                  <w:vAlign w:val="center"/>
                </w:tcPr>
                <w:p w14:paraId="570FD513">
                  <w:pPr>
                    <w:keepNext w:val="0"/>
                    <w:keepLines w:val="0"/>
                    <w:pageBreakBefore w:val="0"/>
                    <w:widowControl w:val="0"/>
                    <w:kinsoku/>
                    <w:wordWrap/>
                    <w:topLinePunct w:val="0"/>
                    <w:bidi w:val="0"/>
                    <w:jc w:val="center"/>
                    <w:textAlignment w:val="auto"/>
                    <w:rPr>
                      <w:rFonts w:hint="default" w:ascii="Times New Roman" w:hAnsi="Times New Roman" w:cs="Times New Roman"/>
                      <w:color w:val="000000"/>
                      <w:kern w:val="2"/>
                      <w:sz w:val="18"/>
                      <w:szCs w:val="18"/>
                      <w:lang w:val="en-US" w:eastAsia="zh-CN" w:bidi="ar-SA"/>
                    </w:rPr>
                  </w:pPr>
                  <w:r>
                    <w:rPr>
                      <w:rFonts w:hint="eastAsia" w:cs="Times New Roman"/>
                      <w:color w:val="000000"/>
                      <w:kern w:val="2"/>
                      <w:sz w:val="18"/>
                      <w:szCs w:val="18"/>
                      <w:lang w:val="en-US" w:eastAsia="zh-CN" w:bidi="ar-SA"/>
                    </w:rPr>
                    <w:t>80</w:t>
                  </w:r>
                </w:p>
              </w:tc>
              <w:tc>
                <w:tcPr>
                  <w:tcW w:w="219" w:type="pct"/>
                  <w:vMerge w:val="continue"/>
                  <w:shd w:val="clear" w:color="auto" w:fill="FFFFFF"/>
                  <w:noWrap w:val="0"/>
                  <w:tcMar>
                    <w:top w:w="0" w:type="dxa"/>
                    <w:left w:w="0" w:type="dxa"/>
                    <w:bottom w:w="0" w:type="dxa"/>
                    <w:right w:w="0" w:type="dxa"/>
                  </w:tcMar>
                  <w:vAlign w:val="center"/>
                </w:tcPr>
                <w:p w14:paraId="483FBA9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sz w:val="18"/>
                      <w:szCs w:val="18"/>
                    </w:rPr>
                  </w:pPr>
                </w:p>
              </w:tc>
              <w:tc>
                <w:tcPr>
                  <w:tcW w:w="189" w:type="pct"/>
                  <w:shd w:val="clear" w:color="auto" w:fill="FFFFFF"/>
                  <w:noWrap w:val="0"/>
                  <w:tcMar>
                    <w:top w:w="0" w:type="dxa"/>
                    <w:left w:w="0" w:type="dxa"/>
                    <w:bottom w:w="0" w:type="dxa"/>
                    <w:right w:w="0" w:type="dxa"/>
                  </w:tcMar>
                  <w:vAlign w:val="center"/>
                </w:tcPr>
                <w:p w14:paraId="34B4E7E1">
                  <w:pPr>
                    <w:jc w:val="center"/>
                    <w:rPr>
                      <w:rFonts w:hint="default" w:ascii="Times New Roman" w:hAnsi="Times New Roman" w:eastAsia="宋体" w:cs="Times New Roman"/>
                      <w:color w:val="auto"/>
                      <w:spacing w:val="8"/>
                      <w:kern w:val="2"/>
                      <w:sz w:val="18"/>
                      <w:szCs w:val="18"/>
                      <w:lang w:val="en-US" w:eastAsia="zh-CN" w:bidi="ar-SA"/>
                    </w:rPr>
                  </w:pPr>
                  <w:r>
                    <w:rPr>
                      <w:rFonts w:hint="eastAsia" w:cs="Times New Roman"/>
                      <w:color w:val="auto"/>
                      <w:spacing w:val="8"/>
                      <w:kern w:val="2"/>
                      <w:sz w:val="18"/>
                      <w:szCs w:val="18"/>
                      <w:lang w:val="en-US" w:eastAsia="zh-CN" w:bidi="ar-SA"/>
                    </w:rPr>
                    <w:t>75</w:t>
                  </w:r>
                </w:p>
              </w:tc>
              <w:tc>
                <w:tcPr>
                  <w:tcW w:w="190" w:type="pct"/>
                  <w:shd w:val="clear" w:color="auto" w:fill="FFFFFF"/>
                  <w:noWrap w:val="0"/>
                  <w:tcMar>
                    <w:top w:w="0" w:type="dxa"/>
                    <w:left w:w="0" w:type="dxa"/>
                    <w:bottom w:w="0" w:type="dxa"/>
                    <w:right w:w="0" w:type="dxa"/>
                  </w:tcMar>
                  <w:vAlign w:val="center"/>
                </w:tcPr>
                <w:p w14:paraId="64725617">
                  <w:pPr>
                    <w:jc w:val="center"/>
                    <w:rPr>
                      <w:rFonts w:hint="default" w:ascii="Times New Roman" w:hAnsi="Times New Roman" w:eastAsia="宋体" w:cs="Times New Roman"/>
                      <w:color w:val="auto"/>
                      <w:spacing w:val="8"/>
                      <w:kern w:val="2"/>
                      <w:sz w:val="18"/>
                      <w:szCs w:val="18"/>
                      <w:lang w:val="en-US" w:eastAsia="zh-CN" w:bidi="ar-SA"/>
                    </w:rPr>
                  </w:pPr>
                  <w:r>
                    <w:rPr>
                      <w:rFonts w:hint="eastAsia" w:cs="Times New Roman"/>
                      <w:color w:val="auto"/>
                      <w:spacing w:val="8"/>
                      <w:kern w:val="2"/>
                      <w:sz w:val="18"/>
                      <w:szCs w:val="18"/>
                      <w:lang w:val="en-US" w:eastAsia="zh-CN" w:bidi="ar-SA"/>
                    </w:rPr>
                    <w:t>-6</w:t>
                  </w:r>
                </w:p>
              </w:tc>
              <w:tc>
                <w:tcPr>
                  <w:tcW w:w="195" w:type="pct"/>
                  <w:shd w:val="clear" w:color="auto" w:fill="FFFFFF"/>
                  <w:noWrap w:val="0"/>
                  <w:tcMar>
                    <w:top w:w="0" w:type="dxa"/>
                    <w:left w:w="0" w:type="dxa"/>
                    <w:bottom w:w="0" w:type="dxa"/>
                    <w:right w:w="0" w:type="dxa"/>
                  </w:tcMar>
                  <w:vAlign w:val="center"/>
                </w:tcPr>
                <w:p w14:paraId="52F48383">
                  <w:pPr>
                    <w:jc w:val="center"/>
                    <w:rPr>
                      <w:rFonts w:hint="default" w:ascii="Times New Roman" w:hAnsi="Times New Roman" w:eastAsia="宋体" w:cs="Times New Roman"/>
                      <w:color w:val="auto"/>
                      <w:spacing w:val="8"/>
                      <w:kern w:val="2"/>
                      <w:sz w:val="18"/>
                      <w:szCs w:val="18"/>
                      <w:lang w:val="en-US" w:eastAsia="zh-CN" w:bidi="ar-SA"/>
                    </w:rPr>
                  </w:pPr>
                  <w:r>
                    <w:rPr>
                      <w:rFonts w:hint="eastAsia" w:cs="Times New Roman"/>
                      <w:color w:val="auto"/>
                      <w:spacing w:val="8"/>
                      <w:kern w:val="2"/>
                      <w:sz w:val="18"/>
                      <w:szCs w:val="18"/>
                      <w:lang w:val="en-US" w:eastAsia="zh-CN" w:bidi="ar-SA"/>
                    </w:rPr>
                    <w:t>1.2</w:t>
                  </w:r>
                </w:p>
              </w:tc>
              <w:tc>
                <w:tcPr>
                  <w:tcW w:w="190" w:type="pct"/>
                  <w:shd w:val="clear" w:color="auto" w:fill="FFFFFF"/>
                  <w:noWrap w:val="0"/>
                  <w:tcMar>
                    <w:top w:w="0" w:type="dxa"/>
                    <w:left w:w="0" w:type="dxa"/>
                    <w:bottom w:w="0" w:type="dxa"/>
                    <w:right w:w="0" w:type="dxa"/>
                  </w:tcMar>
                  <w:vAlign w:val="center"/>
                </w:tcPr>
                <w:p w14:paraId="5B3975A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17</w:t>
                  </w:r>
                </w:p>
              </w:tc>
              <w:tc>
                <w:tcPr>
                  <w:tcW w:w="190" w:type="pct"/>
                  <w:shd w:val="clear" w:color="auto" w:fill="FFFFFF"/>
                  <w:noWrap w:val="0"/>
                  <w:tcMar>
                    <w:top w:w="0" w:type="dxa"/>
                    <w:left w:w="0" w:type="dxa"/>
                    <w:bottom w:w="0" w:type="dxa"/>
                    <w:right w:w="0" w:type="dxa"/>
                  </w:tcMar>
                  <w:vAlign w:val="center"/>
                </w:tcPr>
                <w:p w14:paraId="4998881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33</w:t>
                  </w:r>
                </w:p>
              </w:tc>
              <w:tc>
                <w:tcPr>
                  <w:tcW w:w="190" w:type="pct"/>
                  <w:shd w:val="clear" w:color="auto" w:fill="FFFFFF"/>
                  <w:noWrap w:val="0"/>
                  <w:tcMar>
                    <w:top w:w="0" w:type="dxa"/>
                    <w:left w:w="0" w:type="dxa"/>
                    <w:bottom w:w="0" w:type="dxa"/>
                    <w:right w:w="0" w:type="dxa"/>
                  </w:tcMar>
                  <w:vAlign w:val="center"/>
                </w:tcPr>
                <w:p w14:paraId="397B9C3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55</w:t>
                  </w:r>
                </w:p>
              </w:tc>
              <w:tc>
                <w:tcPr>
                  <w:tcW w:w="195" w:type="pct"/>
                  <w:shd w:val="clear" w:color="auto" w:fill="FFFFFF"/>
                  <w:noWrap w:val="0"/>
                  <w:tcMar>
                    <w:top w:w="0" w:type="dxa"/>
                    <w:left w:w="0" w:type="dxa"/>
                    <w:bottom w:w="0" w:type="dxa"/>
                    <w:right w:w="0" w:type="dxa"/>
                  </w:tcMar>
                  <w:vAlign w:val="center"/>
                </w:tcPr>
                <w:p w14:paraId="596D736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9</w:t>
                  </w:r>
                </w:p>
              </w:tc>
              <w:tc>
                <w:tcPr>
                  <w:tcW w:w="190" w:type="pct"/>
                  <w:shd w:val="clear" w:color="auto" w:fill="FFFFFF"/>
                  <w:noWrap w:val="0"/>
                  <w:tcMar>
                    <w:top w:w="0" w:type="dxa"/>
                    <w:left w:w="0" w:type="dxa"/>
                    <w:bottom w:w="0" w:type="dxa"/>
                    <w:right w:w="0" w:type="dxa"/>
                  </w:tcMar>
                  <w:vAlign w:val="center"/>
                </w:tcPr>
                <w:p w14:paraId="6D5C361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eastAsia" w:cs="Times New Roman"/>
                      <w:color w:val="000000"/>
                      <w:kern w:val="2"/>
                      <w:sz w:val="18"/>
                      <w:szCs w:val="18"/>
                      <w:u w:val="none"/>
                      <w:lang w:val="en-US" w:eastAsia="zh-CN" w:bidi="ar-SA"/>
                    </w:rPr>
                    <w:t>55</w:t>
                  </w:r>
                </w:p>
              </w:tc>
              <w:tc>
                <w:tcPr>
                  <w:tcW w:w="190" w:type="pct"/>
                  <w:shd w:val="clear" w:color="auto" w:fill="FFFFFF"/>
                  <w:noWrap w:val="0"/>
                  <w:tcMar>
                    <w:top w:w="0" w:type="dxa"/>
                    <w:left w:w="0" w:type="dxa"/>
                    <w:bottom w:w="0" w:type="dxa"/>
                    <w:right w:w="0" w:type="dxa"/>
                  </w:tcMar>
                  <w:vAlign w:val="center"/>
                </w:tcPr>
                <w:p w14:paraId="7FBD2BE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8"/>
                      <w:szCs w:val="18"/>
                      <w:u w:val="none"/>
                      <w:lang w:val="en-US" w:eastAsia="zh-CN"/>
                    </w:rPr>
                  </w:pPr>
                  <w:r>
                    <w:rPr>
                      <w:rFonts w:hint="eastAsia" w:cs="Times New Roman"/>
                      <w:color w:val="000000"/>
                      <w:sz w:val="18"/>
                      <w:szCs w:val="18"/>
                      <w:u w:val="none"/>
                      <w:lang w:val="en-US" w:eastAsia="zh-CN"/>
                    </w:rPr>
                    <w:t>50</w:t>
                  </w:r>
                </w:p>
              </w:tc>
              <w:tc>
                <w:tcPr>
                  <w:tcW w:w="190" w:type="pct"/>
                  <w:shd w:val="clear" w:color="auto" w:fill="FFFFFF"/>
                  <w:noWrap w:val="0"/>
                  <w:tcMar>
                    <w:top w:w="0" w:type="dxa"/>
                    <w:left w:w="0" w:type="dxa"/>
                    <w:bottom w:w="0" w:type="dxa"/>
                    <w:right w:w="0" w:type="dxa"/>
                  </w:tcMar>
                  <w:vAlign w:val="center"/>
                </w:tcPr>
                <w:p w14:paraId="0978DAE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eastAsia" w:cs="Times New Roman"/>
                      <w:color w:val="000000"/>
                      <w:kern w:val="2"/>
                      <w:sz w:val="18"/>
                      <w:szCs w:val="18"/>
                      <w:u w:val="none"/>
                      <w:lang w:val="en-US" w:eastAsia="zh-CN" w:bidi="ar-SA"/>
                    </w:rPr>
                    <w:t>45</w:t>
                  </w:r>
                </w:p>
              </w:tc>
              <w:tc>
                <w:tcPr>
                  <w:tcW w:w="200" w:type="pct"/>
                  <w:shd w:val="clear" w:color="auto" w:fill="FFFFFF"/>
                  <w:noWrap w:val="0"/>
                  <w:tcMar>
                    <w:top w:w="0" w:type="dxa"/>
                    <w:left w:w="0" w:type="dxa"/>
                    <w:bottom w:w="0" w:type="dxa"/>
                    <w:right w:w="0" w:type="dxa"/>
                  </w:tcMar>
                  <w:vAlign w:val="center"/>
                </w:tcPr>
                <w:p w14:paraId="3D73DFF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eastAsia" w:cs="Times New Roman"/>
                      <w:color w:val="000000"/>
                      <w:kern w:val="2"/>
                      <w:sz w:val="18"/>
                      <w:szCs w:val="18"/>
                      <w:u w:val="none"/>
                      <w:lang w:val="en-US" w:eastAsia="zh-CN" w:bidi="ar-SA"/>
                    </w:rPr>
                    <w:t>61</w:t>
                  </w:r>
                </w:p>
              </w:tc>
              <w:tc>
                <w:tcPr>
                  <w:tcW w:w="341" w:type="pct"/>
                  <w:vMerge w:val="continue"/>
                  <w:shd w:val="clear" w:color="auto" w:fill="FFFFFF"/>
                  <w:noWrap w:val="0"/>
                  <w:tcMar>
                    <w:top w:w="0" w:type="dxa"/>
                    <w:left w:w="0" w:type="dxa"/>
                    <w:bottom w:w="0" w:type="dxa"/>
                    <w:right w:w="0" w:type="dxa"/>
                  </w:tcMar>
                  <w:vAlign w:val="center"/>
                </w:tcPr>
                <w:p w14:paraId="4D40C87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sz w:val="18"/>
                      <w:szCs w:val="18"/>
                    </w:rPr>
                  </w:pPr>
                </w:p>
              </w:tc>
              <w:tc>
                <w:tcPr>
                  <w:tcW w:w="175" w:type="pct"/>
                  <w:shd w:val="clear" w:color="auto" w:fill="FFFFFF"/>
                  <w:noWrap w:val="0"/>
                  <w:tcMar>
                    <w:top w:w="0" w:type="dxa"/>
                    <w:left w:w="0" w:type="dxa"/>
                    <w:bottom w:w="0" w:type="dxa"/>
                    <w:right w:w="0" w:type="dxa"/>
                  </w:tcMar>
                  <w:vAlign w:val="center"/>
                </w:tcPr>
                <w:p w14:paraId="36142DE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000000"/>
                      <w:sz w:val="18"/>
                      <w:szCs w:val="18"/>
                    </w:rPr>
                  </w:pPr>
                  <w:r>
                    <w:rPr>
                      <w:rFonts w:hint="eastAsia" w:ascii="Times New Roman" w:hAnsi="Times New Roman" w:cs="Times New Roman"/>
                      <w:color w:val="000000"/>
                      <w:sz w:val="18"/>
                      <w:szCs w:val="18"/>
                      <w:lang w:val="en-US" w:eastAsia="zh-CN"/>
                    </w:rPr>
                    <w:t>15</w:t>
                  </w:r>
                </w:p>
              </w:tc>
              <w:tc>
                <w:tcPr>
                  <w:tcW w:w="175" w:type="pct"/>
                  <w:shd w:val="clear" w:color="auto" w:fill="FFFFFF"/>
                  <w:noWrap w:val="0"/>
                  <w:tcMar>
                    <w:top w:w="0" w:type="dxa"/>
                    <w:left w:w="0" w:type="dxa"/>
                    <w:bottom w:w="0" w:type="dxa"/>
                    <w:right w:w="0" w:type="dxa"/>
                  </w:tcMar>
                  <w:vAlign w:val="center"/>
                </w:tcPr>
                <w:p w14:paraId="7A8C92E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000000"/>
                      <w:sz w:val="18"/>
                      <w:szCs w:val="18"/>
                    </w:rPr>
                  </w:pPr>
                  <w:r>
                    <w:rPr>
                      <w:rFonts w:hint="eastAsia" w:ascii="Times New Roman" w:hAnsi="Times New Roman" w:cs="Times New Roman"/>
                      <w:color w:val="000000"/>
                      <w:sz w:val="18"/>
                      <w:szCs w:val="18"/>
                      <w:lang w:val="en-US" w:eastAsia="zh-CN"/>
                    </w:rPr>
                    <w:t>15</w:t>
                  </w:r>
                </w:p>
              </w:tc>
              <w:tc>
                <w:tcPr>
                  <w:tcW w:w="175" w:type="pct"/>
                  <w:shd w:val="clear" w:color="auto" w:fill="FFFFFF"/>
                  <w:noWrap w:val="0"/>
                  <w:tcMar>
                    <w:top w:w="0" w:type="dxa"/>
                    <w:left w:w="0" w:type="dxa"/>
                    <w:bottom w:w="0" w:type="dxa"/>
                    <w:right w:w="0" w:type="dxa"/>
                  </w:tcMar>
                  <w:vAlign w:val="center"/>
                </w:tcPr>
                <w:p w14:paraId="7111221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000000"/>
                      <w:sz w:val="18"/>
                      <w:szCs w:val="18"/>
                    </w:rPr>
                  </w:pPr>
                  <w:r>
                    <w:rPr>
                      <w:rFonts w:hint="eastAsia" w:ascii="Times New Roman" w:hAnsi="Times New Roman" w:cs="Times New Roman"/>
                      <w:color w:val="000000"/>
                      <w:sz w:val="18"/>
                      <w:szCs w:val="18"/>
                      <w:lang w:val="en-US" w:eastAsia="zh-CN"/>
                    </w:rPr>
                    <w:t>15</w:t>
                  </w:r>
                </w:p>
              </w:tc>
              <w:tc>
                <w:tcPr>
                  <w:tcW w:w="182" w:type="pct"/>
                  <w:shd w:val="clear" w:color="auto" w:fill="FFFFFF"/>
                  <w:noWrap w:val="0"/>
                  <w:tcMar>
                    <w:top w:w="0" w:type="dxa"/>
                    <w:left w:w="0" w:type="dxa"/>
                    <w:bottom w:w="0" w:type="dxa"/>
                    <w:right w:w="0" w:type="dxa"/>
                  </w:tcMar>
                  <w:vAlign w:val="center"/>
                </w:tcPr>
                <w:p w14:paraId="7CC5E1C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000000"/>
                      <w:sz w:val="18"/>
                      <w:szCs w:val="18"/>
                    </w:rPr>
                  </w:pPr>
                  <w:r>
                    <w:rPr>
                      <w:rFonts w:hint="eastAsia" w:ascii="Times New Roman" w:hAnsi="Times New Roman" w:cs="Times New Roman"/>
                      <w:color w:val="000000"/>
                      <w:sz w:val="18"/>
                      <w:szCs w:val="18"/>
                      <w:lang w:val="en-US" w:eastAsia="zh-CN"/>
                    </w:rPr>
                    <w:t>15</w:t>
                  </w:r>
                </w:p>
              </w:tc>
              <w:tc>
                <w:tcPr>
                  <w:tcW w:w="175" w:type="pct"/>
                  <w:shd w:val="clear" w:color="auto" w:fill="FFFFFF"/>
                  <w:noWrap w:val="0"/>
                  <w:tcMar>
                    <w:top w:w="0" w:type="dxa"/>
                    <w:left w:w="0" w:type="dxa"/>
                    <w:bottom w:w="0" w:type="dxa"/>
                    <w:right w:w="0" w:type="dxa"/>
                  </w:tcMar>
                  <w:vAlign w:val="center"/>
                </w:tcPr>
                <w:p w14:paraId="65B6EAD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sz w:val="18"/>
                      <w:szCs w:val="18"/>
                      <w:lang w:val="en-US" w:eastAsia="zh-CN"/>
                    </w:rPr>
                  </w:pPr>
                  <w:r>
                    <w:rPr>
                      <w:rFonts w:hint="eastAsia" w:cs="Times New Roman"/>
                      <w:color w:val="000000"/>
                      <w:sz w:val="18"/>
                      <w:szCs w:val="18"/>
                      <w:lang w:val="en-US" w:eastAsia="zh-CN"/>
                    </w:rPr>
                    <w:t>40</w:t>
                  </w:r>
                </w:p>
              </w:tc>
              <w:tc>
                <w:tcPr>
                  <w:tcW w:w="175" w:type="pct"/>
                  <w:shd w:val="clear" w:color="auto" w:fill="FFFFFF"/>
                  <w:noWrap w:val="0"/>
                  <w:tcMar>
                    <w:top w:w="0" w:type="dxa"/>
                    <w:left w:w="0" w:type="dxa"/>
                    <w:bottom w:w="0" w:type="dxa"/>
                    <w:right w:w="0" w:type="dxa"/>
                  </w:tcMar>
                  <w:vAlign w:val="center"/>
                </w:tcPr>
                <w:p w14:paraId="2FF32A4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sz w:val="18"/>
                      <w:szCs w:val="18"/>
                      <w:lang w:val="en-US" w:eastAsia="zh-CN"/>
                    </w:rPr>
                  </w:pPr>
                  <w:r>
                    <w:rPr>
                      <w:rFonts w:hint="eastAsia" w:cs="Times New Roman"/>
                      <w:color w:val="000000"/>
                      <w:sz w:val="18"/>
                      <w:szCs w:val="18"/>
                      <w:lang w:val="en-US" w:eastAsia="zh-CN"/>
                    </w:rPr>
                    <w:t>35</w:t>
                  </w:r>
                </w:p>
              </w:tc>
              <w:tc>
                <w:tcPr>
                  <w:tcW w:w="175" w:type="pct"/>
                  <w:shd w:val="clear" w:color="auto" w:fill="FFFFFF"/>
                  <w:noWrap w:val="0"/>
                  <w:tcMar>
                    <w:top w:w="0" w:type="dxa"/>
                    <w:left w:w="0" w:type="dxa"/>
                    <w:bottom w:w="0" w:type="dxa"/>
                    <w:right w:w="0" w:type="dxa"/>
                  </w:tcMar>
                  <w:vAlign w:val="center"/>
                </w:tcPr>
                <w:p w14:paraId="6A3F851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30</w:t>
                  </w:r>
                </w:p>
              </w:tc>
              <w:tc>
                <w:tcPr>
                  <w:tcW w:w="175" w:type="pct"/>
                  <w:shd w:val="clear" w:color="auto" w:fill="FFFFFF"/>
                  <w:noWrap w:val="0"/>
                  <w:tcMar>
                    <w:top w:w="0" w:type="dxa"/>
                    <w:left w:w="0" w:type="dxa"/>
                    <w:bottom w:w="0" w:type="dxa"/>
                    <w:right w:w="0" w:type="dxa"/>
                  </w:tcMar>
                  <w:vAlign w:val="center"/>
                </w:tcPr>
                <w:p w14:paraId="6FAB98C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46</w:t>
                  </w:r>
                </w:p>
              </w:tc>
              <w:tc>
                <w:tcPr>
                  <w:tcW w:w="190" w:type="pct"/>
                  <w:shd w:val="clear" w:color="auto" w:fill="FFFFFF"/>
                  <w:noWrap w:val="0"/>
                  <w:tcMar>
                    <w:top w:w="0" w:type="dxa"/>
                    <w:left w:w="0" w:type="dxa"/>
                    <w:bottom w:w="0" w:type="dxa"/>
                    <w:right w:w="0" w:type="dxa"/>
                  </w:tcMar>
                  <w:vAlign w:val="center"/>
                </w:tcPr>
                <w:p w14:paraId="34EC813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Arial" w:cs="Times New Roman"/>
                      <w:color w:val="000000"/>
                      <w:sz w:val="18"/>
                      <w:szCs w:val="18"/>
                    </w:rPr>
                  </w:pPr>
                  <w:r>
                    <w:rPr>
                      <w:rFonts w:hint="default" w:ascii="Times New Roman" w:hAnsi="Times New Roman" w:eastAsia="Arial" w:cs="Times New Roman"/>
                      <w:color w:val="000000"/>
                      <w:sz w:val="18"/>
                      <w:szCs w:val="18"/>
                    </w:rPr>
                    <w:t>1</w:t>
                  </w:r>
                </w:p>
              </w:tc>
            </w:tr>
            <w:tr w14:paraId="3933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222" w:type="pct"/>
                  <w:vMerge w:val="continue"/>
                  <w:shd w:val="clear" w:color="auto" w:fill="FFFFFF"/>
                  <w:noWrap w:val="0"/>
                  <w:tcMar>
                    <w:top w:w="0" w:type="dxa"/>
                    <w:left w:w="0" w:type="dxa"/>
                    <w:bottom w:w="0" w:type="dxa"/>
                    <w:right w:w="0" w:type="dxa"/>
                  </w:tcMar>
                  <w:vAlign w:val="center"/>
                </w:tcPr>
                <w:p w14:paraId="45416D3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 w:val="18"/>
                      <w:szCs w:val="18"/>
                      <w:lang w:eastAsia="zh-CN"/>
                    </w:rPr>
                  </w:pPr>
                </w:p>
              </w:tc>
              <w:tc>
                <w:tcPr>
                  <w:tcW w:w="248" w:type="pct"/>
                  <w:shd w:val="clear" w:color="auto" w:fill="FFFFFF"/>
                  <w:noWrap w:val="0"/>
                  <w:tcMar>
                    <w:top w:w="0" w:type="dxa"/>
                    <w:left w:w="0" w:type="dxa"/>
                    <w:bottom w:w="0" w:type="dxa"/>
                    <w:right w:w="0" w:type="dxa"/>
                  </w:tcMar>
                  <w:vAlign w:val="center"/>
                </w:tcPr>
                <w:p w14:paraId="08B34A66">
                  <w:pPr>
                    <w:jc w:val="center"/>
                    <w:rPr>
                      <w:rFonts w:hint="eastAsia"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干燥机</w:t>
                  </w:r>
                </w:p>
              </w:tc>
              <w:tc>
                <w:tcPr>
                  <w:tcW w:w="250" w:type="pct"/>
                  <w:shd w:val="clear" w:color="auto" w:fill="FFFFFF"/>
                  <w:noWrap w:val="0"/>
                  <w:tcMar>
                    <w:top w:w="0" w:type="dxa"/>
                    <w:left w:w="0" w:type="dxa"/>
                    <w:bottom w:w="0" w:type="dxa"/>
                    <w:right w:w="0" w:type="dxa"/>
                  </w:tcMar>
                  <w:vAlign w:val="center"/>
                </w:tcPr>
                <w:p w14:paraId="4E2EBECA">
                  <w:pPr>
                    <w:keepNext w:val="0"/>
                    <w:keepLines w:val="0"/>
                    <w:pageBreakBefore w:val="0"/>
                    <w:widowControl w:val="0"/>
                    <w:kinsoku/>
                    <w:wordWrap/>
                    <w:topLinePunct w:val="0"/>
                    <w:bidi w:val="0"/>
                    <w:jc w:val="center"/>
                    <w:textAlignment w:val="auto"/>
                    <w:rPr>
                      <w:rFonts w:hint="default" w:ascii="Times New Roman" w:hAnsi="Times New Roman" w:cs="Times New Roman"/>
                      <w:color w:val="000000"/>
                      <w:kern w:val="2"/>
                      <w:sz w:val="18"/>
                      <w:szCs w:val="18"/>
                      <w:lang w:val="en-US" w:eastAsia="zh-CN" w:bidi="ar-SA"/>
                    </w:rPr>
                  </w:pPr>
                  <w:r>
                    <w:rPr>
                      <w:rFonts w:hint="eastAsia" w:cs="Times New Roman"/>
                      <w:color w:val="000000"/>
                      <w:kern w:val="2"/>
                      <w:sz w:val="18"/>
                      <w:szCs w:val="18"/>
                      <w:lang w:val="en-US" w:eastAsia="zh-CN" w:bidi="ar-SA"/>
                    </w:rPr>
                    <w:t>80</w:t>
                  </w:r>
                </w:p>
              </w:tc>
              <w:tc>
                <w:tcPr>
                  <w:tcW w:w="219" w:type="pct"/>
                  <w:vMerge w:val="continue"/>
                  <w:shd w:val="clear" w:color="auto" w:fill="FFFFFF"/>
                  <w:noWrap w:val="0"/>
                  <w:tcMar>
                    <w:top w:w="0" w:type="dxa"/>
                    <w:left w:w="0" w:type="dxa"/>
                    <w:bottom w:w="0" w:type="dxa"/>
                    <w:right w:w="0" w:type="dxa"/>
                  </w:tcMar>
                  <w:vAlign w:val="center"/>
                </w:tcPr>
                <w:p w14:paraId="0AF116B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sz w:val="18"/>
                      <w:szCs w:val="18"/>
                    </w:rPr>
                  </w:pPr>
                </w:p>
              </w:tc>
              <w:tc>
                <w:tcPr>
                  <w:tcW w:w="189" w:type="pct"/>
                  <w:shd w:val="clear" w:color="auto" w:fill="FFFFFF"/>
                  <w:noWrap w:val="0"/>
                  <w:tcMar>
                    <w:top w:w="0" w:type="dxa"/>
                    <w:left w:w="0" w:type="dxa"/>
                    <w:bottom w:w="0" w:type="dxa"/>
                    <w:right w:w="0" w:type="dxa"/>
                  </w:tcMar>
                  <w:vAlign w:val="center"/>
                </w:tcPr>
                <w:p w14:paraId="6AB04151">
                  <w:pPr>
                    <w:jc w:val="center"/>
                    <w:rPr>
                      <w:rFonts w:hint="default" w:ascii="Times New Roman" w:hAnsi="Times New Roman" w:eastAsia="宋体" w:cs="Times New Roman"/>
                      <w:color w:val="auto"/>
                      <w:spacing w:val="8"/>
                      <w:kern w:val="2"/>
                      <w:sz w:val="18"/>
                      <w:szCs w:val="18"/>
                      <w:lang w:val="en-US" w:eastAsia="zh-CN" w:bidi="ar-SA"/>
                    </w:rPr>
                  </w:pPr>
                  <w:r>
                    <w:rPr>
                      <w:rFonts w:hint="eastAsia" w:cs="Times New Roman"/>
                      <w:color w:val="auto"/>
                      <w:spacing w:val="8"/>
                      <w:kern w:val="2"/>
                      <w:sz w:val="18"/>
                      <w:szCs w:val="18"/>
                      <w:lang w:val="en-US" w:eastAsia="zh-CN" w:bidi="ar-SA"/>
                    </w:rPr>
                    <w:t>64</w:t>
                  </w:r>
                </w:p>
              </w:tc>
              <w:tc>
                <w:tcPr>
                  <w:tcW w:w="190" w:type="pct"/>
                  <w:shd w:val="clear" w:color="auto" w:fill="FFFFFF"/>
                  <w:noWrap w:val="0"/>
                  <w:tcMar>
                    <w:top w:w="0" w:type="dxa"/>
                    <w:left w:w="0" w:type="dxa"/>
                    <w:bottom w:w="0" w:type="dxa"/>
                    <w:right w:w="0" w:type="dxa"/>
                  </w:tcMar>
                  <w:vAlign w:val="center"/>
                </w:tcPr>
                <w:p w14:paraId="4D1E61A1">
                  <w:pPr>
                    <w:jc w:val="center"/>
                    <w:rPr>
                      <w:rFonts w:hint="default" w:ascii="Times New Roman" w:hAnsi="Times New Roman" w:eastAsia="宋体" w:cs="Times New Roman"/>
                      <w:color w:val="auto"/>
                      <w:spacing w:val="8"/>
                      <w:kern w:val="2"/>
                      <w:sz w:val="18"/>
                      <w:szCs w:val="18"/>
                      <w:lang w:val="en-US" w:eastAsia="zh-CN" w:bidi="ar-SA"/>
                    </w:rPr>
                  </w:pPr>
                  <w:r>
                    <w:rPr>
                      <w:rFonts w:hint="eastAsia" w:cs="Times New Roman"/>
                      <w:color w:val="auto"/>
                      <w:spacing w:val="8"/>
                      <w:kern w:val="2"/>
                      <w:sz w:val="18"/>
                      <w:szCs w:val="18"/>
                      <w:lang w:val="en-US" w:eastAsia="zh-CN" w:bidi="ar-SA"/>
                    </w:rPr>
                    <w:t>-4</w:t>
                  </w:r>
                </w:p>
              </w:tc>
              <w:tc>
                <w:tcPr>
                  <w:tcW w:w="195" w:type="pct"/>
                  <w:shd w:val="clear" w:color="auto" w:fill="FFFFFF"/>
                  <w:noWrap w:val="0"/>
                  <w:tcMar>
                    <w:top w:w="0" w:type="dxa"/>
                    <w:left w:w="0" w:type="dxa"/>
                    <w:bottom w:w="0" w:type="dxa"/>
                    <w:right w:w="0" w:type="dxa"/>
                  </w:tcMar>
                  <w:vAlign w:val="center"/>
                </w:tcPr>
                <w:p w14:paraId="5C8C9FD6">
                  <w:pPr>
                    <w:jc w:val="center"/>
                    <w:rPr>
                      <w:rFonts w:hint="default" w:ascii="Times New Roman" w:hAnsi="Times New Roman" w:eastAsia="宋体" w:cs="Times New Roman"/>
                      <w:color w:val="auto"/>
                      <w:spacing w:val="8"/>
                      <w:kern w:val="2"/>
                      <w:sz w:val="18"/>
                      <w:szCs w:val="18"/>
                      <w:lang w:val="en-US" w:eastAsia="zh-CN" w:bidi="ar-SA"/>
                    </w:rPr>
                  </w:pPr>
                  <w:r>
                    <w:rPr>
                      <w:rFonts w:hint="eastAsia" w:cs="Times New Roman"/>
                      <w:color w:val="auto"/>
                      <w:spacing w:val="8"/>
                      <w:kern w:val="2"/>
                      <w:sz w:val="18"/>
                      <w:szCs w:val="18"/>
                      <w:lang w:val="en-US" w:eastAsia="zh-CN" w:bidi="ar-SA"/>
                    </w:rPr>
                    <w:t>1.2</w:t>
                  </w:r>
                </w:p>
              </w:tc>
              <w:tc>
                <w:tcPr>
                  <w:tcW w:w="190" w:type="pct"/>
                  <w:shd w:val="clear" w:color="auto" w:fill="FFFFFF"/>
                  <w:noWrap w:val="0"/>
                  <w:tcMar>
                    <w:top w:w="0" w:type="dxa"/>
                    <w:left w:w="0" w:type="dxa"/>
                    <w:bottom w:w="0" w:type="dxa"/>
                    <w:right w:w="0" w:type="dxa"/>
                  </w:tcMar>
                  <w:vAlign w:val="center"/>
                </w:tcPr>
                <w:p w14:paraId="128F163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22</w:t>
                  </w:r>
                </w:p>
              </w:tc>
              <w:tc>
                <w:tcPr>
                  <w:tcW w:w="190" w:type="pct"/>
                  <w:shd w:val="clear" w:color="auto" w:fill="FFFFFF"/>
                  <w:noWrap w:val="0"/>
                  <w:tcMar>
                    <w:top w:w="0" w:type="dxa"/>
                    <w:left w:w="0" w:type="dxa"/>
                    <w:bottom w:w="0" w:type="dxa"/>
                    <w:right w:w="0" w:type="dxa"/>
                  </w:tcMar>
                  <w:vAlign w:val="center"/>
                </w:tcPr>
                <w:p w14:paraId="65CDFAE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31</w:t>
                  </w:r>
                </w:p>
              </w:tc>
              <w:tc>
                <w:tcPr>
                  <w:tcW w:w="190" w:type="pct"/>
                  <w:shd w:val="clear" w:color="auto" w:fill="FFFFFF"/>
                  <w:noWrap w:val="0"/>
                  <w:tcMar>
                    <w:top w:w="0" w:type="dxa"/>
                    <w:left w:w="0" w:type="dxa"/>
                    <w:bottom w:w="0" w:type="dxa"/>
                    <w:right w:w="0" w:type="dxa"/>
                  </w:tcMar>
                  <w:vAlign w:val="center"/>
                </w:tcPr>
                <w:p w14:paraId="5BAD497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55</w:t>
                  </w:r>
                </w:p>
              </w:tc>
              <w:tc>
                <w:tcPr>
                  <w:tcW w:w="195" w:type="pct"/>
                  <w:shd w:val="clear" w:color="auto" w:fill="FFFFFF"/>
                  <w:noWrap w:val="0"/>
                  <w:tcMar>
                    <w:top w:w="0" w:type="dxa"/>
                    <w:left w:w="0" w:type="dxa"/>
                    <w:bottom w:w="0" w:type="dxa"/>
                    <w:right w:w="0" w:type="dxa"/>
                  </w:tcMar>
                  <w:vAlign w:val="center"/>
                </w:tcPr>
                <w:p w14:paraId="6AE4463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13</w:t>
                  </w:r>
                </w:p>
              </w:tc>
              <w:tc>
                <w:tcPr>
                  <w:tcW w:w="190" w:type="pct"/>
                  <w:shd w:val="clear" w:color="auto" w:fill="FFFFFF"/>
                  <w:noWrap w:val="0"/>
                  <w:tcMar>
                    <w:top w:w="0" w:type="dxa"/>
                    <w:left w:w="0" w:type="dxa"/>
                    <w:bottom w:w="0" w:type="dxa"/>
                    <w:right w:w="0" w:type="dxa"/>
                  </w:tcMar>
                  <w:vAlign w:val="center"/>
                </w:tcPr>
                <w:p w14:paraId="4841757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eastAsia" w:cs="Times New Roman"/>
                      <w:color w:val="000000"/>
                      <w:kern w:val="2"/>
                      <w:sz w:val="18"/>
                      <w:szCs w:val="18"/>
                      <w:u w:val="none"/>
                      <w:lang w:val="en-US" w:eastAsia="zh-CN" w:bidi="ar-SA"/>
                    </w:rPr>
                    <w:t>53</w:t>
                  </w:r>
                </w:p>
              </w:tc>
              <w:tc>
                <w:tcPr>
                  <w:tcW w:w="190" w:type="pct"/>
                  <w:shd w:val="clear" w:color="auto" w:fill="FFFFFF"/>
                  <w:noWrap w:val="0"/>
                  <w:tcMar>
                    <w:top w:w="0" w:type="dxa"/>
                    <w:left w:w="0" w:type="dxa"/>
                    <w:bottom w:w="0" w:type="dxa"/>
                    <w:right w:w="0" w:type="dxa"/>
                  </w:tcMar>
                  <w:vAlign w:val="center"/>
                </w:tcPr>
                <w:p w14:paraId="1F1F4D4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000000"/>
                      <w:sz w:val="18"/>
                      <w:szCs w:val="18"/>
                      <w:u w:val="none"/>
                      <w:lang w:val="en-US" w:eastAsia="zh-CN"/>
                    </w:rPr>
                  </w:pPr>
                  <w:r>
                    <w:rPr>
                      <w:rFonts w:hint="eastAsia" w:cs="Times New Roman"/>
                      <w:color w:val="000000"/>
                      <w:sz w:val="18"/>
                      <w:szCs w:val="18"/>
                      <w:u w:val="none"/>
                      <w:lang w:val="en-US" w:eastAsia="zh-CN"/>
                    </w:rPr>
                    <w:t>50</w:t>
                  </w:r>
                </w:p>
              </w:tc>
              <w:tc>
                <w:tcPr>
                  <w:tcW w:w="190" w:type="pct"/>
                  <w:shd w:val="clear" w:color="auto" w:fill="FFFFFF"/>
                  <w:noWrap w:val="0"/>
                  <w:tcMar>
                    <w:top w:w="0" w:type="dxa"/>
                    <w:left w:w="0" w:type="dxa"/>
                    <w:bottom w:w="0" w:type="dxa"/>
                    <w:right w:w="0" w:type="dxa"/>
                  </w:tcMar>
                  <w:vAlign w:val="center"/>
                </w:tcPr>
                <w:p w14:paraId="67203A6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eastAsia" w:cs="Times New Roman"/>
                      <w:color w:val="000000"/>
                      <w:kern w:val="2"/>
                      <w:sz w:val="18"/>
                      <w:szCs w:val="18"/>
                      <w:u w:val="none"/>
                      <w:lang w:val="en-US" w:eastAsia="zh-CN" w:bidi="ar-SA"/>
                    </w:rPr>
                    <w:t>45</w:t>
                  </w:r>
                </w:p>
              </w:tc>
              <w:tc>
                <w:tcPr>
                  <w:tcW w:w="200" w:type="pct"/>
                  <w:shd w:val="clear" w:color="auto" w:fill="FFFFFF"/>
                  <w:noWrap w:val="0"/>
                  <w:tcMar>
                    <w:top w:w="0" w:type="dxa"/>
                    <w:left w:w="0" w:type="dxa"/>
                    <w:bottom w:w="0" w:type="dxa"/>
                    <w:right w:w="0" w:type="dxa"/>
                  </w:tcMar>
                  <w:vAlign w:val="center"/>
                </w:tcPr>
                <w:p w14:paraId="7D9DDBB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eastAsia" w:cs="Times New Roman"/>
                      <w:color w:val="000000"/>
                      <w:kern w:val="2"/>
                      <w:sz w:val="18"/>
                      <w:szCs w:val="18"/>
                      <w:u w:val="none"/>
                      <w:lang w:val="en-US" w:eastAsia="zh-CN" w:bidi="ar-SA"/>
                    </w:rPr>
                    <w:t>58</w:t>
                  </w:r>
                </w:p>
              </w:tc>
              <w:tc>
                <w:tcPr>
                  <w:tcW w:w="341" w:type="pct"/>
                  <w:vMerge w:val="continue"/>
                  <w:shd w:val="clear" w:color="auto" w:fill="FFFFFF"/>
                  <w:noWrap w:val="0"/>
                  <w:tcMar>
                    <w:top w:w="0" w:type="dxa"/>
                    <w:left w:w="0" w:type="dxa"/>
                    <w:bottom w:w="0" w:type="dxa"/>
                    <w:right w:w="0" w:type="dxa"/>
                  </w:tcMar>
                  <w:vAlign w:val="center"/>
                </w:tcPr>
                <w:p w14:paraId="7944858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sz w:val="18"/>
                      <w:szCs w:val="18"/>
                    </w:rPr>
                  </w:pPr>
                </w:p>
              </w:tc>
              <w:tc>
                <w:tcPr>
                  <w:tcW w:w="175" w:type="pct"/>
                  <w:shd w:val="clear" w:color="auto" w:fill="FFFFFF"/>
                  <w:noWrap w:val="0"/>
                  <w:tcMar>
                    <w:top w:w="0" w:type="dxa"/>
                    <w:left w:w="0" w:type="dxa"/>
                    <w:bottom w:w="0" w:type="dxa"/>
                    <w:right w:w="0" w:type="dxa"/>
                  </w:tcMar>
                  <w:vAlign w:val="center"/>
                </w:tcPr>
                <w:p w14:paraId="77F6135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15</w:t>
                  </w:r>
                </w:p>
              </w:tc>
              <w:tc>
                <w:tcPr>
                  <w:tcW w:w="175" w:type="pct"/>
                  <w:shd w:val="clear" w:color="auto" w:fill="FFFFFF"/>
                  <w:noWrap w:val="0"/>
                  <w:tcMar>
                    <w:top w:w="0" w:type="dxa"/>
                    <w:left w:w="0" w:type="dxa"/>
                    <w:bottom w:w="0" w:type="dxa"/>
                    <w:right w:w="0" w:type="dxa"/>
                  </w:tcMar>
                  <w:vAlign w:val="center"/>
                </w:tcPr>
                <w:p w14:paraId="1E562F5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15</w:t>
                  </w:r>
                </w:p>
              </w:tc>
              <w:tc>
                <w:tcPr>
                  <w:tcW w:w="175" w:type="pct"/>
                  <w:shd w:val="clear" w:color="auto" w:fill="FFFFFF"/>
                  <w:noWrap w:val="0"/>
                  <w:tcMar>
                    <w:top w:w="0" w:type="dxa"/>
                    <w:left w:w="0" w:type="dxa"/>
                    <w:bottom w:w="0" w:type="dxa"/>
                    <w:right w:w="0" w:type="dxa"/>
                  </w:tcMar>
                  <w:vAlign w:val="center"/>
                </w:tcPr>
                <w:p w14:paraId="6F4D62D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15</w:t>
                  </w:r>
                </w:p>
              </w:tc>
              <w:tc>
                <w:tcPr>
                  <w:tcW w:w="182" w:type="pct"/>
                  <w:shd w:val="clear" w:color="auto" w:fill="FFFFFF"/>
                  <w:noWrap w:val="0"/>
                  <w:tcMar>
                    <w:top w:w="0" w:type="dxa"/>
                    <w:left w:w="0" w:type="dxa"/>
                    <w:bottom w:w="0" w:type="dxa"/>
                    <w:right w:w="0" w:type="dxa"/>
                  </w:tcMar>
                  <w:vAlign w:val="center"/>
                </w:tcPr>
                <w:p w14:paraId="75E7AF2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15</w:t>
                  </w:r>
                </w:p>
              </w:tc>
              <w:tc>
                <w:tcPr>
                  <w:tcW w:w="175" w:type="pct"/>
                  <w:shd w:val="clear" w:color="auto" w:fill="FFFFFF"/>
                  <w:noWrap w:val="0"/>
                  <w:tcMar>
                    <w:top w:w="0" w:type="dxa"/>
                    <w:left w:w="0" w:type="dxa"/>
                    <w:bottom w:w="0" w:type="dxa"/>
                    <w:right w:w="0" w:type="dxa"/>
                  </w:tcMar>
                  <w:vAlign w:val="center"/>
                </w:tcPr>
                <w:p w14:paraId="39F2833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sz w:val="18"/>
                      <w:szCs w:val="18"/>
                      <w:lang w:val="en-US" w:eastAsia="zh-CN"/>
                    </w:rPr>
                  </w:pPr>
                  <w:r>
                    <w:rPr>
                      <w:rFonts w:hint="eastAsia" w:cs="Times New Roman"/>
                      <w:color w:val="000000"/>
                      <w:sz w:val="18"/>
                      <w:szCs w:val="18"/>
                      <w:lang w:val="en-US" w:eastAsia="zh-CN"/>
                    </w:rPr>
                    <w:t>38</w:t>
                  </w:r>
                </w:p>
              </w:tc>
              <w:tc>
                <w:tcPr>
                  <w:tcW w:w="175" w:type="pct"/>
                  <w:shd w:val="clear" w:color="auto" w:fill="FFFFFF"/>
                  <w:noWrap w:val="0"/>
                  <w:tcMar>
                    <w:top w:w="0" w:type="dxa"/>
                    <w:left w:w="0" w:type="dxa"/>
                    <w:bottom w:w="0" w:type="dxa"/>
                    <w:right w:w="0" w:type="dxa"/>
                  </w:tcMar>
                  <w:vAlign w:val="center"/>
                </w:tcPr>
                <w:p w14:paraId="4CF2045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sz w:val="18"/>
                      <w:szCs w:val="18"/>
                      <w:lang w:val="en-US" w:eastAsia="zh-CN"/>
                    </w:rPr>
                  </w:pPr>
                  <w:r>
                    <w:rPr>
                      <w:rFonts w:hint="eastAsia" w:cs="Times New Roman"/>
                      <w:color w:val="000000"/>
                      <w:sz w:val="18"/>
                      <w:szCs w:val="18"/>
                      <w:lang w:val="en-US" w:eastAsia="zh-CN"/>
                    </w:rPr>
                    <w:t>35</w:t>
                  </w:r>
                </w:p>
              </w:tc>
              <w:tc>
                <w:tcPr>
                  <w:tcW w:w="175" w:type="pct"/>
                  <w:shd w:val="clear" w:color="auto" w:fill="FFFFFF"/>
                  <w:noWrap w:val="0"/>
                  <w:tcMar>
                    <w:top w:w="0" w:type="dxa"/>
                    <w:left w:w="0" w:type="dxa"/>
                    <w:bottom w:w="0" w:type="dxa"/>
                    <w:right w:w="0" w:type="dxa"/>
                  </w:tcMar>
                  <w:vAlign w:val="center"/>
                </w:tcPr>
                <w:p w14:paraId="07F707D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30</w:t>
                  </w:r>
                </w:p>
              </w:tc>
              <w:tc>
                <w:tcPr>
                  <w:tcW w:w="175" w:type="pct"/>
                  <w:shd w:val="clear" w:color="auto" w:fill="FFFFFF"/>
                  <w:noWrap w:val="0"/>
                  <w:tcMar>
                    <w:top w:w="0" w:type="dxa"/>
                    <w:left w:w="0" w:type="dxa"/>
                    <w:bottom w:w="0" w:type="dxa"/>
                    <w:right w:w="0" w:type="dxa"/>
                  </w:tcMar>
                  <w:vAlign w:val="center"/>
                </w:tcPr>
                <w:p w14:paraId="08B1583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18"/>
                      <w:szCs w:val="18"/>
                      <w:lang w:val="en-US" w:eastAsia="zh-CN" w:bidi="ar-SA"/>
                    </w:rPr>
                  </w:pPr>
                  <w:r>
                    <w:rPr>
                      <w:rFonts w:hint="eastAsia" w:cs="Times New Roman"/>
                      <w:color w:val="000000"/>
                      <w:kern w:val="2"/>
                      <w:sz w:val="18"/>
                      <w:szCs w:val="18"/>
                      <w:lang w:val="en-US" w:eastAsia="zh-CN" w:bidi="ar-SA"/>
                    </w:rPr>
                    <w:t>33</w:t>
                  </w:r>
                </w:p>
              </w:tc>
              <w:tc>
                <w:tcPr>
                  <w:tcW w:w="190" w:type="pct"/>
                  <w:shd w:val="clear" w:color="auto" w:fill="FFFFFF"/>
                  <w:noWrap w:val="0"/>
                  <w:tcMar>
                    <w:top w:w="0" w:type="dxa"/>
                    <w:left w:w="0" w:type="dxa"/>
                    <w:bottom w:w="0" w:type="dxa"/>
                    <w:right w:w="0" w:type="dxa"/>
                  </w:tcMar>
                  <w:vAlign w:val="center"/>
                </w:tcPr>
                <w:p w14:paraId="1A5F2DF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 w:val="18"/>
                      <w:szCs w:val="18"/>
                      <w:lang w:val="en-US" w:eastAsia="zh-CN"/>
                    </w:rPr>
                  </w:pPr>
                  <w:r>
                    <w:rPr>
                      <w:rFonts w:hint="eastAsia" w:eastAsia="宋体" w:cs="Times New Roman"/>
                      <w:color w:val="000000"/>
                      <w:sz w:val="18"/>
                      <w:szCs w:val="18"/>
                      <w:lang w:val="en-US" w:eastAsia="zh-CN"/>
                    </w:rPr>
                    <w:t>1</w:t>
                  </w:r>
                </w:p>
              </w:tc>
            </w:tr>
            <w:tr w14:paraId="5A81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5000" w:type="pct"/>
                  <w:gridSpan w:val="25"/>
                  <w:shd w:val="clear" w:color="auto" w:fill="FFFFFF"/>
                  <w:noWrap w:val="0"/>
                  <w:tcMar>
                    <w:top w:w="0" w:type="dxa"/>
                    <w:left w:w="0" w:type="dxa"/>
                    <w:bottom w:w="0" w:type="dxa"/>
                    <w:right w:w="0" w:type="dxa"/>
                  </w:tcMar>
                  <w:vAlign w:val="center"/>
                </w:tcPr>
                <w:p w14:paraId="7F22E8D4">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000000"/>
                      <w:sz w:val="18"/>
                      <w:szCs w:val="18"/>
                      <w:lang w:val="en-US" w:eastAsia="zh-CN"/>
                    </w:rPr>
                  </w:pPr>
                  <w:r>
                    <w:rPr>
                      <w:rFonts w:hint="eastAsia" w:eastAsia="宋体" w:cs="Times New Roman"/>
                      <w:color w:val="000000"/>
                      <w:sz w:val="18"/>
                      <w:szCs w:val="18"/>
                      <w:lang w:val="en-US" w:eastAsia="zh-CN"/>
                    </w:rPr>
                    <w:t>备注：</w:t>
                  </w:r>
                  <w:r>
                    <w:rPr>
                      <w:rFonts w:hint="eastAsia"/>
                      <w:color w:val="000000"/>
                      <w:sz w:val="18"/>
                      <w:szCs w:val="18"/>
                    </w:rPr>
                    <w:t>参照点</w:t>
                  </w:r>
                  <w:r>
                    <w:rPr>
                      <w:rFonts w:hint="eastAsia"/>
                      <w:color w:val="000000"/>
                      <w:sz w:val="18"/>
                      <w:szCs w:val="18"/>
                      <w:lang w:val="en-US" w:eastAsia="zh-CN"/>
                    </w:rPr>
                    <w:t>为厂界西侧角</w:t>
                  </w:r>
                  <w:r>
                    <w:rPr>
                      <w:rFonts w:hint="eastAsia"/>
                      <w:color w:val="000000"/>
                      <w:sz w:val="18"/>
                      <w:szCs w:val="18"/>
                    </w:rPr>
                    <w:t>xy</w:t>
                  </w:r>
                  <w:r>
                    <w:rPr>
                      <w:rFonts w:hint="eastAsia"/>
                      <w:color w:val="000000"/>
                      <w:sz w:val="18"/>
                      <w:szCs w:val="18"/>
                      <w:lang w:val="en-US" w:eastAsia="zh-CN"/>
                    </w:rPr>
                    <w:t>z</w:t>
                  </w:r>
                  <w:r>
                    <w:rPr>
                      <w:rFonts w:hint="eastAsia"/>
                      <w:color w:val="000000"/>
                      <w:sz w:val="18"/>
                      <w:szCs w:val="18"/>
                      <w:lang w:eastAsia="zh-CN"/>
                    </w:rPr>
                    <w:t>（</w:t>
                  </w:r>
                  <w:r>
                    <w:rPr>
                      <w:rFonts w:hint="eastAsia"/>
                      <w:color w:val="000000"/>
                      <w:sz w:val="18"/>
                      <w:szCs w:val="18"/>
                      <w:lang w:val="en-US" w:eastAsia="zh-CN"/>
                    </w:rPr>
                    <w:t>0，0，0</w:t>
                  </w:r>
                  <w:r>
                    <w:rPr>
                      <w:rFonts w:hint="eastAsia"/>
                      <w:color w:val="000000"/>
                      <w:sz w:val="18"/>
                      <w:szCs w:val="18"/>
                      <w:lang w:eastAsia="zh-CN"/>
                    </w:rPr>
                    <w:t>）</w:t>
                  </w:r>
                  <w:r>
                    <w:rPr>
                      <w:rFonts w:hint="eastAsia" w:eastAsia="宋体" w:cs="Times New Roman"/>
                      <w:color w:val="000000"/>
                      <w:sz w:val="18"/>
                      <w:szCs w:val="18"/>
                      <w:lang w:val="en-US" w:eastAsia="zh-CN"/>
                    </w:rPr>
                    <w:t>坐标为E：113.210222862</w:t>
                  </w:r>
                  <w:r>
                    <w:rPr>
                      <w:rFonts w:hint="default" w:ascii="Times New Roman" w:hAnsi="Times New Roman" w:eastAsia="宋体" w:cs="Times New Roman"/>
                      <w:color w:val="000000"/>
                      <w:sz w:val="18"/>
                      <w:szCs w:val="18"/>
                      <w:lang w:val="en-US" w:eastAsia="zh-CN"/>
                    </w:rPr>
                    <w:t>°</w:t>
                  </w:r>
                  <w:r>
                    <w:rPr>
                      <w:rFonts w:hint="eastAsia" w:eastAsia="宋体" w:cs="Times New Roman"/>
                      <w:color w:val="000000"/>
                      <w:sz w:val="18"/>
                      <w:szCs w:val="18"/>
                      <w:lang w:val="en-US" w:eastAsia="zh-CN"/>
                    </w:rPr>
                    <w:t>，N：29.490015471</w:t>
                  </w:r>
                  <w:r>
                    <w:rPr>
                      <w:rFonts w:hint="default" w:ascii="Times New Roman" w:hAnsi="Times New Roman" w:eastAsia="宋体" w:cs="Times New Roman"/>
                      <w:color w:val="000000"/>
                      <w:sz w:val="18"/>
                      <w:szCs w:val="18"/>
                      <w:lang w:val="en-US" w:eastAsia="zh-CN"/>
                    </w:rPr>
                    <w:t>°</w:t>
                  </w:r>
                </w:p>
              </w:tc>
            </w:tr>
          </w:tbl>
          <w:p w14:paraId="195031EE">
            <w:pPr>
              <w:pStyle w:val="17"/>
              <w:jc w:val="center"/>
              <w:rPr>
                <w:rFonts w:hint="default" w:ascii="Times New Roman" w:hAnsi="Times New Roman" w:cs="Times New Roman"/>
                <w:b/>
                <w:bCs/>
                <w:sz w:val="24"/>
                <w:szCs w:val="24"/>
              </w:rPr>
            </w:pPr>
            <w:r>
              <w:rPr>
                <w:rFonts w:hint="default" w:ascii="Times New Roman" w:hAnsi="Times New Roman" w:cs="Times New Roman"/>
                <w:b/>
                <w:bCs/>
                <w:sz w:val="24"/>
                <w:szCs w:val="24"/>
              </w:rPr>
              <w:t>表4-</w:t>
            </w:r>
            <w:r>
              <w:rPr>
                <w:rFonts w:hint="eastAsia" w:ascii="Times New Roman" w:hAnsi="Times New Roman" w:cs="Times New Roman"/>
                <w:b/>
                <w:bCs/>
                <w:sz w:val="24"/>
                <w:szCs w:val="24"/>
                <w:lang w:val="en-US" w:eastAsia="zh-CN"/>
              </w:rPr>
              <w:t xml:space="preserve">12 </w:t>
            </w:r>
            <w:r>
              <w:rPr>
                <w:rFonts w:hint="default" w:ascii="Times New Roman" w:hAnsi="Times New Roman" w:cs="Times New Roman"/>
                <w:b/>
                <w:bCs/>
                <w:sz w:val="24"/>
                <w:szCs w:val="24"/>
              </w:rPr>
              <w:t xml:space="preserve"> 项目噪声排放情况一览表（室</w:t>
            </w:r>
            <w:r>
              <w:rPr>
                <w:rFonts w:hint="eastAsia" w:ascii="Times New Roman" w:hAnsi="Times New Roman" w:cs="Times New Roman"/>
                <w:b/>
                <w:bCs/>
                <w:sz w:val="24"/>
                <w:szCs w:val="24"/>
                <w:lang w:val="en-US" w:eastAsia="zh-CN"/>
              </w:rPr>
              <w:t>外</w:t>
            </w:r>
            <w:r>
              <w:rPr>
                <w:rFonts w:hint="default" w:ascii="Times New Roman" w:hAnsi="Times New Roman" w:cs="Times New Roman"/>
                <w:b/>
                <w:bCs/>
                <w:sz w:val="24"/>
                <w:szCs w:val="24"/>
              </w:rPr>
              <w:t>声源）</w:t>
            </w:r>
          </w:p>
          <w:tbl>
            <w:tblPr>
              <w:tblStyle w:val="32"/>
              <w:tblW w:w="8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725"/>
              <w:gridCol w:w="492"/>
              <w:gridCol w:w="423"/>
              <w:gridCol w:w="688"/>
              <w:gridCol w:w="500"/>
              <w:gridCol w:w="491"/>
              <w:gridCol w:w="824"/>
              <w:gridCol w:w="1377"/>
              <w:gridCol w:w="857"/>
              <w:gridCol w:w="1305"/>
            </w:tblGrid>
            <w:tr w14:paraId="1491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Merge w:val="restart"/>
                  <w:noWrap w:val="0"/>
                  <w:vAlign w:val="center"/>
                </w:tcPr>
                <w:p w14:paraId="1CB73BA3">
                  <w:pPr>
                    <w:pStyle w:val="45"/>
                    <w:keepNext w:val="0"/>
                    <w:keepLines w:val="0"/>
                    <w:pageBreakBefore w:val="0"/>
                    <w:widowControl/>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lang w:val="zh-CN" w:eastAsia="zh-CN" w:bidi="ar-SA"/>
                    </w:rPr>
                  </w:pPr>
                  <w:r>
                    <w:rPr>
                      <w:rFonts w:hint="default" w:ascii="Times New Roman" w:hAnsi="Times New Roman" w:eastAsia="宋体" w:cs="Times New Roman"/>
                      <w:color w:val="auto"/>
                      <w:sz w:val="21"/>
                      <w:szCs w:val="21"/>
                      <w:highlight w:val="none"/>
                      <w:u w:val="none"/>
                      <w:lang w:val="zh-CN" w:eastAsia="zh-CN"/>
                    </w:rPr>
                    <w:t>序号</w:t>
                  </w:r>
                </w:p>
              </w:tc>
              <w:tc>
                <w:tcPr>
                  <w:tcW w:w="725" w:type="dxa"/>
                  <w:vMerge w:val="restart"/>
                  <w:noWrap w:val="0"/>
                  <w:vAlign w:val="center"/>
                </w:tcPr>
                <w:p w14:paraId="655E22CB">
                  <w:pPr>
                    <w:pStyle w:val="45"/>
                    <w:keepNext w:val="0"/>
                    <w:keepLines w:val="0"/>
                    <w:pageBreakBefore w:val="0"/>
                    <w:widowControl/>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lang w:val="zh-CN" w:eastAsia="zh-CN" w:bidi="ar-SA"/>
                    </w:rPr>
                  </w:pPr>
                  <w:r>
                    <w:rPr>
                      <w:rFonts w:hint="default" w:ascii="Times New Roman" w:hAnsi="Times New Roman" w:eastAsia="宋体" w:cs="Times New Roman"/>
                      <w:color w:val="auto"/>
                      <w:sz w:val="21"/>
                      <w:szCs w:val="21"/>
                      <w:highlight w:val="none"/>
                      <w:u w:val="none"/>
                      <w:lang w:val="zh-CN" w:eastAsia="zh-CN"/>
                    </w:rPr>
                    <w:t>声源名称</w:t>
                  </w:r>
                </w:p>
              </w:tc>
              <w:tc>
                <w:tcPr>
                  <w:tcW w:w="492" w:type="dxa"/>
                  <w:vMerge w:val="restart"/>
                  <w:noWrap w:val="0"/>
                  <w:vAlign w:val="center"/>
                </w:tcPr>
                <w:p w14:paraId="235122CB">
                  <w:pPr>
                    <w:pStyle w:val="45"/>
                    <w:keepNext w:val="0"/>
                    <w:keepLines w:val="0"/>
                    <w:pageBreakBefore w:val="0"/>
                    <w:widowControl/>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lang w:val="zh-CN" w:eastAsia="zh-CN" w:bidi="ar-SA"/>
                    </w:rPr>
                  </w:pPr>
                  <w:r>
                    <w:rPr>
                      <w:rFonts w:hint="default" w:ascii="Times New Roman" w:hAnsi="Times New Roman" w:eastAsia="宋体" w:cs="Times New Roman"/>
                      <w:color w:val="auto"/>
                      <w:sz w:val="21"/>
                      <w:szCs w:val="21"/>
                      <w:highlight w:val="none"/>
                      <w:u w:val="none"/>
                      <w:lang w:val="zh-CN" w:eastAsia="zh-CN"/>
                    </w:rPr>
                    <w:t>型号</w:t>
                  </w:r>
                </w:p>
              </w:tc>
              <w:tc>
                <w:tcPr>
                  <w:tcW w:w="423" w:type="dxa"/>
                  <w:vMerge w:val="restart"/>
                  <w:noWrap w:val="0"/>
                  <w:vAlign w:val="center"/>
                </w:tcPr>
                <w:p w14:paraId="23DCD462">
                  <w:pPr>
                    <w:pStyle w:val="45"/>
                    <w:keepNext w:val="0"/>
                    <w:keepLines w:val="0"/>
                    <w:pageBreakBefore w:val="0"/>
                    <w:widowControl/>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lang w:val="zh-CN" w:eastAsia="zh-CN" w:bidi="ar-SA"/>
                    </w:rPr>
                  </w:pPr>
                  <w:r>
                    <w:rPr>
                      <w:rFonts w:hint="default" w:ascii="Times New Roman" w:hAnsi="Times New Roman" w:eastAsia="宋体" w:cs="Times New Roman"/>
                      <w:color w:val="auto"/>
                      <w:sz w:val="21"/>
                      <w:szCs w:val="21"/>
                      <w:highlight w:val="none"/>
                      <w:u w:val="none"/>
                      <w:lang w:val="zh-CN" w:eastAsia="zh-CN"/>
                    </w:rPr>
                    <w:t>数量</w:t>
                  </w:r>
                </w:p>
              </w:tc>
              <w:tc>
                <w:tcPr>
                  <w:tcW w:w="1679" w:type="dxa"/>
                  <w:gridSpan w:val="3"/>
                  <w:noWrap w:val="0"/>
                  <w:vAlign w:val="center"/>
                </w:tcPr>
                <w:p w14:paraId="4AB177A2">
                  <w:pPr>
                    <w:pStyle w:val="45"/>
                    <w:keepNext w:val="0"/>
                    <w:keepLines w:val="0"/>
                    <w:pageBreakBefore w:val="0"/>
                    <w:widowControl/>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lang w:val="zh-CN" w:eastAsia="zh-CN" w:bidi="ar-SA"/>
                    </w:rPr>
                  </w:pPr>
                  <w:r>
                    <w:rPr>
                      <w:rFonts w:hint="default" w:ascii="Times New Roman" w:hAnsi="Times New Roman" w:eastAsia="宋体" w:cs="Times New Roman"/>
                      <w:color w:val="auto"/>
                      <w:sz w:val="21"/>
                      <w:szCs w:val="21"/>
                      <w:highlight w:val="none"/>
                      <w:u w:val="none"/>
                      <w:lang w:val="zh-CN" w:eastAsia="zh-CN"/>
                    </w:rPr>
                    <w:t>空间相对位置/m</w:t>
                  </w:r>
                </w:p>
              </w:tc>
              <w:tc>
                <w:tcPr>
                  <w:tcW w:w="824" w:type="dxa"/>
                  <w:vMerge w:val="restart"/>
                  <w:noWrap w:val="0"/>
                  <w:vAlign w:val="center"/>
                </w:tcPr>
                <w:p w14:paraId="014A6DD4">
                  <w:pPr>
                    <w:pStyle w:val="45"/>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auto"/>
                      <w:sz w:val="21"/>
                      <w:szCs w:val="21"/>
                      <w:highlight w:val="none"/>
                      <w:u w:val="none"/>
                      <w:lang w:val="zh-CN" w:eastAsia="zh-CN"/>
                    </w:rPr>
                  </w:pPr>
                  <w:r>
                    <w:rPr>
                      <w:rFonts w:hint="default" w:ascii="Times New Roman" w:hAnsi="Times New Roman" w:eastAsia="宋体" w:cs="Times New Roman"/>
                      <w:color w:val="auto"/>
                      <w:sz w:val="21"/>
                      <w:szCs w:val="21"/>
                      <w:highlight w:val="none"/>
                      <w:u w:val="none"/>
                      <w:lang w:val="zh-CN" w:eastAsia="zh-CN"/>
                    </w:rPr>
                    <w:t>声功率级</w:t>
                  </w:r>
                </w:p>
                <w:p w14:paraId="07BCC4AD">
                  <w:pPr>
                    <w:pStyle w:val="45"/>
                    <w:keepNext w:val="0"/>
                    <w:keepLines w:val="0"/>
                    <w:pageBreakBefore w:val="0"/>
                    <w:widowControl/>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lang w:val="zh-CN" w:eastAsia="zh-CN" w:bidi="ar-SA"/>
                    </w:rPr>
                  </w:pPr>
                  <w:r>
                    <w:rPr>
                      <w:rFonts w:hint="default" w:ascii="Times New Roman" w:hAnsi="Times New Roman" w:eastAsia="宋体" w:cs="Times New Roman"/>
                      <w:color w:val="auto"/>
                      <w:sz w:val="21"/>
                      <w:szCs w:val="21"/>
                      <w:highlight w:val="none"/>
                      <w:u w:val="none"/>
                      <w:lang w:val="zh-CN" w:eastAsia="zh-CN"/>
                    </w:rPr>
                    <w:t>/dB(A)</w:t>
                  </w:r>
                </w:p>
              </w:tc>
              <w:tc>
                <w:tcPr>
                  <w:tcW w:w="1377" w:type="dxa"/>
                  <w:vMerge w:val="restart"/>
                  <w:noWrap w:val="0"/>
                  <w:vAlign w:val="center"/>
                </w:tcPr>
                <w:p w14:paraId="0C404AC7">
                  <w:pPr>
                    <w:pStyle w:val="45"/>
                    <w:keepNext w:val="0"/>
                    <w:keepLines w:val="0"/>
                    <w:pageBreakBefore w:val="0"/>
                    <w:widowControl/>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lang w:val="zh-CN" w:eastAsia="zh-CN" w:bidi="ar-SA"/>
                    </w:rPr>
                  </w:pPr>
                  <w:r>
                    <w:rPr>
                      <w:rFonts w:hint="default" w:ascii="Times New Roman" w:hAnsi="Times New Roman" w:eastAsia="宋体" w:cs="Times New Roman"/>
                      <w:color w:val="auto"/>
                      <w:sz w:val="21"/>
                      <w:szCs w:val="21"/>
                      <w:highlight w:val="none"/>
                      <w:u w:val="none"/>
                      <w:lang w:val="zh-CN" w:eastAsia="zh-CN"/>
                    </w:rPr>
                    <w:t>声源控制措施</w:t>
                  </w:r>
                </w:p>
              </w:tc>
              <w:tc>
                <w:tcPr>
                  <w:tcW w:w="857" w:type="dxa"/>
                  <w:vMerge w:val="restart"/>
                  <w:noWrap w:val="0"/>
                  <w:vAlign w:val="center"/>
                </w:tcPr>
                <w:p w14:paraId="6C967099">
                  <w:pPr>
                    <w:pStyle w:val="45"/>
                    <w:keepNext w:val="0"/>
                    <w:keepLines w:val="0"/>
                    <w:pageBreakBefore w:val="0"/>
                    <w:widowControl/>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lang w:val="zh-CN" w:eastAsia="zh-CN" w:bidi="ar-SA"/>
                    </w:rPr>
                  </w:pPr>
                  <w:r>
                    <w:rPr>
                      <w:rFonts w:hint="default" w:ascii="Times New Roman" w:hAnsi="Times New Roman" w:eastAsia="宋体" w:cs="Times New Roman"/>
                      <w:color w:val="auto"/>
                      <w:sz w:val="21"/>
                      <w:szCs w:val="21"/>
                      <w:highlight w:val="none"/>
                      <w:u w:val="none"/>
                      <w:lang w:val="zh-CN" w:eastAsia="zh-CN"/>
                    </w:rPr>
                    <w:t>采取减噪措施后源强/dB(A)</w:t>
                  </w:r>
                </w:p>
              </w:tc>
              <w:tc>
                <w:tcPr>
                  <w:tcW w:w="1305" w:type="dxa"/>
                  <w:vMerge w:val="restart"/>
                  <w:noWrap w:val="0"/>
                  <w:vAlign w:val="center"/>
                </w:tcPr>
                <w:p w14:paraId="5DB9E41A">
                  <w:pPr>
                    <w:pStyle w:val="45"/>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b/>
                      <w:bCs/>
                      <w:sz w:val="21"/>
                      <w:szCs w:val="21"/>
                      <w:vertAlign w:val="baseline"/>
                    </w:rPr>
                  </w:pPr>
                  <w:r>
                    <w:rPr>
                      <w:rFonts w:hint="default" w:ascii="Times New Roman" w:hAnsi="Times New Roman" w:eastAsia="宋体" w:cs="Times New Roman"/>
                      <w:color w:val="auto"/>
                      <w:sz w:val="21"/>
                      <w:szCs w:val="21"/>
                      <w:highlight w:val="none"/>
                      <w:u w:val="none"/>
                      <w:lang w:val="zh-CN" w:eastAsia="zh-CN"/>
                    </w:rPr>
                    <w:t>运行时段</w:t>
                  </w:r>
                </w:p>
              </w:tc>
            </w:tr>
            <w:tr w14:paraId="0030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Merge w:val="continue"/>
                  <w:noWrap w:val="0"/>
                  <w:vAlign w:val="center"/>
                </w:tcPr>
                <w:p w14:paraId="3335274E">
                  <w:pPr>
                    <w:pStyle w:val="38"/>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b/>
                      <w:bCs/>
                      <w:sz w:val="21"/>
                      <w:szCs w:val="21"/>
                      <w:vertAlign w:val="baseline"/>
                    </w:rPr>
                  </w:pPr>
                </w:p>
              </w:tc>
              <w:tc>
                <w:tcPr>
                  <w:tcW w:w="725" w:type="dxa"/>
                  <w:vMerge w:val="continue"/>
                  <w:noWrap w:val="0"/>
                  <w:vAlign w:val="center"/>
                </w:tcPr>
                <w:p w14:paraId="64FB4B4D">
                  <w:pPr>
                    <w:pStyle w:val="38"/>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b/>
                      <w:bCs/>
                      <w:sz w:val="21"/>
                      <w:szCs w:val="21"/>
                      <w:vertAlign w:val="baseline"/>
                    </w:rPr>
                  </w:pPr>
                </w:p>
              </w:tc>
              <w:tc>
                <w:tcPr>
                  <w:tcW w:w="492" w:type="dxa"/>
                  <w:vMerge w:val="continue"/>
                  <w:noWrap w:val="0"/>
                  <w:vAlign w:val="center"/>
                </w:tcPr>
                <w:p w14:paraId="0B8EABF1">
                  <w:pPr>
                    <w:pStyle w:val="38"/>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b/>
                      <w:bCs/>
                      <w:sz w:val="21"/>
                      <w:szCs w:val="21"/>
                      <w:vertAlign w:val="baseline"/>
                    </w:rPr>
                  </w:pPr>
                </w:p>
              </w:tc>
              <w:tc>
                <w:tcPr>
                  <w:tcW w:w="423" w:type="dxa"/>
                  <w:vMerge w:val="continue"/>
                  <w:noWrap w:val="0"/>
                  <w:vAlign w:val="center"/>
                </w:tcPr>
                <w:p w14:paraId="237F31D6">
                  <w:pPr>
                    <w:pStyle w:val="38"/>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b/>
                      <w:bCs/>
                      <w:sz w:val="21"/>
                      <w:szCs w:val="21"/>
                      <w:vertAlign w:val="baseline"/>
                    </w:rPr>
                  </w:pPr>
                </w:p>
              </w:tc>
              <w:tc>
                <w:tcPr>
                  <w:tcW w:w="688" w:type="dxa"/>
                  <w:noWrap w:val="0"/>
                  <w:vAlign w:val="center"/>
                </w:tcPr>
                <w:p w14:paraId="724F2637">
                  <w:pPr>
                    <w:pStyle w:val="45"/>
                    <w:keepNext w:val="0"/>
                    <w:keepLines w:val="0"/>
                    <w:pageBreakBefore w:val="0"/>
                    <w:widowControl/>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lang w:val="zh-CN" w:eastAsia="zh-CN" w:bidi="ar-SA"/>
                    </w:rPr>
                  </w:pPr>
                  <w:r>
                    <w:rPr>
                      <w:rFonts w:hint="default" w:ascii="Times New Roman" w:hAnsi="Times New Roman" w:eastAsia="宋体" w:cs="Times New Roman"/>
                      <w:color w:val="auto"/>
                      <w:sz w:val="21"/>
                      <w:szCs w:val="21"/>
                      <w:highlight w:val="none"/>
                      <w:u w:val="none"/>
                      <w:lang w:val="zh-CN" w:eastAsia="zh-CN"/>
                    </w:rPr>
                    <w:t>X</w:t>
                  </w:r>
                </w:p>
              </w:tc>
              <w:tc>
                <w:tcPr>
                  <w:tcW w:w="500" w:type="dxa"/>
                  <w:noWrap w:val="0"/>
                  <w:vAlign w:val="center"/>
                </w:tcPr>
                <w:p w14:paraId="6BCF3AF2">
                  <w:pPr>
                    <w:pStyle w:val="45"/>
                    <w:keepNext w:val="0"/>
                    <w:keepLines w:val="0"/>
                    <w:pageBreakBefore w:val="0"/>
                    <w:widowControl/>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lang w:val="zh-CN" w:eastAsia="zh-CN" w:bidi="ar-SA"/>
                    </w:rPr>
                  </w:pPr>
                  <w:r>
                    <w:rPr>
                      <w:rFonts w:hint="default" w:ascii="Times New Roman" w:hAnsi="Times New Roman" w:eastAsia="宋体" w:cs="Times New Roman"/>
                      <w:color w:val="auto"/>
                      <w:sz w:val="21"/>
                      <w:szCs w:val="21"/>
                      <w:highlight w:val="none"/>
                      <w:u w:val="none"/>
                      <w:lang w:val="zh-CN" w:eastAsia="zh-CN"/>
                    </w:rPr>
                    <w:t>Y</w:t>
                  </w:r>
                </w:p>
              </w:tc>
              <w:tc>
                <w:tcPr>
                  <w:tcW w:w="491" w:type="dxa"/>
                  <w:noWrap w:val="0"/>
                  <w:vAlign w:val="center"/>
                </w:tcPr>
                <w:p w14:paraId="1B57F038">
                  <w:pPr>
                    <w:pStyle w:val="45"/>
                    <w:keepNext w:val="0"/>
                    <w:keepLines w:val="0"/>
                    <w:pageBreakBefore w:val="0"/>
                    <w:widowControl/>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lang w:val="zh-CN" w:eastAsia="zh-CN" w:bidi="ar-SA"/>
                    </w:rPr>
                  </w:pPr>
                  <w:r>
                    <w:rPr>
                      <w:rFonts w:hint="default" w:ascii="Times New Roman" w:hAnsi="Times New Roman" w:eastAsia="宋体" w:cs="Times New Roman"/>
                      <w:color w:val="auto"/>
                      <w:sz w:val="21"/>
                      <w:szCs w:val="21"/>
                      <w:highlight w:val="none"/>
                      <w:u w:val="none"/>
                      <w:lang w:val="zh-CN" w:eastAsia="zh-CN"/>
                    </w:rPr>
                    <w:t>Z</w:t>
                  </w:r>
                </w:p>
              </w:tc>
              <w:tc>
                <w:tcPr>
                  <w:tcW w:w="824" w:type="dxa"/>
                  <w:vMerge w:val="continue"/>
                  <w:noWrap w:val="0"/>
                  <w:vAlign w:val="center"/>
                </w:tcPr>
                <w:p w14:paraId="6A12C66B">
                  <w:pPr>
                    <w:pStyle w:val="38"/>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b/>
                      <w:bCs/>
                      <w:sz w:val="21"/>
                      <w:szCs w:val="21"/>
                      <w:vertAlign w:val="baseline"/>
                    </w:rPr>
                  </w:pPr>
                </w:p>
              </w:tc>
              <w:tc>
                <w:tcPr>
                  <w:tcW w:w="1377" w:type="dxa"/>
                  <w:vMerge w:val="continue"/>
                  <w:noWrap w:val="0"/>
                  <w:vAlign w:val="center"/>
                </w:tcPr>
                <w:p w14:paraId="15BA9977">
                  <w:pPr>
                    <w:pStyle w:val="38"/>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b/>
                      <w:bCs/>
                      <w:sz w:val="21"/>
                      <w:szCs w:val="21"/>
                      <w:vertAlign w:val="baseline"/>
                    </w:rPr>
                  </w:pPr>
                </w:p>
              </w:tc>
              <w:tc>
                <w:tcPr>
                  <w:tcW w:w="857" w:type="dxa"/>
                  <w:vMerge w:val="continue"/>
                  <w:noWrap w:val="0"/>
                  <w:vAlign w:val="center"/>
                </w:tcPr>
                <w:p w14:paraId="70E7948C">
                  <w:pPr>
                    <w:pStyle w:val="38"/>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b/>
                      <w:bCs/>
                      <w:sz w:val="21"/>
                      <w:szCs w:val="21"/>
                      <w:vertAlign w:val="baseline"/>
                    </w:rPr>
                  </w:pPr>
                </w:p>
              </w:tc>
              <w:tc>
                <w:tcPr>
                  <w:tcW w:w="1305" w:type="dxa"/>
                  <w:vMerge w:val="continue"/>
                  <w:noWrap w:val="0"/>
                  <w:vAlign w:val="center"/>
                </w:tcPr>
                <w:p w14:paraId="0A79F01A">
                  <w:pPr>
                    <w:pStyle w:val="38"/>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b/>
                      <w:bCs/>
                      <w:sz w:val="21"/>
                      <w:szCs w:val="21"/>
                      <w:vertAlign w:val="baseline"/>
                    </w:rPr>
                  </w:pPr>
                </w:p>
              </w:tc>
            </w:tr>
            <w:tr w14:paraId="0D71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noWrap w:val="0"/>
                  <w:vAlign w:val="center"/>
                </w:tcPr>
                <w:p w14:paraId="4A168CE5">
                  <w:pPr>
                    <w:pStyle w:val="45"/>
                    <w:keepNext w:val="0"/>
                    <w:keepLines w:val="0"/>
                    <w:pageBreakBefore w:val="0"/>
                    <w:widowControl/>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lang w:val="zh-CN" w:eastAsia="zh-CN" w:bidi="ar-SA"/>
                    </w:rPr>
                  </w:pPr>
                  <w:r>
                    <w:rPr>
                      <w:rFonts w:hint="default" w:ascii="Times New Roman" w:hAnsi="Times New Roman" w:eastAsia="宋体" w:cs="Times New Roman"/>
                      <w:color w:val="auto"/>
                      <w:sz w:val="21"/>
                      <w:szCs w:val="21"/>
                      <w:highlight w:val="none"/>
                      <w:u w:val="none"/>
                      <w:lang w:val="zh-CN" w:eastAsia="zh-CN"/>
                    </w:rPr>
                    <w:t>1</w:t>
                  </w:r>
                </w:p>
              </w:tc>
              <w:tc>
                <w:tcPr>
                  <w:tcW w:w="725" w:type="dxa"/>
                  <w:noWrap w:val="0"/>
                  <w:vAlign w:val="center"/>
                </w:tcPr>
                <w:p w14:paraId="0A08479C">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rPr>
                    <w:t>冷却水塔</w:t>
                  </w:r>
                </w:p>
              </w:tc>
              <w:tc>
                <w:tcPr>
                  <w:tcW w:w="492" w:type="dxa"/>
                  <w:noWrap w:val="0"/>
                  <w:vAlign w:val="center"/>
                </w:tcPr>
                <w:p w14:paraId="4704E9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kern w:val="2"/>
                      <w:sz w:val="21"/>
                      <w:szCs w:val="21"/>
                      <w:highlight w:val="none"/>
                      <w:u w:val="none"/>
                      <w:lang w:val="en-US" w:eastAsia="zh-CN" w:bidi="ar-SA"/>
                    </w:rPr>
                  </w:pPr>
                  <w:r>
                    <w:rPr>
                      <w:rFonts w:hint="default" w:ascii="Times New Roman" w:hAnsi="Times New Roman" w:cs="Times New Roman"/>
                      <w:b w:val="0"/>
                      <w:bCs w:val="0"/>
                      <w:color w:val="auto"/>
                      <w:kern w:val="2"/>
                      <w:sz w:val="21"/>
                      <w:szCs w:val="21"/>
                      <w:highlight w:val="none"/>
                      <w:u w:val="none"/>
                      <w:lang w:val="en-US" w:eastAsia="zh-CN" w:bidi="ar-SA"/>
                    </w:rPr>
                    <w:t>/</w:t>
                  </w:r>
                </w:p>
              </w:tc>
              <w:tc>
                <w:tcPr>
                  <w:tcW w:w="423" w:type="dxa"/>
                  <w:noWrap w:val="0"/>
                  <w:vAlign w:val="center"/>
                </w:tcPr>
                <w:p w14:paraId="0301D2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kern w:val="2"/>
                      <w:sz w:val="21"/>
                      <w:szCs w:val="21"/>
                      <w:highlight w:val="none"/>
                      <w:u w:val="none"/>
                      <w:lang w:val="en-US" w:eastAsia="zh-CN" w:bidi="ar-SA"/>
                    </w:rPr>
                  </w:pPr>
                  <w:r>
                    <w:rPr>
                      <w:rFonts w:hint="default" w:ascii="Times New Roman" w:hAnsi="Times New Roman" w:cs="Times New Roman"/>
                      <w:b w:val="0"/>
                      <w:bCs w:val="0"/>
                      <w:color w:val="auto"/>
                      <w:kern w:val="2"/>
                      <w:sz w:val="21"/>
                      <w:szCs w:val="21"/>
                      <w:highlight w:val="none"/>
                      <w:u w:val="none"/>
                      <w:lang w:val="en-US" w:eastAsia="zh-CN" w:bidi="ar-SA"/>
                    </w:rPr>
                    <w:t>1</w:t>
                  </w:r>
                </w:p>
              </w:tc>
              <w:tc>
                <w:tcPr>
                  <w:tcW w:w="688" w:type="dxa"/>
                  <w:noWrap w:val="0"/>
                  <w:vAlign w:val="center"/>
                </w:tcPr>
                <w:p w14:paraId="11583A82">
                  <w:pPr>
                    <w:keepNext w:val="0"/>
                    <w:keepLines w:val="0"/>
                    <w:pageBreakBefore w:val="0"/>
                    <w:kinsoku/>
                    <w:wordWrap/>
                    <w:overflowPunct/>
                    <w:topLinePunct w:val="0"/>
                    <w:autoSpaceDE/>
                    <w:autoSpaceDN/>
                    <w:bidi w:val="0"/>
                    <w:spacing w:line="240" w:lineRule="auto"/>
                    <w:ind w:firstLine="0" w:firstLineChars="0"/>
                    <w:jc w:val="center"/>
                    <w:rPr>
                      <w:rFonts w:hint="default"/>
                      <w:color w:val="auto"/>
                      <w:spacing w:val="8"/>
                      <w:kern w:val="2"/>
                      <w:sz w:val="21"/>
                      <w:szCs w:val="21"/>
                      <w:lang w:val="en-US" w:eastAsia="zh-CN" w:bidi="ar-SA"/>
                    </w:rPr>
                  </w:pPr>
                  <w:r>
                    <w:rPr>
                      <w:rFonts w:hint="eastAsia"/>
                      <w:color w:val="auto"/>
                      <w:spacing w:val="8"/>
                      <w:kern w:val="2"/>
                      <w:sz w:val="21"/>
                      <w:szCs w:val="21"/>
                      <w:lang w:val="en-US" w:eastAsia="zh-CN" w:bidi="ar-SA"/>
                    </w:rPr>
                    <w:t>100</w:t>
                  </w:r>
                </w:p>
              </w:tc>
              <w:tc>
                <w:tcPr>
                  <w:tcW w:w="500" w:type="dxa"/>
                  <w:noWrap w:val="0"/>
                  <w:vAlign w:val="center"/>
                </w:tcPr>
                <w:p w14:paraId="664EA8AF">
                  <w:pPr>
                    <w:keepNext w:val="0"/>
                    <w:keepLines w:val="0"/>
                    <w:pageBreakBefore w:val="0"/>
                    <w:kinsoku/>
                    <w:wordWrap/>
                    <w:overflowPunct/>
                    <w:topLinePunct w:val="0"/>
                    <w:autoSpaceDE/>
                    <w:autoSpaceDN/>
                    <w:bidi w:val="0"/>
                    <w:spacing w:line="240" w:lineRule="auto"/>
                    <w:ind w:firstLine="0" w:firstLineChars="0"/>
                    <w:jc w:val="center"/>
                    <w:rPr>
                      <w:rFonts w:hint="default" w:eastAsia="宋体"/>
                      <w:color w:val="auto"/>
                      <w:spacing w:val="8"/>
                      <w:kern w:val="2"/>
                      <w:sz w:val="21"/>
                      <w:szCs w:val="21"/>
                      <w:lang w:val="en-US" w:eastAsia="zh-CN" w:bidi="ar-SA"/>
                    </w:rPr>
                  </w:pPr>
                  <w:r>
                    <w:rPr>
                      <w:rFonts w:hint="eastAsia"/>
                      <w:color w:val="auto"/>
                      <w:spacing w:val="8"/>
                      <w:kern w:val="2"/>
                      <w:sz w:val="21"/>
                      <w:szCs w:val="21"/>
                      <w:lang w:val="en-US" w:eastAsia="zh-CN" w:bidi="ar-SA"/>
                    </w:rPr>
                    <w:t>15</w:t>
                  </w:r>
                </w:p>
              </w:tc>
              <w:tc>
                <w:tcPr>
                  <w:tcW w:w="491" w:type="dxa"/>
                  <w:noWrap w:val="0"/>
                  <w:vAlign w:val="center"/>
                </w:tcPr>
                <w:p w14:paraId="1D2F9363">
                  <w:pPr>
                    <w:keepNext w:val="0"/>
                    <w:keepLines w:val="0"/>
                    <w:pageBreakBefore w:val="0"/>
                    <w:kinsoku/>
                    <w:wordWrap/>
                    <w:overflowPunct/>
                    <w:topLinePunct w:val="0"/>
                    <w:autoSpaceDE/>
                    <w:autoSpaceDN/>
                    <w:bidi w:val="0"/>
                    <w:spacing w:line="240" w:lineRule="auto"/>
                    <w:ind w:firstLine="0" w:firstLineChars="0"/>
                    <w:jc w:val="center"/>
                    <w:rPr>
                      <w:rFonts w:hint="default" w:eastAsia="宋体"/>
                      <w:color w:val="auto"/>
                      <w:spacing w:val="8"/>
                      <w:kern w:val="2"/>
                      <w:sz w:val="21"/>
                      <w:szCs w:val="21"/>
                      <w:lang w:val="en-US" w:eastAsia="zh-CN" w:bidi="ar-SA"/>
                    </w:rPr>
                  </w:pPr>
                  <w:r>
                    <w:rPr>
                      <w:rFonts w:hint="eastAsia"/>
                      <w:color w:val="auto"/>
                      <w:spacing w:val="8"/>
                      <w:kern w:val="2"/>
                      <w:sz w:val="21"/>
                      <w:szCs w:val="21"/>
                      <w:lang w:val="en-US" w:eastAsia="zh-CN" w:bidi="ar-SA"/>
                    </w:rPr>
                    <w:t>0</w:t>
                  </w:r>
                </w:p>
              </w:tc>
              <w:tc>
                <w:tcPr>
                  <w:tcW w:w="824" w:type="dxa"/>
                  <w:noWrap w:val="0"/>
                  <w:vAlign w:val="center"/>
                </w:tcPr>
                <w:p w14:paraId="597AD6C4">
                  <w:pPr>
                    <w:pStyle w:val="45"/>
                    <w:keepNext w:val="0"/>
                    <w:keepLines w:val="0"/>
                    <w:pageBreakBefore w:val="0"/>
                    <w:widowControl/>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val="en-US" w:eastAsia="zh-CN"/>
                    </w:rPr>
                    <w:t>8</w:t>
                  </w:r>
                  <w:r>
                    <w:rPr>
                      <w:rFonts w:hint="eastAsia" w:ascii="Times New Roman" w:hAnsi="Times New Roman" w:eastAsia="宋体" w:cs="Times New Roman"/>
                      <w:color w:val="auto"/>
                      <w:sz w:val="21"/>
                      <w:szCs w:val="21"/>
                      <w:highlight w:val="none"/>
                      <w:u w:val="none"/>
                      <w:lang w:val="en-US" w:eastAsia="zh-CN"/>
                    </w:rPr>
                    <w:t>5</w:t>
                  </w:r>
                </w:p>
              </w:tc>
              <w:tc>
                <w:tcPr>
                  <w:tcW w:w="1377" w:type="dxa"/>
                  <w:noWrap w:val="0"/>
                  <w:vAlign w:val="center"/>
                </w:tcPr>
                <w:p w14:paraId="1406666B">
                  <w:pPr>
                    <w:pStyle w:val="45"/>
                    <w:keepNext w:val="0"/>
                    <w:keepLines w:val="0"/>
                    <w:pageBreakBefore w:val="0"/>
                    <w:widowControl/>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cs="Times New Roman"/>
                      <w:color w:val="auto"/>
                      <w:sz w:val="21"/>
                      <w:szCs w:val="21"/>
                      <w:highlight w:val="none"/>
                      <w:u w:val="none"/>
                      <w:lang w:val="en-US" w:eastAsia="zh-CN"/>
                    </w:rPr>
                    <w:t>基础减震</w:t>
                  </w:r>
                </w:p>
              </w:tc>
              <w:tc>
                <w:tcPr>
                  <w:tcW w:w="857" w:type="dxa"/>
                  <w:noWrap w:val="0"/>
                  <w:vAlign w:val="center"/>
                </w:tcPr>
                <w:p w14:paraId="2757338B">
                  <w:pPr>
                    <w:pStyle w:val="45"/>
                    <w:keepNext w:val="0"/>
                    <w:keepLines w:val="0"/>
                    <w:pageBreakBefore w:val="0"/>
                    <w:widowControl/>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ascii="Times New Roman" w:hAnsi="Times New Roman" w:cs="Times New Roman"/>
                      <w:color w:val="auto"/>
                      <w:kern w:val="2"/>
                      <w:sz w:val="21"/>
                      <w:szCs w:val="21"/>
                      <w:highlight w:val="none"/>
                      <w:u w:val="none"/>
                      <w:lang w:val="en-US" w:eastAsia="zh-CN" w:bidi="ar-SA"/>
                    </w:rPr>
                  </w:pPr>
                  <w:r>
                    <w:rPr>
                      <w:rFonts w:hint="eastAsia" w:ascii="Times New Roman" w:hAnsi="Times New Roman" w:cs="Times New Roman"/>
                      <w:color w:val="auto"/>
                      <w:sz w:val="21"/>
                      <w:szCs w:val="21"/>
                      <w:highlight w:val="none"/>
                      <w:u w:val="none"/>
                      <w:lang w:val="en-US" w:eastAsia="zh-CN"/>
                    </w:rPr>
                    <w:t>75</w:t>
                  </w:r>
                </w:p>
              </w:tc>
              <w:tc>
                <w:tcPr>
                  <w:tcW w:w="1305" w:type="dxa"/>
                  <w:vMerge w:val="restart"/>
                  <w:noWrap w:val="0"/>
                  <w:vAlign w:val="center"/>
                </w:tcPr>
                <w:p w14:paraId="17DF090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1"/>
                      <w:szCs w:val="21"/>
                      <w:vertAlign w:val="baseline"/>
                    </w:rPr>
                  </w:pPr>
                  <w:r>
                    <w:rPr>
                      <w:rFonts w:hint="eastAsia" w:ascii="Times New Roman" w:hAnsi="Times New Roman" w:eastAsia="宋体" w:cs="Times New Roman"/>
                      <w:color w:val="000000"/>
                      <w:sz w:val="21"/>
                      <w:szCs w:val="21"/>
                      <w:lang w:val="en-US" w:eastAsia="zh-CN"/>
                    </w:rPr>
                    <w:t>8:00</w:t>
                  </w:r>
                  <w:r>
                    <w:rPr>
                      <w:rFonts w:hint="eastAsia" w:ascii="Times New Roman" w:hAnsi="Times New Roman" w:cs="Times New Roman"/>
                      <w:color w:val="000000"/>
                      <w:sz w:val="21"/>
                      <w:szCs w:val="21"/>
                      <w:lang w:val="en-US" w:eastAsia="zh-CN"/>
                    </w:rPr>
                    <w:t>~</w:t>
                  </w:r>
                  <w:r>
                    <w:rPr>
                      <w:rFonts w:hint="eastAsia" w:cs="Times New Roman"/>
                      <w:color w:val="000000"/>
                      <w:sz w:val="21"/>
                      <w:szCs w:val="21"/>
                      <w:lang w:val="en-US" w:eastAsia="zh-CN"/>
                    </w:rPr>
                    <w:t>24:00</w:t>
                  </w:r>
                </w:p>
              </w:tc>
            </w:tr>
            <w:tr w14:paraId="2744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8" w:type="dxa"/>
                  <w:gridSpan w:val="11"/>
                  <w:noWrap w:val="0"/>
                  <w:vAlign w:val="center"/>
                </w:tcPr>
                <w:p w14:paraId="5F4CCD02">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宋体" w:cs="Times New Roman"/>
                      <w:color w:val="000000"/>
                      <w:sz w:val="21"/>
                      <w:szCs w:val="21"/>
                      <w:lang w:val="en-US" w:eastAsia="zh-CN"/>
                    </w:rPr>
                  </w:pPr>
                  <w:r>
                    <w:rPr>
                      <w:rFonts w:hint="eastAsia" w:eastAsia="宋体" w:cs="Times New Roman"/>
                      <w:color w:val="000000"/>
                      <w:sz w:val="18"/>
                      <w:szCs w:val="18"/>
                      <w:lang w:val="en-US" w:eastAsia="zh-CN"/>
                    </w:rPr>
                    <w:t>备注：</w:t>
                  </w:r>
                  <w:r>
                    <w:rPr>
                      <w:rFonts w:hint="eastAsia"/>
                      <w:color w:val="000000"/>
                      <w:sz w:val="18"/>
                      <w:szCs w:val="18"/>
                    </w:rPr>
                    <w:t>参照点</w:t>
                  </w:r>
                  <w:r>
                    <w:rPr>
                      <w:rFonts w:hint="eastAsia"/>
                      <w:color w:val="000000"/>
                      <w:sz w:val="18"/>
                      <w:szCs w:val="18"/>
                      <w:lang w:val="en-US" w:eastAsia="zh-CN"/>
                    </w:rPr>
                    <w:t>为厂界西侧角</w:t>
                  </w:r>
                  <w:r>
                    <w:rPr>
                      <w:rFonts w:hint="eastAsia"/>
                      <w:color w:val="000000"/>
                      <w:sz w:val="18"/>
                      <w:szCs w:val="18"/>
                    </w:rPr>
                    <w:t>xy</w:t>
                  </w:r>
                  <w:r>
                    <w:rPr>
                      <w:rFonts w:hint="eastAsia"/>
                      <w:color w:val="000000"/>
                      <w:sz w:val="18"/>
                      <w:szCs w:val="18"/>
                      <w:lang w:val="en-US" w:eastAsia="zh-CN"/>
                    </w:rPr>
                    <w:t>z</w:t>
                  </w:r>
                  <w:r>
                    <w:rPr>
                      <w:rFonts w:hint="eastAsia"/>
                      <w:color w:val="000000"/>
                      <w:sz w:val="18"/>
                      <w:szCs w:val="18"/>
                      <w:lang w:eastAsia="zh-CN"/>
                    </w:rPr>
                    <w:t>（</w:t>
                  </w:r>
                  <w:r>
                    <w:rPr>
                      <w:rFonts w:hint="eastAsia"/>
                      <w:color w:val="000000"/>
                      <w:sz w:val="18"/>
                      <w:szCs w:val="18"/>
                      <w:lang w:val="en-US" w:eastAsia="zh-CN"/>
                    </w:rPr>
                    <w:t>0，0，0</w:t>
                  </w:r>
                  <w:r>
                    <w:rPr>
                      <w:rFonts w:hint="eastAsia"/>
                      <w:color w:val="000000"/>
                      <w:sz w:val="18"/>
                      <w:szCs w:val="18"/>
                      <w:lang w:eastAsia="zh-CN"/>
                    </w:rPr>
                    <w:t>）</w:t>
                  </w:r>
                  <w:r>
                    <w:rPr>
                      <w:rFonts w:hint="eastAsia" w:eastAsia="宋体" w:cs="Times New Roman"/>
                      <w:color w:val="000000"/>
                      <w:sz w:val="18"/>
                      <w:szCs w:val="18"/>
                      <w:lang w:val="en-US" w:eastAsia="zh-CN"/>
                    </w:rPr>
                    <w:t>坐标为E：113.210222862</w:t>
                  </w:r>
                  <w:r>
                    <w:rPr>
                      <w:rFonts w:hint="default" w:ascii="Times New Roman" w:hAnsi="Times New Roman" w:eastAsia="宋体" w:cs="Times New Roman"/>
                      <w:color w:val="000000"/>
                      <w:sz w:val="18"/>
                      <w:szCs w:val="18"/>
                      <w:lang w:val="en-US" w:eastAsia="zh-CN"/>
                    </w:rPr>
                    <w:t>°</w:t>
                  </w:r>
                  <w:r>
                    <w:rPr>
                      <w:rFonts w:hint="eastAsia" w:eastAsia="宋体" w:cs="Times New Roman"/>
                      <w:color w:val="000000"/>
                      <w:sz w:val="18"/>
                      <w:szCs w:val="18"/>
                      <w:lang w:val="en-US" w:eastAsia="zh-CN"/>
                    </w:rPr>
                    <w:t>，N：29.490015471</w:t>
                  </w:r>
                  <w:r>
                    <w:rPr>
                      <w:rFonts w:hint="default" w:ascii="Times New Roman" w:hAnsi="Times New Roman" w:eastAsia="宋体" w:cs="Times New Roman"/>
                      <w:color w:val="000000"/>
                      <w:sz w:val="18"/>
                      <w:szCs w:val="18"/>
                      <w:lang w:val="en-US" w:eastAsia="zh-CN"/>
                    </w:rPr>
                    <w:t>°</w:t>
                  </w:r>
                </w:p>
              </w:tc>
            </w:tr>
          </w:tbl>
          <w:p w14:paraId="79760B40">
            <w:pPr>
              <w:spacing w:line="360" w:lineRule="auto"/>
              <w:ind w:firstLine="482" w:firstLineChars="200"/>
              <w:rPr>
                <w:rFonts w:hint="default" w:ascii="Times New Roman" w:hAnsi="Times New Roman" w:cs="Times New Roman"/>
                <w:b/>
                <w:bCs w:val="0"/>
                <w:color w:val="auto"/>
                <w:sz w:val="24"/>
                <w:u w:val="none"/>
              </w:rPr>
            </w:pPr>
            <w:r>
              <w:rPr>
                <w:rFonts w:hint="eastAsia" w:ascii="Times New Roman" w:hAnsi="Times New Roman" w:cs="Times New Roman"/>
                <w:b/>
                <w:bCs w:val="0"/>
                <w:color w:val="auto"/>
                <w:sz w:val="24"/>
                <w:u w:val="none"/>
                <w:lang w:val="en-US" w:eastAsia="zh-CN"/>
              </w:rPr>
              <w:t>2</w:t>
            </w:r>
            <w:r>
              <w:rPr>
                <w:rFonts w:hint="eastAsia" w:cs="Times New Roman"/>
                <w:b/>
                <w:bCs w:val="0"/>
                <w:color w:val="auto"/>
                <w:sz w:val="24"/>
                <w:u w:val="none"/>
                <w:lang w:val="en-US" w:eastAsia="zh-CN"/>
              </w:rPr>
              <w:t xml:space="preserve"> </w:t>
            </w:r>
            <w:r>
              <w:rPr>
                <w:rFonts w:hint="eastAsia" w:ascii="Times New Roman" w:hAnsi="Times New Roman" w:cs="Times New Roman"/>
                <w:b/>
                <w:bCs w:val="0"/>
                <w:color w:val="auto"/>
                <w:sz w:val="24"/>
                <w:u w:val="none"/>
                <w:lang w:val="en-US" w:eastAsia="zh-CN"/>
              </w:rPr>
              <w:t>、</w:t>
            </w:r>
            <w:r>
              <w:rPr>
                <w:rFonts w:hint="default" w:ascii="Times New Roman" w:hAnsi="Times New Roman" w:cs="Times New Roman"/>
                <w:b/>
                <w:bCs w:val="0"/>
                <w:color w:val="auto"/>
                <w:sz w:val="24"/>
                <w:u w:val="none"/>
              </w:rPr>
              <w:t>噪声预测</w:t>
            </w:r>
          </w:p>
          <w:p w14:paraId="2AC72199">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eastAsia="zh-CN"/>
              </w:rPr>
              <w:t>（</w:t>
            </w:r>
            <w:r>
              <w:rPr>
                <w:rFonts w:hint="eastAsia" w:ascii="Times New Roman" w:hAnsi="Times New Roman" w:eastAsia="宋体" w:cs="Times New Roman"/>
                <w:color w:val="auto"/>
                <w:sz w:val="24"/>
                <w:szCs w:val="24"/>
                <w:u w:val="none"/>
                <w:lang w:val="en-US" w:eastAsia="zh-CN"/>
              </w:rPr>
              <w:t>1</w:t>
            </w:r>
            <w:r>
              <w:rPr>
                <w:rFonts w:hint="eastAsia" w:ascii="Times New Roman" w:hAnsi="Times New Roman" w:eastAsia="宋体" w:cs="Times New Roman"/>
                <w:color w:val="auto"/>
                <w:sz w:val="24"/>
                <w:szCs w:val="24"/>
                <w:u w:val="none"/>
                <w:lang w:eastAsia="zh-CN"/>
              </w:rPr>
              <w:t>）</w:t>
            </w:r>
            <w:r>
              <w:rPr>
                <w:rFonts w:hint="eastAsia" w:ascii="Times New Roman" w:hAnsi="Times New Roman" w:eastAsia="宋体" w:cs="Times New Roman"/>
                <w:color w:val="auto"/>
                <w:sz w:val="24"/>
                <w:szCs w:val="24"/>
                <w:u w:val="none"/>
                <w:lang w:val="en-US" w:eastAsia="zh-CN"/>
              </w:rPr>
              <w:t>预测模型</w:t>
            </w:r>
          </w:p>
          <w:p w14:paraId="12D28115">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噪声的衰减主要与声传播距离、空气吸收、阻挡物的反射与屏障等因素有关。声源位于室内，室内声源可采用等效室外声源声功率级法进行计算。设靠近开口处（或窗户）室内、室外某倍频带的声压级或A声级分别为L</w:t>
            </w:r>
            <w:r>
              <w:rPr>
                <w:rFonts w:hint="default" w:ascii="Times New Roman" w:hAnsi="Times New Roman" w:eastAsia="宋体" w:cs="Times New Roman"/>
                <w:color w:val="auto"/>
                <w:sz w:val="24"/>
                <w:szCs w:val="24"/>
                <w:u w:val="none"/>
                <w:vertAlign w:val="subscript"/>
              </w:rPr>
              <w:t>p1</w:t>
            </w:r>
            <w:r>
              <w:rPr>
                <w:rFonts w:hint="default" w:ascii="Times New Roman" w:hAnsi="Times New Roman" w:eastAsia="宋体" w:cs="Times New Roman"/>
                <w:color w:val="auto"/>
                <w:sz w:val="24"/>
                <w:szCs w:val="24"/>
                <w:u w:val="none"/>
              </w:rPr>
              <w:t>和L</w:t>
            </w:r>
            <w:r>
              <w:rPr>
                <w:rFonts w:hint="default" w:ascii="Times New Roman" w:hAnsi="Times New Roman" w:eastAsia="宋体" w:cs="Times New Roman"/>
                <w:color w:val="auto"/>
                <w:sz w:val="24"/>
                <w:szCs w:val="24"/>
                <w:u w:val="none"/>
                <w:vertAlign w:val="subscript"/>
              </w:rPr>
              <w:t>p2</w:t>
            </w:r>
            <w:r>
              <w:rPr>
                <w:rFonts w:hint="default" w:ascii="Times New Roman" w:hAnsi="Times New Roman" w:eastAsia="宋体" w:cs="Times New Roman"/>
                <w:color w:val="auto"/>
                <w:sz w:val="24"/>
                <w:szCs w:val="24"/>
                <w:u w:val="none"/>
              </w:rPr>
              <w:t>。若声源所在室内声场为近似扩散声场，则室外的倍频带声压级可按公式（B.1）近似求出：</w:t>
            </w:r>
          </w:p>
          <w:p w14:paraId="48E42B81">
            <w:pPr>
              <w:pStyle w:val="29"/>
              <w:keepNext w:val="0"/>
              <w:keepLines w:val="0"/>
              <w:pageBreakBefore w:val="0"/>
              <w:widowControl w:val="0"/>
              <w:kinsoku/>
              <w:wordWrap/>
              <w:overflowPunct/>
              <w:topLinePunct w:val="0"/>
              <w:autoSpaceDE/>
              <w:autoSpaceDN/>
              <w:bidi w:val="0"/>
              <w:adjustRightInd/>
              <w:spacing w:line="360" w:lineRule="auto"/>
              <w:ind w:left="0" w:leftChars="0" w:right="0" w:firstLine="0" w:firstLineChars="0"/>
              <w:jc w:val="right"/>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L</w:t>
            </w:r>
            <w:r>
              <w:rPr>
                <w:rFonts w:hint="default" w:ascii="Times New Roman" w:hAnsi="Times New Roman" w:eastAsia="宋体" w:cs="Times New Roman"/>
                <w:color w:val="auto"/>
                <w:sz w:val="24"/>
                <w:szCs w:val="24"/>
                <w:u w:val="none"/>
                <w:vertAlign w:val="subscript"/>
              </w:rPr>
              <w:t>P2</w:t>
            </w:r>
            <w:r>
              <w:rPr>
                <w:rFonts w:hint="default" w:ascii="Times New Roman" w:hAnsi="Times New Roman" w:eastAsia="宋体" w:cs="Times New Roman"/>
                <w:color w:val="auto"/>
                <w:sz w:val="24"/>
                <w:szCs w:val="24"/>
                <w:u w:val="none"/>
              </w:rPr>
              <w:t>=L</w:t>
            </w:r>
            <w:r>
              <w:rPr>
                <w:rFonts w:hint="default" w:ascii="Times New Roman" w:hAnsi="Times New Roman" w:eastAsia="宋体" w:cs="Times New Roman"/>
                <w:color w:val="auto"/>
                <w:sz w:val="24"/>
                <w:szCs w:val="24"/>
                <w:u w:val="none"/>
                <w:vertAlign w:val="subscript"/>
              </w:rPr>
              <w:t>P1</w:t>
            </w:r>
            <w:r>
              <w:rPr>
                <w:rFonts w:hint="default" w:ascii="Times New Roman" w:hAnsi="Times New Roman" w:eastAsia="宋体" w:cs="Times New Roman"/>
                <w:color w:val="auto"/>
                <w:sz w:val="24"/>
                <w:szCs w:val="24"/>
                <w:u w:val="none"/>
              </w:rPr>
              <w:t>−</w:t>
            </w:r>
            <w:r>
              <w:rPr>
                <w:rFonts w:hint="eastAsia" w:ascii="Times New Roman" w:hAnsi="Times New Roman" w:eastAsia="宋体" w:cs="Times New Roman"/>
                <w:color w:val="auto"/>
                <w:sz w:val="24"/>
                <w:szCs w:val="24"/>
                <w:u w:val="none"/>
                <w:lang w:eastAsia="zh-CN"/>
              </w:rPr>
              <w:t>（</w:t>
            </w:r>
            <w:r>
              <w:rPr>
                <w:rFonts w:hint="default" w:ascii="Times New Roman" w:hAnsi="Times New Roman" w:eastAsia="宋体" w:cs="Times New Roman"/>
                <w:color w:val="auto"/>
                <w:sz w:val="24"/>
                <w:szCs w:val="24"/>
                <w:u w:val="none"/>
              </w:rPr>
              <w:t>TL+6</w:t>
            </w:r>
            <w:r>
              <w:rPr>
                <w:rFonts w:hint="eastAsia" w:ascii="Times New Roman" w:hAnsi="Times New Roman" w:eastAsia="宋体" w:cs="Times New Roman"/>
                <w:color w:val="auto"/>
                <w:sz w:val="24"/>
                <w:szCs w:val="24"/>
                <w:u w:val="none"/>
                <w:lang w:eastAsia="zh-CN"/>
              </w:rPr>
              <w:t>）</w:t>
            </w:r>
            <w:r>
              <w:rPr>
                <w:rFonts w:hint="eastAsia"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color w:val="auto"/>
                <w:sz w:val="24"/>
                <w:szCs w:val="24"/>
                <w:u w:val="none"/>
              </w:rPr>
              <w:t>（B.1）</w:t>
            </w:r>
          </w:p>
          <w:p w14:paraId="2C20E76E">
            <w:pPr>
              <w:pStyle w:val="29"/>
              <w:keepNext w:val="0"/>
              <w:keepLines w:val="0"/>
              <w:pageBreakBefore w:val="0"/>
              <w:widowControl w:val="0"/>
              <w:kinsoku/>
              <w:wordWrap/>
              <w:overflowPunct/>
              <w:topLinePunct w:val="0"/>
              <w:autoSpaceDE/>
              <w:autoSpaceDN/>
              <w:bidi w:val="0"/>
              <w:adjustRightInd/>
              <w:spacing w:line="360" w:lineRule="auto"/>
              <w:ind w:left="0" w:leftChars="0"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式中：</w:t>
            </w:r>
          </w:p>
          <w:p w14:paraId="08E61E89">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L</w:t>
            </w:r>
            <w:r>
              <w:rPr>
                <w:rFonts w:hint="default" w:ascii="Times New Roman" w:hAnsi="Times New Roman" w:eastAsia="宋体" w:cs="Times New Roman"/>
                <w:color w:val="auto"/>
                <w:sz w:val="24"/>
                <w:szCs w:val="24"/>
                <w:u w:val="none"/>
                <w:vertAlign w:val="subscript"/>
              </w:rPr>
              <w:t>p1</w:t>
            </w:r>
            <w:r>
              <w:rPr>
                <w:rFonts w:hint="default" w:ascii="Times New Roman" w:hAnsi="Times New Roman" w:eastAsia="宋体" w:cs="Times New Roman"/>
                <w:color w:val="auto"/>
                <w:sz w:val="24"/>
                <w:szCs w:val="24"/>
                <w:u w:val="none"/>
              </w:rPr>
              <w:t>——靠近开口处（或窗户）室内某倍频带的声压级或A声级，dB；</w:t>
            </w:r>
          </w:p>
          <w:p w14:paraId="23B2378D">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L</w:t>
            </w:r>
            <w:r>
              <w:rPr>
                <w:rFonts w:hint="default" w:ascii="Times New Roman" w:hAnsi="Times New Roman" w:eastAsia="宋体" w:cs="Times New Roman"/>
                <w:color w:val="auto"/>
                <w:sz w:val="24"/>
                <w:szCs w:val="24"/>
                <w:u w:val="none"/>
                <w:vertAlign w:val="subscript"/>
              </w:rPr>
              <w:t>p2</w:t>
            </w:r>
            <w:r>
              <w:rPr>
                <w:rFonts w:hint="default" w:ascii="Times New Roman" w:hAnsi="Times New Roman" w:eastAsia="宋体" w:cs="Times New Roman"/>
                <w:color w:val="auto"/>
                <w:sz w:val="24"/>
                <w:szCs w:val="24"/>
                <w:u w:val="none"/>
              </w:rPr>
              <w:t>——靠近开口处（或窗户）室外某倍频带的声压级或A声级，dB；</w:t>
            </w:r>
          </w:p>
          <w:p w14:paraId="37E6A153">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TL——隔墙（或窗户）倍频带的隔声量，dB（A）</w:t>
            </w:r>
          </w:p>
          <w:p w14:paraId="64EC3FDB">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也可按公式（B.2）计算某一室内声源靠近围护结构处产生的倍频带声压级或A声级：</w:t>
            </w:r>
          </w:p>
          <w:p w14:paraId="19DD88A5">
            <w:pPr>
              <w:pStyle w:val="29"/>
              <w:keepNext w:val="0"/>
              <w:keepLines w:val="0"/>
              <w:pageBreakBefore w:val="0"/>
              <w:widowControl w:val="0"/>
              <w:kinsoku/>
              <w:wordWrap/>
              <w:overflowPunct/>
              <w:topLinePunct w:val="0"/>
              <w:autoSpaceDE/>
              <w:autoSpaceDN/>
              <w:bidi w:val="0"/>
              <w:adjustRightInd/>
              <w:spacing w:line="360" w:lineRule="auto"/>
              <w:ind w:left="0" w:leftChars="0" w:right="0" w:firstLine="0" w:firstLineChars="0"/>
              <w:jc w:val="right"/>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w:t>
            </w:r>
            <w:r>
              <w:rPr>
                <w:color w:val="auto"/>
              </w:rPr>
              <w:drawing>
                <wp:inline distT="0" distB="0" distL="114300" distR="114300">
                  <wp:extent cx="1975485" cy="438150"/>
                  <wp:effectExtent l="0" t="0" r="5715" b="0"/>
                  <wp:docPr id="2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3"/>
                          <pic:cNvPicPr>
                            <a:picLocks noChangeAspect="1"/>
                          </pic:cNvPicPr>
                        </pic:nvPicPr>
                        <pic:blipFill>
                          <a:blip r:embed="rId12"/>
                          <a:stretch>
                            <a:fillRect/>
                          </a:stretch>
                        </pic:blipFill>
                        <pic:spPr>
                          <a:xfrm>
                            <a:off x="0" y="0"/>
                            <a:ext cx="1975485" cy="438150"/>
                          </a:xfrm>
                          <a:prstGeom prst="rect">
                            <a:avLst/>
                          </a:prstGeom>
                          <a:noFill/>
                          <a:ln>
                            <a:noFill/>
                          </a:ln>
                        </pic:spPr>
                      </pic:pic>
                    </a:graphicData>
                  </a:graphic>
                </wp:inline>
              </w:drawing>
            </w:r>
            <w:r>
              <w:rPr>
                <w:rFonts w:hint="eastAsia"/>
                <w:color w:val="auto"/>
                <w:lang w:val="en-US" w:eastAsia="zh-CN"/>
              </w:rPr>
              <w:t xml:space="preserve">             </w:t>
            </w:r>
            <w:r>
              <w:rPr>
                <w:rFonts w:hint="default" w:ascii="Times New Roman" w:hAnsi="Times New Roman" w:eastAsia="宋体" w:cs="Times New Roman"/>
                <w:color w:val="auto"/>
                <w:sz w:val="24"/>
                <w:szCs w:val="24"/>
                <w:u w:val="none"/>
              </w:rPr>
              <w:t>（B.</w:t>
            </w:r>
            <w:r>
              <w:rPr>
                <w:rFonts w:hint="eastAsia" w:ascii="Times New Roman" w:hAnsi="Times New Roman" w:eastAsia="宋体" w:cs="Times New Roman"/>
                <w:color w:val="auto"/>
                <w:sz w:val="24"/>
                <w:szCs w:val="24"/>
                <w:u w:val="none"/>
                <w:lang w:val="en-US" w:eastAsia="zh-CN"/>
              </w:rPr>
              <w:t>2</w:t>
            </w:r>
            <w:r>
              <w:rPr>
                <w:rFonts w:hint="default" w:ascii="Times New Roman" w:hAnsi="Times New Roman" w:eastAsia="宋体" w:cs="Times New Roman"/>
                <w:color w:val="auto"/>
                <w:sz w:val="24"/>
                <w:szCs w:val="24"/>
                <w:u w:val="none"/>
              </w:rPr>
              <w:t>）</w:t>
            </w:r>
          </w:p>
          <w:p w14:paraId="15A9DC57">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式中：</w:t>
            </w:r>
          </w:p>
          <w:p w14:paraId="4C992F29">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L</w:t>
            </w:r>
            <w:r>
              <w:rPr>
                <w:rFonts w:hint="default" w:ascii="Times New Roman" w:hAnsi="Times New Roman" w:eastAsia="宋体" w:cs="Times New Roman"/>
                <w:color w:val="auto"/>
                <w:sz w:val="24"/>
                <w:szCs w:val="24"/>
                <w:u w:val="none"/>
                <w:vertAlign w:val="subscript"/>
              </w:rPr>
              <w:t>p1</w:t>
            </w:r>
            <w:r>
              <w:rPr>
                <w:rFonts w:hint="default" w:ascii="Times New Roman" w:hAnsi="Times New Roman" w:eastAsia="宋体" w:cs="Times New Roman"/>
                <w:color w:val="auto"/>
                <w:sz w:val="24"/>
                <w:szCs w:val="24"/>
                <w:u w:val="none"/>
              </w:rPr>
              <w:t>——靠近开口处（或窗户）室内某倍频带的声压级或A声级，dB；</w:t>
            </w:r>
          </w:p>
          <w:p w14:paraId="2442246D">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L</w:t>
            </w:r>
            <w:r>
              <w:rPr>
                <w:rFonts w:hint="default" w:ascii="Times New Roman" w:hAnsi="Times New Roman" w:eastAsia="宋体" w:cs="Times New Roman"/>
                <w:color w:val="auto"/>
                <w:sz w:val="24"/>
                <w:szCs w:val="24"/>
                <w:u w:val="none"/>
                <w:vertAlign w:val="subscript"/>
              </w:rPr>
              <w:t>w</w:t>
            </w:r>
            <w:r>
              <w:rPr>
                <w:rFonts w:hint="default" w:ascii="Times New Roman" w:hAnsi="Times New Roman" w:eastAsia="宋体" w:cs="Times New Roman"/>
                <w:color w:val="auto"/>
                <w:sz w:val="24"/>
                <w:szCs w:val="24"/>
                <w:u w:val="none"/>
              </w:rPr>
              <w:t>——点声源声功率级（A计权或倍频带），dB；</w:t>
            </w:r>
          </w:p>
          <w:p w14:paraId="145AA8BE">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Q——指向性因数；通常对无指向性声源，当声源放在房间中心时，Q=1；当放在一面墙的中心时，Q=2；当放在两面墙夹角处时，Q=4；当放在三面墙夹角处时，Q=8；</w:t>
            </w:r>
          </w:p>
          <w:p w14:paraId="6CB92863">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R——房间常数；R=Sα/（1-α），S为房间内表面面积，m</w:t>
            </w:r>
            <w:r>
              <w:rPr>
                <w:rFonts w:hint="default" w:ascii="Times New Roman" w:hAnsi="Times New Roman" w:eastAsia="宋体" w:cs="Times New Roman"/>
                <w:color w:val="auto"/>
                <w:sz w:val="24"/>
                <w:szCs w:val="24"/>
                <w:u w:val="none"/>
                <w:vertAlign w:val="superscript"/>
              </w:rPr>
              <w:t>2</w:t>
            </w:r>
            <w:r>
              <w:rPr>
                <w:rFonts w:hint="default" w:ascii="Times New Roman" w:hAnsi="Times New Roman" w:eastAsia="宋体" w:cs="Times New Roman"/>
                <w:color w:val="auto"/>
                <w:sz w:val="24"/>
                <w:szCs w:val="24"/>
                <w:u w:val="none"/>
              </w:rPr>
              <w:t>；α为平均吸声系数；</w:t>
            </w:r>
          </w:p>
          <w:p w14:paraId="41759E80">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r——声源到靠近围护结构某点处的距离，m。</w:t>
            </w:r>
          </w:p>
          <w:p w14:paraId="1B2FDC14">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然后按公式（B.3）计算出所有室内声源在围护结构处产生的i倍频带叠加声压级：</w:t>
            </w:r>
          </w:p>
          <w:p w14:paraId="7283CE7F">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jc w:val="right"/>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w:t>
            </w:r>
            <w:r>
              <w:rPr>
                <w:color w:val="auto"/>
              </w:rPr>
              <w:drawing>
                <wp:inline distT="0" distB="0" distL="114300" distR="114300">
                  <wp:extent cx="2093595" cy="561340"/>
                  <wp:effectExtent l="0" t="0" r="1905" b="10160"/>
                  <wp:docPr id="3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4"/>
                          <pic:cNvPicPr>
                            <a:picLocks noChangeAspect="1"/>
                          </pic:cNvPicPr>
                        </pic:nvPicPr>
                        <pic:blipFill>
                          <a:blip r:embed="rId13"/>
                          <a:stretch>
                            <a:fillRect/>
                          </a:stretch>
                        </pic:blipFill>
                        <pic:spPr>
                          <a:xfrm>
                            <a:off x="0" y="0"/>
                            <a:ext cx="2093595" cy="561340"/>
                          </a:xfrm>
                          <a:prstGeom prst="rect">
                            <a:avLst/>
                          </a:prstGeom>
                          <a:noFill/>
                          <a:ln>
                            <a:noFill/>
                          </a:ln>
                        </pic:spPr>
                      </pic:pic>
                    </a:graphicData>
                  </a:graphic>
                </wp:inline>
              </w:drawing>
            </w:r>
            <w:r>
              <w:rPr>
                <w:rFonts w:hint="default" w:ascii="Times New Roman" w:hAnsi="Times New Roman" w:eastAsia="宋体" w:cs="Times New Roman"/>
                <w:color w:val="auto"/>
                <w:sz w:val="24"/>
                <w:szCs w:val="24"/>
                <w:u w:val="none"/>
              </w:rPr>
              <w:t></w:t>
            </w:r>
            <w:r>
              <w:rPr>
                <w:rFonts w:hint="eastAsia"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color w:val="auto"/>
                <w:sz w:val="24"/>
                <w:szCs w:val="24"/>
                <w:u w:val="none"/>
              </w:rPr>
              <w:t>（B.</w:t>
            </w:r>
            <w:r>
              <w:rPr>
                <w:rFonts w:hint="eastAsia" w:ascii="Times New Roman" w:hAnsi="Times New Roman" w:eastAsia="宋体" w:cs="Times New Roman"/>
                <w:color w:val="auto"/>
                <w:sz w:val="24"/>
                <w:szCs w:val="24"/>
                <w:u w:val="none"/>
                <w:lang w:val="en-US" w:eastAsia="zh-CN"/>
              </w:rPr>
              <w:t>3</w:t>
            </w:r>
            <w:r>
              <w:rPr>
                <w:rFonts w:hint="default" w:ascii="Times New Roman" w:hAnsi="Times New Roman" w:eastAsia="宋体" w:cs="Times New Roman"/>
                <w:color w:val="auto"/>
                <w:sz w:val="24"/>
                <w:szCs w:val="24"/>
                <w:u w:val="none"/>
              </w:rPr>
              <w:t>）</w:t>
            </w:r>
          </w:p>
          <w:p w14:paraId="6FBADF19">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式中：</w:t>
            </w:r>
          </w:p>
          <w:p w14:paraId="799C9212">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L</w:t>
            </w:r>
            <w:r>
              <w:rPr>
                <w:rFonts w:hint="default" w:ascii="Times New Roman" w:hAnsi="Times New Roman" w:eastAsia="宋体" w:cs="Times New Roman"/>
                <w:color w:val="auto"/>
                <w:sz w:val="24"/>
                <w:szCs w:val="24"/>
                <w:u w:val="none"/>
                <w:vertAlign w:val="subscript"/>
              </w:rPr>
              <w:t>p1i</w:t>
            </w:r>
            <w:r>
              <w:rPr>
                <w:rFonts w:hint="eastAsia" w:ascii="Times New Roman" w:hAnsi="Times New Roman" w:eastAsia="宋体" w:cs="Times New Roman"/>
                <w:color w:val="auto"/>
                <w:sz w:val="24"/>
                <w:szCs w:val="24"/>
                <w:u w:val="none"/>
                <w:lang w:eastAsia="zh-CN"/>
              </w:rPr>
              <w:t>（</w:t>
            </w:r>
            <w:r>
              <w:rPr>
                <w:rFonts w:hint="eastAsia" w:ascii="Times New Roman" w:hAnsi="Times New Roman" w:eastAsia="宋体" w:cs="Times New Roman"/>
                <w:color w:val="auto"/>
                <w:sz w:val="24"/>
                <w:szCs w:val="24"/>
                <w:u w:val="none"/>
                <w:lang w:val="en-US" w:eastAsia="zh-CN"/>
              </w:rPr>
              <w:t>T</w:t>
            </w:r>
            <w:r>
              <w:rPr>
                <w:rFonts w:hint="eastAsia" w:ascii="Times New Roman" w:hAnsi="Times New Roman" w:eastAsia="宋体" w:cs="Times New Roman"/>
                <w:color w:val="auto"/>
                <w:sz w:val="24"/>
                <w:szCs w:val="24"/>
                <w:u w:val="none"/>
                <w:lang w:eastAsia="zh-CN"/>
              </w:rPr>
              <w:t>）</w:t>
            </w:r>
            <w:r>
              <w:rPr>
                <w:rFonts w:hint="default" w:ascii="Times New Roman" w:hAnsi="Times New Roman" w:eastAsia="宋体" w:cs="Times New Roman"/>
                <w:color w:val="auto"/>
                <w:sz w:val="24"/>
                <w:szCs w:val="24"/>
                <w:u w:val="none"/>
              </w:rPr>
              <w:t>——靠近围护结构处室内N个声源i倍频带的叠加声压级，dB；</w:t>
            </w:r>
          </w:p>
          <w:p w14:paraId="687331A1">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L</w:t>
            </w:r>
            <w:r>
              <w:rPr>
                <w:rFonts w:hint="default" w:ascii="Times New Roman" w:hAnsi="Times New Roman" w:eastAsia="宋体" w:cs="Times New Roman"/>
                <w:color w:val="auto"/>
                <w:sz w:val="24"/>
                <w:szCs w:val="24"/>
                <w:u w:val="none"/>
                <w:vertAlign w:val="subscript"/>
              </w:rPr>
              <w:t>p1ij</w:t>
            </w:r>
            <w:r>
              <w:rPr>
                <w:rFonts w:hint="default" w:ascii="Times New Roman" w:hAnsi="Times New Roman" w:eastAsia="宋体" w:cs="Times New Roman"/>
                <w:color w:val="auto"/>
                <w:sz w:val="24"/>
                <w:szCs w:val="24"/>
                <w:u w:val="none"/>
              </w:rPr>
              <w:t>——室内j声源i倍频带的声压级，dB；</w:t>
            </w:r>
          </w:p>
          <w:p w14:paraId="4F95A04C">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N——室内声源总数。</w:t>
            </w:r>
          </w:p>
          <w:p w14:paraId="1A5156A4">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在室内近似为扩散声场时，按公式（B.4）计算出靠近室外围护结构处的声压级：</w:t>
            </w:r>
          </w:p>
          <w:p w14:paraId="0E3A6894">
            <w:pPr>
              <w:pStyle w:val="29"/>
              <w:keepNext w:val="0"/>
              <w:keepLines w:val="0"/>
              <w:pageBreakBefore w:val="0"/>
              <w:widowControl w:val="0"/>
              <w:kinsoku/>
              <w:wordWrap/>
              <w:overflowPunct/>
              <w:topLinePunct w:val="0"/>
              <w:autoSpaceDE/>
              <w:autoSpaceDN/>
              <w:bidi w:val="0"/>
              <w:adjustRightInd/>
              <w:spacing w:line="360" w:lineRule="auto"/>
              <w:ind w:left="0" w:leftChars="0" w:right="0" w:firstLine="0" w:firstLineChars="0"/>
              <w:jc w:val="right"/>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L</w:t>
            </w:r>
            <w:r>
              <w:rPr>
                <w:rFonts w:hint="default" w:ascii="Times New Roman" w:hAnsi="Times New Roman" w:eastAsia="宋体" w:cs="Times New Roman"/>
                <w:color w:val="auto"/>
                <w:sz w:val="24"/>
                <w:szCs w:val="24"/>
                <w:u w:val="none"/>
                <w:vertAlign w:val="subscript"/>
              </w:rPr>
              <w:t>P2i</w:t>
            </w:r>
            <w:r>
              <w:rPr>
                <w:rFonts w:hint="eastAsia" w:ascii="Times New Roman" w:hAnsi="Times New Roman" w:eastAsia="宋体" w:cs="Times New Roman"/>
                <w:color w:val="auto"/>
                <w:sz w:val="24"/>
                <w:szCs w:val="24"/>
                <w:u w:val="none"/>
                <w:lang w:eastAsia="zh-CN"/>
              </w:rPr>
              <w:t>（</w:t>
            </w:r>
            <w:r>
              <w:rPr>
                <w:rFonts w:hint="eastAsia" w:ascii="Times New Roman" w:hAnsi="Times New Roman" w:eastAsia="宋体" w:cs="Times New Roman"/>
                <w:color w:val="auto"/>
                <w:sz w:val="24"/>
                <w:szCs w:val="24"/>
                <w:u w:val="none"/>
                <w:lang w:val="en-US" w:eastAsia="zh-CN"/>
              </w:rPr>
              <w:t>T</w:t>
            </w:r>
            <w:r>
              <w:rPr>
                <w:rFonts w:hint="eastAsia" w:ascii="Times New Roman" w:hAnsi="Times New Roman" w:eastAsia="宋体" w:cs="Times New Roman"/>
                <w:color w:val="auto"/>
                <w:sz w:val="24"/>
                <w:szCs w:val="24"/>
                <w:u w:val="none"/>
                <w:lang w:eastAsia="zh-CN"/>
              </w:rPr>
              <w:t>）</w:t>
            </w:r>
            <w:r>
              <w:rPr>
                <w:rFonts w:hint="default" w:ascii="Times New Roman" w:hAnsi="Times New Roman" w:eastAsia="宋体" w:cs="Times New Roman"/>
                <w:color w:val="auto"/>
                <w:sz w:val="24"/>
                <w:szCs w:val="24"/>
                <w:u w:val="none"/>
              </w:rPr>
              <w:t>=L</w:t>
            </w:r>
            <w:r>
              <w:rPr>
                <w:rFonts w:hint="default" w:ascii="Times New Roman" w:hAnsi="Times New Roman" w:eastAsia="宋体" w:cs="Times New Roman"/>
                <w:color w:val="auto"/>
                <w:sz w:val="24"/>
                <w:szCs w:val="24"/>
                <w:u w:val="none"/>
                <w:vertAlign w:val="subscript"/>
              </w:rPr>
              <w:t>P1i</w:t>
            </w:r>
            <w:r>
              <w:rPr>
                <w:rFonts w:hint="eastAsia" w:ascii="Times New Roman" w:hAnsi="Times New Roman" w:eastAsia="宋体" w:cs="Times New Roman"/>
                <w:color w:val="auto"/>
                <w:sz w:val="24"/>
                <w:szCs w:val="24"/>
                <w:u w:val="none"/>
                <w:lang w:eastAsia="zh-CN"/>
              </w:rPr>
              <w:t>（</w:t>
            </w:r>
            <w:r>
              <w:rPr>
                <w:rFonts w:hint="eastAsia" w:ascii="Times New Roman" w:hAnsi="Times New Roman" w:eastAsia="宋体" w:cs="Times New Roman"/>
                <w:color w:val="auto"/>
                <w:sz w:val="24"/>
                <w:szCs w:val="24"/>
                <w:u w:val="none"/>
                <w:lang w:val="en-US" w:eastAsia="zh-CN"/>
              </w:rPr>
              <w:t>T</w:t>
            </w:r>
            <w:r>
              <w:rPr>
                <w:rFonts w:hint="eastAsia" w:ascii="Times New Roman" w:hAnsi="Times New Roman" w:eastAsia="宋体" w:cs="Times New Roman"/>
                <w:color w:val="auto"/>
                <w:sz w:val="24"/>
                <w:szCs w:val="24"/>
                <w:u w:val="none"/>
                <w:lang w:eastAsia="zh-CN"/>
              </w:rPr>
              <w:t>）</w:t>
            </w:r>
            <w:r>
              <w:rPr>
                <w:rFonts w:hint="default" w:ascii="Times New Roman" w:hAnsi="Times New Roman" w:eastAsia="宋体" w:cs="Times New Roman"/>
                <w:color w:val="auto"/>
                <w:sz w:val="24"/>
                <w:szCs w:val="24"/>
                <w:u w:val="none"/>
              </w:rPr>
              <w:t>−</w:t>
            </w:r>
            <w:r>
              <w:rPr>
                <w:rFonts w:hint="eastAsia" w:ascii="Times New Roman" w:hAnsi="Times New Roman" w:eastAsia="宋体" w:cs="Times New Roman"/>
                <w:color w:val="auto"/>
                <w:sz w:val="24"/>
                <w:szCs w:val="24"/>
                <w:u w:val="none"/>
                <w:lang w:eastAsia="zh-CN"/>
              </w:rPr>
              <w:t>（</w:t>
            </w:r>
            <w:r>
              <w:rPr>
                <w:rFonts w:hint="default" w:ascii="Times New Roman" w:hAnsi="Times New Roman" w:eastAsia="宋体" w:cs="Times New Roman"/>
                <w:color w:val="auto"/>
                <w:sz w:val="24"/>
                <w:szCs w:val="24"/>
                <w:u w:val="none"/>
              </w:rPr>
              <w:t>TL</w:t>
            </w:r>
            <w:r>
              <w:rPr>
                <w:rFonts w:hint="default" w:ascii="Times New Roman" w:hAnsi="Times New Roman" w:eastAsia="宋体" w:cs="Times New Roman"/>
                <w:color w:val="auto"/>
                <w:sz w:val="24"/>
                <w:szCs w:val="24"/>
                <w:u w:val="none"/>
                <w:vertAlign w:val="subscript"/>
              </w:rPr>
              <w:t>i</w:t>
            </w:r>
            <w:r>
              <w:rPr>
                <w:rFonts w:hint="default" w:ascii="Times New Roman" w:hAnsi="Times New Roman" w:eastAsia="宋体" w:cs="Times New Roman"/>
                <w:color w:val="auto"/>
                <w:sz w:val="24"/>
                <w:szCs w:val="24"/>
                <w:u w:val="none"/>
              </w:rPr>
              <w:t>+6</w:t>
            </w:r>
            <w:r>
              <w:rPr>
                <w:rFonts w:hint="eastAsia" w:ascii="Times New Roman" w:hAnsi="Times New Roman" w:eastAsia="宋体" w:cs="Times New Roman"/>
                <w:color w:val="auto"/>
                <w:sz w:val="24"/>
                <w:szCs w:val="24"/>
                <w:u w:val="none"/>
                <w:lang w:eastAsia="zh-CN"/>
              </w:rPr>
              <w:t>）</w:t>
            </w:r>
            <w:r>
              <w:rPr>
                <w:rFonts w:hint="default" w:ascii="Times New Roman" w:hAnsi="Times New Roman" w:eastAsia="宋体" w:cs="Times New Roman"/>
                <w:color w:val="auto"/>
                <w:sz w:val="24"/>
                <w:szCs w:val="24"/>
                <w:u w:val="none"/>
              </w:rPr>
              <w:t xml:space="preserve">              （B.4）</w:t>
            </w:r>
          </w:p>
          <w:p w14:paraId="4978AE81">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式中：</w:t>
            </w:r>
          </w:p>
          <w:p w14:paraId="3AAD681A">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L</w:t>
            </w:r>
            <w:r>
              <w:rPr>
                <w:rFonts w:hint="default" w:ascii="Times New Roman" w:hAnsi="Times New Roman" w:eastAsia="宋体" w:cs="Times New Roman"/>
                <w:color w:val="auto"/>
                <w:sz w:val="24"/>
                <w:szCs w:val="24"/>
                <w:u w:val="none"/>
                <w:vertAlign w:val="subscript"/>
              </w:rPr>
              <w:t>P2i</w:t>
            </w:r>
            <w:r>
              <w:rPr>
                <w:rFonts w:hint="eastAsia" w:ascii="Times New Roman" w:hAnsi="Times New Roman" w:eastAsia="宋体" w:cs="Times New Roman"/>
                <w:color w:val="auto"/>
                <w:sz w:val="24"/>
                <w:szCs w:val="24"/>
                <w:u w:val="none"/>
                <w:lang w:eastAsia="zh-CN"/>
              </w:rPr>
              <w:t>（</w:t>
            </w:r>
            <w:r>
              <w:rPr>
                <w:rFonts w:hint="eastAsia" w:ascii="Times New Roman" w:hAnsi="Times New Roman" w:eastAsia="宋体" w:cs="Times New Roman"/>
                <w:color w:val="auto"/>
                <w:sz w:val="24"/>
                <w:szCs w:val="24"/>
                <w:u w:val="none"/>
                <w:lang w:val="en-US" w:eastAsia="zh-CN"/>
              </w:rPr>
              <w:t>T</w:t>
            </w:r>
            <w:r>
              <w:rPr>
                <w:rFonts w:hint="eastAsia" w:ascii="Times New Roman" w:hAnsi="Times New Roman" w:eastAsia="宋体" w:cs="Times New Roman"/>
                <w:color w:val="auto"/>
                <w:sz w:val="24"/>
                <w:szCs w:val="24"/>
                <w:u w:val="none"/>
                <w:lang w:eastAsia="zh-CN"/>
              </w:rPr>
              <w:t>）</w:t>
            </w:r>
            <w:r>
              <w:rPr>
                <w:rFonts w:hint="default" w:ascii="Times New Roman" w:hAnsi="Times New Roman" w:eastAsia="宋体" w:cs="Times New Roman"/>
                <w:color w:val="auto"/>
                <w:sz w:val="24"/>
                <w:szCs w:val="24"/>
                <w:u w:val="none"/>
              </w:rPr>
              <w:t>——靠近围护结构处室外N个声源i倍频带的叠加声压级，dB；</w:t>
            </w:r>
          </w:p>
          <w:p w14:paraId="50263EDE">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L</w:t>
            </w:r>
            <w:r>
              <w:rPr>
                <w:rFonts w:hint="default" w:ascii="Times New Roman" w:hAnsi="Times New Roman" w:eastAsia="宋体" w:cs="Times New Roman"/>
                <w:color w:val="auto"/>
                <w:sz w:val="24"/>
                <w:szCs w:val="24"/>
                <w:u w:val="none"/>
                <w:vertAlign w:val="subscript"/>
              </w:rPr>
              <w:t>P1i</w:t>
            </w:r>
            <w:r>
              <w:rPr>
                <w:rFonts w:hint="eastAsia" w:ascii="Times New Roman" w:hAnsi="Times New Roman" w:eastAsia="宋体" w:cs="Times New Roman"/>
                <w:color w:val="auto"/>
                <w:sz w:val="24"/>
                <w:szCs w:val="24"/>
                <w:u w:val="none"/>
                <w:lang w:eastAsia="zh-CN"/>
              </w:rPr>
              <w:t>（</w:t>
            </w:r>
            <w:r>
              <w:rPr>
                <w:rFonts w:hint="eastAsia" w:ascii="Times New Roman" w:hAnsi="Times New Roman" w:eastAsia="宋体" w:cs="Times New Roman"/>
                <w:color w:val="auto"/>
                <w:sz w:val="24"/>
                <w:szCs w:val="24"/>
                <w:u w:val="none"/>
                <w:lang w:val="en-US" w:eastAsia="zh-CN"/>
              </w:rPr>
              <w:t>T</w:t>
            </w:r>
            <w:r>
              <w:rPr>
                <w:rFonts w:hint="eastAsia" w:ascii="Times New Roman" w:hAnsi="Times New Roman" w:eastAsia="宋体" w:cs="Times New Roman"/>
                <w:color w:val="auto"/>
                <w:sz w:val="24"/>
                <w:szCs w:val="24"/>
                <w:u w:val="none"/>
                <w:lang w:eastAsia="zh-CN"/>
              </w:rPr>
              <w:t>）</w:t>
            </w:r>
            <w:r>
              <w:rPr>
                <w:rFonts w:hint="default" w:ascii="Times New Roman" w:hAnsi="Times New Roman" w:eastAsia="宋体" w:cs="Times New Roman"/>
                <w:color w:val="auto"/>
                <w:sz w:val="24"/>
                <w:szCs w:val="24"/>
                <w:u w:val="none"/>
              </w:rPr>
              <w:t>——靠近围护结构处室内N个声源i倍频带的叠加声压级，dB；</w:t>
            </w:r>
          </w:p>
          <w:p w14:paraId="49A77213">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TL</w:t>
            </w:r>
            <w:r>
              <w:rPr>
                <w:rFonts w:hint="default" w:ascii="Times New Roman" w:hAnsi="Times New Roman" w:eastAsia="宋体" w:cs="Times New Roman"/>
                <w:color w:val="auto"/>
                <w:sz w:val="24"/>
                <w:szCs w:val="24"/>
                <w:u w:val="none"/>
                <w:vertAlign w:val="subscript"/>
              </w:rPr>
              <w:t>i</w:t>
            </w:r>
            <w:r>
              <w:rPr>
                <w:rFonts w:hint="default" w:ascii="Times New Roman" w:hAnsi="Times New Roman" w:eastAsia="宋体" w:cs="Times New Roman"/>
                <w:color w:val="auto"/>
                <w:sz w:val="24"/>
                <w:szCs w:val="24"/>
                <w:u w:val="none"/>
              </w:rPr>
              <w:t>——围护结构i倍频带的隔声量，dB。</w:t>
            </w:r>
          </w:p>
          <w:p w14:paraId="5248E7CA">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然后按公式（B.5）将室外声源的声压级和透过面积换算成等效的室外声源，计算出中心位置于透声面积（S）处的等效声源的倍频带声功率级：</w:t>
            </w:r>
          </w:p>
          <w:p w14:paraId="72250F05">
            <w:pPr>
              <w:pStyle w:val="29"/>
              <w:keepNext w:val="0"/>
              <w:keepLines w:val="0"/>
              <w:pageBreakBefore w:val="0"/>
              <w:widowControl w:val="0"/>
              <w:kinsoku/>
              <w:wordWrap/>
              <w:overflowPunct/>
              <w:topLinePunct w:val="0"/>
              <w:autoSpaceDE/>
              <w:autoSpaceDN/>
              <w:bidi w:val="0"/>
              <w:adjustRightInd/>
              <w:spacing w:line="360" w:lineRule="auto"/>
              <w:ind w:left="0" w:leftChars="0" w:right="0" w:firstLine="0" w:firstLineChars="0"/>
              <w:jc w:val="right"/>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L</w:t>
            </w:r>
            <w:r>
              <w:rPr>
                <w:rFonts w:hint="default" w:ascii="Times New Roman" w:hAnsi="Times New Roman" w:eastAsia="宋体" w:cs="Times New Roman"/>
                <w:color w:val="auto"/>
                <w:sz w:val="24"/>
                <w:szCs w:val="24"/>
                <w:u w:val="none"/>
                <w:vertAlign w:val="subscript"/>
              </w:rPr>
              <w:t>w</w:t>
            </w:r>
            <w:r>
              <w:rPr>
                <w:rFonts w:hint="default" w:ascii="Times New Roman" w:hAnsi="Times New Roman" w:eastAsia="宋体" w:cs="Times New Roman"/>
                <w:color w:val="auto"/>
                <w:sz w:val="24"/>
                <w:szCs w:val="24"/>
                <w:u w:val="none"/>
              </w:rPr>
              <w:t>=L</w:t>
            </w:r>
            <w:r>
              <w:rPr>
                <w:rFonts w:hint="default" w:ascii="Times New Roman" w:hAnsi="Times New Roman" w:eastAsia="宋体" w:cs="Times New Roman"/>
                <w:color w:val="auto"/>
                <w:sz w:val="24"/>
                <w:szCs w:val="24"/>
                <w:u w:val="none"/>
                <w:vertAlign w:val="subscript"/>
              </w:rPr>
              <w:t>P2</w:t>
            </w:r>
            <w:r>
              <w:rPr>
                <w:rFonts w:hint="eastAsia" w:ascii="Times New Roman" w:hAnsi="Times New Roman" w:eastAsia="宋体" w:cs="Times New Roman"/>
                <w:color w:val="auto"/>
                <w:sz w:val="24"/>
                <w:szCs w:val="24"/>
                <w:u w:val="none"/>
                <w:lang w:eastAsia="zh-CN"/>
              </w:rPr>
              <w:t>（</w:t>
            </w:r>
            <w:r>
              <w:rPr>
                <w:rFonts w:hint="eastAsia" w:ascii="Times New Roman" w:hAnsi="Times New Roman" w:eastAsia="宋体" w:cs="Times New Roman"/>
                <w:color w:val="auto"/>
                <w:sz w:val="24"/>
                <w:szCs w:val="24"/>
                <w:u w:val="none"/>
                <w:lang w:val="en-US" w:eastAsia="zh-CN"/>
              </w:rPr>
              <w:t>T</w:t>
            </w:r>
            <w:r>
              <w:rPr>
                <w:rFonts w:hint="eastAsia" w:ascii="Times New Roman" w:hAnsi="Times New Roman" w:eastAsia="宋体" w:cs="Times New Roman"/>
                <w:color w:val="auto"/>
                <w:sz w:val="24"/>
                <w:szCs w:val="24"/>
                <w:u w:val="none"/>
                <w:lang w:eastAsia="zh-CN"/>
              </w:rPr>
              <w:t>）</w:t>
            </w:r>
            <w:r>
              <w:rPr>
                <w:rFonts w:hint="default" w:ascii="Times New Roman" w:hAnsi="Times New Roman" w:eastAsia="宋体" w:cs="Times New Roman"/>
                <w:color w:val="auto"/>
                <w:sz w:val="24"/>
                <w:szCs w:val="24"/>
                <w:u w:val="none"/>
              </w:rPr>
              <w:t>+10lgS                    （B.5）</w:t>
            </w:r>
          </w:p>
          <w:p w14:paraId="3EBA08CC">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式中：</w:t>
            </w:r>
          </w:p>
          <w:p w14:paraId="21F7572A">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L</w:t>
            </w:r>
            <w:r>
              <w:rPr>
                <w:rFonts w:hint="default" w:ascii="Times New Roman" w:hAnsi="Times New Roman" w:eastAsia="宋体" w:cs="Times New Roman"/>
                <w:color w:val="auto"/>
                <w:sz w:val="24"/>
                <w:szCs w:val="24"/>
                <w:u w:val="none"/>
                <w:vertAlign w:val="subscript"/>
              </w:rPr>
              <w:t>w</w:t>
            </w:r>
            <w:r>
              <w:rPr>
                <w:rFonts w:hint="default" w:ascii="Times New Roman" w:hAnsi="Times New Roman" w:eastAsia="宋体" w:cs="Times New Roman"/>
                <w:color w:val="auto"/>
                <w:sz w:val="24"/>
                <w:szCs w:val="24"/>
                <w:u w:val="none"/>
              </w:rPr>
              <w:t>——中心位置位于透声面积（S）处的等效声源的倍频带声功率级，dB；</w:t>
            </w:r>
          </w:p>
          <w:p w14:paraId="28573E66">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L</w:t>
            </w:r>
            <w:r>
              <w:rPr>
                <w:rFonts w:hint="default" w:ascii="Times New Roman" w:hAnsi="Times New Roman" w:eastAsia="宋体" w:cs="Times New Roman"/>
                <w:color w:val="auto"/>
                <w:sz w:val="24"/>
                <w:szCs w:val="24"/>
                <w:u w:val="none"/>
                <w:vertAlign w:val="subscript"/>
              </w:rPr>
              <w:t>P2</w:t>
            </w:r>
            <w:r>
              <w:rPr>
                <w:rFonts w:hint="eastAsia" w:ascii="Times New Roman" w:hAnsi="Times New Roman" w:eastAsia="宋体" w:cs="Times New Roman"/>
                <w:color w:val="auto"/>
                <w:sz w:val="24"/>
                <w:szCs w:val="24"/>
                <w:u w:val="none"/>
                <w:lang w:eastAsia="zh-CN"/>
              </w:rPr>
              <w:t>（</w:t>
            </w:r>
            <w:r>
              <w:rPr>
                <w:rFonts w:hint="eastAsia" w:ascii="Times New Roman" w:hAnsi="Times New Roman" w:eastAsia="宋体" w:cs="Times New Roman"/>
                <w:color w:val="auto"/>
                <w:sz w:val="24"/>
                <w:szCs w:val="24"/>
                <w:u w:val="none"/>
                <w:lang w:val="en-US" w:eastAsia="zh-CN"/>
              </w:rPr>
              <w:t>T</w:t>
            </w:r>
            <w:r>
              <w:rPr>
                <w:rFonts w:hint="eastAsia" w:ascii="Times New Roman" w:hAnsi="Times New Roman" w:eastAsia="宋体" w:cs="Times New Roman"/>
                <w:color w:val="auto"/>
                <w:sz w:val="24"/>
                <w:szCs w:val="24"/>
                <w:u w:val="none"/>
                <w:lang w:eastAsia="zh-CN"/>
              </w:rPr>
              <w:t>）</w:t>
            </w:r>
            <w:r>
              <w:rPr>
                <w:rFonts w:hint="default" w:ascii="Times New Roman" w:hAnsi="Times New Roman" w:eastAsia="宋体" w:cs="Times New Roman"/>
                <w:color w:val="auto"/>
                <w:sz w:val="24"/>
                <w:szCs w:val="24"/>
                <w:u w:val="none"/>
              </w:rPr>
              <w:t>——靠近围护结构处室外声源的声压级，dB；</w:t>
            </w:r>
          </w:p>
          <w:p w14:paraId="37133549">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auto"/>
                <w:sz w:val="24"/>
                <w:szCs w:val="24"/>
                <w:u w:val="none"/>
              </w:rPr>
              <w:t>S——透声面积，m</w:t>
            </w:r>
            <w:r>
              <w:rPr>
                <w:rFonts w:hint="default" w:ascii="Times New Roman" w:hAnsi="Times New Roman" w:eastAsia="宋体" w:cs="Times New Roman"/>
                <w:color w:val="auto"/>
                <w:sz w:val="24"/>
                <w:szCs w:val="24"/>
                <w:u w:val="none"/>
                <w:vertAlign w:val="superscript"/>
              </w:rPr>
              <w:t>2</w:t>
            </w:r>
            <w:r>
              <w:rPr>
                <w:rFonts w:hint="default" w:ascii="Times New Roman" w:hAnsi="Times New Roman" w:eastAsia="宋体" w:cs="Times New Roman"/>
                <w:color w:val="auto"/>
                <w:sz w:val="24"/>
                <w:szCs w:val="24"/>
                <w:u w:val="none"/>
              </w:rPr>
              <w:t>。</w:t>
            </w:r>
          </w:p>
          <w:p w14:paraId="7BE1A670">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然后按室外声源预测方法计处预测点处的A声级。</w:t>
            </w:r>
          </w:p>
          <w:p w14:paraId="56896FA3">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噪声预测值（Leq）计算公式为：</w:t>
            </w:r>
          </w:p>
          <w:p w14:paraId="1F278F70">
            <w:pPr>
              <w:pStyle w:val="29"/>
              <w:keepNext w:val="0"/>
              <w:keepLines w:val="0"/>
              <w:pageBreakBefore w:val="0"/>
              <w:widowControl w:val="0"/>
              <w:kinsoku/>
              <w:wordWrap/>
              <w:overflowPunct/>
              <w:topLinePunct w:val="0"/>
              <w:autoSpaceDE/>
              <w:autoSpaceDN/>
              <w:bidi w:val="0"/>
              <w:adjustRightInd/>
              <w:spacing w:line="360" w:lineRule="auto"/>
              <w:ind w:left="0" w:leftChars="0" w:right="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drawing>
                <wp:inline distT="0" distB="0" distL="114300" distR="114300">
                  <wp:extent cx="1671320" cy="539750"/>
                  <wp:effectExtent l="0" t="0" r="5080" b="12700"/>
                  <wp:docPr id="3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2"/>
                          <pic:cNvPicPr>
                            <a:picLocks noChangeAspect="1"/>
                          </pic:cNvPicPr>
                        </pic:nvPicPr>
                        <pic:blipFill>
                          <a:blip r:embed="rId14"/>
                          <a:stretch>
                            <a:fillRect/>
                          </a:stretch>
                        </pic:blipFill>
                        <pic:spPr>
                          <a:xfrm>
                            <a:off x="0" y="0"/>
                            <a:ext cx="1671320" cy="539750"/>
                          </a:xfrm>
                          <a:prstGeom prst="rect">
                            <a:avLst/>
                          </a:prstGeom>
                          <a:noFill/>
                          <a:ln>
                            <a:noFill/>
                          </a:ln>
                        </pic:spPr>
                      </pic:pic>
                    </a:graphicData>
                  </a:graphic>
                </wp:inline>
              </w:drawing>
            </w:r>
          </w:p>
          <w:p w14:paraId="4FF09540">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式中：L</w:t>
            </w:r>
            <w:r>
              <w:rPr>
                <w:rFonts w:hint="default" w:ascii="Times New Roman" w:hAnsi="Times New Roman" w:eastAsia="宋体" w:cs="Times New Roman"/>
                <w:sz w:val="24"/>
                <w:szCs w:val="24"/>
                <w:vertAlign w:val="subscript"/>
                <w:lang w:val="en-US" w:eastAsia="zh-CN"/>
              </w:rPr>
              <w:t>p</w:t>
            </w:r>
            <w:r>
              <w:rPr>
                <w:rFonts w:hint="default" w:ascii="Times New Roman" w:hAnsi="Times New Roman" w:eastAsia="宋体" w:cs="Times New Roman"/>
                <w:sz w:val="24"/>
                <w:szCs w:val="24"/>
                <w:lang w:val="en-US" w:eastAsia="zh-CN"/>
              </w:rPr>
              <w:t>（r）——预测点处声压级，dB；</w:t>
            </w:r>
          </w:p>
          <w:p w14:paraId="1DE86B78">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L</w:t>
            </w:r>
            <w:r>
              <w:rPr>
                <w:rFonts w:hint="default" w:ascii="Times New Roman" w:hAnsi="Times New Roman" w:eastAsia="宋体" w:cs="Times New Roman"/>
                <w:sz w:val="24"/>
                <w:szCs w:val="24"/>
                <w:vertAlign w:val="subscript"/>
                <w:lang w:val="en-US" w:eastAsia="zh-CN"/>
              </w:rPr>
              <w:t>p</w:t>
            </w:r>
            <w:r>
              <w:rPr>
                <w:rFonts w:hint="default" w:ascii="Times New Roman" w:hAnsi="Times New Roman" w:eastAsia="宋体" w:cs="Times New Roman"/>
                <w:sz w:val="24"/>
                <w:szCs w:val="24"/>
                <w:lang w:val="en-US" w:eastAsia="zh-CN"/>
              </w:rPr>
              <w:t>（r0）——参考位置r0处的声压级，dB；</w:t>
            </w:r>
          </w:p>
          <w:p w14:paraId="57B60FF9">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r——预测点距声源的距离；</w:t>
            </w:r>
          </w:p>
          <w:p w14:paraId="39A8D5A6">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r0——参考位置距声源的距离。</w:t>
            </w:r>
          </w:p>
          <w:p w14:paraId="5602F5B3">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（2）预测结果</w:t>
            </w:r>
          </w:p>
          <w:p w14:paraId="46B30DC3">
            <w:pPr>
              <w:pStyle w:val="29"/>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Times New Roman" w:hAnsi="Times New Roman" w:eastAsia="宋体" w:cs="Times New Roman"/>
                <w:color w:val="auto"/>
                <w:sz w:val="24"/>
                <w:szCs w:val="24"/>
                <w:u w:val="none"/>
                <w:lang w:eastAsia="zh-CN"/>
              </w:rPr>
            </w:pPr>
            <w:r>
              <w:rPr>
                <w:rFonts w:hint="eastAsia" w:ascii="Times New Roman" w:hAnsi="Times New Roman" w:eastAsia="宋体" w:cs="Times New Roman"/>
                <w:kern w:val="2"/>
                <w:position w:val="-30"/>
                <w:sz w:val="24"/>
                <w:szCs w:val="24"/>
                <w:lang w:val="en-US" w:eastAsia="zh-CN" w:bidi="ar-SA"/>
              </w:rPr>
              <w:t>本项目</w:t>
            </w:r>
            <w:r>
              <w:rPr>
                <w:rFonts w:hint="eastAsia" w:ascii="Times New Roman" w:hAnsi="Times New Roman" w:cs="Times New Roman"/>
                <w:kern w:val="2"/>
                <w:position w:val="-30"/>
                <w:sz w:val="24"/>
                <w:szCs w:val="24"/>
                <w:lang w:val="en-US" w:eastAsia="zh-CN" w:bidi="ar-SA"/>
              </w:rPr>
              <w:t>仅一个厂房，不涉及噪声源与厂界距离</w:t>
            </w:r>
            <w:r>
              <w:rPr>
                <w:rFonts w:hint="eastAsia" w:ascii="Times New Roman" w:hAnsi="Times New Roman" w:eastAsia="宋体" w:cs="Times New Roman"/>
                <w:kern w:val="2"/>
                <w:position w:val="-30"/>
                <w:sz w:val="24"/>
                <w:szCs w:val="24"/>
                <w:lang w:val="en-US" w:eastAsia="zh-CN" w:bidi="ar-SA"/>
              </w:rPr>
              <w:t>。</w:t>
            </w:r>
          </w:p>
          <w:p w14:paraId="423538AC">
            <w:pPr>
              <w:spacing w:line="240" w:lineRule="auto"/>
              <w:jc w:val="center"/>
              <w:rPr>
                <w:rFonts w:hint="default" w:ascii="Times New Roman" w:hAnsi="Times New Roman" w:eastAsia="宋体" w:cs="Times New Roman"/>
                <w:b/>
                <w:bCs/>
                <w:spacing w:val="0"/>
                <w:kern w:val="2"/>
                <w:sz w:val="24"/>
                <w:szCs w:val="21"/>
                <w:u w:val="none"/>
                <w:lang w:val="en-US" w:eastAsia="zh-CN" w:bidi="ar-SA"/>
              </w:rPr>
            </w:pPr>
            <w:r>
              <w:rPr>
                <w:rFonts w:hint="default" w:ascii="Times New Roman" w:hAnsi="Times New Roman" w:eastAsia="宋体" w:cs="Times New Roman"/>
                <w:b/>
                <w:bCs/>
                <w:spacing w:val="0"/>
                <w:kern w:val="2"/>
                <w:sz w:val="24"/>
                <w:szCs w:val="21"/>
                <w:u w:val="none"/>
                <w:lang w:val="en-US" w:eastAsia="zh-CN" w:bidi="ar-SA"/>
              </w:rPr>
              <w:t>表</w:t>
            </w:r>
            <w:r>
              <w:rPr>
                <w:rFonts w:hint="eastAsia" w:ascii="Times New Roman" w:hAnsi="Times New Roman" w:eastAsia="宋体" w:cs="Times New Roman"/>
                <w:b/>
                <w:bCs/>
                <w:spacing w:val="0"/>
                <w:kern w:val="2"/>
                <w:sz w:val="24"/>
                <w:szCs w:val="21"/>
                <w:u w:val="none"/>
                <w:lang w:val="en-US" w:eastAsia="zh-CN" w:bidi="ar-SA"/>
              </w:rPr>
              <w:t>4</w:t>
            </w:r>
            <w:r>
              <w:rPr>
                <w:rFonts w:hint="default" w:ascii="Times New Roman" w:hAnsi="Times New Roman" w:eastAsia="宋体" w:cs="Times New Roman"/>
                <w:b/>
                <w:bCs/>
                <w:spacing w:val="0"/>
                <w:kern w:val="2"/>
                <w:sz w:val="24"/>
                <w:szCs w:val="21"/>
                <w:u w:val="none"/>
                <w:lang w:val="en-US" w:eastAsia="zh-CN" w:bidi="ar-SA"/>
              </w:rPr>
              <w:t>-</w:t>
            </w:r>
            <w:r>
              <w:rPr>
                <w:rFonts w:hint="eastAsia" w:cs="Times New Roman"/>
                <w:b/>
                <w:bCs/>
                <w:spacing w:val="0"/>
                <w:kern w:val="2"/>
                <w:sz w:val="24"/>
                <w:szCs w:val="21"/>
                <w:u w:val="none"/>
                <w:lang w:val="en-US" w:eastAsia="zh-CN" w:bidi="ar-SA"/>
              </w:rPr>
              <w:t>13</w:t>
            </w:r>
            <w:r>
              <w:rPr>
                <w:rFonts w:hint="default" w:ascii="Times New Roman" w:hAnsi="Times New Roman" w:eastAsia="宋体" w:cs="Times New Roman"/>
                <w:b/>
                <w:bCs/>
                <w:spacing w:val="0"/>
                <w:kern w:val="2"/>
                <w:sz w:val="24"/>
                <w:szCs w:val="21"/>
                <w:u w:val="none"/>
                <w:lang w:val="en-US" w:eastAsia="zh-CN" w:bidi="ar-SA"/>
              </w:rPr>
              <w:t xml:space="preserve">  厂界噪声预测值</w:t>
            </w:r>
            <w:r>
              <w:rPr>
                <w:rFonts w:hint="eastAsia" w:ascii="Times New Roman" w:hAnsi="Times New Roman" w:eastAsia="宋体" w:cs="Times New Roman"/>
                <w:b/>
                <w:bCs/>
                <w:spacing w:val="0"/>
                <w:kern w:val="2"/>
                <w:sz w:val="24"/>
                <w:szCs w:val="21"/>
                <w:u w:val="none"/>
                <w:lang w:val="en-US" w:eastAsia="zh-CN" w:bidi="ar-SA"/>
              </w:rPr>
              <w:t xml:space="preserve"> </w:t>
            </w:r>
            <w:r>
              <w:rPr>
                <w:rFonts w:hint="default" w:ascii="Times New Roman" w:hAnsi="Times New Roman" w:eastAsia="宋体" w:cs="Times New Roman"/>
                <w:b/>
                <w:bCs/>
                <w:spacing w:val="0"/>
                <w:kern w:val="2"/>
                <w:sz w:val="24"/>
                <w:szCs w:val="21"/>
                <w:u w:val="none"/>
                <w:lang w:val="en-US" w:eastAsia="zh-CN" w:bidi="ar-SA"/>
              </w:rPr>
              <w:t>dB(A)</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2510"/>
              <w:gridCol w:w="2510"/>
              <w:gridCol w:w="1570"/>
            </w:tblGrid>
            <w:tr w14:paraId="2A5B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2" w:type="pct"/>
                  <w:shd w:val="clear" w:color="auto" w:fill="auto"/>
                  <w:vAlign w:val="center"/>
                </w:tcPr>
                <w:p w14:paraId="27CAA5CB">
                  <w:pPr>
                    <w:pStyle w:val="118"/>
                    <w:pageBreakBefore w:val="0"/>
                    <w:kinsoku/>
                    <w:wordWrap/>
                    <w:topLinePunct w:val="0"/>
                    <w:bidi w:val="0"/>
                    <w:spacing w:line="240" w:lineRule="auto"/>
                    <w:ind w:firstLine="0" w:firstLineChars="0"/>
                    <w:jc w:val="center"/>
                    <w:rPr>
                      <w:rFonts w:hint="default" w:ascii="Times New Roman" w:hAnsi="Times New Roman" w:eastAsia="宋体" w:cs="Times New Roman"/>
                      <w:color w:val="auto"/>
                      <w:sz w:val="21"/>
                      <w:szCs w:val="21"/>
                      <w:u w:val="none"/>
                      <w:lang w:val="en-US" w:eastAsia="zh-CN" w:bidi="ar-SA"/>
                    </w:rPr>
                  </w:pPr>
                  <w:r>
                    <w:rPr>
                      <w:rFonts w:hint="default" w:ascii="Times New Roman" w:hAnsi="Times New Roman" w:eastAsia="宋体" w:cs="Times New Roman"/>
                      <w:color w:val="auto"/>
                      <w:sz w:val="21"/>
                      <w:szCs w:val="21"/>
                      <w:u w:val="none"/>
                    </w:rPr>
                    <w:t>噪声源</w:t>
                  </w:r>
                </w:p>
              </w:tc>
              <w:tc>
                <w:tcPr>
                  <w:tcW w:w="1538" w:type="pct"/>
                  <w:shd w:val="clear" w:color="auto" w:fill="auto"/>
                  <w:vAlign w:val="center"/>
                </w:tcPr>
                <w:p w14:paraId="2AF69AA2">
                  <w:pPr>
                    <w:pStyle w:val="118"/>
                    <w:pageBreakBefore w:val="0"/>
                    <w:kinsoku/>
                    <w:wordWrap/>
                    <w:topLinePunct w:val="0"/>
                    <w:bidi w:val="0"/>
                    <w:spacing w:line="240" w:lineRule="auto"/>
                    <w:ind w:firstLine="0" w:firstLineChars="0"/>
                    <w:jc w:val="center"/>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eastAsia="宋体" w:cs="Times New Roman"/>
                      <w:color w:val="auto"/>
                      <w:sz w:val="21"/>
                      <w:szCs w:val="21"/>
                      <w:u w:val="none"/>
                    </w:rPr>
                    <w:t>到各厂界贡献值</w:t>
                  </w:r>
                </w:p>
              </w:tc>
              <w:tc>
                <w:tcPr>
                  <w:tcW w:w="1538" w:type="pct"/>
                  <w:shd w:val="clear" w:color="auto" w:fill="auto"/>
                  <w:vAlign w:val="center"/>
                </w:tcPr>
                <w:p w14:paraId="66480CF7">
                  <w:pPr>
                    <w:pStyle w:val="118"/>
                    <w:pageBreakBefore w:val="0"/>
                    <w:kinsoku/>
                    <w:wordWrap/>
                    <w:topLinePunct w:val="0"/>
                    <w:bidi w:val="0"/>
                    <w:spacing w:line="240" w:lineRule="auto"/>
                    <w:ind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昼间标准值</w:t>
                  </w:r>
                </w:p>
                <w:p w14:paraId="602DA5BE">
                  <w:pPr>
                    <w:pStyle w:val="118"/>
                    <w:pageBreakBefore w:val="0"/>
                    <w:kinsoku/>
                    <w:wordWrap/>
                    <w:topLinePunct w:val="0"/>
                    <w:bidi w:val="0"/>
                    <w:spacing w:line="240" w:lineRule="auto"/>
                    <w:ind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（本项目夜间不生产）</w:t>
                  </w:r>
                </w:p>
              </w:tc>
              <w:tc>
                <w:tcPr>
                  <w:tcW w:w="961" w:type="pct"/>
                  <w:shd w:val="clear" w:color="auto" w:fill="auto"/>
                  <w:vAlign w:val="center"/>
                </w:tcPr>
                <w:p w14:paraId="50DDC776">
                  <w:pPr>
                    <w:pStyle w:val="118"/>
                    <w:pageBreakBefore w:val="0"/>
                    <w:kinsoku/>
                    <w:wordWrap/>
                    <w:topLinePunct w:val="0"/>
                    <w:bidi w:val="0"/>
                    <w:spacing w:line="240" w:lineRule="auto"/>
                    <w:ind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达标情况</w:t>
                  </w:r>
                </w:p>
              </w:tc>
            </w:tr>
            <w:tr w14:paraId="20E5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2" w:type="pct"/>
                  <w:shd w:val="clear" w:color="auto" w:fill="FFFFFF"/>
                  <w:vAlign w:val="center"/>
                </w:tcPr>
                <w:p w14:paraId="6D7A8D94">
                  <w:pPr>
                    <w:keepNext w:val="0"/>
                    <w:keepLines w:val="0"/>
                    <w:pageBreakBefore w:val="0"/>
                    <w:widowControl w:val="0"/>
                    <w:kinsoku/>
                    <w:wordWrap/>
                    <w:topLinePunct w:val="0"/>
                    <w:bidi w:val="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1#厂房东</w:t>
                  </w:r>
                </w:p>
              </w:tc>
              <w:tc>
                <w:tcPr>
                  <w:tcW w:w="1538" w:type="pct"/>
                  <w:vAlign w:val="center"/>
                </w:tcPr>
                <w:p w14:paraId="40EDF51C">
                  <w:pPr>
                    <w:pStyle w:val="30"/>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54.41</w:t>
                  </w:r>
                </w:p>
              </w:tc>
              <w:tc>
                <w:tcPr>
                  <w:tcW w:w="1538" w:type="pct"/>
                  <w:vAlign w:val="center"/>
                </w:tcPr>
                <w:p w14:paraId="2FA4C562">
                  <w:pPr>
                    <w:pStyle w:val="3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65</w:t>
                  </w:r>
                </w:p>
              </w:tc>
              <w:tc>
                <w:tcPr>
                  <w:tcW w:w="961" w:type="pct"/>
                  <w:vAlign w:val="center"/>
                </w:tcPr>
                <w:p w14:paraId="3B41AA76">
                  <w:pPr>
                    <w:pStyle w:val="3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达标</w:t>
                  </w:r>
                </w:p>
              </w:tc>
            </w:tr>
            <w:tr w14:paraId="2001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2" w:type="pct"/>
                  <w:shd w:val="clear" w:color="auto" w:fill="FFFFFF"/>
                  <w:vAlign w:val="center"/>
                </w:tcPr>
                <w:p w14:paraId="671F778E">
                  <w:pPr>
                    <w:keepNext w:val="0"/>
                    <w:keepLines w:val="0"/>
                    <w:pageBreakBefore w:val="0"/>
                    <w:widowControl w:val="0"/>
                    <w:kinsoku/>
                    <w:wordWrap/>
                    <w:topLinePunct w:val="0"/>
                    <w:bidi w:val="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1#厂房南</w:t>
                  </w:r>
                </w:p>
              </w:tc>
              <w:tc>
                <w:tcPr>
                  <w:tcW w:w="1538" w:type="pct"/>
                  <w:vAlign w:val="center"/>
                </w:tcPr>
                <w:p w14:paraId="73F4DE03">
                  <w:pPr>
                    <w:pStyle w:val="30"/>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45.8</w:t>
                  </w:r>
                </w:p>
              </w:tc>
              <w:tc>
                <w:tcPr>
                  <w:tcW w:w="1538" w:type="pct"/>
                  <w:vAlign w:val="center"/>
                </w:tcPr>
                <w:p w14:paraId="738D78B1">
                  <w:pPr>
                    <w:pStyle w:val="3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65</w:t>
                  </w:r>
                </w:p>
              </w:tc>
              <w:tc>
                <w:tcPr>
                  <w:tcW w:w="961" w:type="pct"/>
                  <w:vAlign w:val="center"/>
                </w:tcPr>
                <w:p w14:paraId="01C82735">
                  <w:pPr>
                    <w:pStyle w:val="3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达标</w:t>
                  </w:r>
                </w:p>
              </w:tc>
            </w:tr>
            <w:tr w14:paraId="62A4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2" w:type="pct"/>
                  <w:shd w:val="clear" w:color="auto" w:fill="FFFFFF"/>
                  <w:vAlign w:val="center"/>
                </w:tcPr>
                <w:p w14:paraId="1B91D906">
                  <w:pPr>
                    <w:keepNext w:val="0"/>
                    <w:keepLines w:val="0"/>
                    <w:pageBreakBefore w:val="0"/>
                    <w:widowControl w:val="0"/>
                    <w:kinsoku/>
                    <w:wordWrap/>
                    <w:topLinePunct w:val="0"/>
                    <w:bidi w:val="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1#厂房西</w:t>
                  </w:r>
                </w:p>
              </w:tc>
              <w:tc>
                <w:tcPr>
                  <w:tcW w:w="1538" w:type="pct"/>
                  <w:vAlign w:val="center"/>
                </w:tcPr>
                <w:p w14:paraId="693DD791">
                  <w:pPr>
                    <w:pStyle w:val="30"/>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38.50</w:t>
                  </w:r>
                </w:p>
              </w:tc>
              <w:tc>
                <w:tcPr>
                  <w:tcW w:w="1538" w:type="pct"/>
                  <w:vAlign w:val="center"/>
                </w:tcPr>
                <w:p w14:paraId="1B770929">
                  <w:pPr>
                    <w:pStyle w:val="3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65</w:t>
                  </w:r>
                </w:p>
              </w:tc>
              <w:tc>
                <w:tcPr>
                  <w:tcW w:w="961" w:type="pct"/>
                  <w:vAlign w:val="center"/>
                </w:tcPr>
                <w:p w14:paraId="6067E95B">
                  <w:pPr>
                    <w:pStyle w:val="3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达标</w:t>
                  </w:r>
                </w:p>
              </w:tc>
            </w:tr>
            <w:tr w14:paraId="01D7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2" w:type="pct"/>
                  <w:shd w:val="clear" w:color="auto" w:fill="FFFFFF"/>
                  <w:vAlign w:val="center"/>
                </w:tcPr>
                <w:p w14:paraId="0205D9A3">
                  <w:pPr>
                    <w:keepNext w:val="0"/>
                    <w:keepLines w:val="0"/>
                    <w:pageBreakBefore w:val="0"/>
                    <w:widowControl w:val="0"/>
                    <w:kinsoku/>
                    <w:wordWrap/>
                    <w:topLinePunct w:val="0"/>
                    <w:bidi w:val="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1#厂房北</w:t>
                  </w:r>
                </w:p>
              </w:tc>
              <w:tc>
                <w:tcPr>
                  <w:tcW w:w="1538" w:type="pct"/>
                  <w:vAlign w:val="center"/>
                </w:tcPr>
                <w:p w14:paraId="3848015E">
                  <w:pPr>
                    <w:pStyle w:val="30"/>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61.03</w:t>
                  </w:r>
                </w:p>
              </w:tc>
              <w:tc>
                <w:tcPr>
                  <w:tcW w:w="1538" w:type="pct"/>
                  <w:vAlign w:val="center"/>
                </w:tcPr>
                <w:p w14:paraId="01ECE58B">
                  <w:pPr>
                    <w:pStyle w:val="3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65</w:t>
                  </w:r>
                </w:p>
              </w:tc>
              <w:tc>
                <w:tcPr>
                  <w:tcW w:w="961" w:type="pct"/>
                  <w:vAlign w:val="center"/>
                </w:tcPr>
                <w:p w14:paraId="2096800D">
                  <w:pPr>
                    <w:pStyle w:val="3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达标</w:t>
                  </w:r>
                </w:p>
              </w:tc>
            </w:tr>
            <w:tr w14:paraId="2F13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
                  <w:shd w:val="clear" w:color="auto" w:fill="FFFFFF"/>
                  <w:vAlign w:val="center"/>
                </w:tcPr>
                <w:p w14:paraId="0E43F278">
                  <w:pPr>
                    <w:pStyle w:val="30"/>
                    <w:jc w:val="both"/>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备注：因循环水塔设在北侧厂房外，故北侧厂界按厂外道路中线计算（路宽10m）。</w:t>
                  </w:r>
                </w:p>
              </w:tc>
            </w:tr>
          </w:tbl>
          <w:p w14:paraId="37F3835E">
            <w:pPr>
              <w:pStyle w:val="28"/>
              <w:keepNext w:val="0"/>
              <w:keepLines w:val="0"/>
              <w:pageBreakBefore w:val="0"/>
              <w:widowControl w:val="0"/>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b w:val="0"/>
                <w:bCs/>
                <w:color w:val="auto"/>
                <w:sz w:val="24"/>
                <w:szCs w:val="24"/>
                <w:lang w:val="en-US" w:eastAsia="zh-CN"/>
              </w:rPr>
              <w:t>根据预测结果可知，</w:t>
            </w:r>
            <w:r>
              <w:rPr>
                <w:rFonts w:hint="eastAsia" w:cs="Times New Roman"/>
                <w:color w:val="auto"/>
                <w:kern w:val="2"/>
                <w:sz w:val="24"/>
                <w:szCs w:val="24"/>
                <w:lang w:val="en-US" w:eastAsia="zh-CN" w:bidi="ar-SA"/>
              </w:rPr>
              <w:t>本项目厂界四周</w:t>
            </w:r>
            <w:r>
              <w:rPr>
                <w:rFonts w:hint="eastAsia" w:cs="Times New Roman"/>
                <w:b w:val="0"/>
                <w:bCs/>
                <w:color w:val="auto"/>
                <w:sz w:val="24"/>
                <w:szCs w:val="24"/>
                <w:lang w:val="en-US" w:eastAsia="zh-CN"/>
              </w:rPr>
              <w:t>噪声均</w:t>
            </w:r>
            <w:r>
              <w:rPr>
                <w:rFonts w:hint="default" w:ascii="Times New Roman" w:hAnsi="Times New Roman" w:cs="Times New Roman"/>
                <w:bCs/>
                <w:color w:val="auto"/>
                <w:sz w:val="24"/>
              </w:rPr>
              <w:t>达到《</w:t>
            </w:r>
            <w:r>
              <w:rPr>
                <w:rFonts w:hint="default" w:ascii="Times New Roman" w:hAnsi="Times New Roman" w:cs="Times New Roman"/>
                <w:color w:val="auto"/>
                <w:sz w:val="24"/>
              </w:rPr>
              <w:t>工业企业厂界环境噪声排放标准》（GB12348-2008）中的</w:t>
            </w:r>
            <w:r>
              <w:rPr>
                <w:rFonts w:hint="eastAsia" w:cs="Times New Roman"/>
                <w:color w:val="auto"/>
                <w:sz w:val="24"/>
                <w:lang w:val="en-US" w:eastAsia="zh-CN"/>
              </w:rPr>
              <w:t>3</w:t>
            </w:r>
            <w:r>
              <w:rPr>
                <w:rFonts w:hint="default" w:ascii="Times New Roman" w:hAnsi="Times New Roman" w:cs="Times New Roman"/>
                <w:color w:val="auto"/>
                <w:sz w:val="24"/>
              </w:rPr>
              <w:t>类标准要求</w:t>
            </w:r>
            <w:r>
              <w:rPr>
                <w:rFonts w:hint="eastAsia" w:cs="Times New Roman"/>
                <w:color w:val="auto"/>
                <w:sz w:val="24"/>
                <w:lang w:eastAsia="zh-CN"/>
              </w:rPr>
              <w:t>，</w:t>
            </w:r>
            <w:r>
              <w:rPr>
                <w:rFonts w:hint="eastAsia" w:cs="Times New Roman"/>
                <w:color w:val="auto"/>
                <w:sz w:val="24"/>
                <w:lang w:val="en-US" w:eastAsia="zh-CN"/>
              </w:rPr>
              <w:t>且本项目租赁</w:t>
            </w:r>
            <w:r>
              <w:rPr>
                <w:rFonts w:hint="eastAsia"/>
                <w:color w:val="auto"/>
                <w:sz w:val="24"/>
              </w:rPr>
              <w:t>际华橡胶工业有限公司</w:t>
            </w:r>
            <w:r>
              <w:rPr>
                <w:rFonts w:hint="eastAsia"/>
                <w:color w:val="auto"/>
                <w:sz w:val="24"/>
                <w:lang w:val="en-US" w:eastAsia="zh-CN"/>
              </w:rPr>
              <w:t>厂房进行生产，项目整个厂区在</w:t>
            </w:r>
            <w:r>
              <w:rPr>
                <w:rFonts w:hint="eastAsia"/>
                <w:color w:val="auto"/>
                <w:sz w:val="24"/>
              </w:rPr>
              <w:t>际华橡胶工业有限公司</w:t>
            </w:r>
            <w:r>
              <w:rPr>
                <w:rFonts w:hint="eastAsia"/>
                <w:color w:val="auto"/>
                <w:sz w:val="24"/>
                <w:lang w:val="en-US" w:eastAsia="zh-CN"/>
              </w:rPr>
              <w:t>厂区内，属于厂中厂，项目</w:t>
            </w:r>
            <w:r>
              <w:rPr>
                <w:rFonts w:hint="eastAsia" w:cs="Times New Roman"/>
                <w:color w:val="auto"/>
                <w:sz w:val="24"/>
                <w:lang w:val="en-US" w:eastAsia="zh-CN"/>
              </w:rPr>
              <w:t>北侧、南侧、西侧均为工业厂房，经过</w:t>
            </w:r>
            <w:r>
              <w:rPr>
                <w:rFonts w:hint="eastAsia"/>
                <w:color w:val="auto"/>
                <w:sz w:val="24"/>
                <w:lang w:val="en-US" w:eastAsia="zh-CN"/>
              </w:rPr>
              <w:t>其他公司的</w:t>
            </w:r>
            <w:r>
              <w:rPr>
                <w:rFonts w:hint="eastAsia" w:cs="Times New Roman"/>
                <w:color w:val="auto"/>
                <w:sz w:val="24"/>
                <w:lang w:val="en-US" w:eastAsia="zh-CN"/>
              </w:rPr>
              <w:t>厂房（隔断）隔声、距离衰减以及恒裕公司内部绿化带隔声后，</w:t>
            </w:r>
            <w:r>
              <w:rPr>
                <w:rFonts w:hint="default" w:ascii="Times New Roman" w:hAnsi="Times New Roman" w:cs="Times New Roman"/>
                <w:color w:val="auto"/>
                <w:sz w:val="24"/>
              </w:rPr>
              <w:t>对周围环境影响较小</w:t>
            </w:r>
            <w:r>
              <w:rPr>
                <w:rFonts w:hint="default" w:ascii="Times New Roman" w:hAnsi="Times New Roman" w:eastAsia="宋体" w:cs="Times New Roman"/>
                <w:color w:val="auto"/>
                <w:kern w:val="2"/>
                <w:sz w:val="24"/>
                <w:szCs w:val="24"/>
                <w:lang w:val="en-US" w:eastAsia="zh-CN" w:bidi="ar-SA"/>
              </w:rPr>
              <w:t>。</w:t>
            </w:r>
          </w:p>
          <w:p w14:paraId="303B2012">
            <w:pPr>
              <w:pStyle w:val="28"/>
              <w:keepNext w:val="0"/>
              <w:keepLines w:val="0"/>
              <w:pageBreakBefore w:val="0"/>
              <w:widowControl w:val="0"/>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为了进一步减少本项目产生的噪声对周围环境的影响，本报告建议采取的措施如下：</w:t>
            </w:r>
          </w:p>
          <w:p w14:paraId="379E2066">
            <w:pPr>
              <w:pStyle w:val="119"/>
              <w:spacing w:line="360" w:lineRule="auto"/>
              <w:ind w:right="0" w:rightChars="0" w:firstLine="480"/>
              <w:rPr>
                <w:rFonts w:hint="default" w:ascii="Times New Roman" w:hAnsi="Times New Roman" w:cs="Times New Roman"/>
                <w:color w:val="auto"/>
                <w:szCs w:val="24"/>
              </w:rPr>
            </w:pPr>
            <w:r>
              <w:rPr>
                <w:rFonts w:hint="default" w:ascii="Times New Roman" w:hAnsi="Times New Roman" w:cs="Times New Roman"/>
                <w:color w:val="auto"/>
                <w:szCs w:val="24"/>
              </w:rPr>
              <w:t>①</w:t>
            </w:r>
            <w:r>
              <w:rPr>
                <w:rFonts w:hint="eastAsia" w:ascii="Times New Roman" w:cs="Times New Roman"/>
                <w:color w:val="auto"/>
                <w:szCs w:val="24"/>
                <w:lang w:eastAsia="zh-CN"/>
              </w:rPr>
              <w:t>在设备选型时，应优选低噪声设备，以降低噪声源声压级</w:t>
            </w:r>
            <w:r>
              <w:rPr>
                <w:rFonts w:hint="default" w:ascii="Times New Roman" w:hAnsi="Times New Roman" w:cs="Times New Roman"/>
                <w:color w:val="auto"/>
                <w:szCs w:val="24"/>
              </w:rPr>
              <w:t>；</w:t>
            </w:r>
          </w:p>
          <w:p w14:paraId="5681C846">
            <w:pPr>
              <w:spacing w:line="360" w:lineRule="auto"/>
              <w:ind w:right="0" w:rightChars="0"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②对</w:t>
            </w:r>
            <w:r>
              <w:rPr>
                <w:rFonts w:hint="eastAsia" w:ascii="Times New Roman" w:hAnsi="Times New Roman" w:cs="Times New Roman"/>
                <w:color w:val="auto"/>
                <w:sz w:val="24"/>
                <w:szCs w:val="24"/>
                <w:lang w:eastAsia="zh-CN"/>
              </w:rPr>
              <w:t>高</w:t>
            </w:r>
            <w:r>
              <w:rPr>
                <w:rFonts w:hint="default" w:ascii="Times New Roman" w:hAnsi="Times New Roman" w:cs="Times New Roman"/>
                <w:color w:val="auto"/>
                <w:sz w:val="24"/>
                <w:szCs w:val="24"/>
              </w:rPr>
              <w:t>噪声源</w:t>
            </w:r>
            <w:r>
              <w:rPr>
                <w:rFonts w:hint="eastAsia" w:ascii="Times New Roman" w:hAnsi="Times New Roman" w:cs="Times New Roman"/>
                <w:color w:val="auto"/>
                <w:sz w:val="24"/>
                <w:szCs w:val="24"/>
                <w:lang w:eastAsia="zh-CN"/>
              </w:rPr>
              <w:t>设备</w:t>
            </w:r>
            <w:r>
              <w:rPr>
                <w:rFonts w:hint="default" w:ascii="Times New Roman" w:hAnsi="Times New Roman" w:eastAsia="宋体" w:cs="Times New Roman"/>
                <w:color w:val="auto"/>
                <w:sz w:val="24"/>
                <w:szCs w:val="24"/>
              </w:rPr>
              <w:t>采取基础减震措施</w:t>
            </w:r>
            <w:r>
              <w:rPr>
                <w:rFonts w:hint="default" w:ascii="Times New Roman" w:hAnsi="Times New Roman" w:cs="Times New Roman"/>
                <w:color w:val="auto"/>
                <w:sz w:val="24"/>
                <w:szCs w:val="24"/>
              </w:rPr>
              <w:t>；</w:t>
            </w:r>
            <w:r>
              <w:rPr>
                <w:rFonts w:hint="default" w:ascii="Times New Roman" w:hAnsi="Times New Roman" w:cs="Times New Roman"/>
                <w:bCs/>
                <w:color w:val="auto"/>
                <w:sz w:val="24"/>
                <w:u w:val="none"/>
              </w:rPr>
              <w:t>同时在</w:t>
            </w:r>
            <w:r>
              <w:rPr>
                <w:rFonts w:hint="default" w:ascii="Times New Roman" w:hAnsi="Times New Roman" w:cs="Times New Roman"/>
                <w:bCs/>
                <w:color w:val="auto"/>
                <w:sz w:val="24"/>
                <w:u w:val="none"/>
                <w:lang w:eastAsia="zh-CN"/>
              </w:rPr>
              <w:t>厂房</w:t>
            </w:r>
            <w:r>
              <w:rPr>
                <w:rFonts w:hint="default" w:ascii="Times New Roman" w:hAnsi="Times New Roman" w:cs="Times New Roman"/>
                <w:bCs/>
                <w:color w:val="auto"/>
                <w:sz w:val="24"/>
                <w:u w:val="none"/>
              </w:rPr>
              <w:t>总体布置上利用</w:t>
            </w:r>
            <w:r>
              <w:rPr>
                <w:rFonts w:hint="default" w:ascii="Times New Roman" w:hAnsi="Times New Roman" w:cs="Times New Roman"/>
                <w:bCs/>
                <w:color w:val="auto"/>
                <w:sz w:val="24"/>
                <w:u w:val="none"/>
                <w:lang w:eastAsia="zh-CN"/>
              </w:rPr>
              <w:t>堆放物或对厂房加隔声层</w:t>
            </w:r>
            <w:r>
              <w:rPr>
                <w:rFonts w:hint="default" w:ascii="Times New Roman" w:hAnsi="Times New Roman" w:cs="Times New Roman"/>
                <w:bCs/>
                <w:color w:val="auto"/>
                <w:sz w:val="24"/>
                <w:u w:val="none"/>
              </w:rPr>
              <w:t>来阻隔声波的传播</w:t>
            </w:r>
            <w:r>
              <w:rPr>
                <w:rFonts w:hint="default" w:ascii="Times New Roman" w:hAnsi="Times New Roman" w:cs="Times New Roman"/>
                <w:bCs/>
                <w:color w:val="auto"/>
                <w:sz w:val="24"/>
                <w:u w:val="none"/>
                <w:lang w:eastAsia="zh-CN"/>
              </w:rPr>
              <w:t>；</w:t>
            </w:r>
          </w:p>
          <w:p w14:paraId="39349CE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rPr>
              <w:t>③</w:t>
            </w:r>
            <w:r>
              <w:rPr>
                <w:rFonts w:hint="default" w:ascii="Times New Roman" w:hAnsi="Times New Roman" w:cs="Times New Roman"/>
                <w:bCs/>
                <w:color w:val="auto"/>
                <w:sz w:val="24"/>
                <w:u w:val="none"/>
              </w:rPr>
              <w:t>建立设备定期维护、保养的管理制度，以防止设备故障造成的非正常生产噪声，同时确保环保措施发挥最佳有效的功能</w:t>
            </w:r>
            <w:r>
              <w:rPr>
                <w:rFonts w:hint="default" w:ascii="Times New Roman" w:hAnsi="Times New Roman" w:cs="Times New Roman"/>
                <w:color w:val="auto"/>
                <w:sz w:val="24"/>
                <w:szCs w:val="24"/>
              </w:rPr>
              <w:t>。</w:t>
            </w:r>
          </w:p>
          <w:p w14:paraId="740AB7A9">
            <w:pPr>
              <w:pStyle w:val="101"/>
              <w:spacing w:line="360" w:lineRule="auto"/>
              <w:ind w:firstLine="482" w:firstLineChars="200"/>
              <w:rPr>
                <w:rFonts w:ascii="Times New Roman" w:hAnsi="Times New Roman"/>
                <w:b/>
                <w:bCs w:val="0"/>
                <w:sz w:val="24"/>
                <w:szCs w:val="24"/>
              </w:rPr>
            </w:pPr>
            <w:r>
              <w:rPr>
                <w:rFonts w:hint="eastAsia" w:ascii="Times New Roman" w:hAnsi="Times New Roman"/>
                <w:b/>
                <w:bCs w:val="0"/>
                <w:sz w:val="24"/>
                <w:szCs w:val="24"/>
                <w:lang w:val="en-US" w:eastAsia="zh-CN"/>
              </w:rPr>
              <w:t>3</w:t>
            </w:r>
            <w:r>
              <w:rPr>
                <w:rFonts w:hint="eastAsia" w:ascii="Times New Roman" w:hAnsi="Times New Roman"/>
                <w:b/>
                <w:bCs w:val="0"/>
                <w:sz w:val="24"/>
                <w:szCs w:val="24"/>
              </w:rPr>
              <w:t>、监测要求</w:t>
            </w:r>
          </w:p>
          <w:p w14:paraId="3C8F5F8E">
            <w:pPr>
              <w:spacing w:line="360" w:lineRule="auto"/>
              <w:ind w:right="62" w:rightChars="26" w:firstLine="480" w:firstLineChars="200"/>
              <w:jc w:val="left"/>
              <w:rPr>
                <w:rFonts w:hint="eastAsia" w:ascii="Times New Roman" w:hAnsi="Times New Roman" w:eastAsia="宋体" w:cs="Times New Roman"/>
                <w:b/>
                <w:bCs/>
                <w:spacing w:val="0"/>
                <w:kern w:val="2"/>
                <w:sz w:val="24"/>
                <w:szCs w:val="21"/>
                <w:u w:val="none"/>
                <w:lang w:val="en-US" w:eastAsia="zh-CN" w:bidi="ar-SA"/>
              </w:rPr>
            </w:pPr>
            <w:r>
              <w:rPr>
                <w:rFonts w:ascii="Times New Roman" w:hAnsi="Times New Roman"/>
                <w:bCs/>
                <w:color w:val="auto"/>
                <w:u w:val="none"/>
              </w:rPr>
              <w:t>根据《排污单位自行监测技术指南—总则》（HJ819-2017）等标准规定的排放口及污染物最低频次提出本环评建议的</w:t>
            </w:r>
            <w:r>
              <w:rPr>
                <w:rFonts w:hint="default" w:ascii="Times New Roman" w:hAnsi="Times New Roman"/>
                <w:bCs/>
                <w:color w:val="auto"/>
                <w:u w:val="none"/>
              </w:rPr>
              <w:t>废气</w:t>
            </w:r>
            <w:r>
              <w:rPr>
                <w:rFonts w:ascii="Times New Roman" w:hAnsi="Times New Roman"/>
                <w:bCs/>
                <w:color w:val="auto"/>
                <w:u w:val="none"/>
              </w:rPr>
              <w:t>监测计划</w:t>
            </w:r>
            <w:r>
              <w:rPr>
                <w:rFonts w:hint="eastAsia"/>
                <w:bCs/>
                <w:color w:val="auto"/>
                <w:u w:val="none"/>
                <w:lang w:eastAsia="zh-CN"/>
              </w:rPr>
              <w:t>。</w:t>
            </w:r>
          </w:p>
          <w:p w14:paraId="251BC716">
            <w:pPr>
              <w:spacing w:line="240" w:lineRule="auto"/>
              <w:jc w:val="center"/>
              <w:rPr>
                <w:rFonts w:hint="default" w:ascii="Times New Roman" w:hAnsi="Times New Roman" w:eastAsia="宋体" w:cs="Times New Roman"/>
                <w:b/>
                <w:bCs/>
                <w:spacing w:val="0"/>
                <w:kern w:val="2"/>
                <w:sz w:val="24"/>
                <w:szCs w:val="21"/>
                <w:u w:val="none"/>
                <w:lang w:val="en-US" w:eastAsia="zh-CN" w:bidi="ar-SA"/>
              </w:rPr>
            </w:pPr>
            <w:r>
              <w:rPr>
                <w:rFonts w:hint="default" w:ascii="Times New Roman" w:hAnsi="Times New Roman" w:eastAsia="宋体" w:cs="Times New Roman"/>
                <w:b/>
                <w:bCs/>
                <w:spacing w:val="0"/>
                <w:kern w:val="2"/>
                <w:sz w:val="24"/>
                <w:szCs w:val="21"/>
                <w:u w:val="none"/>
                <w:lang w:val="en-US" w:eastAsia="zh-CN" w:bidi="ar-SA"/>
              </w:rPr>
              <w:t>表4-</w:t>
            </w:r>
            <w:r>
              <w:rPr>
                <w:rFonts w:hint="eastAsia" w:ascii="Times New Roman" w:hAnsi="Times New Roman" w:eastAsia="宋体" w:cs="Times New Roman"/>
                <w:b/>
                <w:bCs/>
                <w:spacing w:val="0"/>
                <w:kern w:val="2"/>
                <w:sz w:val="24"/>
                <w:szCs w:val="21"/>
                <w:u w:val="none"/>
                <w:lang w:val="en-US" w:eastAsia="zh-CN" w:bidi="ar-SA"/>
              </w:rPr>
              <w:t>1</w:t>
            </w:r>
            <w:r>
              <w:rPr>
                <w:rFonts w:hint="eastAsia" w:cs="Times New Roman"/>
                <w:b/>
                <w:bCs/>
                <w:spacing w:val="0"/>
                <w:kern w:val="2"/>
                <w:sz w:val="24"/>
                <w:szCs w:val="21"/>
                <w:u w:val="none"/>
                <w:lang w:val="en-US" w:eastAsia="zh-CN" w:bidi="ar-SA"/>
              </w:rPr>
              <w:t>4</w:t>
            </w:r>
            <w:r>
              <w:rPr>
                <w:rFonts w:hint="default" w:ascii="Times New Roman" w:hAnsi="Times New Roman" w:eastAsia="宋体" w:cs="Times New Roman"/>
                <w:b/>
                <w:bCs/>
                <w:spacing w:val="0"/>
                <w:kern w:val="2"/>
                <w:sz w:val="24"/>
                <w:szCs w:val="21"/>
                <w:u w:val="none"/>
                <w:lang w:val="en-US" w:eastAsia="zh-CN" w:bidi="ar-SA"/>
              </w:rPr>
              <w:t xml:space="preserve">  噪声监测方案表</w:t>
            </w:r>
          </w:p>
          <w:tbl>
            <w:tblPr>
              <w:tblStyle w:val="32"/>
              <w:tblW w:w="8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2360"/>
              <w:gridCol w:w="1911"/>
              <w:gridCol w:w="2173"/>
            </w:tblGrid>
            <w:tr w14:paraId="2181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574" w:type="dxa"/>
                  <w:noWrap w:val="0"/>
                  <w:vAlign w:val="center"/>
                </w:tcPr>
                <w:p w14:paraId="04D5E40C">
                  <w:pPr>
                    <w:jc w:val="center"/>
                  </w:pPr>
                  <w:r>
                    <w:rPr>
                      <w:sz w:val="21"/>
                      <w:szCs w:val="21"/>
                    </w:rPr>
                    <w:t>项目</w:t>
                  </w:r>
                </w:p>
              </w:tc>
              <w:tc>
                <w:tcPr>
                  <w:tcW w:w="2360" w:type="dxa"/>
                  <w:noWrap w:val="0"/>
                  <w:vAlign w:val="center"/>
                </w:tcPr>
                <w:p w14:paraId="7C257D16">
                  <w:pPr>
                    <w:jc w:val="center"/>
                  </w:pPr>
                  <w:r>
                    <w:rPr>
                      <w:sz w:val="21"/>
                      <w:szCs w:val="21"/>
                    </w:rPr>
                    <w:t>监测点位</w:t>
                  </w:r>
                </w:p>
              </w:tc>
              <w:tc>
                <w:tcPr>
                  <w:tcW w:w="1911" w:type="dxa"/>
                  <w:noWrap w:val="0"/>
                  <w:vAlign w:val="center"/>
                </w:tcPr>
                <w:p w14:paraId="65782F03">
                  <w:pPr>
                    <w:jc w:val="center"/>
                  </w:pPr>
                  <w:r>
                    <w:rPr>
                      <w:sz w:val="21"/>
                      <w:szCs w:val="21"/>
                    </w:rPr>
                    <w:t>监测</w:t>
                  </w:r>
                  <w:r>
                    <w:rPr>
                      <w:rFonts w:hint="eastAsia"/>
                      <w:sz w:val="21"/>
                      <w:szCs w:val="21"/>
                    </w:rPr>
                    <w:t>因子</w:t>
                  </w:r>
                </w:p>
              </w:tc>
              <w:tc>
                <w:tcPr>
                  <w:tcW w:w="2173" w:type="dxa"/>
                  <w:noWrap w:val="0"/>
                  <w:vAlign w:val="center"/>
                </w:tcPr>
                <w:p w14:paraId="2A57673D">
                  <w:pPr>
                    <w:jc w:val="center"/>
                  </w:pPr>
                  <w:r>
                    <w:rPr>
                      <w:sz w:val="21"/>
                      <w:szCs w:val="21"/>
                    </w:rPr>
                    <w:t>监测频次</w:t>
                  </w:r>
                </w:p>
              </w:tc>
            </w:tr>
            <w:tr w14:paraId="7723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574" w:type="dxa"/>
                  <w:noWrap w:val="0"/>
                  <w:vAlign w:val="center"/>
                </w:tcPr>
                <w:p w14:paraId="0FBA0B0C">
                  <w:pPr>
                    <w:jc w:val="center"/>
                  </w:pPr>
                  <w:r>
                    <w:rPr>
                      <w:rFonts w:hint="eastAsia"/>
                    </w:rPr>
                    <w:t>噪声</w:t>
                  </w:r>
                </w:p>
              </w:tc>
              <w:tc>
                <w:tcPr>
                  <w:tcW w:w="2360" w:type="dxa"/>
                  <w:noWrap w:val="0"/>
                  <w:vAlign w:val="center"/>
                </w:tcPr>
                <w:p w14:paraId="26977D4E">
                  <w:pPr>
                    <w:jc w:val="center"/>
                  </w:pPr>
                  <w:r>
                    <w:rPr>
                      <w:sz w:val="21"/>
                      <w:szCs w:val="21"/>
                    </w:rPr>
                    <w:t>厂界外1m处</w:t>
                  </w:r>
                </w:p>
              </w:tc>
              <w:tc>
                <w:tcPr>
                  <w:tcW w:w="1911" w:type="dxa"/>
                  <w:noWrap w:val="0"/>
                  <w:vAlign w:val="center"/>
                </w:tcPr>
                <w:p w14:paraId="6DC27818">
                  <w:pPr>
                    <w:jc w:val="center"/>
                  </w:pPr>
                  <w:r>
                    <w:rPr>
                      <w:sz w:val="21"/>
                      <w:szCs w:val="21"/>
                    </w:rPr>
                    <w:t>厂界噪声</w:t>
                  </w:r>
                </w:p>
              </w:tc>
              <w:tc>
                <w:tcPr>
                  <w:tcW w:w="2173" w:type="dxa"/>
                  <w:noWrap w:val="0"/>
                  <w:vAlign w:val="center"/>
                </w:tcPr>
                <w:p w14:paraId="3B4A1AB3">
                  <w:pPr>
                    <w:jc w:val="center"/>
                  </w:pPr>
                  <w:r>
                    <w:rPr>
                      <w:sz w:val="21"/>
                      <w:szCs w:val="21"/>
                    </w:rPr>
                    <w:t>1次/季</w:t>
                  </w:r>
                </w:p>
              </w:tc>
            </w:tr>
          </w:tbl>
          <w:p w14:paraId="3E477AC3">
            <w:pPr>
              <w:pStyle w:val="41"/>
              <w:spacing w:line="360" w:lineRule="auto"/>
              <w:ind w:left="0" w:leftChars="0" w:firstLine="0" w:firstLineChars="0"/>
              <w:rPr>
                <w:rFonts w:ascii="Times New Roman"/>
                <w:b/>
                <w:bCs/>
                <w:color w:val="auto"/>
                <w:sz w:val="24"/>
                <w:szCs w:val="24"/>
              </w:rPr>
            </w:pPr>
            <w:r>
              <w:rPr>
                <w:rFonts w:hint="eastAsia" w:ascii="Times New Roman"/>
                <w:b/>
                <w:bCs/>
                <w:color w:val="auto"/>
                <w:sz w:val="24"/>
                <w:szCs w:val="24"/>
              </w:rPr>
              <w:t>四、</w:t>
            </w:r>
            <w:r>
              <w:rPr>
                <w:rFonts w:ascii="Times New Roman"/>
                <w:b/>
                <w:bCs/>
                <w:color w:val="auto"/>
                <w:sz w:val="24"/>
                <w:szCs w:val="24"/>
              </w:rPr>
              <w:t>固体废物环境影响分析</w:t>
            </w:r>
            <w:r>
              <w:rPr>
                <w:rFonts w:hint="eastAsia" w:ascii="Times New Roman"/>
                <w:b/>
                <w:bCs/>
                <w:color w:val="auto"/>
                <w:sz w:val="24"/>
                <w:szCs w:val="24"/>
              </w:rPr>
              <w:t>和保护措施</w:t>
            </w:r>
          </w:p>
          <w:p w14:paraId="622A5E2F">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color w:val="auto"/>
                <w:szCs w:val="24"/>
                <w:u w:val="none"/>
              </w:rPr>
            </w:pPr>
            <w:r>
              <w:rPr>
                <w:rFonts w:hint="eastAsia"/>
                <w:color w:val="auto"/>
                <w:szCs w:val="24"/>
                <w:u w:val="none"/>
              </w:rPr>
              <w:t>本项目</w:t>
            </w:r>
            <w:r>
              <w:rPr>
                <w:rFonts w:hint="eastAsia"/>
                <w:color w:val="auto"/>
                <w:szCs w:val="24"/>
                <w:u w:val="none"/>
                <w:lang w:eastAsia="zh-CN"/>
              </w:rPr>
              <w:t>的固废</w:t>
            </w:r>
            <w:r>
              <w:rPr>
                <w:rFonts w:hint="eastAsia"/>
                <w:color w:val="auto"/>
                <w:szCs w:val="24"/>
                <w:u w:val="none"/>
              </w:rPr>
              <w:t>主要</w:t>
            </w:r>
            <w:r>
              <w:rPr>
                <w:rFonts w:hint="eastAsia"/>
                <w:color w:val="auto"/>
                <w:szCs w:val="24"/>
                <w:u w:val="none"/>
                <w:lang w:val="en-US" w:eastAsia="zh-CN"/>
              </w:rPr>
              <w:t>为生活垃圾</w:t>
            </w:r>
            <w:r>
              <w:rPr>
                <w:rFonts w:hint="eastAsia" w:ascii="Times New Roman" w:hAnsi="Times New Roman" w:cs="Times New Roman"/>
                <w:color w:val="auto"/>
                <w:u w:val="none"/>
                <w:lang w:val="en-US" w:eastAsia="zh-CN"/>
              </w:rPr>
              <w:t>、废原料包装桶（S1）</w:t>
            </w:r>
            <w:r>
              <w:rPr>
                <w:rFonts w:hint="eastAsia"/>
                <w:color w:val="auto"/>
                <w:szCs w:val="24"/>
                <w:u w:val="none"/>
                <w:lang w:val="en-US" w:eastAsia="zh-CN"/>
              </w:rPr>
              <w:t>、</w:t>
            </w:r>
            <w:r>
              <w:rPr>
                <w:rFonts w:hint="eastAsia" w:ascii="Times New Roman" w:hAnsi="Times New Roman" w:cs="Times New Roman"/>
                <w:color w:val="auto"/>
                <w:u w:val="none"/>
                <w:lang w:val="en-US" w:eastAsia="zh-CN"/>
              </w:rPr>
              <w:t>回收固废（S2）、废活性炭、废矿物油、废矿物油桶、废含油手套以及抹布</w:t>
            </w:r>
            <w:r>
              <w:rPr>
                <w:rFonts w:hint="eastAsia"/>
                <w:color w:val="auto"/>
                <w:u w:val="none"/>
                <w:lang w:eastAsia="zh-CN"/>
              </w:rPr>
              <w:t>。</w:t>
            </w:r>
          </w:p>
          <w:p w14:paraId="1583AA77">
            <w:pPr>
              <w:pStyle w:val="30"/>
              <w:keepNext w:val="0"/>
              <w:keepLines w:val="0"/>
              <w:pageBreakBefore w:val="0"/>
              <w:widowControl w:val="0"/>
              <w:numPr>
                <w:ilvl w:val="-1"/>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bCs/>
                <w:color w:val="auto"/>
                <w:szCs w:val="24"/>
                <w:u w:val="none"/>
                <w:lang w:val="en-US" w:eastAsia="zh-CN"/>
              </w:rPr>
            </w:pPr>
            <w:r>
              <w:rPr>
                <w:rFonts w:hint="eastAsia"/>
                <w:bCs/>
                <w:color w:val="auto"/>
                <w:szCs w:val="24"/>
                <w:u w:val="none"/>
                <w:lang w:val="en-US" w:eastAsia="zh-CN"/>
              </w:rPr>
              <w:t>1、回收固废（S2）</w:t>
            </w:r>
          </w:p>
          <w:p w14:paraId="019A599D">
            <w:pPr>
              <w:pStyle w:val="30"/>
              <w:numPr>
                <w:ilvl w:val="-1"/>
                <w:numId w:val="0"/>
              </w:numPr>
              <w:spacing w:after="0" w:line="360" w:lineRule="auto"/>
              <w:ind w:leftChars="0" w:firstLine="480" w:firstLineChars="200"/>
              <w:rPr>
                <w:rFonts w:hint="eastAsia"/>
                <w:bCs/>
                <w:color w:val="auto"/>
                <w:szCs w:val="24"/>
                <w:u w:val="none"/>
              </w:rPr>
            </w:pPr>
            <w:r>
              <w:rPr>
                <w:rFonts w:hint="eastAsia"/>
                <w:bCs/>
                <w:color w:val="auto"/>
                <w:szCs w:val="24"/>
                <w:u w:val="none"/>
                <w:lang w:val="en-US" w:eastAsia="zh-CN"/>
              </w:rPr>
              <w:t>根据建设单位提供的资料，</w:t>
            </w:r>
            <w:r>
              <w:rPr>
                <w:rFonts w:hint="eastAsia"/>
                <w:bCs/>
                <w:color w:val="auto"/>
                <w:szCs w:val="24"/>
                <w:u w:val="none"/>
              </w:rPr>
              <w:t>本项目产品的NMP回收固体废物（电解镍、钴、锰材料以及含锂材料）约为</w:t>
            </w:r>
            <w:r>
              <w:rPr>
                <w:rFonts w:hint="eastAsia"/>
                <w:bCs/>
                <w:color w:val="auto"/>
                <w:szCs w:val="24"/>
                <w:u w:val="none"/>
                <w:lang w:eastAsia="zh-CN"/>
              </w:rPr>
              <w:t>1</w:t>
            </w:r>
            <w:r>
              <w:rPr>
                <w:rFonts w:hint="eastAsia"/>
                <w:bCs/>
                <w:color w:val="auto"/>
                <w:szCs w:val="24"/>
                <w:u w:val="none"/>
                <w:lang w:val="en-US" w:eastAsia="zh-CN"/>
              </w:rPr>
              <w:t>000</w:t>
            </w:r>
            <w:r>
              <w:rPr>
                <w:rFonts w:hint="eastAsia"/>
                <w:bCs/>
                <w:color w:val="auto"/>
                <w:szCs w:val="24"/>
                <w:u w:val="none"/>
              </w:rPr>
              <w:t>t/a，根据《固体废物分类与代码目录》（公告2024年第4号），</w:t>
            </w:r>
            <w:r>
              <w:rPr>
                <w:rFonts w:hint="eastAsia"/>
                <w:bCs/>
                <w:color w:val="auto"/>
                <w:szCs w:val="24"/>
                <w:u w:val="none"/>
                <w:lang w:val="en-US" w:eastAsia="zh-CN"/>
              </w:rPr>
              <w:t>回收固废</w:t>
            </w:r>
            <w:r>
              <w:rPr>
                <w:rFonts w:hint="eastAsia"/>
                <w:bCs/>
                <w:color w:val="auto"/>
                <w:szCs w:val="24"/>
                <w:u w:val="none"/>
              </w:rPr>
              <w:t>属于SW17可再生类废物，代码为900-0</w:t>
            </w:r>
            <w:r>
              <w:rPr>
                <w:rFonts w:hint="eastAsia"/>
                <w:bCs/>
                <w:color w:val="auto"/>
                <w:szCs w:val="24"/>
                <w:u w:val="none"/>
                <w:lang w:val="en-US" w:eastAsia="zh-CN"/>
              </w:rPr>
              <w:t>12</w:t>
            </w:r>
            <w:r>
              <w:rPr>
                <w:rFonts w:hint="eastAsia"/>
                <w:bCs/>
                <w:color w:val="auto"/>
                <w:szCs w:val="24"/>
                <w:u w:val="none"/>
              </w:rPr>
              <w:t>-S17，</w:t>
            </w:r>
            <w:r>
              <w:rPr>
                <w:rFonts w:hint="eastAsia"/>
                <w:bCs/>
                <w:color w:val="auto"/>
                <w:szCs w:val="24"/>
                <w:u w:val="none"/>
                <w:lang w:val="en-US" w:eastAsia="zh-CN"/>
              </w:rPr>
              <w:t>经统一</w:t>
            </w:r>
            <w:r>
              <w:rPr>
                <w:rFonts w:hint="eastAsia"/>
                <w:bCs/>
                <w:color w:val="auto"/>
                <w:szCs w:val="24"/>
                <w:u w:val="none"/>
              </w:rPr>
              <w:t>收集后</w:t>
            </w:r>
            <w:r>
              <w:rPr>
                <w:rFonts w:hint="eastAsia"/>
                <w:bCs/>
                <w:color w:val="auto"/>
                <w:szCs w:val="24"/>
                <w:u w:val="none"/>
                <w:lang w:val="en-US" w:eastAsia="zh-CN"/>
              </w:rPr>
              <w:t>外售给回收公司</w:t>
            </w:r>
            <w:r>
              <w:rPr>
                <w:rFonts w:hint="eastAsia"/>
                <w:bCs/>
                <w:color w:val="auto"/>
                <w:szCs w:val="24"/>
                <w:u w:val="none"/>
              </w:rPr>
              <w:t>。</w:t>
            </w:r>
          </w:p>
          <w:p w14:paraId="024199A8">
            <w:pPr>
              <w:spacing w:line="360" w:lineRule="auto"/>
              <w:ind w:firstLine="480" w:firstLineChars="200"/>
              <w:rPr>
                <w:rFonts w:hint="default"/>
                <w:bCs/>
                <w:color w:val="auto"/>
                <w:szCs w:val="24"/>
                <w:u w:val="none"/>
                <w:lang w:val="en-US" w:eastAsia="zh-CN"/>
              </w:rPr>
            </w:pPr>
            <w:r>
              <w:rPr>
                <w:rFonts w:hint="eastAsia"/>
                <w:bCs/>
                <w:color w:val="auto"/>
                <w:szCs w:val="24"/>
                <w:u w:val="none"/>
                <w:lang w:val="en-US" w:eastAsia="zh-CN"/>
              </w:rPr>
              <w:t>2、废原料包装桶（S1）</w:t>
            </w:r>
          </w:p>
          <w:p w14:paraId="098D7970">
            <w:pPr>
              <w:spacing w:line="360" w:lineRule="auto"/>
              <w:ind w:firstLine="480" w:firstLineChars="200"/>
              <w:rPr>
                <w:rFonts w:hint="eastAsia"/>
                <w:bCs/>
                <w:szCs w:val="24"/>
                <w:u w:val="none"/>
              </w:rPr>
            </w:pPr>
            <w:r>
              <w:rPr>
                <w:rFonts w:hint="eastAsia"/>
                <w:bCs/>
                <w:szCs w:val="24"/>
                <w:u w:val="none"/>
                <w:lang w:val="en-US" w:eastAsia="zh-CN"/>
              </w:rPr>
              <w:t>根据前文分析，NMP废液不属于危险废物，因此其包装桶不属于</w:t>
            </w:r>
            <w:r>
              <w:rPr>
                <w:rFonts w:hint="eastAsia"/>
              </w:rPr>
              <w:t>《国家危险废物名录》（2025版）</w:t>
            </w:r>
            <w:r>
              <w:rPr>
                <w:rFonts w:hint="eastAsia"/>
                <w:lang w:val="en-US" w:eastAsia="zh-CN"/>
              </w:rPr>
              <w:t>中的</w:t>
            </w:r>
            <w:r>
              <w:rPr>
                <w:rFonts w:hint="eastAsia"/>
              </w:rPr>
              <w:t>HW49其他废物</w:t>
            </w:r>
            <w:r>
              <w:rPr>
                <w:rFonts w:hint="eastAsia"/>
                <w:lang w:eastAsia="zh-CN"/>
              </w:rPr>
              <w:t>（</w:t>
            </w:r>
            <w:r>
              <w:rPr>
                <w:rFonts w:hint="eastAsia"/>
                <w:lang w:val="en-US" w:eastAsia="zh-CN"/>
              </w:rPr>
              <w:t>代码为</w:t>
            </w:r>
            <w:r>
              <w:rPr>
                <w:rFonts w:hint="eastAsia"/>
              </w:rPr>
              <w:t>900-041-49</w:t>
            </w:r>
            <w:r>
              <w:rPr>
                <w:rFonts w:hint="eastAsia"/>
                <w:lang w:eastAsia="zh-CN"/>
              </w:rPr>
              <w:t>）。</w:t>
            </w:r>
            <w:r>
              <w:rPr>
                <w:rFonts w:hint="default"/>
                <w:bCs/>
                <w:szCs w:val="24"/>
                <w:u w:val="none"/>
              </w:rPr>
              <w:t>根据建设单位提供的资料，</w:t>
            </w:r>
            <w:r>
              <w:rPr>
                <w:rFonts w:hint="eastAsia"/>
                <w:bCs/>
                <w:szCs w:val="24"/>
                <w:u w:val="none"/>
                <w:lang w:val="en-US" w:eastAsia="zh-CN"/>
              </w:rPr>
              <w:t>本项目废原料包装桶</w:t>
            </w:r>
            <w:r>
              <w:rPr>
                <w:rFonts w:hint="default"/>
                <w:bCs/>
                <w:szCs w:val="24"/>
                <w:u w:val="none"/>
              </w:rPr>
              <w:t>产生量</w:t>
            </w:r>
            <w:r>
              <w:rPr>
                <w:rFonts w:hint="eastAsia"/>
                <w:bCs/>
                <w:szCs w:val="24"/>
                <w:u w:val="none"/>
                <w:lang w:val="en-US" w:eastAsia="zh-CN"/>
              </w:rPr>
              <w:t>约</w:t>
            </w:r>
            <w:r>
              <w:rPr>
                <w:rFonts w:hint="default"/>
                <w:bCs/>
                <w:szCs w:val="24"/>
                <w:u w:val="none"/>
              </w:rPr>
              <w:t>为</w:t>
            </w:r>
            <w:r>
              <w:rPr>
                <w:rFonts w:hint="eastAsia"/>
                <w:bCs/>
                <w:szCs w:val="24"/>
                <w:u w:val="none"/>
                <w:lang w:val="en-US" w:eastAsia="zh-CN"/>
              </w:rPr>
              <w:t>600</w:t>
            </w:r>
            <w:r>
              <w:rPr>
                <w:rFonts w:hint="default"/>
                <w:bCs/>
                <w:szCs w:val="24"/>
                <w:u w:val="none"/>
              </w:rPr>
              <w:t>t/a，</w:t>
            </w:r>
            <w:r>
              <w:rPr>
                <w:rFonts w:hint="eastAsia"/>
                <w:bCs/>
                <w:szCs w:val="24"/>
                <w:u w:val="none"/>
              </w:rPr>
              <w:t>根据《固体废物分类与代码目录》（公告2024年第4号），</w:t>
            </w:r>
            <w:r>
              <w:rPr>
                <w:rFonts w:hint="eastAsia"/>
                <w:bCs/>
                <w:szCs w:val="24"/>
                <w:u w:val="none"/>
                <w:lang w:val="en-US" w:eastAsia="zh-CN"/>
              </w:rPr>
              <w:t>原料包装废物</w:t>
            </w:r>
            <w:r>
              <w:rPr>
                <w:rFonts w:hint="eastAsia"/>
                <w:bCs/>
                <w:szCs w:val="24"/>
                <w:u w:val="none"/>
              </w:rPr>
              <w:t>属于SW17可再生类废物，代码为900-00</w:t>
            </w:r>
            <w:r>
              <w:rPr>
                <w:rFonts w:hint="eastAsia"/>
                <w:bCs/>
                <w:szCs w:val="24"/>
                <w:u w:val="none"/>
                <w:lang w:val="en-US" w:eastAsia="zh-CN"/>
              </w:rPr>
              <w:t>3</w:t>
            </w:r>
            <w:r>
              <w:rPr>
                <w:rFonts w:hint="eastAsia"/>
                <w:bCs/>
                <w:szCs w:val="24"/>
                <w:u w:val="none"/>
              </w:rPr>
              <w:t>-S17，</w:t>
            </w:r>
            <w:r>
              <w:rPr>
                <w:rFonts w:hint="eastAsia"/>
                <w:bCs/>
                <w:szCs w:val="24"/>
                <w:u w:val="none"/>
                <w:lang w:val="en-US" w:eastAsia="zh-CN"/>
              </w:rPr>
              <w:t>经统一</w:t>
            </w:r>
            <w:r>
              <w:rPr>
                <w:rFonts w:hint="eastAsia"/>
                <w:bCs/>
                <w:szCs w:val="24"/>
                <w:u w:val="none"/>
              </w:rPr>
              <w:t>收集后</w:t>
            </w:r>
            <w:r>
              <w:rPr>
                <w:rFonts w:hint="eastAsia"/>
                <w:bCs/>
                <w:szCs w:val="24"/>
                <w:u w:val="none"/>
                <w:lang w:val="en-US" w:eastAsia="zh-CN"/>
              </w:rPr>
              <w:t>交由厂家回收</w:t>
            </w:r>
            <w:r>
              <w:rPr>
                <w:rFonts w:hint="eastAsia"/>
                <w:bCs/>
                <w:szCs w:val="24"/>
                <w:u w:val="none"/>
              </w:rPr>
              <w:t>。</w:t>
            </w:r>
          </w:p>
          <w:p w14:paraId="66CEE77B">
            <w:pPr>
              <w:adjustRightInd w:val="0"/>
              <w:spacing w:line="360" w:lineRule="auto"/>
              <w:ind w:firstLine="480" w:firstLineChars="200"/>
              <w:rPr>
                <w:rFonts w:hint="default" w:eastAsia="宋体"/>
                <w:snapToGrid w:val="0"/>
                <w:kern w:val="0"/>
                <w:u w:val="none"/>
                <w:lang w:val="en-US" w:eastAsia="zh-CN"/>
              </w:rPr>
            </w:pPr>
            <w:r>
              <w:rPr>
                <w:rFonts w:hint="eastAsia"/>
                <w:lang w:val="en-US" w:eastAsia="zh-CN"/>
              </w:rPr>
              <w:t>3、</w:t>
            </w:r>
            <w:r>
              <w:rPr>
                <w:rFonts w:hint="eastAsia"/>
                <w:u w:val="none"/>
              </w:rPr>
              <w:t>废</w:t>
            </w:r>
            <w:r>
              <w:rPr>
                <w:rFonts w:hint="eastAsia"/>
                <w:u w:val="none"/>
                <w:lang w:eastAsia="zh-CN"/>
              </w:rPr>
              <w:t>矿物油</w:t>
            </w:r>
            <w:r>
              <w:rPr>
                <w:rFonts w:hint="eastAsia"/>
                <w:u w:val="none"/>
                <w:lang w:val="en-US" w:eastAsia="zh-CN"/>
              </w:rPr>
              <w:t>、</w:t>
            </w:r>
            <w:r>
              <w:rPr>
                <w:rFonts w:hint="eastAsia"/>
                <w:u w:val="none"/>
              </w:rPr>
              <w:t>废</w:t>
            </w:r>
            <w:r>
              <w:rPr>
                <w:rFonts w:hint="eastAsia"/>
                <w:u w:val="none"/>
                <w:lang w:eastAsia="zh-CN"/>
              </w:rPr>
              <w:t>矿物油</w:t>
            </w:r>
            <w:r>
              <w:rPr>
                <w:rFonts w:hint="eastAsia"/>
                <w:u w:val="none"/>
              </w:rPr>
              <w:t>桶</w:t>
            </w:r>
            <w:r>
              <w:rPr>
                <w:rFonts w:hint="eastAsia"/>
                <w:u w:val="none"/>
                <w:lang w:val="en-US" w:eastAsia="zh-CN"/>
              </w:rPr>
              <w:t>、含油抹布以及含油手套</w:t>
            </w:r>
          </w:p>
          <w:p w14:paraId="0A5CF5DF">
            <w:pPr>
              <w:spacing w:line="360" w:lineRule="auto"/>
              <w:ind w:firstLine="480" w:firstLineChars="200"/>
              <w:rPr>
                <w:rFonts w:hint="eastAsia"/>
                <w:sz w:val="24"/>
                <w:szCs w:val="24"/>
                <w:lang w:val="en-US" w:eastAsia="zh-CN"/>
              </w:rPr>
            </w:pPr>
            <w:r>
              <w:rPr>
                <w:rFonts w:hint="eastAsia"/>
                <w:sz w:val="24"/>
                <w:szCs w:val="24"/>
                <w:lang w:val="en-US" w:eastAsia="zh-CN"/>
              </w:rPr>
              <w:t>本项目设备维修、维护过程中会产生废矿物油、废矿物油桶</w:t>
            </w:r>
            <w:r>
              <w:rPr>
                <w:rFonts w:hint="eastAsia"/>
                <w:u w:val="none"/>
                <w:lang w:val="en-US" w:eastAsia="zh-CN"/>
              </w:rPr>
              <w:t>、含油抹布以及含油手套</w:t>
            </w:r>
            <w:r>
              <w:rPr>
                <w:rFonts w:hint="eastAsia"/>
                <w:sz w:val="24"/>
                <w:szCs w:val="24"/>
                <w:lang w:val="en-US" w:eastAsia="zh-CN"/>
              </w:rPr>
              <w:t>。根据建设单位提供的资料，产生量约为0.02t/a。</w:t>
            </w:r>
            <w:r>
              <w:rPr>
                <w:rFonts w:hint="default" w:ascii="Times New Roman" w:hAnsi="Times New Roman" w:eastAsia="宋体" w:cs="Times New Roman"/>
                <w:color w:val="auto"/>
                <w:kern w:val="0"/>
                <w:sz w:val="24"/>
                <w:szCs w:val="24"/>
                <w:lang w:val="en-US" w:eastAsia="zh-CN"/>
              </w:rPr>
              <w:t>对照《国家危险废物名录》（20</w:t>
            </w:r>
            <w:r>
              <w:rPr>
                <w:rFonts w:hint="eastAsia" w:ascii="Times New Roman" w:hAnsi="Times New Roman" w:eastAsia="宋体" w:cs="Times New Roman"/>
                <w:color w:val="auto"/>
                <w:kern w:val="0"/>
                <w:sz w:val="24"/>
                <w:szCs w:val="24"/>
                <w:lang w:val="en-US" w:eastAsia="zh-CN"/>
              </w:rPr>
              <w:t>25版</w:t>
            </w:r>
            <w:r>
              <w:rPr>
                <w:rFonts w:hint="default" w:ascii="Times New Roman" w:hAnsi="Times New Roman" w:eastAsia="宋体" w:cs="Times New Roman"/>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废</w:t>
            </w:r>
            <w:r>
              <w:rPr>
                <w:rFonts w:hint="eastAsia" w:cs="Times New Roman"/>
                <w:color w:val="auto"/>
                <w:kern w:val="0"/>
                <w:sz w:val="24"/>
                <w:szCs w:val="24"/>
                <w:lang w:val="en-US" w:eastAsia="zh-CN"/>
              </w:rPr>
              <w:t>矿物油</w:t>
            </w:r>
            <w:r>
              <w:rPr>
                <w:rFonts w:hint="eastAsia" w:ascii="Times New Roman" w:hAnsi="Times New Roman" w:eastAsia="宋体" w:cs="Times New Roman"/>
                <w:color w:val="auto"/>
                <w:kern w:val="0"/>
                <w:sz w:val="24"/>
                <w:szCs w:val="24"/>
                <w:lang w:val="en-US" w:eastAsia="zh-CN"/>
              </w:rPr>
              <w:t>、废</w:t>
            </w:r>
            <w:r>
              <w:rPr>
                <w:rFonts w:hint="eastAsia" w:cs="Times New Roman"/>
                <w:color w:val="auto"/>
                <w:kern w:val="0"/>
                <w:sz w:val="24"/>
                <w:szCs w:val="24"/>
                <w:lang w:val="en-US" w:eastAsia="zh-CN"/>
              </w:rPr>
              <w:t>矿物油</w:t>
            </w:r>
            <w:r>
              <w:rPr>
                <w:rFonts w:hint="eastAsia" w:ascii="Times New Roman" w:hAnsi="Times New Roman" w:eastAsia="宋体" w:cs="Times New Roman"/>
                <w:color w:val="auto"/>
                <w:kern w:val="0"/>
                <w:sz w:val="24"/>
                <w:szCs w:val="24"/>
                <w:lang w:val="en-US" w:eastAsia="zh-CN"/>
              </w:rPr>
              <w:t>桶</w:t>
            </w:r>
            <w:r>
              <w:rPr>
                <w:rFonts w:hint="eastAsia"/>
              </w:rPr>
              <w:t>属于</w:t>
            </w:r>
            <w:r>
              <w:rPr>
                <w:rFonts w:hint="eastAsia" w:ascii="Times New Roman" w:hAnsi="Times New Roman" w:eastAsia="宋体" w:cs="Times New Roman"/>
                <w:color w:val="auto"/>
                <w:kern w:val="0"/>
                <w:sz w:val="24"/>
                <w:szCs w:val="24"/>
                <w:lang w:val="en-US" w:eastAsia="zh-CN"/>
              </w:rPr>
              <w:t>HW08</w:t>
            </w:r>
            <w:r>
              <w:rPr>
                <w:rFonts w:hint="eastAsia"/>
                <w:lang w:val="en-US" w:eastAsia="zh-CN"/>
              </w:rPr>
              <w:t>废矿物油与含矿物油废物，</w:t>
            </w:r>
            <w:r>
              <w:rPr>
                <w:rFonts w:hint="eastAsia" w:ascii="Times New Roman" w:hAnsi="Times New Roman" w:eastAsia="宋体" w:cs="Times New Roman"/>
                <w:color w:val="auto"/>
                <w:kern w:val="0"/>
                <w:sz w:val="24"/>
                <w:szCs w:val="24"/>
                <w:lang w:val="en-US" w:eastAsia="zh-CN"/>
              </w:rPr>
              <w:t>废</w:t>
            </w:r>
            <w:r>
              <w:rPr>
                <w:rFonts w:hint="eastAsia" w:cs="Times New Roman"/>
                <w:color w:val="auto"/>
                <w:kern w:val="0"/>
                <w:sz w:val="24"/>
                <w:szCs w:val="24"/>
                <w:lang w:val="en-US" w:eastAsia="zh-CN"/>
              </w:rPr>
              <w:t>矿物油</w:t>
            </w:r>
            <w:r>
              <w:rPr>
                <w:rFonts w:hint="default" w:ascii="Times New Roman" w:hAnsi="Times New Roman" w:eastAsia="宋体" w:cs="Times New Roman"/>
                <w:color w:val="auto"/>
                <w:kern w:val="0"/>
                <w:sz w:val="24"/>
                <w:szCs w:val="24"/>
                <w:lang w:val="en-US" w:eastAsia="zh-CN"/>
              </w:rPr>
              <w:t>危废代码为</w:t>
            </w:r>
            <w:r>
              <w:rPr>
                <w:rFonts w:hint="default"/>
                <w:color w:val="auto"/>
                <w:kern w:val="0"/>
              </w:rPr>
              <w:t>900-21</w:t>
            </w:r>
            <w:r>
              <w:rPr>
                <w:rFonts w:hint="eastAsia"/>
                <w:color w:val="auto"/>
                <w:kern w:val="0"/>
                <w:lang w:val="en-US" w:eastAsia="zh-CN"/>
              </w:rPr>
              <w:t>4</w:t>
            </w:r>
            <w:r>
              <w:rPr>
                <w:rFonts w:hint="default"/>
                <w:color w:val="auto"/>
                <w:kern w:val="0"/>
              </w:rPr>
              <w:t>-08</w:t>
            </w:r>
            <w:r>
              <w:rPr>
                <w:rFonts w:hint="eastAsia" w:ascii="Times New Roman" w:hAnsi="Times New Roman" w:eastAsia="宋体" w:cs="Times New Roman"/>
                <w:color w:val="auto"/>
                <w:kern w:val="0"/>
                <w:sz w:val="24"/>
                <w:szCs w:val="24"/>
                <w:lang w:val="en-US" w:eastAsia="zh-CN"/>
              </w:rPr>
              <w:t>，废</w:t>
            </w:r>
            <w:r>
              <w:rPr>
                <w:rFonts w:hint="eastAsia" w:cs="Times New Roman"/>
                <w:color w:val="auto"/>
                <w:kern w:val="0"/>
                <w:sz w:val="24"/>
                <w:szCs w:val="24"/>
                <w:lang w:val="en-US" w:eastAsia="zh-CN"/>
              </w:rPr>
              <w:t>矿物油</w:t>
            </w:r>
            <w:r>
              <w:rPr>
                <w:rFonts w:hint="eastAsia" w:ascii="Times New Roman" w:hAnsi="Times New Roman" w:eastAsia="宋体" w:cs="Times New Roman"/>
                <w:color w:val="auto"/>
                <w:kern w:val="0"/>
                <w:sz w:val="24"/>
                <w:szCs w:val="24"/>
                <w:lang w:val="en-US" w:eastAsia="zh-CN"/>
              </w:rPr>
              <w:t>桶</w:t>
            </w:r>
            <w:r>
              <w:rPr>
                <w:rFonts w:hint="default" w:ascii="Times New Roman" w:hAnsi="Times New Roman" w:eastAsia="宋体" w:cs="Times New Roman"/>
                <w:color w:val="auto"/>
                <w:kern w:val="0"/>
                <w:sz w:val="24"/>
                <w:szCs w:val="24"/>
                <w:lang w:val="en-US" w:eastAsia="zh-CN"/>
              </w:rPr>
              <w:t>危废代码为900-</w:t>
            </w:r>
            <w:r>
              <w:rPr>
                <w:rFonts w:hint="eastAsia" w:ascii="Times New Roman" w:hAnsi="Times New Roman" w:eastAsia="宋体" w:cs="Times New Roman"/>
                <w:color w:val="auto"/>
                <w:kern w:val="0"/>
                <w:sz w:val="24"/>
                <w:szCs w:val="24"/>
                <w:lang w:val="en-US" w:eastAsia="zh-CN"/>
              </w:rPr>
              <w:t>249</w:t>
            </w:r>
            <w:r>
              <w:rPr>
                <w:rFonts w:hint="default" w:ascii="Times New Roman" w:hAnsi="Times New Roman" w:eastAsia="宋体" w:cs="Times New Roman"/>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08；废含油抹布、手套</w:t>
            </w:r>
            <w:r>
              <w:rPr>
                <w:rFonts w:hint="eastAsia"/>
              </w:rPr>
              <w:t>属于HW49其他废物</w:t>
            </w:r>
            <w:r>
              <w:rPr>
                <w:rFonts w:hint="default" w:ascii="Times New Roman" w:hAnsi="Times New Roman" w:eastAsia="宋体" w:cs="Times New Roman"/>
                <w:color w:val="auto"/>
                <w:kern w:val="0"/>
                <w:sz w:val="24"/>
                <w:szCs w:val="24"/>
                <w:lang w:val="en-US" w:eastAsia="zh-CN"/>
              </w:rPr>
              <w:t>，其危废代码为900-</w:t>
            </w:r>
            <w:r>
              <w:rPr>
                <w:rFonts w:hint="eastAsia" w:ascii="Times New Roman" w:hAnsi="Times New Roman" w:eastAsia="宋体" w:cs="Times New Roman"/>
                <w:color w:val="auto"/>
                <w:kern w:val="0"/>
                <w:sz w:val="24"/>
                <w:szCs w:val="24"/>
                <w:lang w:val="en-US" w:eastAsia="zh-CN"/>
              </w:rPr>
              <w:t>041</w:t>
            </w:r>
            <w:r>
              <w:rPr>
                <w:rFonts w:hint="default" w:ascii="Times New Roman" w:hAnsi="Times New Roman" w:eastAsia="宋体" w:cs="Times New Roman"/>
                <w:color w:val="auto"/>
                <w:kern w:val="0"/>
                <w:sz w:val="24"/>
                <w:szCs w:val="24"/>
                <w:lang w:val="en-US" w:eastAsia="zh-CN"/>
              </w:rPr>
              <w:t>-49，</w:t>
            </w:r>
            <w:r>
              <w:rPr>
                <w:rFonts w:hint="eastAsia"/>
                <w:sz w:val="24"/>
                <w:szCs w:val="24"/>
                <w:lang w:val="en-US" w:eastAsia="zh-CN"/>
              </w:rPr>
              <w:t>统一收集于危废暂存间后，交由有资质单位处置。</w:t>
            </w:r>
          </w:p>
          <w:p w14:paraId="670E8FFB">
            <w:pPr>
              <w:pStyle w:val="30"/>
              <w:spacing w:after="0" w:line="360" w:lineRule="auto"/>
              <w:ind w:firstLine="480" w:firstLineChars="200"/>
              <w:rPr>
                <w:rFonts w:hint="eastAsia"/>
                <w:sz w:val="24"/>
                <w:szCs w:val="24"/>
                <w:lang w:val="en-US" w:eastAsia="zh-CN"/>
              </w:rPr>
            </w:pPr>
            <w:r>
              <w:rPr>
                <w:rFonts w:hint="eastAsia"/>
                <w:sz w:val="24"/>
                <w:szCs w:val="24"/>
                <w:lang w:val="en-US" w:eastAsia="zh-CN"/>
              </w:rPr>
              <w:t>4、废活性炭</w:t>
            </w:r>
          </w:p>
          <w:p w14:paraId="18D836B1">
            <w:pPr>
              <w:pStyle w:val="3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u w:val="none"/>
              </w:rPr>
            </w:pPr>
            <w:r>
              <w:rPr>
                <w:rFonts w:hint="eastAsia"/>
                <w:sz w:val="24"/>
                <w:szCs w:val="24"/>
                <w:u w:val="none"/>
              </w:rPr>
              <w:t>本项目有机废气经集气罩收集后通过活性炭吸附装置处理，根据建设单位提供资料，活性炭吸附装置中活性炭</w:t>
            </w:r>
            <w:r>
              <w:rPr>
                <w:rFonts w:hint="eastAsia"/>
                <w:sz w:val="24"/>
                <w:szCs w:val="24"/>
                <w:u w:val="none"/>
                <w:lang w:eastAsia="zh-CN"/>
              </w:rPr>
              <w:t>（</w:t>
            </w:r>
            <w:r>
              <w:rPr>
                <w:rFonts w:hint="eastAsia"/>
                <w:sz w:val="24"/>
                <w:szCs w:val="24"/>
                <w:u w:val="none"/>
              </w:rPr>
              <w:t>碘值不低于800mg/g</w:t>
            </w:r>
            <w:r>
              <w:rPr>
                <w:rFonts w:hint="eastAsia"/>
                <w:sz w:val="24"/>
                <w:szCs w:val="24"/>
                <w:u w:val="none"/>
                <w:lang w:eastAsia="zh-CN"/>
              </w:rPr>
              <w:t>）</w:t>
            </w:r>
            <w:r>
              <w:rPr>
                <w:rFonts w:hint="eastAsia"/>
                <w:sz w:val="24"/>
                <w:szCs w:val="24"/>
                <w:u w:val="none"/>
              </w:rPr>
              <w:t>装填量为</w:t>
            </w:r>
            <w:r>
              <w:rPr>
                <w:rFonts w:hint="eastAsia"/>
                <w:sz w:val="24"/>
                <w:szCs w:val="24"/>
                <w:u w:val="none"/>
                <w:lang w:val="en-US" w:eastAsia="zh-CN"/>
              </w:rPr>
              <w:t>1.2</w:t>
            </w:r>
            <w:r>
              <w:rPr>
                <w:rFonts w:hint="eastAsia"/>
                <w:sz w:val="24"/>
                <w:szCs w:val="24"/>
                <w:u w:val="none"/>
              </w:rPr>
              <w:t>t</w:t>
            </w:r>
            <w:r>
              <w:rPr>
                <w:rFonts w:hint="eastAsia"/>
                <w:sz w:val="24"/>
                <w:szCs w:val="24"/>
                <w:u w:val="none"/>
                <w:lang w:eastAsia="zh-CN"/>
              </w:rPr>
              <w:t>（</w:t>
            </w:r>
            <w:r>
              <w:rPr>
                <w:rFonts w:hint="eastAsia"/>
                <w:sz w:val="24"/>
                <w:szCs w:val="24"/>
                <w:u w:val="none"/>
                <w:lang w:val="en-US" w:eastAsia="zh-CN"/>
              </w:rPr>
              <w:t>二级活性炭，单级600kg</w:t>
            </w:r>
            <w:r>
              <w:rPr>
                <w:rFonts w:hint="eastAsia"/>
                <w:sz w:val="24"/>
                <w:szCs w:val="24"/>
                <w:u w:val="none"/>
                <w:lang w:eastAsia="zh-CN"/>
              </w:rPr>
              <w:t>）</w:t>
            </w:r>
            <w:r>
              <w:rPr>
                <w:rFonts w:hint="eastAsia"/>
                <w:sz w:val="24"/>
                <w:szCs w:val="24"/>
                <w:u w:val="none"/>
              </w:rPr>
              <w:t>，本项目挥发性有机物</w:t>
            </w:r>
            <w:r>
              <w:rPr>
                <w:rFonts w:hint="eastAsia"/>
                <w:sz w:val="24"/>
                <w:szCs w:val="24"/>
                <w:u w:val="none"/>
                <w:lang w:val="en-US" w:eastAsia="zh-CN"/>
              </w:rPr>
              <w:t>产生</w:t>
            </w:r>
            <w:r>
              <w:rPr>
                <w:rFonts w:hint="eastAsia"/>
                <w:sz w:val="24"/>
                <w:szCs w:val="24"/>
                <w:u w:val="none"/>
              </w:rPr>
              <w:t>浓度为</w:t>
            </w:r>
            <w:r>
              <w:rPr>
                <w:rFonts w:hint="eastAsia"/>
                <w:sz w:val="24"/>
                <w:szCs w:val="24"/>
                <w:u w:val="none"/>
                <w:lang w:val="en-US" w:eastAsia="zh-CN"/>
              </w:rPr>
              <w:t>29.2</w:t>
            </w:r>
            <w:r>
              <w:rPr>
                <w:rFonts w:hint="eastAsia"/>
                <w:sz w:val="24"/>
                <w:szCs w:val="24"/>
                <w:u w:val="none"/>
              </w:rPr>
              <w:t>mg/m</w:t>
            </w:r>
            <w:r>
              <w:rPr>
                <w:rFonts w:hint="eastAsia"/>
                <w:sz w:val="24"/>
                <w:szCs w:val="24"/>
                <w:u w:val="none"/>
                <w:vertAlign w:val="superscript"/>
              </w:rPr>
              <w:t>3</w:t>
            </w:r>
            <w:r>
              <w:rPr>
                <w:rFonts w:hint="eastAsia"/>
                <w:sz w:val="24"/>
                <w:szCs w:val="24"/>
                <w:u w:val="none"/>
              </w:rPr>
              <w:t>，风机风量为</w:t>
            </w:r>
            <w:r>
              <w:rPr>
                <w:rFonts w:hint="eastAsia"/>
                <w:sz w:val="24"/>
                <w:szCs w:val="24"/>
                <w:u w:val="none"/>
                <w:lang w:val="en-US" w:eastAsia="zh-CN"/>
              </w:rPr>
              <w:t>10</w:t>
            </w:r>
            <w:r>
              <w:rPr>
                <w:rFonts w:hint="eastAsia"/>
                <w:sz w:val="24"/>
                <w:szCs w:val="24"/>
                <w:u w:val="none"/>
              </w:rPr>
              <w:t>000m</w:t>
            </w:r>
            <w:r>
              <w:rPr>
                <w:rFonts w:hint="eastAsia"/>
                <w:sz w:val="24"/>
                <w:szCs w:val="24"/>
                <w:u w:val="none"/>
                <w:vertAlign w:val="superscript"/>
              </w:rPr>
              <w:t>3</w:t>
            </w:r>
            <w:r>
              <w:rPr>
                <w:rFonts w:hint="eastAsia"/>
                <w:sz w:val="24"/>
                <w:szCs w:val="24"/>
                <w:u w:val="none"/>
              </w:rPr>
              <w:t>/h，每天</w:t>
            </w:r>
            <w:r>
              <w:rPr>
                <w:rFonts w:hint="eastAsia"/>
                <w:sz w:val="24"/>
                <w:szCs w:val="24"/>
                <w:u w:val="none"/>
                <w:lang w:val="en-US" w:eastAsia="zh-CN"/>
              </w:rPr>
              <w:t>16</w:t>
            </w:r>
            <w:r>
              <w:rPr>
                <w:rFonts w:hint="eastAsia"/>
                <w:sz w:val="24"/>
                <w:szCs w:val="24"/>
                <w:u w:val="none"/>
              </w:rPr>
              <w:t>小时。活性炭更换周期计算公示如下：</w:t>
            </w:r>
          </w:p>
          <w:p w14:paraId="12F2EA75">
            <w:pPr>
              <w:pStyle w:val="3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center"/>
              <w:textAlignment w:val="auto"/>
              <w:rPr>
                <w:rFonts w:hint="eastAsia" w:eastAsia="宋体"/>
                <w:sz w:val="24"/>
                <w:szCs w:val="24"/>
                <w:u w:val="none"/>
                <w:lang w:eastAsia="zh-CN"/>
              </w:rPr>
            </w:pPr>
            <w:r>
              <w:rPr>
                <w:rFonts w:hint="eastAsia" w:eastAsia="宋体"/>
                <w:position w:val="-24"/>
                <w:sz w:val="24"/>
                <w:szCs w:val="24"/>
                <w:u w:val="none"/>
                <w:lang w:eastAsia="zh-CN"/>
              </w:rPr>
              <w:object>
                <v:shape id="_x0000_i1025" o:spt="75" type="#_x0000_t75" style="height:31pt;width:63pt;" o:ole="t" filled="f" o:preferrelative="t" stroked="f" coordsize="21600,21600">
                  <v:path/>
                  <v:fill on="f" focussize="0,0"/>
                  <v:stroke on="f"/>
                  <v:imagedata r:id="rId16" o:title=""/>
                  <o:lock v:ext="edit" aspectratio="t"/>
                  <w10:wrap type="none"/>
                  <w10:anchorlock/>
                </v:shape>
                <o:OLEObject Type="Embed" ProgID="Equation.KSEE3" ShapeID="_x0000_i1025" DrawAspect="Content" ObjectID="_1468075725" r:id="rId15">
                  <o:LockedField>false</o:LockedField>
                </o:OLEObject>
              </w:object>
            </w:r>
          </w:p>
          <w:p w14:paraId="6DD088E4">
            <w:pPr>
              <w:pStyle w:val="3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u w:val="none"/>
              </w:rPr>
            </w:pPr>
            <w:r>
              <w:rPr>
                <w:rFonts w:hint="eastAsia"/>
                <w:sz w:val="24"/>
                <w:szCs w:val="24"/>
                <w:u w:val="none"/>
              </w:rPr>
              <w:t>式中：</w:t>
            </w:r>
          </w:p>
          <w:p w14:paraId="4AE94BBE">
            <w:pPr>
              <w:pStyle w:val="3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u w:val="none"/>
              </w:rPr>
            </w:pPr>
            <w:r>
              <w:rPr>
                <w:rFonts w:hint="eastAsia"/>
                <w:sz w:val="24"/>
                <w:szCs w:val="24"/>
                <w:u w:val="none"/>
              </w:rPr>
              <w:t>T—更换周期，d；</w:t>
            </w:r>
          </w:p>
          <w:p w14:paraId="73C3750C">
            <w:pPr>
              <w:pStyle w:val="3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u w:val="none"/>
              </w:rPr>
            </w:pPr>
            <w:r>
              <w:rPr>
                <w:rFonts w:hint="eastAsia"/>
                <w:sz w:val="24"/>
                <w:szCs w:val="24"/>
                <w:u w:val="none"/>
              </w:rPr>
              <w:t>M—活性炭的质量，kg；</w:t>
            </w:r>
          </w:p>
          <w:p w14:paraId="0F1CB71C">
            <w:pPr>
              <w:pStyle w:val="3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u w:val="none"/>
              </w:rPr>
            </w:pPr>
            <w:r>
              <w:rPr>
                <w:rFonts w:hint="eastAsia"/>
                <w:sz w:val="24"/>
                <w:szCs w:val="24"/>
                <w:u w:val="none"/>
              </w:rPr>
              <w:t>S—平衡吸附量，%；本项目取</w:t>
            </w:r>
            <w:r>
              <w:rPr>
                <w:rFonts w:hint="eastAsia"/>
                <w:sz w:val="24"/>
                <w:szCs w:val="24"/>
                <w:u w:val="none"/>
                <w:lang w:val="en-US" w:eastAsia="zh-CN"/>
              </w:rPr>
              <w:t>20</w:t>
            </w:r>
            <w:r>
              <w:rPr>
                <w:rFonts w:hint="eastAsia"/>
                <w:sz w:val="24"/>
                <w:szCs w:val="24"/>
                <w:u w:val="none"/>
              </w:rPr>
              <w:t>%；</w:t>
            </w:r>
          </w:p>
          <w:p w14:paraId="0F58EBEF">
            <w:pPr>
              <w:pStyle w:val="3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u w:val="none"/>
              </w:rPr>
            </w:pPr>
            <w:r>
              <w:rPr>
                <w:rFonts w:hint="eastAsia"/>
                <w:sz w:val="24"/>
                <w:szCs w:val="24"/>
                <w:u w:val="none"/>
              </w:rPr>
              <w:t>C—挥发性有机物浓度，mg/m</w:t>
            </w:r>
            <w:r>
              <w:rPr>
                <w:rFonts w:hint="eastAsia"/>
                <w:sz w:val="24"/>
                <w:szCs w:val="24"/>
                <w:u w:val="none"/>
                <w:vertAlign w:val="superscript"/>
              </w:rPr>
              <w:t>3</w:t>
            </w:r>
            <w:r>
              <w:rPr>
                <w:rFonts w:hint="eastAsia"/>
                <w:sz w:val="24"/>
                <w:szCs w:val="24"/>
                <w:u w:val="none"/>
              </w:rPr>
              <w:t>；</w:t>
            </w:r>
          </w:p>
          <w:p w14:paraId="68809357">
            <w:pPr>
              <w:pStyle w:val="3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u w:val="none"/>
              </w:rPr>
            </w:pPr>
            <w:r>
              <w:rPr>
                <w:rFonts w:hint="eastAsia"/>
                <w:sz w:val="24"/>
                <w:szCs w:val="24"/>
                <w:u w:val="none"/>
              </w:rPr>
              <w:t>F—风量，m</w:t>
            </w:r>
            <w:r>
              <w:rPr>
                <w:rFonts w:hint="eastAsia"/>
                <w:sz w:val="24"/>
                <w:szCs w:val="24"/>
                <w:u w:val="none"/>
                <w:vertAlign w:val="superscript"/>
              </w:rPr>
              <w:t>3</w:t>
            </w:r>
            <w:r>
              <w:rPr>
                <w:rFonts w:hint="eastAsia"/>
                <w:sz w:val="24"/>
                <w:szCs w:val="24"/>
                <w:u w:val="none"/>
              </w:rPr>
              <w:t>/h；</w:t>
            </w:r>
          </w:p>
          <w:p w14:paraId="5400DF04">
            <w:pPr>
              <w:pStyle w:val="3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u w:val="none"/>
              </w:rPr>
            </w:pPr>
            <w:r>
              <w:rPr>
                <w:rFonts w:hint="eastAsia"/>
                <w:sz w:val="24"/>
                <w:szCs w:val="24"/>
                <w:u w:val="none"/>
              </w:rPr>
              <w:t>t—每天运行时间，h/d</w:t>
            </w:r>
          </w:p>
          <w:p w14:paraId="23BD3BCF">
            <w:pPr>
              <w:spacing w:line="360" w:lineRule="auto"/>
              <w:ind w:firstLine="480" w:firstLineChars="200"/>
              <w:rPr>
                <w:rFonts w:hint="default" w:eastAsia="宋体"/>
                <w:lang w:val="en-US" w:eastAsia="zh-CN"/>
              </w:rPr>
            </w:pPr>
            <w:r>
              <w:rPr>
                <w:rFonts w:hint="eastAsia"/>
                <w:sz w:val="24"/>
                <w:szCs w:val="24"/>
                <w:u w:val="none"/>
              </w:rPr>
              <w:t>经计算得，活性炭装置在上述条件下，</w:t>
            </w:r>
            <w:r>
              <w:rPr>
                <w:rFonts w:hint="eastAsia"/>
                <w:sz w:val="24"/>
                <w:szCs w:val="24"/>
                <w:u w:val="none"/>
                <w:lang w:val="en-US" w:eastAsia="zh-CN"/>
              </w:rPr>
              <w:t>51</w:t>
            </w:r>
            <w:r>
              <w:rPr>
                <w:rFonts w:hint="eastAsia"/>
                <w:sz w:val="24"/>
                <w:szCs w:val="24"/>
                <w:u w:val="none"/>
              </w:rPr>
              <w:t>天达到吸附饱和，年工作时间</w:t>
            </w:r>
            <w:r>
              <w:rPr>
                <w:rFonts w:hint="eastAsia"/>
                <w:sz w:val="24"/>
                <w:szCs w:val="24"/>
                <w:u w:val="none"/>
                <w:lang w:eastAsia="zh-CN"/>
              </w:rPr>
              <w:t>3</w:t>
            </w:r>
            <w:r>
              <w:rPr>
                <w:rFonts w:hint="eastAsia"/>
                <w:sz w:val="24"/>
                <w:szCs w:val="24"/>
                <w:u w:val="none"/>
                <w:lang w:val="en-US" w:eastAsia="zh-CN"/>
              </w:rPr>
              <w:t>00</w:t>
            </w:r>
            <w:r>
              <w:rPr>
                <w:rFonts w:hint="eastAsia"/>
                <w:sz w:val="24"/>
                <w:szCs w:val="24"/>
                <w:u w:val="none"/>
              </w:rPr>
              <w:t>天，建议更换周期为</w:t>
            </w:r>
            <w:r>
              <w:rPr>
                <w:rFonts w:hint="eastAsia"/>
                <w:sz w:val="24"/>
                <w:szCs w:val="24"/>
                <w:u w:val="none"/>
                <w:lang w:val="en-US" w:eastAsia="zh-CN"/>
              </w:rPr>
              <w:t>两个月</w:t>
            </w:r>
            <w:r>
              <w:rPr>
                <w:rFonts w:hint="eastAsia"/>
                <w:sz w:val="24"/>
                <w:szCs w:val="24"/>
                <w:u w:val="none"/>
              </w:rPr>
              <w:t>一次，每次更换量为</w:t>
            </w:r>
            <w:r>
              <w:rPr>
                <w:rFonts w:hint="eastAsia"/>
                <w:sz w:val="24"/>
                <w:szCs w:val="24"/>
                <w:u w:val="none"/>
                <w:lang w:val="en-US" w:eastAsia="zh-CN"/>
              </w:rPr>
              <w:t>1.2</w:t>
            </w:r>
            <w:r>
              <w:rPr>
                <w:rFonts w:hint="eastAsia"/>
                <w:sz w:val="24"/>
                <w:szCs w:val="24"/>
                <w:u w:val="none"/>
              </w:rPr>
              <w:t>t，</w:t>
            </w:r>
            <w:r>
              <w:rPr>
                <w:rFonts w:hint="eastAsia"/>
                <w:sz w:val="24"/>
                <w:szCs w:val="24"/>
                <w:u w:val="none"/>
                <w:lang w:val="en-US" w:eastAsia="zh-CN"/>
              </w:rPr>
              <w:t>活性炭的更换量为7.2t/a，</w:t>
            </w:r>
            <w:r>
              <w:rPr>
                <w:rFonts w:hint="eastAsia"/>
                <w:sz w:val="24"/>
                <w:szCs w:val="24"/>
                <w:u w:val="none"/>
              </w:rPr>
              <w:t>本项目通过活性炭吸附装置处理的有机废气量为</w:t>
            </w:r>
            <w:r>
              <w:rPr>
                <w:rFonts w:hint="eastAsia"/>
                <w:sz w:val="24"/>
                <w:szCs w:val="24"/>
                <w:u w:val="none"/>
                <w:lang w:eastAsia="zh-CN"/>
              </w:rPr>
              <w:t>1</w:t>
            </w:r>
            <w:r>
              <w:rPr>
                <w:rFonts w:hint="eastAsia"/>
                <w:sz w:val="24"/>
                <w:szCs w:val="24"/>
                <w:u w:val="none"/>
                <w:lang w:val="en-US" w:eastAsia="zh-CN"/>
              </w:rPr>
              <w:t>.35</w:t>
            </w:r>
            <w:r>
              <w:rPr>
                <w:rFonts w:hint="eastAsia"/>
                <w:sz w:val="24"/>
                <w:szCs w:val="24"/>
                <w:u w:val="none"/>
              </w:rPr>
              <w:t>t/a，</w:t>
            </w:r>
            <w:r>
              <w:rPr>
                <w:rFonts w:hint="eastAsia"/>
                <w:sz w:val="24"/>
                <w:szCs w:val="24"/>
                <w:u w:val="none"/>
                <w:lang w:val="en-US" w:eastAsia="zh-CN"/>
              </w:rPr>
              <w:t>则</w:t>
            </w:r>
            <w:r>
              <w:rPr>
                <w:rFonts w:hint="eastAsia"/>
                <w:sz w:val="24"/>
                <w:szCs w:val="24"/>
                <w:u w:val="none"/>
              </w:rPr>
              <w:t>废活性炭产生量为</w:t>
            </w:r>
            <w:r>
              <w:rPr>
                <w:rFonts w:hint="eastAsia"/>
                <w:sz w:val="24"/>
                <w:szCs w:val="24"/>
                <w:u w:val="none"/>
                <w:lang w:val="en-US" w:eastAsia="zh-CN"/>
              </w:rPr>
              <w:t>8.55</w:t>
            </w:r>
            <w:r>
              <w:rPr>
                <w:rFonts w:hint="eastAsia"/>
                <w:sz w:val="24"/>
                <w:szCs w:val="24"/>
                <w:u w:val="none"/>
              </w:rPr>
              <w:t>t/a。根据《国家危险废物名录》（202</w:t>
            </w:r>
            <w:r>
              <w:rPr>
                <w:rFonts w:hint="eastAsia"/>
                <w:sz w:val="24"/>
                <w:szCs w:val="24"/>
                <w:u w:val="none"/>
                <w:lang w:eastAsia="zh-CN"/>
              </w:rPr>
              <w:t>5</w:t>
            </w:r>
            <w:r>
              <w:rPr>
                <w:rFonts w:hint="eastAsia"/>
                <w:sz w:val="24"/>
                <w:szCs w:val="24"/>
                <w:u w:val="none"/>
              </w:rPr>
              <w:t>年版），废活性炭属于HW49其他废物类别，代码为900-039-49，废活性炭收集暂存于危险废物暂存间，委托有资质单位进行处置。</w:t>
            </w:r>
          </w:p>
          <w:p w14:paraId="67BDC1D8">
            <w:pPr>
              <w:spacing w:line="360" w:lineRule="auto"/>
              <w:ind w:firstLine="480" w:firstLineChars="200"/>
              <w:rPr>
                <w:rFonts w:hint="eastAsia"/>
                <w:sz w:val="24"/>
                <w:szCs w:val="24"/>
                <w:lang w:val="en-US" w:eastAsia="zh-CN"/>
              </w:rPr>
            </w:pPr>
            <w:r>
              <w:rPr>
                <w:rFonts w:hint="eastAsia"/>
                <w:lang w:val="en-US" w:eastAsia="zh-CN"/>
              </w:rPr>
              <w:t>5、</w:t>
            </w:r>
            <w:r>
              <w:rPr>
                <w:rFonts w:hint="eastAsia"/>
                <w:sz w:val="24"/>
                <w:szCs w:val="24"/>
                <w:lang w:val="en-US" w:eastAsia="zh-CN"/>
              </w:rPr>
              <w:t>生活垃圾</w:t>
            </w:r>
          </w:p>
          <w:p w14:paraId="5B944A47">
            <w:pPr>
              <w:spacing w:line="360" w:lineRule="auto"/>
              <w:ind w:firstLine="480" w:firstLineChars="200"/>
              <w:rPr>
                <w:rFonts w:hint="default"/>
                <w:sz w:val="24"/>
                <w:szCs w:val="24"/>
                <w:lang w:val="en-US" w:eastAsia="zh-CN"/>
              </w:rPr>
            </w:pPr>
            <w:r>
              <w:rPr>
                <w:rFonts w:hint="eastAsia"/>
                <w:szCs w:val="24"/>
                <w:u w:val="none"/>
                <w:lang w:eastAsia="zh-CN"/>
              </w:rPr>
              <w:t>生活垃圾主要来源于员工日常工作以及生活中，本项目员工人数为</w:t>
            </w:r>
            <w:r>
              <w:rPr>
                <w:rFonts w:hint="eastAsia"/>
                <w:szCs w:val="24"/>
                <w:u w:val="none"/>
                <w:lang w:val="en-US" w:eastAsia="zh-CN"/>
              </w:rPr>
              <w:t>9人，生活垃圾产生量按0.5kg/d·人计，则项目生活垃圾产生量为1.35t/a，统一收集后交由当地环卫部门处理。</w:t>
            </w:r>
          </w:p>
          <w:p w14:paraId="0E4F8A0F">
            <w:pPr>
              <w:adjustRightInd w:val="0"/>
              <w:spacing w:line="240" w:lineRule="auto"/>
              <w:jc w:val="center"/>
              <w:rPr>
                <w:b/>
                <w:snapToGrid w:val="0"/>
                <w:kern w:val="0"/>
                <w:u w:val="none"/>
              </w:rPr>
            </w:pPr>
            <w:r>
              <w:rPr>
                <w:b/>
                <w:snapToGrid w:val="0"/>
                <w:kern w:val="0"/>
                <w:u w:val="none"/>
              </w:rPr>
              <w:t>表</w:t>
            </w:r>
            <w:r>
              <w:rPr>
                <w:rFonts w:hint="eastAsia"/>
                <w:b/>
                <w:snapToGrid w:val="0"/>
                <w:kern w:val="0"/>
                <w:u w:val="none"/>
              </w:rPr>
              <w:t>4-</w:t>
            </w:r>
            <w:r>
              <w:rPr>
                <w:rFonts w:hint="eastAsia"/>
                <w:b/>
                <w:snapToGrid w:val="0"/>
                <w:kern w:val="0"/>
                <w:u w:val="none"/>
                <w:lang w:val="en-US" w:eastAsia="zh-CN"/>
              </w:rPr>
              <w:t>14</w:t>
            </w:r>
            <w:r>
              <w:rPr>
                <w:b/>
                <w:snapToGrid w:val="0"/>
                <w:kern w:val="0"/>
                <w:u w:val="none"/>
              </w:rPr>
              <w:t xml:space="preserve">  固体废物污染物信息表</w:t>
            </w:r>
          </w:p>
          <w:tbl>
            <w:tblPr>
              <w:tblStyle w:val="31"/>
              <w:tblW w:w="81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
              <w:gridCol w:w="796"/>
              <w:gridCol w:w="1152"/>
              <w:gridCol w:w="501"/>
              <w:gridCol w:w="1134"/>
              <w:gridCol w:w="551"/>
              <w:gridCol w:w="1092"/>
              <w:gridCol w:w="751"/>
              <w:gridCol w:w="922"/>
              <w:gridCol w:w="940"/>
            </w:tblGrid>
            <w:tr w14:paraId="4CF27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96" w:type="pct"/>
                  <w:vAlign w:val="center"/>
                </w:tcPr>
                <w:p w14:paraId="0473F728">
                  <w:pPr>
                    <w:pStyle w:val="77"/>
                    <w:autoSpaceDE/>
                    <w:autoSpaceDN/>
                    <w:adjustRightInd/>
                    <w:jc w:val="center"/>
                    <w:rPr>
                      <w:sz w:val="21"/>
                      <w:szCs w:val="21"/>
                      <w:u w:val="none"/>
                    </w:rPr>
                  </w:pPr>
                  <w:r>
                    <w:rPr>
                      <w:sz w:val="21"/>
                      <w:szCs w:val="21"/>
                      <w:u w:val="none"/>
                    </w:rPr>
                    <w:t>序号</w:t>
                  </w:r>
                </w:p>
              </w:tc>
              <w:tc>
                <w:tcPr>
                  <w:tcW w:w="488" w:type="pct"/>
                  <w:vAlign w:val="center"/>
                </w:tcPr>
                <w:p w14:paraId="64AB6CFD">
                  <w:pPr>
                    <w:pStyle w:val="77"/>
                    <w:autoSpaceDE/>
                    <w:autoSpaceDN/>
                    <w:adjustRightInd/>
                    <w:jc w:val="center"/>
                    <w:rPr>
                      <w:sz w:val="21"/>
                      <w:szCs w:val="21"/>
                      <w:u w:val="none"/>
                    </w:rPr>
                  </w:pPr>
                  <w:r>
                    <w:rPr>
                      <w:sz w:val="21"/>
                      <w:szCs w:val="21"/>
                      <w:u w:val="none"/>
                    </w:rPr>
                    <w:t>产污环节名称</w:t>
                  </w:r>
                </w:p>
              </w:tc>
              <w:tc>
                <w:tcPr>
                  <w:tcW w:w="706" w:type="pct"/>
                  <w:vAlign w:val="center"/>
                </w:tcPr>
                <w:p w14:paraId="44B990FE">
                  <w:pPr>
                    <w:pStyle w:val="77"/>
                    <w:autoSpaceDE/>
                    <w:autoSpaceDN/>
                    <w:adjustRightInd/>
                    <w:jc w:val="center"/>
                    <w:rPr>
                      <w:spacing w:val="-9"/>
                      <w:sz w:val="21"/>
                      <w:szCs w:val="21"/>
                      <w:u w:val="none"/>
                    </w:rPr>
                  </w:pPr>
                  <w:r>
                    <w:rPr>
                      <w:sz w:val="21"/>
                      <w:szCs w:val="21"/>
                      <w:u w:val="none"/>
                    </w:rPr>
                    <w:t>固体</w:t>
                  </w:r>
                  <w:r>
                    <w:rPr>
                      <w:spacing w:val="-9"/>
                      <w:sz w:val="21"/>
                      <w:szCs w:val="21"/>
                      <w:u w:val="none"/>
                    </w:rPr>
                    <w:t>废物</w:t>
                  </w:r>
                </w:p>
                <w:p w14:paraId="3970F333">
                  <w:pPr>
                    <w:pStyle w:val="77"/>
                    <w:autoSpaceDE/>
                    <w:autoSpaceDN/>
                    <w:adjustRightInd/>
                    <w:jc w:val="center"/>
                    <w:rPr>
                      <w:sz w:val="21"/>
                      <w:szCs w:val="21"/>
                      <w:u w:val="none"/>
                    </w:rPr>
                  </w:pPr>
                  <w:r>
                    <w:rPr>
                      <w:spacing w:val="-9"/>
                      <w:sz w:val="21"/>
                      <w:szCs w:val="21"/>
                      <w:u w:val="none"/>
                    </w:rPr>
                    <w:t>名称</w:t>
                  </w:r>
                </w:p>
              </w:tc>
              <w:tc>
                <w:tcPr>
                  <w:tcW w:w="307" w:type="pct"/>
                  <w:vAlign w:val="center"/>
                </w:tcPr>
                <w:p w14:paraId="1AA2B2BD">
                  <w:pPr>
                    <w:pStyle w:val="77"/>
                    <w:autoSpaceDE/>
                    <w:autoSpaceDN/>
                    <w:adjustRightInd/>
                    <w:jc w:val="center"/>
                    <w:rPr>
                      <w:sz w:val="21"/>
                      <w:szCs w:val="21"/>
                      <w:u w:val="none"/>
                    </w:rPr>
                  </w:pPr>
                  <w:r>
                    <w:rPr>
                      <w:sz w:val="21"/>
                      <w:szCs w:val="21"/>
                      <w:u w:val="none"/>
                    </w:rPr>
                    <w:t>属性</w:t>
                  </w:r>
                </w:p>
              </w:tc>
              <w:tc>
                <w:tcPr>
                  <w:tcW w:w="695" w:type="pct"/>
                  <w:vAlign w:val="center"/>
                </w:tcPr>
                <w:p w14:paraId="442F9BA7">
                  <w:pPr>
                    <w:pStyle w:val="77"/>
                    <w:autoSpaceDE/>
                    <w:autoSpaceDN/>
                    <w:adjustRightInd/>
                    <w:jc w:val="center"/>
                    <w:rPr>
                      <w:sz w:val="21"/>
                      <w:szCs w:val="21"/>
                      <w:u w:val="none"/>
                    </w:rPr>
                  </w:pPr>
                  <w:r>
                    <w:rPr>
                      <w:rFonts w:hint="eastAsia"/>
                      <w:sz w:val="21"/>
                      <w:szCs w:val="21"/>
                      <w:u w:val="none"/>
                      <w:lang w:val="en-US" w:eastAsia="zh-CN"/>
                    </w:rPr>
                    <w:t>固废</w:t>
                  </w:r>
                  <w:r>
                    <w:rPr>
                      <w:rFonts w:hint="eastAsia"/>
                      <w:sz w:val="21"/>
                      <w:szCs w:val="21"/>
                      <w:u w:val="none"/>
                    </w:rPr>
                    <w:t>编码</w:t>
                  </w:r>
                </w:p>
              </w:tc>
              <w:tc>
                <w:tcPr>
                  <w:tcW w:w="338" w:type="pct"/>
                  <w:vAlign w:val="center"/>
                </w:tcPr>
                <w:p w14:paraId="1D9541E9">
                  <w:pPr>
                    <w:pStyle w:val="77"/>
                    <w:autoSpaceDE/>
                    <w:autoSpaceDN/>
                    <w:adjustRightInd/>
                    <w:jc w:val="center"/>
                    <w:rPr>
                      <w:sz w:val="21"/>
                      <w:szCs w:val="21"/>
                      <w:u w:val="none"/>
                    </w:rPr>
                  </w:pPr>
                  <w:r>
                    <w:rPr>
                      <w:sz w:val="21"/>
                      <w:szCs w:val="21"/>
                      <w:u w:val="none"/>
                    </w:rPr>
                    <w:t>物理性状</w:t>
                  </w:r>
                </w:p>
              </w:tc>
              <w:tc>
                <w:tcPr>
                  <w:tcW w:w="669" w:type="pct"/>
                  <w:vAlign w:val="center"/>
                </w:tcPr>
                <w:p w14:paraId="5F0C7C81">
                  <w:pPr>
                    <w:pStyle w:val="60"/>
                    <w:adjustRightInd/>
                    <w:snapToGrid/>
                    <w:ind w:firstLine="0" w:firstLineChars="0"/>
                    <w:rPr>
                      <w:rFonts w:hint="eastAsia" w:ascii="Times New Roman" w:hAnsi="Times New Roman" w:cs="Times New Roman"/>
                      <w:b w:val="0"/>
                      <w:bCs/>
                      <w:color w:val="auto"/>
                      <w:sz w:val="21"/>
                      <w:szCs w:val="21"/>
                      <w:u w:val="none"/>
                      <w:lang w:val="en-US" w:eastAsia="zh-CN"/>
                    </w:rPr>
                  </w:pPr>
                  <w:r>
                    <w:rPr>
                      <w:rFonts w:hint="eastAsia" w:ascii="Times New Roman" w:hAnsi="Times New Roman" w:cs="Times New Roman"/>
                      <w:b w:val="0"/>
                      <w:bCs/>
                      <w:color w:val="auto"/>
                      <w:sz w:val="21"/>
                      <w:szCs w:val="21"/>
                      <w:u w:val="none"/>
                      <w:lang w:val="en-US" w:eastAsia="zh-CN"/>
                    </w:rPr>
                    <w:t>危险特性、</w:t>
                  </w:r>
                </w:p>
                <w:p w14:paraId="04506611">
                  <w:pPr>
                    <w:pStyle w:val="77"/>
                    <w:autoSpaceDE/>
                    <w:autoSpaceDN/>
                    <w:adjustRightInd/>
                    <w:jc w:val="center"/>
                    <w:rPr>
                      <w:rFonts w:hint="default" w:eastAsia="宋体"/>
                      <w:sz w:val="21"/>
                      <w:szCs w:val="21"/>
                      <w:u w:val="none"/>
                      <w:lang w:val="en-US" w:eastAsia="zh-CN"/>
                    </w:rPr>
                  </w:pPr>
                  <w:r>
                    <w:rPr>
                      <w:rFonts w:hint="eastAsia" w:ascii="Times New Roman" w:hAnsi="Times New Roman" w:cs="Times New Roman"/>
                      <w:b w:val="0"/>
                      <w:bCs/>
                      <w:color w:val="auto"/>
                      <w:sz w:val="21"/>
                      <w:szCs w:val="21"/>
                      <w:u w:val="none"/>
                      <w:lang w:val="en-US" w:eastAsia="zh-CN"/>
                    </w:rPr>
                    <w:t>有害成分</w:t>
                  </w:r>
                </w:p>
              </w:tc>
              <w:tc>
                <w:tcPr>
                  <w:tcW w:w="460" w:type="pct"/>
                  <w:vAlign w:val="center"/>
                </w:tcPr>
                <w:p w14:paraId="460A644A">
                  <w:pPr>
                    <w:pStyle w:val="77"/>
                    <w:autoSpaceDE/>
                    <w:autoSpaceDN/>
                    <w:adjustRightInd/>
                    <w:jc w:val="center"/>
                    <w:rPr>
                      <w:rFonts w:hint="eastAsia"/>
                      <w:sz w:val="21"/>
                      <w:szCs w:val="21"/>
                      <w:u w:val="none"/>
                      <w:lang w:eastAsia="zh-CN"/>
                    </w:rPr>
                  </w:pPr>
                  <w:r>
                    <w:rPr>
                      <w:rFonts w:hint="eastAsia"/>
                      <w:sz w:val="21"/>
                      <w:szCs w:val="21"/>
                      <w:u w:val="none"/>
                      <w:lang w:val="en-US" w:eastAsia="zh-CN"/>
                    </w:rPr>
                    <w:t>产生</w:t>
                  </w:r>
                  <w:r>
                    <w:rPr>
                      <w:rFonts w:hint="eastAsia"/>
                      <w:sz w:val="21"/>
                      <w:szCs w:val="21"/>
                      <w:u w:val="none"/>
                      <w:lang w:eastAsia="zh-CN"/>
                    </w:rPr>
                    <w:t>量</w:t>
                  </w:r>
                </w:p>
                <w:p w14:paraId="6CFD1FD0">
                  <w:pPr>
                    <w:pStyle w:val="77"/>
                    <w:autoSpaceDE/>
                    <w:autoSpaceDN/>
                    <w:adjustRightInd/>
                    <w:jc w:val="center"/>
                    <w:rPr>
                      <w:rFonts w:hint="eastAsia"/>
                      <w:sz w:val="21"/>
                      <w:szCs w:val="21"/>
                      <w:u w:val="none"/>
                      <w:lang w:eastAsia="zh-CN"/>
                    </w:rPr>
                  </w:pPr>
                  <w:r>
                    <w:rPr>
                      <w:rFonts w:hint="eastAsia"/>
                      <w:sz w:val="21"/>
                      <w:szCs w:val="21"/>
                      <w:u w:val="none"/>
                    </w:rPr>
                    <w:t>（t/a）</w:t>
                  </w:r>
                </w:p>
              </w:tc>
              <w:tc>
                <w:tcPr>
                  <w:tcW w:w="565" w:type="pct"/>
                  <w:vAlign w:val="center"/>
                </w:tcPr>
                <w:p w14:paraId="568AF8CD">
                  <w:pPr>
                    <w:pStyle w:val="77"/>
                    <w:autoSpaceDE/>
                    <w:autoSpaceDN/>
                    <w:adjustRightInd/>
                    <w:jc w:val="center"/>
                    <w:rPr>
                      <w:sz w:val="21"/>
                      <w:szCs w:val="21"/>
                      <w:u w:val="none"/>
                    </w:rPr>
                  </w:pPr>
                  <w:r>
                    <w:rPr>
                      <w:sz w:val="21"/>
                      <w:szCs w:val="21"/>
                      <w:u w:val="none"/>
                    </w:rPr>
                    <w:t>贮存方式</w:t>
                  </w:r>
                </w:p>
              </w:tc>
              <w:tc>
                <w:tcPr>
                  <w:tcW w:w="571" w:type="pct"/>
                  <w:vAlign w:val="center"/>
                </w:tcPr>
                <w:p w14:paraId="682819CD">
                  <w:pPr>
                    <w:pStyle w:val="77"/>
                    <w:autoSpaceDE/>
                    <w:autoSpaceDN/>
                    <w:adjustRightInd/>
                    <w:jc w:val="center"/>
                    <w:rPr>
                      <w:sz w:val="21"/>
                      <w:szCs w:val="21"/>
                      <w:u w:val="none"/>
                    </w:rPr>
                  </w:pPr>
                  <w:r>
                    <w:rPr>
                      <w:sz w:val="21"/>
                      <w:szCs w:val="21"/>
                      <w:u w:val="none"/>
                    </w:rPr>
                    <w:t>利用处置</w:t>
                  </w:r>
                </w:p>
                <w:p w14:paraId="7F27C8E8">
                  <w:pPr>
                    <w:pStyle w:val="77"/>
                    <w:autoSpaceDE/>
                    <w:autoSpaceDN/>
                    <w:adjustRightInd/>
                    <w:jc w:val="center"/>
                    <w:rPr>
                      <w:sz w:val="21"/>
                      <w:szCs w:val="21"/>
                      <w:u w:val="none"/>
                    </w:rPr>
                  </w:pPr>
                  <w:r>
                    <w:rPr>
                      <w:sz w:val="21"/>
                      <w:szCs w:val="21"/>
                      <w:u w:val="none"/>
                    </w:rPr>
                    <w:t>方式</w:t>
                  </w:r>
                </w:p>
              </w:tc>
            </w:tr>
            <w:tr w14:paraId="6A153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6" w:type="pct"/>
                  <w:vAlign w:val="center"/>
                </w:tcPr>
                <w:p w14:paraId="67B60F95">
                  <w:pPr>
                    <w:pStyle w:val="77"/>
                    <w:autoSpaceDE/>
                    <w:autoSpaceDN/>
                    <w:adjustRightInd/>
                    <w:jc w:val="center"/>
                    <w:rPr>
                      <w:sz w:val="21"/>
                      <w:szCs w:val="21"/>
                      <w:u w:val="none"/>
                    </w:rPr>
                  </w:pPr>
                  <w:r>
                    <w:rPr>
                      <w:sz w:val="21"/>
                      <w:szCs w:val="21"/>
                      <w:u w:val="none"/>
                    </w:rPr>
                    <w:t>1</w:t>
                  </w:r>
                </w:p>
              </w:tc>
              <w:tc>
                <w:tcPr>
                  <w:tcW w:w="488" w:type="pct"/>
                  <w:vAlign w:val="center"/>
                </w:tcPr>
                <w:p w14:paraId="5C5304AF">
                  <w:pPr>
                    <w:pStyle w:val="77"/>
                    <w:autoSpaceDE/>
                    <w:autoSpaceDN/>
                    <w:adjustRightInd/>
                    <w:jc w:val="center"/>
                    <w:rPr>
                      <w:rFonts w:hint="default" w:eastAsia="宋体"/>
                      <w:sz w:val="21"/>
                      <w:szCs w:val="21"/>
                      <w:u w:val="none"/>
                      <w:lang w:val="en-US" w:eastAsia="zh-CN"/>
                    </w:rPr>
                  </w:pPr>
                  <w:r>
                    <w:rPr>
                      <w:rFonts w:hint="eastAsia"/>
                      <w:sz w:val="21"/>
                      <w:szCs w:val="21"/>
                      <w:u w:val="none"/>
                      <w:lang w:val="en-US" w:eastAsia="zh-CN"/>
                    </w:rPr>
                    <w:t>烘干</w:t>
                  </w:r>
                </w:p>
              </w:tc>
              <w:tc>
                <w:tcPr>
                  <w:tcW w:w="706" w:type="pct"/>
                  <w:shd w:val="clear" w:color="auto" w:fill="auto"/>
                  <w:vAlign w:val="center"/>
                </w:tcPr>
                <w:p w14:paraId="0D37BAC0">
                  <w:pPr>
                    <w:jc w:val="center"/>
                    <w:rPr>
                      <w:rFonts w:hint="default" w:ascii="Times New Roman" w:hAnsi="Times New Roman" w:eastAsia="宋体" w:cs="Times New Roman"/>
                      <w:kern w:val="2"/>
                      <w:sz w:val="21"/>
                      <w:szCs w:val="21"/>
                      <w:u w:val="none"/>
                      <w:lang w:val="en-US" w:eastAsia="zh-CN" w:bidi="ar-SA"/>
                    </w:rPr>
                  </w:pPr>
                  <w:r>
                    <w:rPr>
                      <w:rFonts w:hint="eastAsia"/>
                      <w:sz w:val="21"/>
                      <w:szCs w:val="21"/>
                      <w:lang w:val="en-US" w:eastAsia="zh-CN"/>
                    </w:rPr>
                    <w:t>回收固废</w:t>
                  </w:r>
                </w:p>
              </w:tc>
              <w:tc>
                <w:tcPr>
                  <w:tcW w:w="307" w:type="pct"/>
                  <w:vMerge w:val="restart"/>
                  <w:vAlign w:val="center"/>
                </w:tcPr>
                <w:p w14:paraId="5719930C">
                  <w:pPr>
                    <w:pStyle w:val="77"/>
                    <w:autoSpaceDE/>
                    <w:autoSpaceDN/>
                    <w:adjustRightInd/>
                    <w:jc w:val="center"/>
                    <w:rPr>
                      <w:rFonts w:hint="eastAsia" w:ascii="Times New Roman" w:hAnsi="Times New Roman" w:eastAsia="宋体" w:cs="Times New Roman"/>
                      <w:kern w:val="2"/>
                      <w:sz w:val="21"/>
                      <w:szCs w:val="21"/>
                      <w:u w:val="none"/>
                      <w:lang w:val="en-US" w:eastAsia="zh-CN" w:bidi="zh-CN"/>
                    </w:rPr>
                  </w:pPr>
                  <w:r>
                    <w:rPr>
                      <w:rFonts w:hint="eastAsia"/>
                      <w:kern w:val="2"/>
                      <w:sz w:val="21"/>
                      <w:szCs w:val="21"/>
                      <w:u w:val="none"/>
                      <w:lang w:bidi="zh-CN"/>
                    </w:rPr>
                    <w:t>一般工业固废</w:t>
                  </w:r>
                </w:p>
              </w:tc>
              <w:tc>
                <w:tcPr>
                  <w:tcW w:w="695" w:type="pct"/>
                  <w:vAlign w:val="center"/>
                </w:tcPr>
                <w:p w14:paraId="1E4B15CB">
                  <w:pPr>
                    <w:pStyle w:val="77"/>
                    <w:autoSpaceDE/>
                    <w:autoSpaceDN/>
                    <w:adjustRightInd/>
                    <w:jc w:val="center"/>
                    <w:rPr>
                      <w:rFonts w:hint="eastAsia"/>
                      <w:sz w:val="21"/>
                      <w:szCs w:val="21"/>
                      <w:u w:val="none"/>
                      <w:lang w:val="en-US" w:eastAsia="zh-CN"/>
                    </w:rPr>
                  </w:pPr>
                  <w:r>
                    <w:rPr>
                      <w:rFonts w:hint="eastAsia"/>
                      <w:sz w:val="21"/>
                      <w:szCs w:val="21"/>
                      <w:u w:val="none"/>
                      <w:lang w:val="en-US" w:eastAsia="zh-CN"/>
                    </w:rPr>
                    <w:t>SW17</w:t>
                  </w:r>
                </w:p>
                <w:p w14:paraId="01B859E2">
                  <w:pPr>
                    <w:pStyle w:val="77"/>
                    <w:autoSpaceDE/>
                    <w:autoSpaceDN/>
                    <w:adjustRightInd/>
                    <w:jc w:val="center"/>
                    <w:rPr>
                      <w:rFonts w:hint="default" w:ascii="Times New Roman" w:hAnsi="Times New Roman" w:eastAsia="宋体" w:cs="Times New Roman"/>
                      <w:kern w:val="0"/>
                      <w:sz w:val="21"/>
                      <w:szCs w:val="21"/>
                      <w:u w:val="none"/>
                      <w:lang w:val="en-US" w:eastAsia="zh-CN" w:bidi="ar-SA"/>
                    </w:rPr>
                  </w:pPr>
                  <w:r>
                    <w:rPr>
                      <w:rFonts w:hint="eastAsia"/>
                      <w:sz w:val="21"/>
                      <w:szCs w:val="21"/>
                      <w:u w:val="none"/>
                    </w:rPr>
                    <w:t>900-</w:t>
                  </w:r>
                  <w:r>
                    <w:rPr>
                      <w:rFonts w:hint="eastAsia"/>
                      <w:sz w:val="21"/>
                      <w:szCs w:val="21"/>
                      <w:u w:val="none"/>
                      <w:lang w:val="en-US" w:eastAsia="zh-CN"/>
                    </w:rPr>
                    <w:t>012-</w:t>
                  </w:r>
                  <w:r>
                    <w:rPr>
                      <w:rFonts w:hint="eastAsia"/>
                      <w:sz w:val="21"/>
                      <w:szCs w:val="21"/>
                      <w:u w:val="none"/>
                    </w:rPr>
                    <w:t>S17</w:t>
                  </w:r>
                </w:p>
              </w:tc>
              <w:tc>
                <w:tcPr>
                  <w:tcW w:w="338" w:type="pct"/>
                  <w:vAlign w:val="center"/>
                </w:tcPr>
                <w:p w14:paraId="6FCC6303">
                  <w:pPr>
                    <w:jc w:val="center"/>
                    <w:rPr>
                      <w:rFonts w:ascii="Times New Roman" w:hAnsi="Times New Roman" w:eastAsia="宋体" w:cs="Times New Roman"/>
                      <w:kern w:val="2"/>
                      <w:sz w:val="21"/>
                      <w:szCs w:val="21"/>
                      <w:u w:val="none"/>
                      <w:lang w:val="en-US" w:eastAsia="zh-CN" w:bidi="ar-SA"/>
                    </w:rPr>
                  </w:pPr>
                  <w:r>
                    <w:rPr>
                      <w:sz w:val="21"/>
                      <w:szCs w:val="21"/>
                      <w:u w:val="none"/>
                    </w:rPr>
                    <w:t>固态</w:t>
                  </w:r>
                </w:p>
              </w:tc>
              <w:tc>
                <w:tcPr>
                  <w:tcW w:w="669" w:type="pct"/>
                  <w:vAlign w:val="center"/>
                </w:tcPr>
                <w:p w14:paraId="24464008">
                  <w:pPr>
                    <w:jc w:val="center"/>
                    <w:rPr>
                      <w:rFonts w:hint="eastAsia" w:eastAsia="宋体"/>
                      <w:sz w:val="21"/>
                      <w:szCs w:val="21"/>
                      <w:u w:val="none"/>
                      <w:lang w:val="en-US" w:eastAsia="zh-CN"/>
                    </w:rPr>
                  </w:pPr>
                  <w:r>
                    <w:rPr>
                      <w:rFonts w:hint="eastAsia"/>
                      <w:sz w:val="21"/>
                      <w:szCs w:val="21"/>
                      <w:u w:val="none"/>
                      <w:lang w:val="en-US" w:eastAsia="zh-CN"/>
                    </w:rPr>
                    <w:t>/</w:t>
                  </w:r>
                </w:p>
              </w:tc>
              <w:tc>
                <w:tcPr>
                  <w:tcW w:w="460" w:type="pct"/>
                  <w:vAlign w:val="center"/>
                </w:tcPr>
                <w:p w14:paraId="26BE4447">
                  <w:pPr>
                    <w:pStyle w:val="77"/>
                    <w:autoSpaceDE/>
                    <w:autoSpaceDN/>
                    <w:adjustRightInd/>
                    <w:jc w:val="center"/>
                    <w:rPr>
                      <w:rFonts w:hint="default"/>
                      <w:sz w:val="21"/>
                      <w:szCs w:val="21"/>
                      <w:u w:val="none"/>
                      <w:lang w:val="en-US" w:eastAsia="zh-CN"/>
                    </w:rPr>
                  </w:pPr>
                  <w:r>
                    <w:rPr>
                      <w:rFonts w:hint="eastAsia"/>
                      <w:sz w:val="21"/>
                      <w:szCs w:val="21"/>
                      <w:u w:val="none"/>
                      <w:lang w:val="en-US" w:eastAsia="zh-CN"/>
                    </w:rPr>
                    <w:t>1000</w:t>
                  </w:r>
                </w:p>
              </w:tc>
              <w:tc>
                <w:tcPr>
                  <w:tcW w:w="565" w:type="pct"/>
                  <w:vMerge w:val="restart"/>
                  <w:vAlign w:val="center"/>
                </w:tcPr>
                <w:p w14:paraId="6B799520">
                  <w:pPr>
                    <w:pStyle w:val="77"/>
                    <w:autoSpaceDE/>
                    <w:autoSpaceDN/>
                    <w:adjustRightInd/>
                    <w:jc w:val="center"/>
                    <w:rPr>
                      <w:rFonts w:hint="eastAsia" w:eastAsia="宋体"/>
                      <w:sz w:val="21"/>
                      <w:szCs w:val="21"/>
                      <w:u w:val="none"/>
                      <w:lang w:eastAsia="zh-CN"/>
                    </w:rPr>
                  </w:pPr>
                  <w:r>
                    <w:rPr>
                      <w:rFonts w:hint="eastAsia"/>
                      <w:sz w:val="21"/>
                      <w:szCs w:val="21"/>
                      <w:u w:val="none"/>
                      <w:lang w:val="en-US" w:eastAsia="zh-CN"/>
                    </w:rPr>
                    <w:t>一般固废暂存区</w:t>
                  </w:r>
                </w:p>
              </w:tc>
              <w:tc>
                <w:tcPr>
                  <w:tcW w:w="571" w:type="pct"/>
                  <w:vAlign w:val="center"/>
                </w:tcPr>
                <w:p w14:paraId="1A8E9294">
                  <w:pPr>
                    <w:pStyle w:val="77"/>
                    <w:autoSpaceDE/>
                    <w:autoSpaceDN/>
                    <w:adjustRightInd/>
                    <w:jc w:val="center"/>
                    <w:rPr>
                      <w:rFonts w:hint="default" w:eastAsia="宋体"/>
                      <w:sz w:val="21"/>
                      <w:szCs w:val="21"/>
                      <w:u w:val="none"/>
                      <w:lang w:val="en-US" w:eastAsia="zh-CN"/>
                    </w:rPr>
                  </w:pPr>
                  <w:r>
                    <w:rPr>
                      <w:rFonts w:hint="eastAsia"/>
                      <w:sz w:val="21"/>
                      <w:szCs w:val="21"/>
                      <w:u w:val="none"/>
                      <w:lang w:val="en-US" w:eastAsia="zh-CN"/>
                    </w:rPr>
                    <w:t>外售给回收公司</w:t>
                  </w:r>
                </w:p>
              </w:tc>
            </w:tr>
            <w:tr w14:paraId="4B76F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6" w:type="pct"/>
                  <w:vAlign w:val="center"/>
                </w:tcPr>
                <w:p w14:paraId="57743D8D">
                  <w:pPr>
                    <w:pStyle w:val="77"/>
                    <w:autoSpaceDE/>
                    <w:autoSpaceDN/>
                    <w:adjustRightInd/>
                    <w:jc w:val="center"/>
                    <w:rPr>
                      <w:rFonts w:hint="eastAsia" w:eastAsia="宋体"/>
                      <w:sz w:val="21"/>
                      <w:szCs w:val="21"/>
                      <w:u w:val="none"/>
                      <w:lang w:val="en-US" w:eastAsia="zh-CN"/>
                    </w:rPr>
                  </w:pPr>
                  <w:r>
                    <w:rPr>
                      <w:rFonts w:hint="eastAsia"/>
                      <w:sz w:val="21"/>
                      <w:szCs w:val="21"/>
                      <w:u w:val="none"/>
                      <w:lang w:val="en-US" w:eastAsia="zh-CN"/>
                    </w:rPr>
                    <w:t>2</w:t>
                  </w:r>
                </w:p>
              </w:tc>
              <w:tc>
                <w:tcPr>
                  <w:tcW w:w="488" w:type="pct"/>
                  <w:vAlign w:val="center"/>
                </w:tcPr>
                <w:p w14:paraId="263052F7">
                  <w:pPr>
                    <w:pStyle w:val="77"/>
                    <w:autoSpaceDE/>
                    <w:autoSpaceDN/>
                    <w:adjustRightInd/>
                    <w:jc w:val="center"/>
                    <w:rPr>
                      <w:rFonts w:hint="default"/>
                      <w:sz w:val="21"/>
                      <w:szCs w:val="21"/>
                      <w:u w:val="none"/>
                      <w:lang w:val="en-US" w:eastAsia="zh-CN"/>
                    </w:rPr>
                  </w:pPr>
                  <w:r>
                    <w:rPr>
                      <w:rFonts w:hint="eastAsia"/>
                      <w:sz w:val="21"/>
                      <w:szCs w:val="21"/>
                      <w:u w:val="none"/>
                      <w:lang w:val="en-US" w:eastAsia="zh-CN"/>
                    </w:rPr>
                    <w:t>/</w:t>
                  </w:r>
                </w:p>
              </w:tc>
              <w:tc>
                <w:tcPr>
                  <w:tcW w:w="706" w:type="pct"/>
                  <w:shd w:val="clear" w:color="auto" w:fill="auto"/>
                  <w:vAlign w:val="center"/>
                </w:tcPr>
                <w:p w14:paraId="1527C000">
                  <w:pPr>
                    <w:jc w:val="center"/>
                    <w:rPr>
                      <w:rFonts w:hint="default" w:ascii="Times New Roman" w:hAnsi="Times New Roman" w:eastAsia="宋体" w:cs="Times New Roman"/>
                      <w:kern w:val="2"/>
                      <w:sz w:val="21"/>
                      <w:szCs w:val="21"/>
                      <w:u w:val="none"/>
                      <w:lang w:val="en-US" w:eastAsia="zh-CN" w:bidi="ar-SA"/>
                    </w:rPr>
                  </w:pPr>
                  <w:r>
                    <w:rPr>
                      <w:rFonts w:hint="eastAsia" w:cs="Times New Roman"/>
                      <w:kern w:val="2"/>
                      <w:sz w:val="21"/>
                      <w:szCs w:val="21"/>
                      <w:u w:val="none"/>
                      <w:lang w:val="en-US" w:eastAsia="zh-CN" w:bidi="ar-SA"/>
                    </w:rPr>
                    <w:t>废原料包装</w:t>
                  </w:r>
                </w:p>
              </w:tc>
              <w:tc>
                <w:tcPr>
                  <w:tcW w:w="307" w:type="pct"/>
                  <w:vMerge w:val="continue"/>
                  <w:vAlign w:val="center"/>
                </w:tcPr>
                <w:p w14:paraId="48E52CEB">
                  <w:pPr>
                    <w:pStyle w:val="77"/>
                    <w:autoSpaceDE/>
                    <w:autoSpaceDN/>
                    <w:adjustRightInd/>
                    <w:jc w:val="center"/>
                    <w:rPr>
                      <w:rFonts w:hint="eastAsia"/>
                      <w:kern w:val="2"/>
                      <w:sz w:val="21"/>
                      <w:szCs w:val="21"/>
                      <w:u w:val="none"/>
                      <w:lang w:bidi="zh-CN"/>
                    </w:rPr>
                  </w:pPr>
                </w:p>
              </w:tc>
              <w:tc>
                <w:tcPr>
                  <w:tcW w:w="695" w:type="pct"/>
                  <w:shd w:val="clear" w:color="auto" w:fill="auto"/>
                  <w:vAlign w:val="center"/>
                </w:tcPr>
                <w:p w14:paraId="763547CF">
                  <w:pPr>
                    <w:pStyle w:val="77"/>
                    <w:autoSpaceDE/>
                    <w:autoSpaceDN/>
                    <w:adjustRightInd/>
                    <w:jc w:val="center"/>
                    <w:rPr>
                      <w:rFonts w:hint="eastAsia"/>
                      <w:sz w:val="21"/>
                      <w:szCs w:val="21"/>
                      <w:u w:val="none"/>
                      <w:lang w:val="en-US" w:eastAsia="zh-CN"/>
                    </w:rPr>
                  </w:pPr>
                  <w:r>
                    <w:rPr>
                      <w:rFonts w:hint="eastAsia"/>
                      <w:sz w:val="21"/>
                      <w:szCs w:val="21"/>
                      <w:u w:val="none"/>
                      <w:lang w:val="en-US" w:eastAsia="zh-CN"/>
                    </w:rPr>
                    <w:t>SW17</w:t>
                  </w:r>
                </w:p>
                <w:p w14:paraId="6B289546">
                  <w:pPr>
                    <w:pStyle w:val="77"/>
                    <w:autoSpaceDE/>
                    <w:autoSpaceDN/>
                    <w:adjustRightInd/>
                    <w:jc w:val="center"/>
                    <w:rPr>
                      <w:rFonts w:hint="eastAsia" w:ascii="Times New Roman" w:hAnsi="Times New Roman" w:eastAsia="宋体" w:cs="Times New Roman"/>
                      <w:kern w:val="0"/>
                      <w:sz w:val="21"/>
                      <w:szCs w:val="21"/>
                      <w:u w:val="none"/>
                      <w:lang w:val="en-US" w:eastAsia="zh-CN" w:bidi="ar-SA"/>
                    </w:rPr>
                  </w:pPr>
                  <w:r>
                    <w:rPr>
                      <w:rFonts w:hint="eastAsia"/>
                      <w:sz w:val="21"/>
                      <w:szCs w:val="21"/>
                      <w:u w:val="none"/>
                    </w:rPr>
                    <w:t>900-</w:t>
                  </w:r>
                  <w:r>
                    <w:rPr>
                      <w:rFonts w:hint="eastAsia"/>
                      <w:sz w:val="21"/>
                      <w:szCs w:val="21"/>
                      <w:u w:val="none"/>
                      <w:lang w:val="en-US" w:eastAsia="zh-CN"/>
                    </w:rPr>
                    <w:t>003-</w:t>
                  </w:r>
                  <w:r>
                    <w:rPr>
                      <w:rFonts w:hint="eastAsia"/>
                      <w:sz w:val="21"/>
                      <w:szCs w:val="21"/>
                      <w:u w:val="none"/>
                    </w:rPr>
                    <w:t>S17</w:t>
                  </w:r>
                </w:p>
              </w:tc>
              <w:tc>
                <w:tcPr>
                  <w:tcW w:w="338" w:type="pct"/>
                  <w:shd w:val="clear" w:color="auto" w:fill="auto"/>
                  <w:vAlign w:val="center"/>
                </w:tcPr>
                <w:p w14:paraId="1D9C43AE">
                  <w:pPr>
                    <w:jc w:val="center"/>
                    <w:rPr>
                      <w:rFonts w:ascii="Times New Roman" w:hAnsi="Times New Roman" w:eastAsia="宋体" w:cs="Times New Roman"/>
                      <w:kern w:val="2"/>
                      <w:sz w:val="21"/>
                      <w:szCs w:val="21"/>
                      <w:u w:val="none"/>
                      <w:lang w:val="en-US" w:eastAsia="zh-CN" w:bidi="ar-SA"/>
                    </w:rPr>
                  </w:pPr>
                  <w:r>
                    <w:rPr>
                      <w:sz w:val="21"/>
                      <w:szCs w:val="21"/>
                      <w:u w:val="none"/>
                    </w:rPr>
                    <w:t>固态</w:t>
                  </w:r>
                </w:p>
              </w:tc>
              <w:tc>
                <w:tcPr>
                  <w:tcW w:w="669" w:type="pct"/>
                  <w:shd w:val="clear" w:color="auto" w:fill="auto"/>
                  <w:vAlign w:val="center"/>
                </w:tcPr>
                <w:p w14:paraId="4B9E3A30">
                  <w:pPr>
                    <w:jc w:val="center"/>
                    <w:rPr>
                      <w:rFonts w:hint="eastAsia" w:ascii="Times New Roman" w:hAnsi="Times New Roman" w:eastAsia="宋体" w:cs="Times New Roman"/>
                      <w:kern w:val="2"/>
                      <w:sz w:val="21"/>
                      <w:szCs w:val="21"/>
                      <w:u w:val="none"/>
                      <w:lang w:val="en-US" w:eastAsia="zh-CN" w:bidi="ar-SA"/>
                    </w:rPr>
                  </w:pPr>
                  <w:r>
                    <w:rPr>
                      <w:rFonts w:hint="eastAsia"/>
                      <w:sz w:val="21"/>
                      <w:szCs w:val="21"/>
                      <w:u w:val="none"/>
                      <w:lang w:val="en-US" w:eastAsia="zh-CN"/>
                    </w:rPr>
                    <w:t>/</w:t>
                  </w:r>
                </w:p>
              </w:tc>
              <w:tc>
                <w:tcPr>
                  <w:tcW w:w="460" w:type="pct"/>
                  <w:vAlign w:val="center"/>
                </w:tcPr>
                <w:p w14:paraId="071EB352">
                  <w:pPr>
                    <w:pStyle w:val="77"/>
                    <w:autoSpaceDE/>
                    <w:autoSpaceDN/>
                    <w:adjustRightInd/>
                    <w:jc w:val="center"/>
                    <w:rPr>
                      <w:rFonts w:hint="default"/>
                      <w:sz w:val="21"/>
                      <w:szCs w:val="21"/>
                      <w:u w:val="none"/>
                      <w:lang w:val="en-US" w:eastAsia="zh-CN"/>
                    </w:rPr>
                  </w:pPr>
                  <w:r>
                    <w:rPr>
                      <w:rFonts w:hint="eastAsia"/>
                      <w:sz w:val="21"/>
                      <w:szCs w:val="21"/>
                      <w:u w:val="none"/>
                      <w:lang w:val="en-US" w:eastAsia="zh-CN"/>
                    </w:rPr>
                    <w:t>600</w:t>
                  </w:r>
                </w:p>
              </w:tc>
              <w:tc>
                <w:tcPr>
                  <w:tcW w:w="565" w:type="pct"/>
                  <w:vMerge w:val="continue"/>
                  <w:vAlign w:val="center"/>
                </w:tcPr>
                <w:p w14:paraId="4B7B159C">
                  <w:pPr>
                    <w:pStyle w:val="77"/>
                    <w:autoSpaceDE/>
                    <w:autoSpaceDN/>
                    <w:adjustRightInd/>
                    <w:jc w:val="center"/>
                    <w:rPr>
                      <w:rFonts w:hint="eastAsia"/>
                      <w:sz w:val="21"/>
                      <w:szCs w:val="21"/>
                      <w:u w:val="none"/>
                      <w:lang w:val="en-US" w:eastAsia="zh-CN"/>
                    </w:rPr>
                  </w:pPr>
                </w:p>
              </w:tc>
              <w:tc>
                <w:tcPr>
                  <w:tcW w:w="571" w:type="pct"/>
                  <w:vAlign w:val="center"/>
                </w:tcPr>
                <w:p w14:paraId="03889AA1">
                  <w:pPr>
                    <w:pStyle w:val="77"/>
                    <w:autoSpaceDE/>
                    <w:autoSpaceDN/>
                    <w:adjustRightInd/>
                    <w:jc w:val="center"/>
                    <w:rPr>
                      <w:rFonts w:hint="default"/>
                      <w:sz w:val="21"/>
                      <w:szCs w:val="21"/>
                      <w:u w:val="none"/>
                      <w:lang w:val="en-US" w:eastAsia="zh-CN"/>
                    </w:rPr>
                  </w:pPr>
                  <w:r>
                    <w:rPr>
                      <w:rFonts w:hint="eastAsia"/>
                      <w:sz w:val="21"/>
                      <w:szCs w:val="21"/>
                      <w:u w:val="none"/>
                      <w:lang w:val="en-US" w:eastAsia="zh-CN"/>
                    </w:rPr>
                    <w:t>交由厂家回收</w:t>
                  </w:r>
                </w:p>
              </w:tc>
            </w:tr>
            <w:tr w14:paraId="0A485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6" w:type="pct"/>
                  <w:vMerge w:val="restart"/>
                  <w:shd w:val="clear" w:color="auto" w:fill="auto"/>
                  <w:vAlign w:val="center"/>
                </w:tcPr>
                <w:p w14:paraId="73BCB880">
                  <w:pPr>
                    <w:pStyle w:val="77"/>
                    <w:autoSpaceDE/>
                    <w:autoSpaceDN/>
                    <w:adjustRightInd/>
                    <w:jc w:val="center"/>
                    <w:rPr>
                      <w:rFonts w:hint="default" w:ascii="Times New Roman" w:hAnsi="Times New Roman" w:eastAsia="宋体" w:cs="Times New Roman"/>
                      <w:kern w:val="0"/>
                      <w:sz w:val="21"/>
                      <w:szCs w:val="21"/>
                      <w:u w:val="none"/>
                      <w:lang w:val="en-US" w:eastAsia="zh-CN" w:bidi="ar-SA"/>
                    </w:rPr>
                  </w:pPr>
                  <w:r>
                    <w:rPr>
                      <w:rFonts w:hint="eastAsia"/>
                      <w:sz w:val="21"/>
                      <w:szCs w:val="21"/>
                      <w:u w:val="none"/>
                      <w:lang w:val="en-US" w:eastAsia="zh-CN"/>
                    </w:rPr>
                    <w:t>3</w:t>
                  </w:r>
                </w:p>
              </w:tc>
              <w:tc>
                <w:tcPr>
                  <w:tcW w:w="488" w:type="pct"/>
                  <w:vMerge w:val="restart"/>
                  <w:shd w:val="clear" w:color="auto" w:fill="auto"/>
                  <w:vAlign w:val="center"/>
                </w:tcPr>
                <w:p w14:paraId="3221A599">
                  <w:pPr>
                    <w:pStyle w:val="77"/>
                    <w:autoSpaceDE/>
                    <w:autoSpaceDN/>
                    <w:adjustRightInd/>
                    <w:jc w:val="center"/>
                    <w:rPr>
                      <w:rFonts w:hint="default" w:cs="Times New Roman"/>
                      <w:sz w:val="21"/>
                      <w:szCs w:val="21"/>
                      <w:u w:val="none"/>
                      <w:lang w:val="en-US" w:eastAsia="zh-CN"/>
                    </w:rPr>
                  </w:pPr>
                  <w:r>
                    <w:rPr>
                      <w:rFonts w:hint="eastAsia"/>
                      <w:sz w:val="21"/>
                      <w:szCs w:val="21"/>
                      <w:u w:val="none"/>
                      <w:lang w:val="en-US" w:eastAsia="zh-CN"/>
                    </w:rPr>
                    <w:t>设备维修、维护</w:t>
                  </w:r>
                </w:p>
              </w:tc>
              <w:tc>
                <w:tcPr>
                  <w:tcW w:w="706" w:type="pct"/>
                  <w:shd w:val="clear" w:color="auto" w:fill="auto"/>
                  <w:vAlign w:val="center"/>
                </w:tcPr>
                <w:p w14:paraId="47636647">
                  <w:pPr>
                    <w:pStyle w:val="77"/>
                    <w:autoSpaceDE/>
                    <w:autoSpaceDN/>
                    <w:adjustRightInd/>
                    <w:jc w:val="center"/>
                    <w:rPr>
                      <w:rFonts w:hint="eastAsia" w:ascii="Times New Roman" w:hAnsi="Times New Roman" w:eastAsia="宋体" w:cs="Times New Roman"/>
                      <w:kern w:val="0"/>
                      <w:sz w:val="21"/>
                      <w:szCs w:val="21"/>
                      <w:u w:val="none"/>
                      <w:lang w:val="zh-CN" w:eastAsia="zh-CN" w:bidi="ar-SA"/>
                    </w:rPr>
                  </w:pPr>
                  <w:r>
                    <w:rPr>
                      <w:rFonts w:hint="eastAsia"/>
                      <w:sz w:val="21"/>
                      <w:szCs w:val="21"/>
                      <w:u w:val="none"/>
                    </w:rPr>
                    <w:t>废</w:t>
                  </w:r>
                  <w:r>
                    <w:rPr>
                      <w:rFonts w:hint="eastAsia"/>
                      <w:sz w:val="21"/>
                      <w:szCs w:val="21"/>
                      <w:u w:val="none"/>
                      <w:lang w:eastAsia="zh-CN"/>
                    </w:rPr>
                    <w:t>矿物油</w:t>
                  </w:r>
                </w:p>
              </w:tc>
              <w:tc>
                <w:tcPr>
                  <w:tcW w:w="307" w:type="pct"/>
                  <w:vMerge w:val="restart"/>
                  <w:shd w:val="clear" w:color="auto" w:fill="auto"/>
                  <w:vAlign w:val="center"/>
                </w:tcPr>
                <w:p w14:paraId="0EBB9A09">
                  <w:pPr>
                    <w:pStyle w:val="77"/>
                    <w:autoSpaceDE/>
                    <w:autoSpaceDN/>
                    <w:adjustRightInd/>
                    <w:jc w:val="center"/>
                    <w:rPr>
                      <w:rFonts w:hint="eastAsia"/>
                      <w:sz w:val="21"/>
                      <w:szCs w:val="21"/>
                      <w:u w:val="none"/>
                    </w:rPr>
                  </w:pPr>
                  <w:r>
                    <w:rPr>
                      <w:rFonts w:hint="eastAsia"/>
                      <w:sz w:val="21"/>
                      <w:szCs w:val="21"/>
                      <w:u w:val="none"/>
                    </w:rPr>
                    <w:t>危险</w:t>
                  </w:r>
                </w:p>
                <w:p w14:paraId="4A2E32C7">
                  <w:pPr>
                    <w:pStyle w:val="77"/>
                    <w:autoSpaceDE/>
                    <w:autoSpaceDN/>
                    <w:adjustRightInd/>
                    <w:jc w:val="center"/>
                    <w:rPr>
                      <w:rFonts w:hint="eastAsia"/>
                      <w:sz w:val="21"/>
                      <w:szCs w:val="21"/>
                      <w:u w:val="none"/>
                    </w:rPr>
                  </w:pPr>
                  <w:r>
                    <w:rPr>
                      <w:rFonts w:hint="eastAsia"/>
                      <w:sz w:val="21"/>
                      <w:szCs w:val="21"/>
                      <w:u w:val="none"/>
                    </w:rPr>
                    <w:t>废物</w:t>
                  </w:r>
                </w:p>
              </w:tc>
              <w:tc>
                <w:tcPr>
                  <w:tcW w:w="695" w:type="pct"/>
                  <w:shd w:val="clear" w:color="auto" w:fill="auto"/>
                  <w:vAlign w:val="center"/>
                </w:tcPr>
                <w:p w14:paraId="46D1387D">
                  <w:pPr>
                    <w:pStyle w:val="77"/>
                    <w:autoSpaceDE/>
                    <w:autoSpaceDN/>
                    <w:adjustRightInd/>
                    <w:jc w:val="center"/>
                    <w:rPr>
                      <w:rFonts w:hint="default"/>
                      <w:sz w:val="21"/>
                      <w:szCs w:val="21"/>
                      <w:u w:val="none"/>
                      <w:lang w:val="en-US" w:eastAsia="zh-CN"/>
                    </w:rPr>
                  </w:pPr>
                  <w:r>
                    <w:rPr>
                      <w:rFonts w:hint="eastAsia"/>
                      <w:sz w:val="21"/>
                      <w:szCs w:val="21"/>
                      <w:u w:val="none"/>
                      <w:lang w:val="en-US" w:eastAsia="zh-CN"/>
                    </w:rPr>
                    <w:t>HW08</w:t>
                  </w:r>
                </w:p>
                <w:p w14:paraId="0C98DE6E">
                  <w:pPr>
                    <w:pStyle w:val="77"/>
                    <w:autoSpaceDE/>
                    <w:autoSpaceDN/>
                    <w:adjustRightInd/>
                    <w:jc w:val="center"/>
                    <w:rPr>
                      <w:rFonts w:hint="eastAsia" w:ascii="Times New Roman" w:hAnsi="Times New Roman" w:eastAsia="宋体" w:cs="Times New Roman"/>
                      <w:kern w:val="0"/>
                      <w:sz w:val="21"/>
                      <w:szCs w:val="21"/>
                      <w:u w:val="none"/>
                      <w:lang w:val="en-US" w:eastAsia="zh-CN" w:bidi="zh-CN"/>
                    </w:rPr>
                  </w:pPr>
                  <w:r>
                    <w:rPr>
                      <w:rFonts w:hint="eastAsia"/>
                      <w:kern w:val="2"/>
                      <w:sz w:val="21"/>
                      <w:szCs w:val="21"/>
                      <w:u w:val="none"/>
                      <w:lang w:val="en-US" w:bidi="zh-CN"/>
                    </w:rPr>
                    <w:t>900-214-08</w:t>
                  </w:r>
                </w:p>
              </w:tc>
              <w:tc>
                <w:tcPr>
                  <w:tcW w:w="338" w:type="pct"/>
                  <w:shd w:val="clear" w:color="auto" w:fill="auto"/>
                  <w:vAlign w:val="center"/>
                </w:tcPr>
                <w:p w14:paraId="0D465A81">
                  <w:pPr>
                    <w:pStyle w:val="77"/>
                    <w:autoSpaceDE/>
                    <w:autoSpaceDN/>
                    <w:adjustRightInd/>
                    <w:jc w:val="center"/>
                    <w:rPr>
                      <w:rFonts w:ascii="Times New Roman" w:hAnsi="Times New Roman" w:eastAsia="宋体" w:cs="Times New Roman"/>
                      <w:kern w:val="2"/>
                      <w:sz w:val="21"/>
                      <w:szCs w:val="21"/>
                      <w:u w:val="none"/>
                      <w:lang w:val="en-US" w:eastAsia="zh-CN" w:bidi="ar-SA"/>
                    </w:rPr>
                  </w:pPr>
                  <w:r>
                    <w:rPr>
                      <w:sz w:val="21"/>
                      <w:szCs w:val="21"/>
                      <w:u w:val="none"/>
                    </w:rPr>
                    <w:t>固态</w:t>
                  </w:r>
                </w:p>
              </w:tc>
              <w:tc>
                <w:tcPr>
                  <w:tcW w:w="669" w:type="pct"/>
                  <w:shd w:val="clear" w:color="auto" w:fill="auto"/>
                  <w:vAlign w:val="center"/>
                </w:tcPr>
                <w:p w14:paraId="2CDAD6E6">
                  <w:pPr>
                    <w:pStyle w:val="77"/>
                    <w:autoSpaceDE/>
                    <w:autoSpaceDN/>
                    <w:adjustRightInd/>
                    <w:jc w:val="center"/>
                    <w:rPr>
                      <w:rFonts w:hint="eastAsia" w:cs="Times New Roman"/>
                      <w:sz w:val="21"/>
                      <w:szCs w:val="21"/>
                      <w:u w:val="none"/>
                      <w:lang w:val="en-US" w:eastAsia="zh-CN"/>
                    </w:rPr>
                  </w:pPr>
                  <w:r>
                    <w:rPr>
                      <w:rFonts w:hint="default" w:ascii="Times New Roman" w:hAnsi="Times New Roman" w:cs="Times New Roman"/>
                      <w:sz w:val="21"/>
                      <w:szCs w:val="21"/>
                      <w:u w:val="none"/>
                      <w:lang w:val="en-US" w:eastAsia="zh-CN"/>
                    </w:rPr>
                    <w:t>T、I</w:t>
                  </w:r>
                  <w:r>
                    <w:rPr>
                      <w:rFonts w:hint="eastAsia" w:cs="Times New Roman"/>
                      <w:sz w:val="21"/>
                      <w:szCs w:val="21"/>
                      <w:u w:val="none"/>
                      <w:lang w:val="en-US" w:eastAsia="zh-CN"/>
                    </w:rPr>
                    <w:t>；</w:t>
                  </w:r>
                </w:p>
                <w:p w14:paraId="1A3D30C5">
                  <w:pPr>
                    <w:pStyle w:val="77"/>
                    <w:autoSpaceDE/>
                    <w:autoSpaceDN/>
                    <w:adjustRightInd/>
                    <w:jc w:val="center"/>
                    <w:rPr>
                      <w:rFonts w:hint="default" w:ascii="Times New Roman" w:hAnsi="Times New Roman" w:eastAsia="宋体" w:cs="Times New Roman"/>
                      <w:kern w:val="0"/>
                      <w:sz w:val="21"/>
                      <w:szCs w:val="21"/>
                      <w:u w:val="none"/>
                      <w:lang w:val="en-US" w:eastAsia="zh-CN" w:bidi="ar-SA"/>
                    </w:rPr>
                  </w:pPr>
                  <w:r>
                    <w:rPr>
                      <w:rFonts w:hint="eastAsia" w:cs="Times New Roman"/>
                      <w:sz w:val="21"/>
                      <w:szCs w:val="21"/>
                      <w:u w:val="none"/>
                      <w:lang w:val="en-US" w:eastAsia="zh-CN"/>
                    </w:rPr>
                    <w:t>矿物油</w:t>
                  </w:r>
                </w:p>
              </w:tc>
              <w:tc>
                <w:tcPr>
                  <w:tcW w:w="460" w:type="pct"/>
                  <w:vMerge w:val="restart"/>
                  <w:shd w:val="clear" w:color="auto" w:fill="auto"/>
                  <w:vAlign w:val="center"/>
                </w:tcPr>
                <w:p w14:paraId="643C0A6B">
                  <w:pPr>
                    <w:pStyle w:val="77"/>
                    <w:autoSpaceDE/>
                    <w:autoSpaceDN/>
                    <w:adjustRightInd/>
                    <w:jc w:val="center"/>
                    <w:rPr>
                      <w:rFonts w:hint="default" w:ascii="Times New Roman" w:hAnsi="Times New Roman" w:eastAsia="宋体" w:cs="Times New Roman"/>
                      <w:kern w:val="0"/>
                      <w:sz w:val="21"/>
                      <w:szCs w:val="21"/>
                      <w:u w:val="none"/>
                      <w:lang w:val="en-US" w:eastAsia="zh-CN" w:bidi="ar-SA"/>
                    </w:rPr>
                  </w:pPr>
                  <w:r>
                    <w:rPr>
                      <w:rFonts w:hint="eastAsia" w:cs="Times New Roman"/>
                      <w:kern w:val="0"/>
                      <w:sz w:val="21"/>
                      <w:szCs w:val="21"/>
                      <w:u w:val="none"/>
                      <w:lang w:val="en-US" w:eastAsia="zh-CN" w:bidi="ar-SA"/>
                    </w:rPr>
                    <w:t>0.002</w:t>
                  </w:r>
                </w:p>
              </w:tc>
              <w:tc>
                <w:tcPr>
                  <w:tcW w:w="565" w:type="pct"/>
                  <w:vMerge w:val="restart"/>
                  <w:shd w:val="clear" w:color="auto" w:fill="auto"/>
                  <w:vAlign w:val="center"/>
                </w:tcPr>
                <w:p w14:paraId="25CAE05B">
                  <w:pPr>
                    <w:jc w:val="center"/>
                    <w:rPr>
                      <w:rFonts w:hint="eastAsia" w:ascii="Times New Roman" w:hAnsi="Times New Roman" w:eastAsia="宋体" w:cs="Times New Roman"/>
                      <w:kern w:val="2"/>
                      <w:sz w:val="21"/>
                      <w:szCs w:val="21"/>
                      <w:u w:val="none"/>
                      <w:lang w:val="en-US" w:eastAsia="zh-CN" w:bidi="zh-CN"/>
                    </w:rPr>
                  </w:pPr>
                  <w:r>
                    <w:rPr>
                      <w:rFonts w:hint="eastAsia"/>
                      <w:sz w:val="21"/>
                      <w:szCs w:val="21"/>
                      <w:u w:val="none"/>
                    </w:rPr>
                    <w:t>桶装，存于危险废物暂存</w:t>
                  </w:r>
                  <w:r>
                    <w:rPr>
                      <w:rFonts w:hint="eastAsia"/>
                      <w:sz w:val="21"/>
                      <w:szCs w:val="21"/>
                      <w:u w:val="none"/>
                      <w:lang w:val="en-US" w:eastAsia="zh-CN"/>
                    </w:rPr>
                    <w:t>间</w:t>
                  </w:r>
                </w:p>
              </w:tc>
              <w:tc>
                <w:tcPr>
                  <w:tcW w:w="571" w:type="pct"/>
                  <w:vMerge w:val="restart"/>
                  <w:shd w:val="clear" w:color="auto" w:fill="auto"/>
                  <w:vAlign w:val="center"/>
                </w:tcPr>
                <w:p w14:paraId="77CDDC32">
                  <w:pPr>
                    <w:jc w:val="center"/>
                    <w:rPr>
                      <w:rFonts w:hint="eastAsia" w:ascii="Times New Roman" w:hAnsi="Times New Roman" w:eastAsia="宋体" w:cs="Times New Roman"/>
                      <w:kern w:val="2"/>
                      <w:sz w:val="21"/>
                      <w:szCs w:val="21"/>
                      <w:u w:val="none"/>
                      <w:lang w:val="en-US" w:eastAsia="zh-CN" w:bidi="zh-CN"/>
                    </w:rPr>
                  </w:pPr>
                  <w:r>
                    <w:rPr>
                      <w:rFonts w:hint="eastAsia"/>
                      <w:sz w:val="21"/>
                      <w:szCs w:val="21"/>
                      <w:u w:val="none"/>
                      <w:lang w:val="en-US" w:eastAsia="zh-CN"/>
                    </w:rPr>
                    <w:t>统一收集后，交由</w:t>
                  </w:r>
                  <w:r>
                    <w:rPr>
                      <w:rFonts w:hint="eastAsia"/>
                      <w:sz w:val="21"/>
                      <w:szCs w:val="21"/>
                      <w:u w:val="none"/>
                    </w:rPr>
                    <w:t>有资质单位处理</w:t>
                  </w:r>
                </w:p>
              </w:tc>
            </w:tr>
            <w:tr w14:paraId="38138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6" w:type="pct"/>
                  <w:vMerge w:val="continue"/>
                  <w:shd w:val="clear" w:color="auto" w:fill="auto"/>
                  <w:vAlign w:val="center"/>
                </w:tcPr>
                <w:p w14:paraId="34AE67B7">
                  <w:pPr>
                    <w:pStyle w:val="77"/>
                    <w:autoSpaceDE/>
                    <w:autoSpaceDN/>
                    <w:adjustRightInd/>
                    <w:jc w:val="center"/>
                    <w:rPr>
                      <w:rFonts w:hint="eastAsia"/>
                      <w:sz w:val="21"/>
                      <w:szCs w:val="21"/>
                      <w:u w:val="none"/>
                      <w:lang w:val="en-US" w:eastAsia="zh-CN"/>
                    </w:rPr>
                  </w:pPr>
                </w:p>
              </w:tc>
              <w:tc>
                <w:tcPr>
                  <w:tcW w:w="488" w:type="pct"/>
                  <w:vMerge w:val="continue"/>
                  <w:shd w:val="clear" w:color="auto" w:fill="auto"/>
                  <w:vAlign w:val="center"/>
                </w:tcPr>
                <w:p w14:paraId="65C860B2">
                  <w:pPr>
                    <w:pStyle w:val="77"/>
                    <w:autoSpaceDE/>
                    <w:autoSpaceDN/>
                    <w:adjustRightInd/>
                    <w:jc w:val="center"/>
                    <w:rPr>
                      <w:rFonts w:hint="eastAsia"/>
                      <w:sz w:val="21"/>
                      <w:szCs w:val="21"/>
                      <w:u w:val="none"/>
                      <w:lang w:val="en-US" w:eastAsia="zh-CN"/>
                    </w:rPr>
                  </w:pPr>
                </w:p>
              </w:tc>
              <w:tc>
                <w:tcPr>
                  <w:tcW w:w="706" w:type="pct"/>
                  <w:shd w:val="clear" w:color="auto" w:fill="auto"/>
                  <w:vAlign w:val="center"/>
                </w:tcPr>
                <w:p w14:paraId="5E6F34D2">
                  <w:pPr>
                    <w:pStyle w:val="77"/>
                    <w:autoSpaceDE/>
                    <w:autoSpaceDN/>
                    <w:adjustRightInd/>
                    <w:jc w:val="center"/>
                    <w:rPr>
                      <w:rFonts w:hint="eastAsia"/>
                      <w:sz w:val="21"/>
                      <w:szCs w:val="21"/>
                      <w:u w:val="none"/>
                    </w:rPr>
                  </w:pPr>
                  <w:r>
                    <w:rPr>
                      <w:rFonts w:hint="eastAsia"/>
                      <w:sz w:val="21"/>
                      <w:szCs w:val="21"/>
                      <w:u w:val="none"/>
                    </w:rPr>
                    <w:t>废</w:t>
                  </w:r>
                  <w:r>
                    <w:rPr>
                      <w:rFonts w:hint="eastAsia"/>
                      <w:sz w:val="21"/>
                      <w:szCs w:val="21"/>
                      <w:u w:val="none"/>
                      <w:lang w:eastAsia="zh-CN"/>
                    </w:rPr>
                    <w:t>矿物油</w:t>
                  </w:r>
                  <w:r>
                    <w:rPr>
                      <w:rFonts w:hint="eastAsia"/>
                      <w:sz w:val="21"/>
                      <w:szCs w:val="21"/>
                      <w:u w:val="none"/>
                    </w:rPr>
                    <w:t>桶</w:t>
                  </w:r>
                </w:p>
              </w:tc>
              <w:tc>
                <w:tcPr>
                  <w:tcW w:w="307" w:type="pct"/>
                  <w:vMerge w:val="continue"/>
                  <w:shd w:val="clear" w:color="auto" w:fill="auto"/>
                  <w:vAlign w:val="center"/>
                </w:tcPr>
                <w:p w14:paraId="252BB499">
                  <w:pPr>
                    <w:pStyle w:val="77"/>
                    <w:autoSpaceDE/>
                    <w:autoSpaceDN/>
                    <w:adjustRightInd/>
                    <w:jc w:val="center"/>
                    <w:rPr>
                      <w:rFonts w:hint="eastAsia"/>
                      <w:sz w:val="21"/>
                      <w:szCs w:val="21"/>
                      <w:u w:val="none"/>
                    </w:rPr>
                  </w:pPr>
                </w:p>
              </w:tc>
              <w:tc>
                <w:tcPr>
                  <w:tcW w:w="695" w:type="pct"/>
                  <w:shd w:val="clear" w:color="auto" w:fill="auto"/>
                  <w:vAlign w:val="center"/>
                </w:tcPr>
                <w:p w14:paraId="470A54F8">
                  <w:pPr>
                    <w:pStyle w:val="77"/>
                    <w:autoSpaceDE/>
                    <w:autoSpaceDN/>
                    <w:adjustRightInd/>
                    <w:jc w:val="center"/>
                    <w:rPr>
                      <w:rFonts w:hint="default"/>
                      <w:sz w:val="21"/>
                      <w:szCs w:val="21"/>
                      <w:u w:val="none"/>
                      <w:lang w:val="en-US" w:eastAsia="zh-CN"/>
                    </w:rPr>
                  </w:pPr>
                  <w:r>
                    <w:rPr>
                      <w:rFonts w:hint="eastAsia"/>
                      <w:sz w:val="21"/>
                      <w:szCs w:val="21"/>
                      <w:u w:val="none"/>
                      <w:lang w:val="en-US" w:eastAsia="zh-CN"/>
                    </w:rPr>
                    <w:t>HW08</w:t>
                  </w:r>
                </w:p>
                <w:p w14:paraId="05C93A6E">
                  <w:pPr>
                    <w:pStyle w:val="77"/>
                    <w:autoSpaceDE/>
                    <w:autoSpaceDN/>
                    <w:adjustRightInd/>
                    <w:jc w:val="center"/>
                    <w:rPr>
                      <w:rFonts w:hint="eastAsia"/>
                      <w:kern w:val="0"/>
                      <w:sz w:val="21"/>
                      <w:szCs w:val="21"/>
                      <w:u w:val="none"/>
                      <w:lang w:val="en-US" w:bidi="zh-CN"/>
                    </w:rPr>
                  </w:pPr>
                  <w:r>
                    <w:rPr>
                      <w:rFonts w:hint="eastAsia"/>
                      <w:kern w:val="0"/>
                      <w:sz w:val="21"/>
                      <w:szCs w:val="21"/>
                      <w:u w:val="none"/>
                      <w:lang w:val="en-US" w:bidi="zh-CN"/>
                    </w:rPr>
                    <w:t>900-249-0</w:t>
                  </w:r>
                </w:p>
              </w:tc>
              <w:tc>
                <w:tcPr>
                  <w:tcW w:w="338" w:type="pct"/>
                  <w:shd w:val="clear" w:color="auto" w:fill="auto"/>
                  <w:vAlign w:val="center"/>
                </w:tcPr>
                <w:p w14:paraId="423D6535">
                  <w:pPr>
                    <w:pStyle w:val="77"/>
                    <w:autoSpaceDE/>
                    <w:autoSpaceDN/>
                    <w:adjustRightInd/>
                    <w:jc w:val="center"/>
                    <w:rPr>
                      <w:sz w:val="21"/>
                      <w:szCs w:val="21"/>
                      <w:u w:val="none"/>
                    </w:rPr>
                  </w:pPr>
                  <w:r>
                    <w:rPr>
                      <w:sz w:val="21"/>
                      <w:szCs w:val="21"/>
                      <w:u w:val="none"/>
                    </w:rPr>
                    <w:t>固态</w:t>
                  </w:r>
                </w:p>
              </w:tc>
              <w:tc>
                <w:tcPr>
                  <w:tcW w:w="669" w:type="pct"/>
                  <w:shd w:val="clear" w:color="auto" w:fill="auto"/>
                  <w:vAlign w:val="center"/>
                </w:tcPr>
                <w:p w14:paraId="2AE26841">
                  <w:pPr>
                    <w:pStyle w:val="77"/>
                    <w:autoSpaceDE/>
                    <w:autoSpaceDN/>
                    <w:adjustRightInd/>
                    <w:jc w:val="center"/>
                    <w:rPr>
                      <w:rFonts w:hint="eastAsia" w:cs="Times New Roman"/>
                      <w:sz w:val="21"/>
                      <w:szCs w:val="21"/>
                      <w:u w:val="none"/>
                      <w:lang w:val="en-US" w:eastAsia="zh-CN"/>
                    </w:rPr>
                  </w:pPr>
                  <w:r>
                    <w:rPr>
                      <w:rFonts w:hint="default" w:ascii="Times New Roman" w:hAnsi="Times New Roman" w:cs="Times New Roman"/>
                      <w:sz w:val="21"/>
                      <w:szCs w:val="21"/>
                      <w:u w:val="none"/>
                      <w:lang w:val="en-US" w:eastAsia="zh-CN"/>
                    </w:rPr>
                    <w:t>T、I</w:t>
                  </w:r>
                  <w:r>
                    <w:rPr>
                      <w:rFonts w:hint="eastAsia" w:cs="Times New Roman"/>
                      <w:sz w:val="21"/>
                      <w:szCs w:val="21"/>
                      <w:u w:val="none"/>
                      <w:lang w:val="en-US" w:eastAsia="zh-CN"/>
                    </w:rPr>
                    <w:t>；</w:t>
                  </w:r>
                </w:p>
                <w:p w14:paraId="6997FACF">
                  <w:pPr>
                    <w:pStyle w:val="77"/>
                    <w:autoSpaceDE/>
                    <w:autoSpaceDN/>
                    <w:adjustRightInd/>
                    <w:jc w:val="center"/>
                    <w:rPr>
                      <w:rFonts w:hint="eastAsia" w:cs="Times New Roman"/>
                      <w:sz w:val="21"/>
                      <w:szCs w:val="21"/>
                      <w:u w:val="none"/>
                      <w:lang w:val="en-US" w:eastAsia="zh-CN"/>
                    </w:rPr>
                  </w:pPr>
                  <w:r>
                    <w:rPr>
                      <w:rFonts w:hint="eastAsia" w:cs="Times New Roman"/>
                      <w:sz w:val="21"/>
                      <w:szCs w:val="21"/>
                      <w:u w:val="none"/>
                      <w:lang w:val="en-US" w:eastAsia="zh-CN"/>
                    </w:rPr>
                    <w:t>矿物油</w:t>
                  </w:r>
                </w:p>
              </w:tc>
              <w:tc>
                <w:tcPr>
                  <w:tcW w:w="460" w:type="pct"/>
                  <w:vMerge w:val="continue"/>
                  <w:shd w:val="clear" w:color="auto" w:fill="auto"/>
                  <w:vAlign w:val="center"/>
                </w:tcPr>
                <w:p w14:paraId="1ECED581">
                  <w:pPr>
                    <w:pStyle w:val="77"/>
                    <w:autoSpaceDE/>
                    <w:autoSpaceDN/>
                    <w:adjustRightInd/>
                    <w:jc w:val="center"/>
                    <w:rPr>
                      <w:rFonts w:hint="eastAsia" w:cs="Times New Roman"/>
                      <w:kern w:val="0"/>
                      <w:sz w:val="21"/>
                      <w:szCs w:val="21"/>
                      <w:u w:val="none"/>
                      <w:lang w:val="en-US" w:eastAsia="zh-CN" w:bidi="ar-SA"/>
                    </w:rPr>
                  </w:pPr>
                </w:p>
              </w:tc>
              <w:tc>
                <w:tcPr>
                  <w:tcW w:w="565" w:type="pct"/>
                  <w:vMerge w:val="continue"/>
                  <w:shd w:val="clear" w:color="auto" w:fill="auto"/>
                  <w:vAlign w:val="center"/>
                </w:tcPr>
                <w:p w14:paraId="27D3402D">
                  <w:pPr>
                    <w:jc w:val="center"/>
                    <w:rPr>
                      <w:rFonts w:hint="eastAsia"/>
                      <w:sz w:val="21"/>
                      <w:szCs w:val="21"/>
                      <w:u w:val="none"/>
                    </w:rPr>
                  </w:pPr>
                </w:p>
              </w:tc>
              <w:tc>
                <w:tcPr>
                  <w:tcW w:w="571" w:type="pct"/>
                  <w:vMerge w:val="continue"/>
                  <w:shd w:val="clear" w:color="auto" w:fill="auto"/>
                  <w:vAlign w:val="center"/>
                </w:tcPr>
                <w:p w14:paraId="6E82A35B">
                  <w:pPr>
                    <w:jc w:val="center"/>
                    <w:rPr>
                      <w:rFonts w:hint="eastAsia"/>
                      <w:sz w:val="21"/>
                      <w:szCs w:val="21"/>
                      <w:u w:val="none"/>
                      <w:lang w:val="en-US" w:eastAsia="zh-CN"/>
                    </w:rPr>
                  </w:pPr>
                </w:p>
              </w:tc>
            </w:tr>
            <w:tr w14:paraId="191B7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96" w:type="pct"/>
                  <w:vMerge w:val="continue"/>
                  <w:shd w:val="clear" w:color="auto" w:fill="auto"/>
                  <w:vAlign w:val="center"/>
                </w:tcPr>
                <w:p w14:paraId="4CFBC660">
                  <w:pPr>
                    <w:pStyle w:val="77"/>
                    <w:autoSpaceDE/>
                    <w:autoSpaceDN/>
                    <w:adjustRightInd/>
                    <w:jc w:val="center"/>
                    <w:rPr>
                      <w:rFonts w:hint="default" w:ascii="Times New Roman" w:hAnsi="Times New Roman" w:eastAsia="宋体" w:cs="Times New Roman"/>
                      <w:kern w:val="0"/>
                      <w:sz w:val="21"/>
                      <w:szCs w:val="21"/>
                      <w:u w:val="none"/>
                      <w:lang w:val="en-US" w:eastAsia="zh-CN" w:bidi="ar-SA"/>
                    </w:rPr>
                  </w:pPr>
                </w:p>
              </w:tc>
              <w:tc>
                <w:tcPr>
                  <w:tcW w:w="488" w:type="pct"/>
                  <w:vMerge w:val="continue"/>
                  <w:shd w:val="clear" w:color="auto" w:fill="auto"/>
                  <w:vAlign w:val="center"/>
                </w:tcPr>
                <w:p w14:paraId="4B8C8999">
                  <w:pPr>
                    <w:pStyle w:val="77"/>
                    <w:autoSpaceDE/>
                    <w:autoSpaceDN/>
                    <w:adjustRightInd/>
                    <w:jc w:val="center"/>
                    <w:rPr>
                      <w:rFonts w:hint="eastAsia" w:cs="Times New Roman"/>
                      <w:kern w:val="0"/>
                      <w:sz w:val="21"/>
                      <w:szCs w:val="21"/>
                      <w:u w:val="none"/>
                      <w:lang w:val="en-US" w:eastAsia="zh-CN" w:bidi="ar-SA"/>
                    </w:rPr>
                  </w:pPr>
                </w:p>
              </w:tc>
              <w:tc>
                <w:tcPr>
                  <w:tcW w:w="706" w:type="pct"/>
                  <w:shd w:val="clear" w:color="auto" w:fill="auto"/>
                  <w:vAlign w:val="center"/>
                </w:tcPr>
                <w:p w14:paraId="6CBE9435">
                  <w:pPr>
                    <w:pStyle w:val="77"/>
                    <w:autoSpaceDE/>
                    <w:autoSpaceDN/>
                    <w:adjustRightInd/>
                    <w:jc w:val="center"/>
                    <w:rPr>
                      <w:rFonts w:hint="default" w:ascii="Times New Roman" w:hAnsi="Times New Roman" w:eastAsia="宋体" w:cs="Times New Roman"/>
                      <w:kern w:val="0"/>
                      <w:sz w:val="21"/>
                      <w:szCs w:val="21"/>
                      <w:u w:val="none"/>
                      <w:lang w:val="en-US" w:eastAsia="zh-CN" w:bidi="ar-SA"/>
                    </w:rPr>
                  </w:pPr>
                  <w:r>
                    <w:rPr>
                      <w:rFonts w:hint="eastAsia"/>
                      <w:sz w:val="21"/>
                      <w:szCs w:val="21"/>
                      <w:u w:val="none"/>
                      <w:lang w:val="en-US" w:eastAsia="zh-CN"/>
                    </w:rPr>
                    <w:t>含油抹布及手套</w:t>
                  </w:r>
                </w:p>
              </w:tc>
              <w:tc>
                <w:tcPr>
                  <w:tcW w:w="307" w:type="pct"/>
                  <w:vMerge w:val="continue"/>
                  <w:shd w:val="clear" w:color="auto" w:fill="auto"/>
                  <w:vAlign w:val="center"/>
                </w:tcPr>
                <w:p w14:paraId="009BA281">
                  <w:pPr>
                    <w:pStyle w:val="77"/>
                    <w:autoSpaceDE/>
                    <w:autoSpaceDN/>
                    <w:adjustRightInd/>
                    <w:jc w:val="center"/>
                    <w:rPr>
                      <w:rFonts w:hint="eastAsia"/>
                      <w:sz w:val="21"/>
                      <w:szCs w:val="21"/>
                      <w:u w:val="none"/>
                    </w:rPr>
                  </w:pPr>
                </w:p>
              </w:tc>
              <w:tc>
                <w:tcPr>
                  <w:tcW w:w="695" w:type="pct"/>
                  <w:shd w:val="clear" w:color="auto" w:fill="auto"/>
                  <w:vAlign w:val="center"/>
                </w:tcPr>
                <w:p w14:paraId="77F333AB">
                  <w:pPr>
                    <w:pStyle w:val="77"/>
                    <w:autoSpaceDE/>
                    <w:autoSpaceDN/>
                    <w:adjustRightInd/>
                    <w:jc w:val="center"/>
                    <w:rPr>
                      <w:rFonts w:hint="eastAsia"/>
                      <w:sz w:val="21"/>
                      <w:szCs w:val="21"/>
                      <w:u w:val="none"/>
                      <w:lang w:val="en-US" w:eastAsia="zh-CN"/>
                    </w:rPr>
                  </w:pPr>
                  <w:r>
                    <w:rPr>
                      <w:rFonts w:hint="eastAsia"/>
                      <w:sz w:val="21"/>
                      <w:szCs w:val="21"/>
                      <w:u w:val="none"/>
                      <w:lang w:val="en-US" w:eastAsia="zh-CN"/>
                    </w:rPr>
                    <w:t>HW49</w:t>
                  </w:r>
                </w:p>
                <w:p w14:paraId="23779D7A">
                  <w:pPr>
                    <w:pStyle w:val="77"/>
                    <w:autoSpaceDE/>
                    <w:autoSpaceDN/>
                    <w:adjustRightInd/>
                    <w:jc w:val="center"/>
                    <w:rPr>
                      <w:rFonts w:hint="default" w:ascii="Times New Roman" w:hAnsi="Times New Roman" w:eastAsia="宋体" w:cs="Times New Roman"/>
                      <w:kern w:val="0"/>
                      <w:sz w:val="21"/>
                      <w:szCs w:val="21"/>
                      <w:u w:val="none"/>
                      <w:lang w:val="en-US" w:eastAsia="zh-CN" w:bidi="ar-SA"/>
                    </w:rPr>
                  </w:pPr>
                  <w:r>
                    <w:rPr>
                      <w:rFonts w:hint="eastAsia"/>
                      <w:sz w:val="21"/>
                      <w:szCs w:val="21"/>
                      <w:u w:val="none"/>
                    </w:rPr>
                    <w:t>900-041-49</w:t>
                  </w:r>
                </w:p>
              </w:tc>
              <w:tc>
                <w:tcPr>
                  <w:tcW w:w="338" w:type="pct"/>
                  <w:shd w:val="clear" w:color="auto" w:fill="auto"/>
                  <w:vAlign w:val="center"/>
                </w:tcPr>
                <w:p w14:paraId="5D533DE1">
                  <w:pPr>
                    <w:pStyle w:val="77"/>
                    <w:autoSpaceDE/>
                    <w:autoSpaceDN/>
                    <w:adjustRightInd/>
                    <w:jc w:val="center"/>
                    <w:rPr>
                      <w:rFonts w:ascii="Times New Roman" w:hAnsi="Times New Roman" w:eastAsia="宋体" w:cs="Times New Roman"/>
                      <w:kern w:val="0"/>
                      <w:sz w:val="21"/>
                      <w:szCs w:val="21"/>
                      <w:u w:val="none"/>
                      <w:lang w:val="en-US" w:eastAsia="zh-CN" w:bidi="ar-SA"/>
                    </w:rPr>
                  </w:pPr>
                  <w:r>
                    <w:rPr>
                      <w:sz w:val="21"/>
                      <w:szCs w:val="21"/>
                      <w:u w:val="none"/>
                    </w:rPr>
                    <w:t>固态</w:t>
                  </w:r>
                </w:p>
              </w:tc>
              <w:tc>
                <w:tcPr>
                  <w:tcW w:w="669" w:type="pct"/>
                  <w:shd w:val="clear" w:color="auto" w:fill="auto"/>
                  <w:vAlign w:val="center"/>
                </w:tcPr>
                <w:p w14:paraId="5FAAFBB9">
                  <w:pPr>
                    <w:pStyle w:val="77"/>
                    <w:autoSpaceDE/>
                    <w:autoSpaceDN/>
                    <w:adjustRightInd/>
                    <w:jc w:val="center"/>
                    <w:rPr>
                      <w:rFonts w:hint="eastAsia" w:cs="Times New Roman"/>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T/In</w:t>
                  </w:r>
                  <w:r>
                    <w:rPr>
                      <w:rFonts w:hint="eastAsia" w:cs="Times New Roman"/>
                      <w:sz w:val="21"/>
                      <w:szCs w:val="21"/>
                      <w:u w:val="none"/>
                      <w:lang w:val="en-US" w:eastAsia="zh-CN"/>
                    </w:rPr>
                    <w:t>；</w:t>
                  </w:r>
                </w:p>
                <w:p w14:paraId="299BB164">
                  <w:pPr>
                    <w:widowControl/>
                    <w:jc w:val="center"/>
                    <w:rPr>
                      <w:rFonts w:hint="default" w:ascii="Times New Roman" w:hAnsi="Times New Roman" w:eastAsia="宋体" w:cs="Times New Roman"/>
                      <w:kern w:val="2"/>
                      <w:sz w:val="21"/>
                      <w:szCs w:val="21"/>
                      <w:u w:val="none"/>
                      <w:lang w:val="en-US" w:eastAsia="zh-CN" w:bidi="ar-SA"/>
                    </w:rPr>
                  </w:pPr>
                  <w:r>
                    <w:rPr>
                      <w:rFonts w:hint="eastAsia" w:cs="Times New Roman"/>
                      <w:sz w:val="21"/>
                      <w:szCs w:val="21"/>
                      <w:u w:val="none"/>
                      <w:lang w:val="en-US" w:eastAsia="zh-CN"/>
                    </w:rPr>
                    <w:t>矿物油</w:t>
                  </w:r>
                </w:p>
              </w:tc>
              <w:tc>
                <w:tcPr>
                  <w:tcW w:w="460" w:type="pct"/>
                  <w:vMerge w:val="continue"/>
                  <w:shd w:val="clear" w:color="auto" w:fill="auto"/>
                  <w:vAlign w:val="center"/>
                </w:tcPr>
                <w:p w14:paraId="3463C5B0">
                  <w:pPr>
                    <w:pStyle w:val="77"/>
                    <w:autoSpaceDE/>
                    <w:autoSpaceDN/>
                    <w:adjustRightInd/>
                    <w:jc w:val="center"/>
                    <w:rPr>
                      <w:rFonts w:hint="default"/>
                      <w:sz w:val="21"/>
                      <w:szCs w:val="21"/>
                      <w:u w:val="none"/>
                      <w:lang w:val="en-US" w:eastAsia="zh-CN"/>
                    </w:rPr>
                  </w:pPr>
                </w:p>
              </w:tc>
              <w:tc>
                <w:tcPr>
                  <w:tcW w:w="565" w:type="pct"/>
                  <w:vMerge w:val="continue"/>
                  <w:shd w:val="clear" w:color="auto" w:fill="auto"/>
                  <w:vAlign w:val="center"/>
                </w:tcPr>
                <w:p w14:paraId="52959B0C">
                  <w:pPr>
                    <w:jc w:val="center"/>
                    <w:rPr>
                      <w:rFonts w:hint="eastAsia"/>
                      <w:sz w:val="21"/>
                      <w:szCs w:val="21"/>
                      <w:u w:val="none"/>
                    </w:rPr>
                  </w:pPr>
                </w:p>
              </w:tc>
              <w:tc>
                <w:tcPr>
                  <w:tcW w:w="571" w:type="pct"/>
                  <w:vMerge w:val="continue"/>
                  <w:shd w:val="clear" w:color="auto" w:fill="auto"/>
                  <w:vAlign w:val="center"/>
                </w:tcPr>
                <w:p w14:paraId="357BDF2B">
                  <w:pPr>
                    <w:jc w:val="center"/>
                    <w:rPr>
                      <w:rFonts w:hint="eastAsia"/>
                      <w:sz w:val="21"/>
                      <w:szCs w:val="21"/>
                      <w:u w:val="none"/>
                      <w:lang w:val="en-US" w:eastAsia="zh-CN"/>
                    </w:rPr>
                  </w:pPr>
                </w:p>
              </w:tc>
            </w:tr>
            <w:tr w14:paraId="144F5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96" w:type="pct"/>
                  <w:shd w:val="clear" w:color="auto" w:fill="auto"/>
                  <w:vAlign w:val="center"/>
                </w:tcPr>
                <w:p w14:paraId="49E020E4">
                  <w:pPr>
                    <w:pStyle w:val="77"/>
                    <w:autoSpaceDE/>
                    <w:autoSpaceDN/>
                    <w:adjustRightInd/>
                    <w:jc w:val="center"/>
                    <w:rPr>
                      <w:rFonts w:hint="default" w:ascii="Times New Roman" w:hAnsi="Times New Roman" w:eastAsia="宋体" w:cs="Times New Roman"/>
                      <w:kern w:val="0"/>
                      <w:sz w:val="21"/>
                      <w:szCs w:val="21"/>
                      <w:u w:val="none"/>
                      <w:lang w:val="en-US" w:eastAsia="zh-CN" w:bidi="ar-SA"/>
                    </w:rPr>
                  </w:pPr>
                  <w:r>
                    <w:rPr>
                      <w:rFonts w:hint="eastAsia"/>
                      <w:sz w:val="21"/>
                      <w:szCs w:val="21"/>
                      <w:u w:val="none"/>
                      <w:lang w:val="en-US" w:eastAsia="zh-CN"/>
                    </w:rPr>
                    <w:t>4</w:t>
                  </w:r>
                </w:p>
              </w:tc>
              <w:tc>
                <w:tcPr>
                  <w:tcW w:w="488" w:type="pct"/>
                  <w:shd w:val="clear" w:color="auto" w:fill="auto"/>
                  <w:vAlign w:val="center"/>
                </w:tcPr>
                <w:p w14:paraId="4AF8E64A">
                  <w:pPr>
                    <w:pStyle w:val="77"/>
                    <w:autoSpaceDE/>
                    <w:autoSpaceDN/>
                    <w:adjustRightInd/>
                    <w:jc w:val="center"/>
                    <w:rPr>
                      <w:rFonts w:hint="eastAsia" w:ascii="Times New Roman" w:hAnsi="Times New Roman" w:eastAsia="宋体" w:cs="Times New Roman"/>
                      <w:kern w:val="0"/>
                      <w:sz w:val="21"/>
                      <w:szCs w:val="21"/>
                      <w:u w:val="none"/>
                      <w:lang w:val="en-US" w:eastAsia="zh-CN" w:bidi="ar-SA"/>
                    </w:rPr>
                  </w:pPr>
                  <w:r>
                    <w:rPr>
                      <w:rFonts w:hint="eastAsia"/>
                      <w:sz w:val="21"/>
                      <w:szCs w:val="21"/>
                      <w:u w:val="none"/>
                      <w:lang w:val="en-US" w:eastAsia="zh-CN"/>
                    </w:rPr>
                    <w:t>废气、废水处理</w:t>
                  </w:r>
                </w:p>
              </w:tc>
              <w:tc>
                <w:tcPr>
                  <w:tcW w:w="706" w:type="pct"/>
                  <w:shd w:val="clear" w:color="auto" w:fill="auto"/>
                  <w:vAlign w:val="center"/>
                </w:tcPr>
                <w:p w14:paraId="79837691">
                  <w:pPr>
                    <w:pStyle w:val="77"/>
                    <w:autoSpaceDE/>
                    <w:autoSpaceDN/>
                    <w:adjustRightInd/>
                    <w:jc w:val="center"/>
                    <w:rPr>
                      <w:rFonts w:hint="eastAsia" w:ascii="Times New Roman" w:hAnsi="Times New Roman" w:eastAsia="宋体" w:cs="Times New Roman"/>
                      <w:kern w:val="0"/>
                      <w:sz w:val="21"/>
                      <w:szCs w:val="21"/>
                      <w:u w:val="none"/>
                      <w:lang w:val="en-US" w:eastAsia="zh-CN" w:bidi="ar-SA"/>
                    </w:rPr>
                  </w:pPr>
                  <w:r>
                    <w:rPr>
                      <w:rFonts w:hint="eastAsia"/>
                      <w:sz w:val="21"/>
                      <w:szCs w:val="21"/>
                      <w:u w:val="none"/>
                      <w:lang w:val="en-US" w:eastAsia="zh-CN"/>
                    </w:rPr>
                    <w:t>废活性炭</w:t>
                  </w:r>
                </w:p>
              </w:tc>
              <w:tc>
                <w:tcPr>
                  <w:tcW w:w="307" w:type="pct"/>
                  <w:vMerge w:val="continue"/>
                  <w:shd w:val="clear" w:color="auto" w:fill="auto"/>
                  <w:vAlign w:val="center"/>
                </w:tcPr>
                <w:p w14:paraId="66ECF8D7">
                  <w:pPr>
                    <w:pStyle w:val="77"/>
                    <w:autoSpaceDE/>
                    <w:autoSpaceDN/>
                    <w:adjustRightInd/>
                    <w:jc w:val="center"/>
                    <w:rPr>
                      <w:rFonts w:hint="eastAsia" w:ascii="Times New Roman" w:hAnsi="Times New Roman" w:eastAsia="宋体" w:cs="Times New Roman"/>
                      <w:kern w:val="0"/>
                      <w:sz w:val="21"/>
                      <w:szCs w:val="21"/>
                      <w:u w:val="none"/>
                      <w:lang w:val="en-US" w:eastAsia="zh-CN" w:bidi="ar-SA"/>
                    </w:rPr>
                  </w:pPr>
                </w:p>
              </w:tc>
              <w:tc>
                <w:tcPr>
                  <w:tcW w:w="695" w:type="pct"/>
                  <w:shd w:val="clear" w:color="auto" w:fill="auto"/>
                  <w:vAlign w:val="center"/>
                </w:tcPr>
                <w:p w14:paraId="71F07661">
                  <w:pPr>
                    <w:pStyle w:val="77"/>
                    <w:autoSpaceDE/>
                    <w:autoSpaceDN/>
                    <w:adjustRightInd/>
                    <w:jc w:val="center"/>
                    <w:rPr>
                      <w:rFonts w:hint="eastAsia"/>
                      <w:sz w:val="21"/>
                      <w:szCs w:val="21"/>
                      <w:u w:val="none"/>
                      <w:lang w:val="en-US" w:eastAsia="zh-CN"/>
                    </w:rPr>
                  </w:pPr>
                  <w:r>
                    <w:rPr>
                      <w:rFonts w:hint="eastAsia"/>
                      <w:sz w:val="21"/>
                      <w:szCs w:val="21"/>
                      <w:u w:val="none"/>
                      <w:lang w:val="en-US" w:eastAsia="zh-CN"/>
                    </w:rPr>
                    <w:t>HW49</w:t>
                  </w:r>
                </w:p>
                <w:p w14:paraId="4DD4FBD4">
                  <w:pPr>
                    <w:pStyle w:val="77"/>
                    <w:autoSpaceDE/>
                    <w:autoSpaceDN/>
                    <w:adjustRightInd/>
                    <w:jc w:val="center"/>
                    <w:rPr>
                      <w:rFonts w:hint="eastAsia" w:ascii="Times New Roman" w:hAnsi="Times New Roman" w:eastAsia="宋体" w:cs="Times New Roman"/>
                      <w:kern w:val="0"/>
                      <w:sz w:val="21"/>
                      <w:szCs w:val="21"/>
                      <w:u w:val="none"/>
                      <w:lang w:val="en-US" w:eastAsia="zh-CN" w:bidi="ar-SA"/>
                    </w:rPr>
                  </w:pPr>
                  <w:r>
                    <w:rPr>
                      <w:rFonts w:hint="eastAsia"/>
                      <w:sz w:val="21"/>
                      <w:szCs w:val="21"/>
                      <w:u w:val="none"/>
                      <w:lang w:val="en-US" w:eastAsia="zh-CN"/>
                    </w:rPr>
                    <w:t>900</w:t>
                  </w:r>
                  <w:r>
                    <w:rPr>
                      <w:rFonts w:hint="eastAsia"/>
                      <w:sz w:val="21"/>
                      <w:szCs w:val="21"/>
                      <w:u w:val="none"/>
                    </w:rPr>
                    <w:t>-0</w:t>
                  </w:r>
                  <w:r>
                    <w:rPr>
                      <w:rFonts w:hint="eastAsia"/>
                      <w:sz w:val="21"/>
                      <w:szCs w:val="21"/>
                      <w:u w:val="none"/>
                      <w:lang w:val="en-US" w:eastAsia="zh-CN"/>
                    </w:rPr>
                    <w:t>39</w:t>
                  </w:r>
                  <w:r>
                    <w:rPr>
                      <w:rFonts w:hint="eastAsia"/>
                      <w:sz w:val="21"/>
                      <w:szCs w:val="21"/>
                      <w:u w:val="none"/>
                    </w:rPr>
                    <w:t>-49</w:t>
                  </w:r>
                </w:p>
              </w:tc>
              <w:tc>
                <w:tcPr>
                  <w:tcW w:w="338" w:type="pct"/>
                  <w:shd w:val="clear" w:color="auto" w:fill="auto"/>
                  <w:vAlign w:val="center"/>
                </w:tcPr>
                <w:p w14:paraId="2F631E04">
                  <w:pPr>
                    <w:jc w:val="center"/>
                    <w:rPr>
                      <w:rFonts w:ascii="Times New Roman" w:hAnsi="Times New Roman" w:eastAsia="宋体" w:cs="Times New Roman"/>
                      <w:kern w:val="2"/>
                      <w:sz w:val="21"/>
                      <w:szCs w:val="21"/>
                      <w:u w:val="none"/>
                      <w:lang w:val="en-US" w:eastAsia="zh-CN" w:bidi="ar-SA"/>
                    </w:rPr>
                  </w:pPr>
                  <w:r>
                    <w:rPr>
                      <w:sz w:val="21"/>
                      <w:szCs w:val="21"/>
                      <w:u w:val="none"/>
                    </w:rPr>
                    <w:t>固态</w:t>
                  </w:r>
                </w:p>
              </w:tc>
              <w:tc>
                <w:tcPr>
                  <w:tcW w:w="669" w:type="pct"/>
                  <w:shd w:val="clear" w:color="auto" w:fill="auto"/>
                  <w:vAlign w:val="center"/>
                </w:tcPr>
                <w:p w14:paraId="6726A609">
                  <w:pPr>
                    <w:widowControl/>
                    <w:jc w:val="center"/>
                    <w:rPr>
                      <w:rFonts w:hint="eastAsia"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T；</w:t>
                  </w:r>
                  <w:r>
                    <w:rPr>
                      <w:rFonts w:hint="eastAsia" w:ascii="Times New Roman" w:hAnsi="Times New Roman" w:cs="Times New Roman"/>
                      <w:b w:val="0"/>
                      <w:bCs/>
                      <w:color w:val="auto"/>
                      <w:sz w:val="21"/>
                      <w:szCs w:val="21"/>
                      <w:u w:val="none"/>
                      <w:lang w:val="en-US" w:eastAsia="zh-CN"/>
                    </w:rPr>
                    <w:t>活性炭</w:t>
                  </w:r>
                </w:p>
              </w:tc>
              <w:tc>
                <w:tcPr>
                  <w:tcW w:w="460" w:type="pct"/>
                  <w:shd w:val="clear" w:color="auto" w:fill="auto"/>
                  <w:vAlign w:val="center"/>
                </w:tcPr>
                <w:p w14:paraId="1462BC38">
                  <w:pPr>
                    <w:pStyle w:val="77"/>
                    <w:autoSpaceDE/>
                    <w:autoSpaceDN/>
                    <w:adjustRightInd/>
                    <w:jc w:val="center"/>
                    <w:rPr>
                      <w:rFonts w:hint="default" w:ascii="Times New Roman" w:hAnsi="Times New Roman" w:eastAsia="宋体" w:cs="Times New Roman"/>
                      <w:kern w:val="0"/>
                      <w:sz w:val="21"/>
                      <w:szCs w:val="21"/>
                      <w:u w:val="none"/>
                      <w:lang w:val="en-US" w:eastAsia="zh-CN" w:bidi="ar-SA"/>
                    </w:rPr>
                  </w:pPr>
                  <w:r>
                    <w:rPr>
                      <w:rFonts w:hint="eastAsia"/>
                      <w:sz w:val="21"/>
                      <w:szCs w:val="21"/>
                      <w:u w:val="none"/>
                      <w:lang w:val="en-US" w:eastAsia="zh-CN"/>
                    </w:rPr>
                    <w:t>8.55</w:t>
                  </w:r>
                </w:p>
              </w:tc>
              <w:tc>
                <w:tcPr>
                  <w:tcW w:w="565" w:type="pct"/>
                  <w:vMerge w:val="continue"/>
                  <w:shd w:val="clear" w:color="auto" w:fill="auto"/>
                  <w:vAlign w:val="center"/>
                </w:tcPr>
                <w:p w14:paraId="58842356">
                  <w:pPr>
                    <w:jc w:val="center"/>
                    <w:rPr>
                      <w:rFonts w:hint="eastAsia"/>
                      <w:sz w:val="21"/>
                      <w:szCs w:val="21"/>
                      <w:u w:val="none"/>
                    </w:rPr>
                  </w:pPr>
                </w:p>
              </w:tc>
              <w:tc>
                <w:tcPr>
                  <w:tcW w:w="571" w:type="pct"/>
                  <w:vMerge w:val="continue"/>
                  <w:shd w:val="clear" w:color="auto" w:fill="auto"/>
                  <w:vAlign w:val="center"/>
                </w:tcPr>
                <w:p w14:paraId="1CAB18D3">
                  <w:pPr>
                    <w:jc w:val="center"/>
                    <w:rPr>
                      <w:rFonts w:hint="eastAsia"/>
                      <w:sz w:val="21"/>
                      <w:szCs w:val="21"/>
                      <w:u w:val="none"/>
                      <w:lang w:val="en-US" w:eastAsia="zh-CN"/>
                    </w:rPr>
                  </w:pPr>
                </w:p>
              </w:tc>
            </w:tr>
            <w:tr w14:paraId="1616F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6" w:type="pct"/>
                  <w:vAlign w:val="center"/>
                </w:tcPr>
                <w:p w14:paraId="40AB8719">
                  <w:pPr>
                    <w:pStyle w:val="77"/>
                    <w:autoSpaceDE/>
                    <w:autoSpaceDN/>
                    <w:adjustRightInd/>
                    <w:jc w:val="center"/>
                    <w:rPr>
                      <w:rFonts w:hint="default"/>
                      <w:sz w:val="21"/>
                      <w:szCs w:val="21"/>
                      <w:u w:val="none"/>
                      <w:lang w:val="en-US" w:eastAsia="zh-CN"/>
                    </w:rPr>
                  </w:pPr>
                  <w:r>
                    <w:rPr>
                      <w:rFonts w:hint="eastAsia"/>
                      <w:sz w:val="21"/>
                      <w:szCs w:val="21"/>
                      <w:u w:val="none"/>
                      <w:lang w:val="en-US" w:eastAsia="zh-CN"/>
                    </w:rPr>
                    <w:t>5</w:t>
                  </w:r>
                </w:p>
              </w:tc>
              <w:tc>
                <w:tcPr>
                  <w:tcW w:w="488" w:type="pct"/>
                  <w:shd w:val="clear" w:color="auto" w:fill="auto"/>
                  <w:vAlign w:val="center"/>
                </w:tcPr>
                <w:p w14:paraId="601519C4">
                  <w:pPr>
                    <w:pStyle w:val="77"/>
                    <w:autoSpaceDE/>
                    <w:autoSpaceDN/>
                    <w:adjustRightInd/>
                    <w:jc w:val="center"/>
                    <w:rPr>
                      <w:rFonts w:hint="default" w:ascii="Times New Roman" w:hAnsi="Times New Roman" w:eastAsia="宋体" w:cs="Times New Roman"/>
                      <w:kern w:val="0"/>
                      <w:sz w:val="21"/>
                      <w:szCs w:val="21"/>
                      <w:u w:val="none"/>
                      <w:lang w:val="en-US" w:eastAsia="zh-CN" w:bidi="ar-SA"/>
                    </w:rPr>
                  </w:pPr>
                  <w:r>
                    <w:rPr>
                      <w:rFonts w:hint="eastAsia"/>
                      <w:sz w:val="21"/>
                      <w:szCs w:val="21"/>
                      <w:u w:val="none"/>
                      <w:lang w:eastAsia="zh-CN"/>
                    </w:rPr>
                    <w:t>员工生活</w:t>
                  </w:r>
                </w:p>
              </w:tc>
              <w:tc>
                <w:tcPr>
                  <w:tcW w:w="706" w:type="pct"/>
                  <w:shd w:val="clear" w:color="auto" w:fill="auto"/>
                  <w:vAlign w:val="center"/>
                </w:tcPr>
                <w:p w14:paraId="0AD9F0CC">
                  <w:pPr>
                    <w:pStyle w:val="77"/>
                    <w:autoSpaceDE/>
                    <w:autoSpaceDN/>
                    <w:adjustRightInd/>
                    <w:jc w:val="center"/>
                    <w:rPr>
                      <w:rFonts w:hint="eastAsia" w:ascii="Times New Roman" w:hAnsi="Times New Roman" w:eastAsia="宋体" w:cs="Times New Roman"/>
                      <w:kern w:val="0"/>
                      <w:sz w:val="21"/>
                      <w:szCs w:val="21"/>
                      <w:u w:val="none"/>
                      <w:lang w:val="en-US" w:eastAsia="zh-CN" w:bidi="ar-SA"/>
                    </w:rPr>
                  </w:pPr>
                  <w:r>
                    <w:rPr>
                      <w:rFonts w:hint="eastAsia"/>
                      <w:sz w:val="21"/>
                      <w:szCs w:val="21"/>
                      <w:u w:val="none"/>
                      <w:lang w:eastAsia="zh-CN"/>
                    </w:rPr>
                    <w:t>生活垃圾</w:t>
                  </w:r>
                </w:p>
              </w:tc>
              <w:tc>
                <w:tcPr>
                  <w:tcW w:w="307" w:type="pct"/>
                  <w:shd w:val="clear" w:color="auto" w:fill="auto"/>
                  <w:vAlign w:val="center"/>
                </w:tcPr>
                <w:p w14:paraId="7CC7F776">
                  <w:pPr>
                    <w:pStyle w:val="77"/>
                    <w:autoSpaceDE/>
                    <w:autoSpaceDN/>
                    <w:adjustRightInd/>
                    <w:jc w:val="center"/>
                    <w:rPr>
                      <w:rFonts w:hint="eastAsia"/>
                      <w:kern w:val="2"/>
                      <w:sz w:val="21"/>
                      <w:szCs w:val="21"/>
                      <w:u w:val="none"/>
                      <w:lang w:val="en-US" w:bidi="zh-CN"/>
                    </w:rPr>
                  </w:pPr>
                  <w:r>
                    <w:rPr>
                      <w:rFonts w:hint="eastAsia"/>
                      <w:kern w:val="2"/>
                      <w:sz w:val="21"/>
                      <w:szCs w:val="21"/>
                      <w:u w:val="none"/>
                      <w:lang w:val="en-US" w:bidi="zh-CN"/>
                    </w:rPr>
                    <w:t>生活</w:t>
                  </w:r>
                </w:p>
                <w:p w14:paraId="395DA1D9">
                  <w:pPr>
                    <w:pStyle w:val="77"/>
                    <w:autoSpaceDE/>
                    <w:autoSpaceDN/>
                    <w:adjustRightInd/>
                    <w:jc w:val="center"/>
                    <w:rPr>
                      <w:rFonts w:hint="eastAsia" w:ascii="Times New Roman" w:hAnsi="Times New Roman" w:eastAsia="宋体" w:cs="Times New Roman"/>
                      <w:kern w:val="2"/>
                      <w:sz w:val="21"/>
                      <w:szCs w:val="21"/>
                      <w:u w:val="none"/>
                      <w:lang w:val="en-US" w:eastAsia="zh-CN" w:bidi="zh-CN"/>
                    </w:rPr>
                  </w:pPr>
                  <w:r>
                    <w:rPr>
                      <w:rFonts w:hint="eastAsia"/>
                      <w:kern w:val="2"/>
                      <w:sz w:val="21"/>
                      <w:szCs w:val="21"/>
                      <w:u w:val="none"/>
                      <w:lang w:val="en-US" w:bidi="zh-CN"/>
                    </w:rPr>
                    <w:t>垃圾</w:t>
                  </w:r>
                </w:p>
              </w:tc>
              <w:tc>
                <w:tcPr>
                  <w:tcW w:w="695" w:type="pct"/>
                  <w:shd w:val="clear" w:color="auto" w:fill="auto"/>
                  <w:vAlign w:val="center"/>
                </w:tcPr>
                <w:p w14:paraId="7C65AD76">
                  <w:pPr>
                    <w:pStyle w:val="77"/>
                    <w:autoSpaceDE/>
                    <w:autoSpaceDN/>
                    <w:adjustRightInd/>
                    <w:jc w:val="center"/>
                    <w:rPr>
                      <w:rFonts w:hint="eastAsia" w:ascii="Times New Roman" w:hAnsi="Times New Roman" w:eastAsia="宋体" w:cs="Times New Roman"/>
                      <w:kern w:val="0"/>
                      <w:sz w:val="21"/>
                      <w:szCs w:val="21"/>
                      <w:u w:val="none"/>
                      <w:lang w:val="zh-CN" w:eastAsia="zh-CN" w:bidi="ar-SA"/>
                    </w:rPr>
                  </w:pPr>
                  <w:r>
                    <w:rPr>
                      <w:rFonts w:hint="eastAsia"/>
                      <w:sz w:val="21"/>
                      <w:szCs w:val="21"/>
                      <w:u w:val="none"/>
                      <w:lang w:val="en-US" w:eastAsia="zh-CN"/>
                    </w:rPr>
                    <w:t>900-099-S64</w:t>
                  </w:r>
                </w:p>
              </w:tc>
              <w:tc>
                <w:tcPr>
                  <w:tcW w:w="338" w:type="pct"/>
                  <w:shd w:val="clear" w:color="auto" w:fill="auto"/>
                  <w:vAlign w:val="center"/>
                </w:tcPr>
                <w:p w14:paraId="0F25DE48">
                  <w:pPr>
                    <w:jc w:val="center"/>
                    <w:rPr>
                      <w:rFonts w:ascii="Times New Roman" w:hAnsi="Times New Roman" w:eastAsia="宋体" w:cs="Times New Roman"/>
                      <w:kern w:val="2"/>
                      <w:sz w:val="21"/>
                      <w:szCs w:val="21"/>
                      <w:u w:val="none"/>
                      <w:lang w:val="en-US" w:eastAsia="zh-CN" w:bidi="ar-SA"/>
                    </w:rPr>
                  </w:pPr>
                  <w:r>
                    <w:rPr>
                      <w:sz w:val="21"/>
                      <w:szCs w:val="21"/>
                      <w:u w:val="none"/>
                    </w:rPr>
                    <w:t>固态</w:t>
                  </w:r>
                </w:p>
              </w:tc>
              <w:tc>
                <w:tcPr>
                  <w:tcW w:w="669" w:type="pct"/>
                  <w:shd w:val="clear" w:color="auto" w:fill="auto"/>
                  <w:vAlign w:val="center"/>
                </w:tcPr>
                <w:p w14:paraId="7FF14979">
                  <w:pPr>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w:t>
                  </w:r>
                </w:p>
              </w:tc>
              <w:tc>
                <w:tcPr>
                  <w:tcW w:w="460" w:type="pct"/>
                  <w:shd w:val="clear" w:color="auto" w:fill="auto"/>
                  <w:vAlign w:val="center"/>
                </w:tcPr>
                <w:p w14:paraId="4BFF4C8C">
                  <w:pPr>
                    <w:pStyle w:val="77"/>
                    <w:autoSpaceDE/>
                    <w:autoSpaceDN/>
                    <w:adjustRightInd/>
                    <w:jc w:val="center"/>
                    <w:rPr>
                      <w:rFonts w:hint="default" w:ascii="Times New Roman" w:hAnsi="Times New Roman" w:eastAsia="宋体" w:cs="Times New Roman"/>
                      <w:kern w:val="0"/>
                      <w:sz w:val="21"/>
                      <w:szCs w:val="21"/>
                      <w:u w:val="none"/>
                      <w:lang w:val="en-US" w:eastAsia="zh-CN" w:bidi="ar-SA"/>
                    </w:rPr>
                  </w:pPr>
                  <w:r>
                    <w:rPr>
                      <w:rFonts w:hint="eastAsia"/>
                      <w:sz w:val="21"/>
                      <w:szCs w:val="21"/>
                      <w:u w:val="none"/>
                      <w:lang w:val="en-US" w:eastAsia="zh-CN"/>
                    </w:rPr>
                    <w:t>1.35</w:t>
                  </w:r>
                </w:p>
              </w:tc>
              <w:tc>
                <w:tcPr>
                  <w:tcW w:w="565" w:type="pct"/>
                  <w:shd w:val="clear" w:color="auto" w:fill="auto"/>
                  <w:vAlign w:val="center"/>
                </w:tcPr>
                <w:p w14:paraId="7D25536F">
                  <w:pPr>
                    <w:pStyle w:val="77"/>
                    <w:autoSpaceDE/>
                    <w:autoSpaceDN/>
                    <w:adjustRightInd/>
                    <w:jc w:val="center"/>
                    <w:rPr>
                      <w:rFonts w:hint="eastAsia" w:ascii="Times New Roman" w:hAnsi="Times New Roman" w:eastAsia="宋体" w:cs="Times New Roman"/>
                      <w:kern w:val="2"/>
                      <w:sz w:val="21"/>
                      <w:szCs w:val="21"/>
                      <w:u w:val="none"/>
                      <w:lang w:val="en-US" w:eastAsia="zh-CN" w:bidi="zh-CN"/>
                    </w:rPr>
                  </w:pPr>
                  <w:r>
                    <w:rPr>
                      <w:rFonts w:hint="eastAsia"/>
                      <w:sz w:val="21"/>
                      <w:szCs w:val="21"/>
                      <w:u w:val="none"/>
                      <w:lang w:eastAsia="zh-CN"/>
                    </w:rPr>
                    <w:t>垃圾桶</w:t>
                  </w:r>
                </w:p>
              </w:tc>
              <w:tc>
                <w:tcPr>
                  <w:tcW w:w="571" w:type="pct"/>
                  <w:shd w:val="clear" w:color="auto" w:fill="auto"/>
                  <w:vAlign w:val="center"/>
                </w:tcPr>
                <w:p w14:paraId="7E7197E5">
                  <w:pPr>
                    <w:pStyle w:val="77"/>
                    <w:autoSpaceDE/>
                    <w:autoSpaceDN/>
                    <w:adjustRightInd/>
                    <w:jc w:val="center"/>
                    <w:rPr>
                      <w:rFonts w:hint="eastAsia" w:ascii="Times New Roman" w:hAnsi="Times New Roman" w:eastAsia="宋体" w:cs="Times New Roman"/>
                      <w:kern w:val="0"/>
                      <w:sz w:val="21"/>
                      <w:szCs w:val="21"/>
                      <w:u w:val="none"/>
                      <w:lang w:val="en-US" w:eastAsia="zh-CN" w:bidi="ar-SA"/>
                    </w:rPr>
                  </w:pPr>
                  <w:r>
                    <w:rPr>
                      <w:rFonts w:hint="eastAsia"/>
                      <w:sz w:val="21"/>
                      <w:szCs w:val="21"/>
                      <w:u w:val="none"/>
                      <w:lang w:eastAsia="zh-CN"/>
                    </w:rPr>
                    <w:t>交由环卫部门处理</w:t>
                  </w:r>
                </w:p>
              </w:tc>
            </w:tr>
            <w:tr w14:paraId="69B1F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000" w:type="pct"/>
                  <w:gridSpan w:val="10"/>
                  <w:vAlign w:val="center"/>
                </w:tcPr>
                <w:p w14:paraId="18A19885">
                  <w:pPr>
                    <w:pStyle w:val="77"/>
                    <w:autoSpaceDE/>
                    <w:autoSpaceDN/>
                    <w:adjustRightInd/>
                    <w:jc w:val="both"/>
                    <w:rPr>
                      <w:rFonts w:hint="default"/>
                      <w:sz w:val="21"/>
                      <w:szCs w:val="21"/>
                      <w:u w:val="none"/>
                      <w:lang w:val="en-US" w:eastAsia="zh-CN"/>
                    </w:rPr>
                  </w:pPr>
                  <w:r>
                    <w:rPr>
                      <w:rFonts w:hint="eastAsia"/>
                      <w:sz w:val="21"/>
                      <w:szCs w:val="21"/>
                      <w:u w:val="none"/>
                      <w:lang w:val="en-US" w:eastAsia="zh-CN"/>
                    </w:rPr>
                    <w:t>备注：</w:t>
                  </w:r>
                  <w:r>
                    <w:rPr>
                      <w:rFonts w:hint="eastAsia"/>
                      <w:sz w:val="21"/>
                      <w:szCs w:val="21"/>
                      <w:u w:val="none"/>
                    </w:rPr>
                    <w:t>注：T 指毒性，I 指易燃性，R 指反应性，In 指感染性，C 腐蚀性。</w:t>
                  </w:r>
                </w:p>
              </w:tc>
            </w:tr>
          </w:tbl>
          <w:p w14:paraId="13285CC1">
            <w:pPr>
              <w:pStyle w:val="30"/>
              <w:spacing w:after="0" w:line="360" w:lineRule="auto"/>
              <w:ind w:firstLine="480" w:firstLineChars="200"/>
              <w:rPr>
                <w:rFonts w:hint="eastAsia"/>
                <w:szCs w:val="24"/>
                <w:u w:val="none"/>
                <w:lang w:val="en-US" w:eastAsia="zh-CN"/>
              </w:rPr>
            </w:pPr>
            <w:r>
              <w:rPr>
                <w:rFonts w:hint="eastAsia"/>
                <w:szCs w:val="24"/>
                <w:u w:val="none"/>
                <w:lang w:val="en-US" w:eastAsia="zh-CN"/>
              </w:rPr>
              <w:t>9、固废暂存要求</w:t>
            </w:r>
          </w:p>
          <w:p w14:paraId="76FCF21C">
            <w:pPr>
              <w:spacing w:line="360" w:lineRule="auto"/>
              <w:ind w:firstLine="480" w:firstLineChars="200"/>
              <w:rPr>
                <w:rFonts w:hint="eastAsia"/>
                <w:lang w:val="en-US" w:eastAsia="zh-CN"/>
              </w:rPr>
            </w:pPr>
            <w:r>
              <w:rPr>
                <w:rFonts w:hint="eastAsia"/>
                <w:lang w:val="en-US" w:eastAsia="zh-CN"/>
              </w:rPr>
              <w:t>（1）一般固废暂存区</w:t>
            </w:r>
          </w:p>
          <w:p w14:paraId="477DF683">
            <w:pPr>
              <w:spacing w:line="360" w:lineRule="auto"/>
              <w:ind w:firstLine="480" w:firstLineChars="200"/>
              <w:rPr>
                <w:rFonts w:hint="default" w:ascii="Times New Roman" w:hAnsi="Times New Roman" w:cs="Times New Roman"/>
              </w:rPr>
            </w:pPr>
            <w:r>
              <w:rPr>
                <w:rFonts w:hint="default" w:ascii="Times New Roman" w:hAnsi="Times New Roman" w:cs="Times New Roman"/>
              </w:rPr>
              <w:t>本项目</w:t>
            </w:r>
            <w:r>
              <w:rPr>
                <w:rFonts w:hint="default" w:ascii="Times New Roman" w:hAnsi="Times New Roman" w:cs="Times New Roman"/>
                <w:lang w:val="en-US" w:eastAsia="zh-CN"/>
              </w:rPr>
              <w:t>在厂房西</w:t>
            </w:r>
            <w:r>
              <w:rPr>
                <w:rFonts w:hint="default" w:ascii="Times New Roman" w:hAnsi="Times New Roman" w:cs="Times New Roman"/>
              </w:rPr>
              <w:t>北侧设1个</w:t>
            </w:r>
            <w:r>
              <w:rPr>
                <w:rFonts w:hint="default" w:ascii="Times New Roman" w:hAnsi="Times New Roman" w:cs="Times New Roman"/>
                <w:lang w:val="en-US" w:eastAsia="zh-CN"/>
              </w:rPr>
              <w:t>300</w:t>
            </w:r>
            <w:r>
              <w:rPr>
                <w:rFonts w:hint="default" w:ascii="Times New Roman" w:hAnsi="Times New Roman" w:cs="Times New Roman"/>
              </w:rPr>
              <w:t>m</w:t>
            </w:r>
            <w:r>
              <w:rPr>
                <w:rFonts w:hint="default" w:ascii="Times New Roman" w:hAnsi="Times New Roman" w:cs="Times New Roman"/>
                <w:vertAlign w:val="superscript"/>
              </w:rPr>
              <w:t>2</w:t>
            </w:r>
            <w:r>
              <w:rPr>
                <w:rFonts w:hint="default" w:ascii="Times New Roman" w:hAnsi="Times New Roman" w:cs="Times New Roman"/>
              </w:rPr>
              <w:t>一般固废暂存区，最大暂存量为</w:t>
            </w:r>
            <w:r>
              <w:rPr>
                <w:rFonts w:hint="eastAsia" w:ascii="Times New Roman" w:hAnsi="Times New Roman" w:cs="Times New Roman"/>
                <w:lang w:val="en-US" w:eastAsia="zh-CN"/>
              </w:rPr>
              <w:t>200</w:t>
            </w:r>
            <w:r>
              <w:rPr>
                <w:rFonts w:hint="default" w:ascii="Times New Roman" w:hAnsi="Times New Roman" w:cs="Times New Roman"/>
              </w:rPr>
              <w:t>t，本项目一般工业固废最大产生量约</w:t>
            </w:r>
            <w:r>
              <w:rPr>
                <w:rFonts w:hint="eastAsia" w:ascii="Times New Roman" w:hAnsi="Times New Roman" w:cs="Times New Roman"/>
                <w:lang w:val="en-US" w:eastAsia="zh-CN"/>
              </w:rPr>
              <w:t>1600</w:t>
            </w:r>
            <w:r>
              <w:rPr>
                <w:rFonts w:hint="default" w:ascii="Times New Roman" w:hAnsi="Times New Roman" w:cs="Times New Roman"/>
              </w:rPr>
              <w:t>t，</w:t>
            </w:r>
            <w:r>
              <w:rPr>
                <w:rFonts w:hint="eastAsia" w:ascii="Times New Roman" w:hAnsi="Times New Roman" w:cs="Times New Roman"/>
                <w:lang w:val="en-US" w:eastAsia="zh-CN"/>
              </w:rPr>
              <w:t>1个月</w:t>
            </w:r>
            <w:r>
              <w:rPr>
                <w:rFonts w:hint="default" w:ascii="Times New Roman" w:hAnsi="Times New Roman" w:cs="Times New Roman"/>
              </w:rPr>
              <w:t>进行处理一次，可满足日常生产产生的一般工业固废贮存需求。</w:t>
            </w:r>
          </w:p>
          <w:p w14:paraId="6F82FC0C">
            <w:pPr>
              <w:spacing w:line="360" w:lineRule="auto"/>
              <w:ind w:firstLine="480" w:firstLineChars="200"/>
              <w:rPr>
                <w:rFonts w:hint="default" w:ascii="Times New Roman" w:hAnsi="Times New Roman" w:cs="Times New Roman"/>
                <w:lang w:val="en-US" w:eastAsia="zh-CN"/>
              </w:rPr>
            </w:pPr>
            <w:r>
              <w:rPr>
                <w:rFonts w:hint="default" w:ascii="Times New Roman" w:hAnsi="Times New Roman" w:cs="Times New Roman"/>
              </w:rPr>
              <w:t>一般固废暂存区采取防风防雨防晒措施、各类固废应分类收集、装贴环保图形标志；设置符合《一般工业固体废物贮存和填埋污染控制标准》（GB18599-2020）的要求。建设方应严格按照《中华人民共和国固体废物污染环境防治法》要求，建立健全一般工业固废产生、收集、贮存、运输、利用、处置全过程的污染环境防治责任制度，建立工业固体废物管理台账，如实记录产生一般工业固废的种类、数量、流向、贮存、利用、处置等信息，实现一般工业固体废物可追溯、可查询。</w:t>
            </w:r>
          </w:p>
          <w:p w14:paraId="767133D7">
            <w:pPr>
              <w:pStyle w:val="30"/>
              <w:spacing w:after="0" w:line="360" w:lineRule="auto"/>
              <w:ind w:firstLine="480" w:firstLineChars="200"/>
              <w:rPr>
                <w:rFonts w:hint="eastAsia"/>
                <w:szCs w:val="24"/>
                <w:u w:val="none"/>
                <w:lang w:val="en-US" w:eastAsia="zh-CN"/>
              </w:rPr>
            </w:pPr>
            <w:r>
              <w:rPr>
                <w:rFonts w:hint="eastAsia"/>
                <w:szCs w:val="24"/>
                <w:u w:val="none"/>
                <w:lang w:val="en-US" w:eastAsia="zh-CN"/>
              </w:rPr>
              <w:t>（2）危险固废</w:t>
            </w:r>
          </w:p>
          <w:p w14:paraId="6A433B74">
            <w:pPr>
              <w:pStyle w:val="30"/>
              <w:spacing w:after="0" w:line="360" w:lineRule="auto"/>
              <w:ind w:firstLine="480" w:firstLineChars="200"/>
              <w:rPr>
                <w:szCs w:val="24"/>
                <w:u w:val="none"/>
              </w:rPr>
            </w:pPr>
            <w:r>
              <w:rPr>
                <w:szCs w:val="24"/>
                <w:u w:val="none"/>
              </w:rPr>
              <w:t>本环评要求建设单位</w:t>
            </w:r>
            <w:r>
              <w:rPr>
                <w:rFonts w:hint="eastAsia"/>
                <w:szCs w:val="24"/>
                <w:u w:val="none"/>
              </w:rPr>
              <w:t>签订危废处置协议，并</w:t>
            </w:r>
            <w:r>
              <w:rPr>
                <w:szCs w:val="24"/>
                <w:u w:val="none"/>
              </w:rPr>
              <w:t>设置1间危废暂存间（</w:t>
            </w:r>
            <w:r>
              <w:rPr>
                <w:rFonts w:hint="eastAsia"/>
                <w:szCs w:val="24"/>
                <w:u w:val="none"/>
                <w:lang w:val="en-US" w:eastAsia="zh-CN"/>
              </w:rPr>
              <w:t>1</w:t>
            </w:r>
            <w:r>
              <w:rPr>
                <w:rFonts w:hint="eastAsia"/>
                <w:szCs w:val="24"/>
                <w:u w:val="none"/>
              </w:rPr>
              <w:t>0</w:t>
            </w:r>
            <w:r>
              <w:rPr>
                <w:szCs w:val="24"/>
                <w:u w:val="none"/>
              </w:rPr>
              <w:t>m</w:t>
            </w:r>
            <w:r>
              <w:rPr>
                <w:szCs w:val="24"/>
                <w:u w:val="none"/>
                <w:vertAlign w:val="superscript"/>
              </w:rPr>
              <w:t>2</w:t>
            </w:r>
            <w:r>
              <w:rPr>
                <w:szCs w:val="24"/>
                <w:u w:val="none"/>
              </w:rPr>
              <w:t>），</w:t>
            </w:r>
            <w:r>
              <w:rPr>
                <w:rFonts w:hint="eastAsia" w:ascii="Times New Roman" w:hAnsi="Times New Roman" w:cs="Times New Roman"/>
                <w:color w:val="auto"/>
                <w:sz w:val="24"/>
                <w:szCs w:val="24"/>
                <w:u w:val="none"/>
                <w:lang w:val="en-US" w:eastAsia="zh-CN"/>
              </w:rPr>
              <w:t>本项目危废除废活性炭外，其他危废产生量较少，经桶装后，所占面积较小；废活性炭的数量为</w:t>
            </w:r>
            <w:r>
              <w:rPr>
                <w:rFonts w:hint="eastAsia" w:cs="Times New Roman"/>
                <w:color w:val="auto"/>
                <w:sz w:val="24"/>
                <w:szCs w:val="24"/>
                <w:u w:val="none"/>
                <w:lang w:val="en-US" w:eastAsia="zh-CN"/>
              </w:rPr>
              <w:t>8.55</w:t>
            </w:r>
            <w:r>
              <w:rPr>
                <w:rFonts w:hint="eastAsia" w:ascii="Times New Roman" w:hAnsi="Times New Roman" w:cs="Times New Roman"/>
                <w:color w:val="auto"/>
                <w:sz w:val="24"/>
                <w:szCs w:val="24"/>
                <w:u w:val="none"/>
                <w:lang w:val="en-US" w:eastAsia="zh-CN"/>
              </w:rPr>
              <w:t>t/a，用桶装，两个月转运一次，则单次转运量为1.425t，其体积约为</w:t>
            </w:r>
            <w:r>
              <w:rPr>
                <w:rFonts w:hint="eastAsia" w:cs="Times New Roman"/>
                <w:color w:val="auto"/>
                <w:sz w:val="24"/>
                <w:szCs w:val="24"/>
                <w:u w:val="none"/>
                <w:lang w:val="en-US" w:eastAsia="zh-CN"/>
              </w:rPr>
              <w:t>3.17</w:t>
            </w:r>
            <w:r>
              <w:rPr>
                <w:rFonts w:hint="eastAsia" w:ascii="Times New Roman" w:hAnsi="Times New Roman" w:cs="Times New Roman"/>
                <w:color w:val="auto"/>
                <w:sz w:val="24"/>
                <w:szCs w:val="24"/>
                <w:u w:val="none"/>
                <w:lang w:val="en-US" w:eastAsia="zh-CN"/>
              </w:rPr>
              <w:t>m</w:t>
            </w:r>
            <w:r>
              <w:rPr>
                <w:rFonts w:hint="eastAsia" w:ascii="Times New Roman" w:hAnsi="Times New Roman" w:cs="Times New Roman"/>
                <w:color w:val="auto"/>
                <w:sz w:val="24"/>
                <w:szCs w:val="24"/>
                <w:u w:val="none"/>
                <w:vertAlign w:val="superscript"/>
                <w:lang w:val="en-US" w:eastAsia="zh-CN"/>
              </w:rPr>
              <w:t>3</w:t>
            </w:r>
            <w:r>
              <w:rPr>
                <w:rFonts w:hint="eastAsia" w:ascii="Times New Roman" w:hAnsi="Times New Roman" w:cs="Times New Roman"/>
                <w:color w:val="auto"/>
                <w:sz w:val="24"/>
                <w:szCs w:val="24"/>
                <w:u w:val="none"/>
                <w:lang w:val="en-US" w:eastAsia="zh-CN"/>
              </w:rPr>
              <w:t>，桶的高度约为</w:t>
            </w:r>
            <w:r>
              <w:rPr>
                <w:rFonts w:hint="eastAsia" w:cs="Times New Roman"/>
                <w:color w:val="auto"/>
                <w:sz w:val="24"/>
                <w:szCs w:val="24"/>
                <w:u w:val="none"/>
                <w:lang w:val="en-US" w:eastAsia="zh-CN"/>
              </w:rPr>
              <w:t>0.8</w:t>
            </w:r>
            <w:r>
              <w:rPr>
                <w:rFonts w:hint="eastAsia" w:ascii="Times New Roman" w:hAnsi="Times New Roman" w:cs="Times New Roman"/>
                <w:color w:val="auto"/>
                <w:sz w:val="24"/>
                <w:szCs w:val="24"/>
                <w:u w:val="none"/>
                <w:lang w:val="en-US" w:eastAsia="zh-CN"/>
              </w:rPr>
              <w:t>m，则占用面积约</w:t>
            </w:r>
            <w:r>
              <w:rPr>
                <w:rFonts w:hint="eastAsia" w:cs="Times New Roman"/>
                <w:color w:val="auto"/>
                <w:sz w:val="24"/>
                <w:szCs w:val="24"/>
                <w:u w:val="none"/>
                <w:lang w:val="en-US" w:eastAsia="zh-CN"/>
              </w:rPr>
              <w:t>3.96</w:t>
            </w:r>
            <w:r>
              <w:rPr>
                <w:rFonts w:hint="eastAsia" w:ascii="Times New Roman" w:hAnsi="Times New Roman" w:cs="Times New Roman"/>
                <w:color w:val="auto"/>
                <w:sz w:val="24"/>
                <w:szCs w:val="24"/>
                <w:u w:val="none"/>
                <w:lang w:val="en-US" w:eastAsia="zh-CN"/>
              </w:rPr>
              <w:t>m</w:t>
            </w:r>
            <w:r>
              <w:rPr>
                <w:rFonts w:hint="eastAsia" w:ascii="Times New Roman" w:hAnsi="Times New Roman" w:cs="Times New Roman"/>
                <w:color w:val="auto"/>
                <w:sz w:val="24"/>
                <w:szCs w:val="24"/>
                <w:u w:val="none"/>
                <w:vertAlign w:val="superscript"/>
                <w:lang w:val="en-US" w:eastAsia="zh-CN"/>
              </w:rPr>
              <w:t>2</w:t>
            </w:r>
            <w:r>
              <w:rPr>
                <w:rFonts w:hint="eastAsia" w:ascii="Times New Roman" w:hAnsi="Times New Roman" w:cs="Times New Roman"/>
                <w:color w:val="auto"/>
                <w:sz w:val="24"/>
                <w:szCs w:val="24"/>
                <w:u w:val="none"/>
                <w:lang w:val="en-US" w:eastAsia="zh-CN"/>
              </w:rPr>
              <w:t>，因此本项目危废间有足够空间容纳本项目产生的危废。</w:t>
            </w:r>
          </w:p>
          <w:p w14:paraId="35532A7A">
            <w:pPr>
              <w:pStyle w:val="30"/>
              <w:spacing w:after="0" w:line="360" w:lineRule="auto"/>
              <w:ind w:firstLine="480" w:firstLineChars="200"/>
              <w:rPr>
                <w:szCs w:val="24"/>
                <w:u w:val="none"/>
              </w:rPr>
            </w:pPr>
            <w:r>
              <w:rPr>
                <w:szCs w:val="24"/>
                <w:u w:val="none"/>
              </w:rPr>
              <w:t>根据《建设项目危险废物环境影响评价指南》中相关要求，建设单位须严格按照《危险废物贮存污染控制标准》</w:t>
            </w:r>
            <w:r>
              <w:rPr>
                <w:rFonts w:hint="eastAsia"/>
                <w:szCs w:val="24"/>
                <w:u w:val="none"/>
              </w:rPr>
              <w:t>（</w:t>
            </w:r>
            <w:r>
              <w:rPr>
                <w:szCs w:val="22"/>
                <w:u w:val="none"/>
              </w:rPr>
              <w:t>GB18597-20</w:t>
            </w:r>
            <w:r>
              <w:rPr>
                <w:rFonts w:hint="eastAsia"/>
                <w:szCs w:val="22"/>
                <w:u w:val="none"/>
                <w:lang w:val="en-US" w:eastAsia="zh-CN"/>
              </w:rPr>
              <w:t>23</w:t>
            </w:r>
            <w:r>
              <w:rPr>
                <w:rFonts w:hint="eastAsia"/>
                <w:szCs w:val="24"/>
                <w:u w:val="none"/>
              </w:rPr>
              <w:t>）</w:t>
            </w:r>
            <w:r>
              <w:rPr>
                <w:szCs w:val="24"/>
                <w:u w:val="none"/>
              </w:rPr>
              <w:t>的相关要求落实建设、管理：</w:t>
            </w:r>
          </w:p>
          <w:p w14:paraId="594AED39">
            <w:pPr>
              <w:pStyle w:val="30"/>
              <w:spacing w:after="0" w:line="360" w:lineRule="auto"/>
              <w:ind w:firstLine="480" w:firstLineChars="200"/>
              <w:rPr>
                <w:szCs w:val="24"/>
                <w:u w:val="none"/>
              </w:rPr>
            </w:pPr>
            <w:r>
              <w:rPr>
                <w:rFonts w:hint="eastAsia"/>
                <w:szCs w:val="24"/>
                <w:u w:val="none"/>
                <w:lang w:val="en-US" w:eastAsia="zh-CN"/>
              </w:rPr>
              <w:t>①</w:t>
            </w:r>
            <w:r>
              <w:rPr>
                <w:szCs w:val="24"/>
                <w:u w:val="none"/>
              </w:rPr>
              <w:t>暂存场所须在室内密闭设计，按要求做好防风、防雨、防晒、防渗漏、防流失等措施，地面和墙裙做必要防腐处理。</w:t>
            </w:r>
          </w:p>
          <w:p w14:paraId="14D0FBDB">
            <w:pPr>
              <w:pStyle w:val="30"/>
              <w:spacing w:after="0" w:line="360" w:lineRule="auto"/>
              <w:ind w:firstLine="480" w:firstLineChars="200"/>
              <w:rPr>
                <w:szCs w:val="24"/>
                <w:u w:val="none"/>
              </w:rPr>
            </w:pPr>
            <w:r>
              <w:rPr>
                <w:rFonts w:hint="eastAsia"/>
                <w:szCs w:val="24"/>
                <w:u w:val="none"/>
                <w:lang w:val="en-US" w:eastAsia="zh-CN"/>
              </w:rPr>
              <w:t>②</w:t>
            </w:r>
            <w:r>
              <w:rPr>
                <w:szCs w:val="24"/>
                <w:u w:val="none"/>
              </w:rPr>
              <w:t>企业产生的危险废物须采取与之相容的合规容器盛装，并在暂存间内分类、分区存放、并设隔断，各分区明确标志牌。</w:t>
            </w:r>
          </w:p>
          <w:p w14:paraId="5038DA15">
            <w:pPr>
              <w:pStyle w:val="30"/>
              <w:spacing w:after="0" w:line="360" w:lineRule="auto"/>
              <w:ind w:firstLine="480" w:firstLineChars="200"/>
              <w:rPr>
                <w:szCs w:val="24"/>
                <w:u w:val="none"/>
              </w:rPr>
            </w:pPr>
            <w:r>
              <w:rPr>
                <w:rFonts w:hint="eastAsia"/>
                <w:szCs w:val="24"/>
                <w:u w:val="none"/>
                <w:lang w:val="en-US" w:eastAsia="zh-CN"/>
              </w:rPr>
              <w:t>③</w:t>
            </w:r>
            <w:r>
              <w:rPr>
                <w:szCs w:val="24"/>
                <w:u w:val="none"/>
              </w:rPr>
              <w:t>须按照</w:t>
            </w:r>
            <w:r>
              <w:rPr>
                <w:rFonts w:hint="eastAsia"/>
                <w:szCs w:val="24"/>
                <w:u w:val="none"/>
                <w:lang w:eastAsia="zh-CN"/>
              </w:rPr>
              <w:t>《</w:t>
            </w:r>
            <w:r>
              <w:rPr>
                <w:rFonts w:hint="eastAsia"/>
                <w:szCs w:val="24"/>
                <w:u w:val="none"/>
              </w:rPr>
              <w:t>危险废物转移管理办法》（生态环境部、公安部、交通运输部令第23号）</w:t>
            </w:r>
            <w:r>
              <w:rPr>
                <w:szCs w:val="24"/>
                <w:u w:val="none"/>
              </w:rPr>
              <w:t>执行，做好记录（建立危废台账），避免危险废物在贮存和转运过程中产生二次污染。</w:t>
            </w:r>
          </w:p>
          <w:p w14:paraId="4B1666C7">
            <w:pPr>
              <w:pStyle w:val="30"/>
              <w:spacing w:after="0" w:line="360" w:lineRule="auto"/>
              <w:ind w:firstLine="480" w:firstLineChars="200"/>
              <w:rPr>
                <w:szCs w:val="24"/>
                <w:u w:val="none"/>
              </w:rPr>
            </w:pPr>
            <w:r>
              <w:rPr>
                <w:rFonts w:hint="eastAsia"/>
                <w:szCs w:val="24"/>
                <w:u w:val="none"/>
                <w:lang w:val="en-US" w:eastAsia="zh-CN"/>
              </w:rPr>
              <w:t>④</w:t>
            </w:r>
            <w:r>
              <w:rPr>
                <w:szCs w:val="24"/>
                <w:u w:val="none"/>
              </w:rPr>
              <w:t>须按照《危险废物收集 贮存 运输技术规范》（HJ2025）中相关要求，在厂区内部转运时提前确定转运路线，尽量避开办公生活区，转运作业须采用专业工具，内部转运结束后，应对转运路线进行检查和清理，确保无危险废物遗失在转运路线上，并对转运工具进行清洗。</w:t>
            </w:r>
          </w:p>
          <w:p w14:paraId="3F8002CD">
            <w:pPr>
              <w:pStyle w:val="25"/>
              <w:spacing w:line="360" w:lineRule="auto"/>
              <w:ind w:left="0" w:leftChars="0" w:firstLine="480" w:firstLineChars="200"/>
              <w:rPr>
                <w:u w:val="none"/>
              </w:rPr>
            </w:pPr>
            <w:r>
              <w:rPr>
                <w:rFonts w:hint="eastAsia"/>
                <w:bCs/>
                <w:kern w:val="44"/>
                <w:szCs w:val="44"/>
                <w:u w:val="none"/>
              </w:rPr>
              <w:t>综上所述，本项目</w:t>
            </w:r>
            <w:r>
              <w:rPr>
                <w:rFonts w:hint="eastAsia"/>
                <w:bCs/>
                <w:kern w:val="44"/>
                <w:szCs w:val="44"/>
                <w:u w:val="none"/>
                <w:lang w:val="en-US" w:eastAsia="zh-CN"/>
              </w:rPr>
              <w:t>产生的固废均已得到妥善处置，</w:t>
            </w:r>
            <w:r>
              <w:rPr>
                <w:rFonts w:hint="eastAsia"/>
                <w:bCs/>
                <w:kern w:val="44"/>
                <w:szCs w:val="44"/>
                <w:u w:val="none"/>
              </w:rPr>
              <w:t>固体废物会周围环境影响较小。</w:t>
            </w:r>
          </w:p>
          <w:p w14:paraId="54B48E6C">
            <w:pPr>
              <w:pStyle w:val="41"/>
              <w:spacing w:line="360" w:lineRule="auto"/>
              <w:ind w:left="0" w:leftChars="0" w:firstLine="0" w:firstLineChars="0"/>
              <w:rPr>
                <w:rFonts w:ascii="Times New Roman"/>
                <w:b/>
                <w:bCs/>
                <w:color w:val="auto"/>
                <w:sz w:val="24"/>
                <w:szCs w:val="24"/>
              </w:rPr>
            </w:pPr>
            <w:r>
              <w:rPr>
                <w:rFonts w:ascii="Times New Roman"/>
                <w:b/>
                <w:bCs/>
                <w:color w:val="auto"/>
                <w:sz w:val="24"/>
                <w:szCs w:val="24"/>
              </w:rPr>
              <w:t>五、土壤</w:t>
            </w:r>
            <w:r>
              <w:rPr>
                <w:rFonts w:hint="eastAsia" w:ascii="Times New Roman"/>
                <w:b/>
                <w:bCs/>
                <w:color w:val="auto"/>
                <w:sz w:val="24"/>
                <w:szCs w:val="24"/>
                <w:lang w:eastAsia="zh-CN"/>
              </w:rPr>
              <w:t>、</w:t>
            </w:r>
            <w:r>
              <w:rPr>
                <w:rFonts w:hint="eastAsia" w:ascii="Times New Roman"/>
                <w:b/>
                <w:bCs/>
                <w:color w:val="auto"/>
                <w:sz w:val="24"/>
                <w:szCs w:val="24"/>
                <w:lang w:val="en-US" w:eastAsia="zh-CN"/>
              </w:rPr>
              <w:t>地下水</w:t>
            </w:r>
            <w:r>
              <w:rPr>
                <w:rFonts w:ascii="Times New Roman"/>
                <w:b/>
                <w:bCs/>
                <w:color w:val="auto"/>
                <w:sz w:val="24"/>
                <w:szCs w:val="24"/>
              </w:rPr>
              <w:t>环境影响分析</w:t>
            </w:r>
          </w:p>
          <w:p w14:paraId="7142AE59">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bCs w:val="0"/>
                <w:kern w:val="0"/>
                <w:sz w:val="24"/>
                <w:szCs w:val="24"/>
                <w:u w:val="none"/>
              </w:rPr>
            </w:pPr>
            <w:r>
              <w:rPr>
                <w:rFonts w:hint="default" w:ascii="Times New Roman" w:hAnsi="Times New Roman" w:eastAsia="宋体" w:cs="Times New Roman"/>
                <w:bCs/>
                <w:sz w:val="24"/>
              </w:rPr>
              <w:t>本项目</w:t>
            </w:r>
            <w:r>
              <w:rPr>
                <w:rFonts w:hint="eastAsia" w:ascii="Times New Roman" w:hAnsi="Times New Roman" w:eastAsia="宋体" w:cs="Times New Roman"/>
                <w:bCs/>
                <w:sz w:val="24"/>
                <w:lang w:val="en-US" w:eastAsia="zh-CN"/>
              </w:rPr>
              <w:t>厂房均已做好地面硬化措施</w:t>
            </w:r>
            <w:r>
              <w:rPr>
                <w:rFonts w:hint="default" w:ascii="Times New Roman" w:hAnsi="Times New Roman" w:eastAsia="宋体" w:cs="Times New Roman"/>
                <w:bCs/>
                <w:sz w:val="24"/>
              </w:rPr>
              <w:t>，</w:t>
            </w:r>
            <w:r>
              <w:rPr>
                <w:rFonts w:hint="eastAsia" w:cs="Times New Roman"/>
                <w:bCs/>
                <w:sz w:val="24"/>
                <w:lang w:val="en-US" w:eastAsia="zh-CN"/>
              </w:rPr>
              <w:t>原料区、成品区、储罐区以及</w:t>
            </w:r>
            <w:r>
              <w:rPr>
                <w:rFonts w:hint="default" w:ascii="Times New Roman" w:hAnsi="Times New Roman" w:eastAsia="宋体" w:cs="Times New Roman"/>
                <w:bCs/>
                <w:sz w:val="24"/>
              </w:rPr>
              <w:t>危废间</w:t>
            </w:r>
            <w:r>
              <w:rPr>
                <w:rFonts w:hint="eastAsia" w:ascii="Times New Roman" w:hAnsi="Times New Roman" w:eastAsia="宋体" w:cs="Times New Roman"/>
                <w:bCs/>
                <w:sz w:val="24"/>
                <w:lang w:val="en-US" w:eastAsia="zh-CN"/>
              </w:rPr>
              <w:t>等重点区域均</w:t>
            </w:r>
            <w:r>
              <w:rPr>
                <w:rFonts w:hint="default" w:ascii="Times New Roman" w:hAnsi="Times New Roman" w:eastAsia="宋体" w:cs="Times New Roman"/>
                <w:bCs/>
                <w:sz w:val="24"/>
              </w:rPr>
              <w:t>采取</w:t>
            </w:r>
            <w:r>
              <w:rPr>
                <w:szCs w:val="24"/>
                <w:u w:val="none"/>
              </w:rPr>
              <w:t>防风、防雨、防晒、</w:t>
            </w:r>
            <w:r>
              <w:rPr>
                <w:rFonts w:hint="eastAsia" w:cs="Times New Roman"/>
                <w:bCs/>
                <w:sz w:val="24"/>
                <w:lang w:val="en-US" w:eastAsia="zh-CN"/>
              </w:rPr>
              <w:t>防流失以及防泄漏托盘等措施，</w:t>
            </w:r>
            <w:r>
              <w:rPr>
                <w:rFonts w:hint="default" w:ascii="Times New Roman" w:hAnsi="Times New Roman" w:eastAsia="宋体" w:cs="Times New Roman"/>
                <w:bCs/>
                <w:sz w:val="24"/>
              </w:rPr>
              <w:t>无</w:t>
            </w:r>
            <w:r>
              <w:rPr>
                <w:rFonts w:hint="eastAsia" w:ascii="Times New Roman" w:hAnsi="Times New Roman" w:eastAsia="宋体" w:cs="Times New Roman"/>
                <w:bCs/>
                <w:sz w:val="24"/>
                <w:lang w:val="en-US" w:eastAsia="zh-CN"/>
              </w:rPr>
              <w:t>污染途</w:t>
            </w:r>
            <w:r>
              <w:rPr>
                <w:rFonts w:hint="default" w:ascii="Times New Roman" w:hAnsi="Times New Roman" w:eastAsia="宋体" w:cs="Times New Roman"/>
                <w:bCs w:val="0"/>
                <w:kern w:val="0"/>
                <w:sz w:val="24"/>
                <w:u w:val="none"/>
                <w:lang w:val="en-US" w:eastAsia="zh-CN"/>
              </w:rPr>
              <w:t>径，不会对周边环境造成影响</w:t>
            </w:r>
            <w:r>
              <w:rPr>
                <w:rFonts w:hint="default" w:ascii="Times New Roman" w:hAnsi="Times New Roman" w:eastAsia="宋体" w:cs="Times New Roman"/>
                <w:bCs w:val="0"/>
                <w:kern w:val="0"/>
                <w:sz w:val="24"/>
                <w:szCs w:val="24"/>
                <w:u w:val="none"/>
              </w:rPr>
              <w:t>。</w:t>
            </w:r>
          </w:p>
          <w:p w14:paraId="46315BDD">
            <w:pPr>
              <w:pStyle w:val="30"/>
              <w:spacing w:after="0" w:line="360" w:lineRule="auto"/>
              <w:ind w:firstLine="480" w:firstLineChars="200"/>
              <w:rPr>
                <w:rFonts w:hint="default" w:ascii="Times New Roman" w:hAnsi="Times New Roman" w:eastAsia="宋体" w:cs="Times New Roman"/>
                <w:szCs w:val="24"/>
                <w:u w:val="none"/>
              </w:rPr>
            </w:pPr>
            <w:r>
              <w:rPr>
                <w:rFonts w:hint="default" w:ascii="Times New Roman" w:hAnsi="Times New Roman" w:eastAsia="宋体" w:cs="Times New Roman"/>
                <w:szCs w:val="24"/>
                <w:u w:val="none"/>
              </w:rPr>
              <w:t>根据本项目场区可能泄漏至地面区域污染物的性质和生产单元的构筑方式，将场区划分为重点防渗区、一般防渗区和简单防渗区，针对不同的区域提出相应的防渗要求。</w:t>
            </w:r>
          </w:p>
          <w:p w14:paraId="0492E075">
            <w:pPr>
              <w:adjustRightInd w:val="0"/>
              <w:spacing w:line="240" w:lineRule="auto"/>
              <w:jc w:val="center"/>
              <w:rPr>
                <w:rFonts w:hint="default" w:ascii="Times New Roman" w:hAnsi="Times New Roman" w:eastAsia="宋体" w:cs="Times New Roman"/>
                <w:szCs w:val="24"/>
                <w:u w:val="none"/>
              </w:rPr>
            </w:pPr>
            <w:r>
              <w:rPr>
                <w:b/>
                <w:snapToGrid w:val="0"/>
                <w:kern w:val="0"/>
                <w:u w:val="none"/>
              </w:rPr>
              <w:t>表</w:t>
            </w:r>
            <w:r>
              <w:rPr>
                <w:rFonts w:hint="eastAsia"/>
                <w:b/>
                <w:snapToGrid w:val="0"/>
                <w:kern w:val="0"/>
                <w:u w:val="none"/>
              </w:rPr>
              <w:t>4-</w:t>
            </w:r>
            <w:r>
              <w:rPr>
                <w:rFonts w:hint="eastAsia"/>
                <w:b/>
                <w:snapToGrid w:val="0"/>
                <w:kern w:val="0"/>
                <w:u w:val="none"/>
                <w:lang w:val="en-US" w:eastAsia="zh-CN"/>
              </w:rPr>
              <w:t>15</w:t>
            </w:r>
            <w:r>
              <w:rPr>
                <w:b/>
                <w:snapToGrid w:val="0"/>
                <w:kern w:val="0"/>
                <w:u w:val="none"/>
              </w:rPr>
              <w:t xml:space="preserve">  </w:t>
            </w:r>
            <w:r>
              <w:rPr>
                <w:rFonts w:hint="eastAsia"/>
                <w:b/>
                <w:snapToGrid w:val="0"/>
                <w:kern w:val="0"/>
                <w:u w:val="none"/>
              </w:rPr>
              <w:t>项目防渗工程污染防治分区</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093"/>
              <w:gridCol w:w="917"/>
              <w:gridCol w:w="2144"/>
              <w:gridCol w:w="2220"/>
            </w:tblGrid>
            <w:tr w14:paraId="6B8C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69" w:type="pct"/>
                  <w:tcBorders>
                    <w:tl2br w:val="nil"/>
                    <w:tr2bl w:val="nil"/>
                  </w:tcBorders>
                  <w:noWrap w:val="0"/>
                  <w:vAlign w:val="center"/>
                </w:tcPr>
                <w:p w14:paraId="09FDFC8C">
                  <w:pPr>
                    <w:pStyle w:val="17"/>
                    <w:spacing w:line="240" w:lineRule="auto"/>
                    <w:jc w:val="center"/>
                    <w:rPr>
                      <w:rFonts w:hint="default" w:ascii="Times New Roman" w:hAnsi="Times New Roman" w:eastAsia="宋体" w:cs="Times New Roman"/>
                      <w:b/>
                      <w:bCs/>
                      <w:color w:val="auto"/>
                      <w:kern w:val="2"/>
                      <w:sz w:val="21"/>
                      <w:szCs w:val="21"/>
                      <w:highlight w:val="none"/>
                      <w:u w:val="none" w:color="auto"/>
                      <w:vertAlign w:val="baseline"/>
                      <w:lang w:val="en-US" w:eastAsia="zh-CN"/>
                    </w:rPr>
                  </w:pPr>
                  <w:r>
                    <w:rPr>
                      <w:rFonts w:hint="default" w:ascii="Times New Roman" w:hAnsi="Times New Roman" w:eastAsia="宋体" w:cs="Times New Roman"/>
                      <w:b/>
                      <w:bCs/>
                      <w:color w:val="auto"/>
                      <w:kern w:val="2"/>
                      <w:sz w:val="21"/>
                      <w:szCs w:val="21"/>
                      <w:highlight w:val="none"/>
                      <w:u w:val="none" w:color="auto"/>
                      <w:vertAlign w:val="baseline"/>
                      <w:lang w:val="en-US" w:eastAsia="zh-CN"/>
                    </w:rPr>
                    <w:t>防渗单元</w:t>
                  </w:r>
                </w:p>
              </w:tc>
              <w:tc>
                <w:tcPr>
                  <w:tcW w:w="655" w:type="pct"/>
                  <w:tcBorders>
                    <w:tl2br w:val="nil"/>
                    <w:tr2bl w:val="nil"/>
                  </w:tcBorders>
                  <w:noWrap w:val="0"/>
                  <w:vAlign w:val="center"/>
                </w:tcPr>
                <w:p w14:paraId="6FC46B5D">
                  <w:pPr>
                    <w:pStyle w:val="17"/>
                    <w:spacing w:line="240" w:lineRule="auto"/>
                    <w:jc w:val="center"/>
                    <w:rPr>
                      <w:rFonts w:hint="default" w:ascii="Times New Roman" w:hAnsi="Times New Roman" w:eastAsia="宋体" w:cs="Times New Roman"/>
                      <w:b/>
                      <w:bCs/>
                      <w:color w:val="auto"/>
                      <w:kern w:val="2"/>
                      <w:sz w:val="21"/>
                      <w:szCs w:val="21"/>
                      <w:highlight w:val="none"/>
                      <w:u w:val="none" w:color="auto"/>
                      <w:vertAlign w:val="baseline"/>
                      <w:lang w:val="en-US" w:eastAsia="zh-CN"/>
                    </w:rPr>
                  </w:pPr>
                  <w:r>
                    <w:rPr>
                      <w:rFonts w:hint="default" w:ascii="Times New Roman" w:hAnsi="Times New Roman" w:eastAsia="宋体" w:cs="Times New Roman"/>
                      <w:b/>
                      <w:bCs/>
                      <w:color w:val="auto"/>
                      <w:kern w:val="2"/>
                      <w:sz w:val="21"/>
                      <w:szCs w:val="21"/>
                      <w:highlight w:val="none"/>
                      <w:u w:val="none" w:color="auto"/>
                      <w:vertAlign w:val="baseline"/>
                      <w:lang w:val="en-US" w:eastAsia="zh-CN"/>
                    </w:rPr>
                    <w:t>污染区域或部位</w:t>
                  </w:r>
                </w:p>
              </w:tc>
              <w:tc>
                <w:tcPr>
                  <w:tcW w:w="549" w:type="pct"/>
                  <w:tcBorders>
                    <w:tl2br w:val="nil"/>
                    <w:tr2bl w:val="nil"/>
                  </w:tcBorders>
                  <w:noWrap w:val="0"/>
                  <w:vAlign w:val="center"/>
                </w:tcPr>
                <w:p w14:paraId="4F8086C9">
                  <w:pPr>
                    <w:pStyle w:val="17"/>
                    <w:spacing w:line="240" w:lineRule="auto"/>
                    <w:jc w:val="center"/>
                    <w:rPr>
                      <w:rFonts w:hint="default" w:ascii="Times New Roman" w:hAnsi="Times New Roman" w:eastAsia="宋体" w:cs="Times New Roman"/>
                      <w:b/>
                      <w:bCs/>
                      <w:color w:val="auto"/>
                      <w:kern w:val="2"/>
                      <w:sz w:val="21"/>
                      <w:szCs w:val="21"/>
                      <w:highlight w:val="none"/>
                      <w:u w:val="none" w:color="auto"/>
                      <w:vertAlign w:val="baseline"/>
                      <w:lang w:val="en-US" w:eastAsia="zh-CN"/>
                    </w:rPr>
                  </w:pPr>
                  <w:r>
                    <w:rPr>
                      <w:rFonts w:hint="default" w:ascii="Times New Roman" w:hAnsi="Times New Roman" w:eastAsia="宋体" w:cs="Times New Roman"/>
                      <w:b/>
                      <w:bCs/>
                      <w:color w:val="auto"/>
                      <w:kern w:val="2"/>
                      <w:sz w:val="21"/>
                      <w:szCs w:val="21"/>
                      <w:highlight w:val="none"/>
                      <w:u w:val="none" w:color="auto"/>
                      <w:vertAlign w:val="baseline"/>
                      <w:lang w:val="en-US" w:eastAsia="zh-CN"/>
                    </w:rPr>
                    <w:t>防渗等级</w:t>
                  </w:r>
                </w:p>
              </w:tc>
              <w:tc>
                <w:tcPr>
                  <w:tcW w:w="1284" w:type="pct"/>
                  <w:tcBorders>
                    <w:tl2br w:val="nil"/>
                    <w:tr2bl w:val="nil"/>
                  </w:tcBorders>
                  <w:noWrap w:val="0"/>
                  <w:vAlign w:val="center"/>
                </w:tcPr>
                <w:p w14:paraId="2559CB30">
                  <w:pPr>
                    <w:pStyle w:val="17"/>
                    <w:spacing w:line="240" w:lineRule="auto"/>
                    <w:jc w:val="center"/>
                    <w:rPr>
                      <w:rFonts w:hint="default" w:ascii="Times New Roman" w:hAnsi="Times New Roman" w:eastAsia="宋体" w:cs="Times New Roman"/>
                      <w:b/>
                      <w:bCs/>
                      <w:color w:val="auto"/>
                      <w:kern w:val="2"/>
                      <w:sz w:val="21"/>
                      <w:szCs w:val="21"/>
                      <w:highlight w:val="none"/>
                      <w:u w:val="none" w:color="auto"/>
                      <w:vertAlign w:val="baseline"/>
                      <w:lang w:val="en-US" w:eastAsia="zh-CN"/>
                    </w:rPr>
                  </w:pPr>
                  <w:r>
                    <w:rPr>
                      <w:rFonts w:hint="default" w:ascii="Times New Roman" w:hAnsi="Times New Roman" w:eastAsia="宋体" w:cs="Times New Roman"/>
                      <w:b/>
                      <w:bCs/>
                      <w:color w:val="auto"/>
                      <w:kern w:val="2"/>
                      <w:sz w:val="21"/>
                      <w:szCs w:val="21"/>
                      <w:highlight w:val="none"/>
                      <w:u w:val="none" w:color="auto"/>
                      <w:vertAlign w:val="baseline"/>
                      <w:lang w:val="en-US" w:eastAsia="zh-CN"/>
                    </w:rPr>
                    <w:t>防渗要求</w:t>
                  </w:r>
                </w:p>
              </w:tc>
              <w:tc>
                <w:tcPr>
                  <w:tcW w:w="1329" w:type="pct"/>
                  <w:tcBorders>
                    <w:tl2br w:val="nil"/>
                    <w:tr2bl w:val="nil"/>
                  </w:tcBorders>
                  <w:noWrap w:val="0"/>
                  <w:vAlign w:val="center"/>
                </w:tcPr>
                <w:p w14:paraId="6EDBBDD3">
                  <w:pPr>
                    <w:pStyle w:val="17"/>
                    <w:spacing w:line="240" w:lineRule="auto"/>
                    <w:jc w:val="center"/>
                    <w:rPr>
                      <w:rFonts w:hint="default" w:ascii="Times New Roman" w:hAnsi="Times New Roman" w:eastAsia="宋体" w:cs="Times New Roman"/>
                      <w:b/>
                      <w:bCs/>
                      <w:color w:val="auto"/>
                      <w:kern w:val="2"/>
                      <w:sz w:val="21"/>
                      <w:szCs w:val="21"/>
                      <w:highlight w:val="none"/>
                      <w:u w:val="none" w:color="auto"/>
                      <w:vertAlign w:val="baseline"/>
                      <w:lang w:val="en-US" w:eastAsia="zh-CN"/>
                    </w:rPr>
                  </w:pPr>
                  <w:r>
                    <w:rPr>
                      <w:rFonts w:hint="default" w:ascii="Times New Roman" w:hAnsi="Times New Roman" w:eastAsia="宋体" w:cs="Times New Roman"/>
                      <w:b/>
                      <w:bCs/>
                      <w:color w:val="auto"/>
                      <w:kern w:val="2"/>
                      <w:sz w:val="21"/>
                      <w:szCs w:val="21"/>
                      <w:highlight w:val="none"/>
                      <w:u w:val="none" w:color="auto"/>
                      <w:vertAlign w:val="baseline"/>
                      <w:lang w:val="en-US" w:eastAsia="zh-CN"/>
                    </w:rPr>
                    <w:t>防渗措施</w:t>
                  </w:r>
                </w:p>
              </w:tc>
            </w:tr>
            <w:tr w14:paraId="2B22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69" w:type="pct"/>
                  <w:tcBorders>
                    <w:tl2br w:val="nil"/>
                    <w:tr2bl w:val="nil"/>
                  </w:tcBorders>
                  <w:noWrap w:val="0"/>
                  <w:vAlign w:val="center"/>
                </w:tcPr>
                <w:p w14:paraId="6AEAE5A8">
                  <w:pPr>
                    <w:pStyle w:val="17"/>
                    <w:spacing w:line="240" w:lineRule="auto"/>
                    <w:jc w:val="center"/>
                    <w:rPr>
                      <w:rFonts w:hint="default" w:ascii="Times New Roman" w:hAnsi="Times New Roman" w:eastAsia="宋体" w:cs="Times New Roman"/>
                      <w:b/>
                      <w:bCs/>
                      <w:color w:val="auto"/>
                      <w:kern w:val="2"/>
                      <w:sz w:val="21"/>
                      <w:szCs w:val="21"/>
                      <w:highlight w:val="none"/>
                      <w:u w:val="none" w:color="auto"/>
                      <w:vertAlign w:val="baseline"/>
                      <w:lang w:val="en-US" w:eastAsia="zh-CN"/>
                    </w:rPr>
                  </w:pPr>
                  <w:r>
                    <w:rPr>
                      <w:rFonts w:hint="default" w:ascii="Times New Roman" w:hAnsi="Times New Roman" w:eastAsia="宋体" w:cs="Times New Roman"/>
                      <w:bCs w:val="0"/>
                      <w:color w:val="auto"/>
                      <w:kern w:val="2"/>
                      <w:sz w:val="21"/>
                      <w:szCs w:val="21"/>
                      <w:highlight w:val="none"/>
                      <w:u w:val="none" w:color="auto"/>
                      <w:vertAlign w:val="baseline"/>
                      <w:lang w:val="en-US" w:eastAsia="zh-CN"/>
                    </w:rPr>
                    <w:t>危废暂存间</w:t>
                  </w:r>
                </w:p>
              </w:tc>
              <w:tc>
                <w:tcPr>
                  <w:tcW w:w="655" w:type="pct"/>
                  <w:tcBorders>
                    <w:tl2br w:val="nil"/>
                    <w:tr2bl w:val="nil"/>
                  </w:tcBorders>
                  <w:noWrap w:val="0"/>
                  <w:vAlign w:val="center"/>
                </w:tcPr>
                <w:p w14:paraId="4442479F">
                  <w:pPr>
                    <w:pStyle w:val="17"/>
                    <w:spacing w:line="240" w:lineRule="auto"/>
                    <w:jc w:val="center"/>
                    <w:rPr>
                      <w:rFonts w:hint="default" w:ascii="Times New Roman" w:hAnsi="Times New Roman" w:eastAsia="宋体" w:cs="Times New Roman"/>
                      <w:b/>
                      <w:bCs/>
                      <w:color w:val="auto"/>
                      <w:kern w:val="2"/>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2"/>
                      <w:sz w:val="21"/>
                      <w:szCs w:val="21"/>
                      <w:highlight w:val="none"/>
                      <w:u w:val="none" w:color="auto"/>
                      <w:vertAlign w:val="baseline"/>
                      <w:lang w:val="en-US" w:eastAsia="zh-CN"/>
                    </w:rPr>
                    <w:t>地面、裙角</w:t>
                  </w:r>
                </w:p>
              </w:tc>
              <w:tc>
                <w:tcPr>
                  <w:tcW w:w="549" w:type="pct"/>
                  <w:tcBorders>
                    <w:tl2br w:val="nil"/>
                    <w:tr2bl w:val="nil"/>
                  </w:tcBorders>
                  <w:noWrap w:val="0"/>
                  <w:vAlign w:val="center"/>
                </w:tcPr>
                <w:p w14:paraId="7221CC5E">
                  <w:pPr>
                    <w:pStyle w:val="17"/>
                    <w:spacing w:line="240" w:lineRule="auto"/>
                    <w:jc w:val="center"/>
                    <w:rPr>
                      <w:rFonts w:hint="default" w:ascii="Times New Roman" w:hAnsi="Times New Roman" w:eastAsia="宋体" w:cs="Times New Roman"/>
                      <w:b/>
                      <w:bCs/>
                      <w:color w:val="auto"/>
                      <w:kern w:val="2"/>
                      <w:sz w:val="21"/>
                      <w:szCs w:val="21"/>
                      <w:highlight w:val="none"/>
                      <w:u w:val="single" w:color="auto"/>
                      <w:vertAlign w:val="baseline"/>
                      <w:lang w:val="en-US" w:eastAsia="zh-CN"/>
                    </w:rPr>
                  </w:pPr>
                  <w:r>
                    <w:rPr>
                      <w:rFonts w:hint="eastAsia" w:ascii="Times New Roman" w:hAnsi="Times New Roman" w:eastAsia="宋体" w:cs="Times New Roman"/>
                      <w:color w:val="000000"/>
                      <w:kern w:val="0"/>
                      <w:sz w:val="21"/>
                      <w:szCs w:val="21"/>
                      <w:highlight w:val="none"/>
                      <w:u w:val="single" w:color="auto"/>
                      <w:lang w:val="en-US" w:eastAsia="zh-CN" w:bidi="ar"/>
                    </w:rPr>
                    <w:t>一般</w:t>
                  </w:r>
                  <w:r>
                    <w:rPr>
                      <w:rFonts w:hint="default" w:ascii="Times New Roman" w:hAnsi="Times New Roman" w:eastAsia="宋体" w:cs="Times New Roman"/>
                      <w:color w:val="000000"/>
                      <w:kern w:val="0"/>
                      <w:sz w:val="21"/>
                      <w:szCs w:val="21"/>
                      <w:highlight w:val="none"/>
                      <w:u w:val="single" w:color="auto"/>
                      <w:lang w:val="en-US" w:eastAsia="zh-CN" w:bidi="ar"/>
                    </w:rPr>
                    <w:t>防渗</w:t>
                  </w:r>
                  <w:r>
                    <w:rPr>
                      <w:rFonts w:hint="eastAsia" w:ascii="Times New Roman" w:hAnsi="Times New Roman" w:eastAsia="宋体" w:cs="Times New Roman"/>
                      <w:color w:val="000000"/>
                      <w:kern w:val="0"/>
                      <w:sz w:val="21"/>
                      <w:szCs w:val="21"/>
                      <w:highlight w:val="none"/>
                      <w:u w:val="single" w:color="auto"/>
                      <w:lang w:val="en-US" w:eastAsia="zh-CN" w:bidi="ar"/>
                    </w:rPr>
                    <w:t>区</w:t>
                  </w:r>
                </w:p>
              </w:tc>
              <w:tc>
                <w:tcPr>
                  <w:tcW w:w="1284" w:type="pct"/>
                  <w:tcBorders>
                    <w:tl2br w:val="nil"/>
                    <w:tr2bl w:val="nil"/>
                  </w:tcBorders>
                  <w:noWrap w:val="0"/>
                  <w:vAlign w:val="center"/>
                </w:tcPr>
                <w:p w14:paraId="4115F14A">
                  <w:pPr>
                    <w:pStyle w:val="17"/>
                    <w:spacing w:line="240" w:lineRule="auto"/>
                    <w:jc w:val="center"/>
                    <w:rPr>
                      <w:rFonts w:hint="default" w:ascii="Times New Roman" w:hAnsi="Times New Roman" w:eastAsia="宋体" w:cs="Times New Roman"/>
                      <w:b w:val="0"/>
                      <w:bCs w:val="0"/>
                      <w:color w:val="auto"/>
                      <w:kern w:val="2"/>
                      <w:sz w:val="21"/>
                      <w:szCs w:val="21"/>
                      <w:highlight w:val="none"/>
                      <w:u w:val="single" w:color="auto"/>
                      <w:vertAlign w:val="baseline"/>
                      <w:lang w:val="en-US" w:eastAsia="zh-CN"/>
                    </w:rPr>
                  </w:pPr>
                  <w:r>
                    <w:rPr>
                      <w:rFonts w:hint="default" w:ascii="Times New Roman" w:hAnsi="Times New Roman" w:eastAsia="宋体" w:cs="Times New Roman"/>
                      <w:b w:val="0"/>
                      <w:bCs w:val="0"/>
                      <w:color w:val="auto"/>
                      <w:kern w:val="2"/>
                      <w:sz w:val="21"/>
                      <w:szCs w:val="21"/>
                      <w:highlight w:val="none"/>
                      <w:u w:val="single" w:color="auto"/>
                      <w:vertAlign w:val="baseline"/>
                      <w:lang w:val="en-US" w:eastAsia="zh-CN"/>
                    </w:rPr>
                    <w:t>防渗层为至少1m厚黏土层(渗透系数不大于10</w:t>
                  </w:r>
                  <w:r>
                    <w:rPr>
                      <w:rFonts w:hint="default" w:ascii="Times New Roman" w:hAnsi="Times New Roman" w:eastAsia="宋体" w:cs="Times New Roman"/>
                      <w:b w:val="0"/>
                      <w:bCs w:val="0"/>
                      <w:color w:val="auto"/>
                      <w:kern w:val="2"/>
                      <w:sz w:val="21"/>
                      <w:szCs w:val="21"/>
                      <w:highlight w:val="none"/>
                      <w:u w:val="single" w:color="auto"/>
                      <w:vertAlign w:val="superscript"/>
                      <w:lang w:val="en-US" w:eastAsia="zh-CN"/>
                    </w:rPr>
                    <w:t>-7</w:t>
                  </w:r>
                  <w:r>
                    <w:rPr>
                      <w:rFonts w:hint="default" w:ascii="Times New Roman" w:hAnsi="Times New Roman" w:eastAsia="宋体" w:cs="Times New Roman"/>
                      <w:b w:val="0"/>
                      <w:bCs w:val="0"/>
                      <w:color w:val="auto"/>
                      <w:kern w:val="2"/>
                      <w:sz w:val="21"/>
                      <w:szCs w:val="21"/>
                      <w:highlight w:val="none"/>
                      <w:u w:val="single" w:color="auto"/>
                      <w:vertAlign w:val="baseline"/>
                      <w:lang w:val="en-US" w:eastAsia="zh-CN"/>
                    </w:rPr>
                    <w:t>cm/s)，或至少2 mm厚高密度聚乙烯膜等人工防渗材料(透系数不大于10</w:t>
                  </w:r>
                  <w:r>
                    <w:rPr>
                      <w:rFonts w:hint="default" w:ascii="Times New Roman" w:hAnsi="Times New Roman" w:eastAsia="宋体" w:cs="Times New Roman"/>
                      <w:b w:val="0"/>
                      <w:bCs w:val="0"/>
                      <w:color w:val="auto"/>
                      <w:kern w:val="2"/>
                      <w:sz w:val="21"/>
                      <w:szCs w:val="21"/>
                      <w:highlight w:val="none"/>
                      <w:u w:val="single" w:color="auto"/>
                      <w:vertAlign w:val="superscript"/>
                      <w:lang w:val="en-US" w:eastAsia="zh-CN"/>
                    </w:rPr>
                    <w:t>-10</w:t>
                  </w:r>
                  <w:r>
                    <w:rPr>
                      <w:rFonts w:hint="default" w:ascii="Times New Roman" w:hAnsi="Times New Roman" w:eastAsia="宋体" w:cs="Times New Roman"/>
                      <w:b w:val="0"/>
                      <w:bCs w:val="0"/>
                      <w:color w:val="auto"/>
                      <w:kern w:val="2"/>
                      <w:sz w:val="21"/>
                      <w:szCs w:val="21"/>
                      <w:highlight w:val="none"/>
                      <w:u w:val="single" w:color="auto"/>
                      <w:vertAlign w:val="baseline"/>
                      <w:lang w:val="en-US" w:eastAsia="zh-CN"/>
                    </w:rPr>
                    <w:t>cm/s)，或其他防渗性能等效的材料。</w:t>
                  </w:r>
                </w:p>
              </w:tc>
              <w:tc>
                <w:tcPr>
                  <w:tcW w:w="1329" w:type="pct"/>
                  <w:tcBorders>
                    <w:tl2br w:val="nil"/>
                    <w:tr2bl w:val="nil"/>
                  </w:tcBorders>
                  <w:noWrap w:val="0"/>
                  <w:vAlign w:val="center"/>
                </w:tcPr>
                <w:p w14:paraId="1500053F">
                  <w:pPr>
                    <w:pStyle w:val="17"/>
                    <w:spacing w:line="240" w:lineRule="auto"/>
                    <w:jc w:val="center"/>
                    <w:rPr>
                      <w:rFonts w:hint="default" w:ascii="Times New Roman" w:hAnsi="Times New Roman" w:eastAsia="宋体" w:cs="Times New Roman"/>
                      <w:b w:val="0"/>
                      <w:bCs w:val="0"/>
                      <w:color w:val="auto"/>
                      <w:kern w:val="2"/>
                      <w:sz w:val="21"/>
                      <w:szCs w:val="21"/>
                      <w:highlight w:val="none"/>
                      <w:u w:val="single" w:color="auto"/>
                      <w:vertAlign w:val="baseline"/>
                      <w:lang w:val="en-US" w:eastAsia="zh-CN"/>
                    </w:rPr>
                  </w:pPr>
                  <w:r>
                    <w:rPr>
                      <w:rFonts w:hint="default" w:ascii="Times New Roman" w:hAnsi="Times New Roman" w:eastAsia="宋体" w:cs="Times New Roman"/>
                      <w:b w:val="0"/>
                      <w:bCs w:val="0"/>
                      <w:color w:val="auto"/>
                      <w:kern w:val="2"/>
                      <w:sz w:val="21"/>
                      <w:szCs w:val="21"/>
                      <w:highlight w:val="none"/>
                      <w:u w:val="single" w:color="auto"/>
                      <w:vertAlign w:val="baseline"/>
                      <w:lang w:val="en-US" w:eastAsia="zh-CN"/>
                    </w:rPr>
                    <w:t>按照《危险废物贮存污染控制标准》（GB18597-2023）</w:t>
                  </w:r>
                  <w:r>
                    <w:rPr>
                      <w:rFonts w:hint="eastAsia" w:ascii="Times New Roman" w:hAnsi="Times New Roman" w:eastAsia="宋体" w:cs="Times New Roman"/>
                      <w:b w:val="0"/>
                      <w:bCs w:val="0"/>
                      <w:color w:val="auto"/>
                      <w:kern w:val="2"/>
                      <w:sz w:val="21"/>
                      <w:szCs w:val="21"/>
                      <w:highlight w:val="none"/>
                      <w:u w:val="single" w:color="auto"/>
                      <w:vertAlign w:val="baseline"/>
                      <w:lang w:val="en-US" w:eastAsia="zh-CN"/>
                    </w:rPr>
                    <w:t>执行</w:t>
                  </w:r>
                </w:p>
              </w:tc>
            </w:tr>
            <w:tr w14:paraId="3CAB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069" w:type="pct"/>
                  <w:tcBorders>
                    <w:tl2br w:val="nil"/>
                    <w:tr2bl w:val="nil"/>
                  </w:tcBorders>
                  <w:noWrap w:val="0"/>
                  <w:vAlign w:val="center"/>
                </w:tcPr>
                <w:p w14:paraId="16DF24D1">
                  <w:pPr>
                    <w:pStyle w:val="17"/>
                    <w:spacing w:line="240" w:lineRule="auto"/>
                    <w:jc w:val="center"/>
                    <w:rPr>
                      <w:rFonts w:hint="default" w:ascii="Times New Roman" w:hAnsi="Times New Roman" w:eastAsia="宋体" w:cs="Times New Roman"/>
                      <w:bCs w:val="0"/>
                      <w:color w:val="auto"/>
                      <w:kern w:val="2"/>
                      <w:sz w:val="21"/>
                      <w:szCs w:val="21"/>
                      <w:highlight w:val="none"/>
                      <w:u w:val="none" w:color="auto"/>
                      <w:vertAlign w:val="baseline"/>
                      <w:lang w:val="en-US" w:eastAsia="zh-CN"/>
                    </w:rPr>
                  </w:pPr>
                  <w:r>
                    <w:rPr>
                      <w:rFonts w:hint="eastAsia" w:ascii="Times New Roman" w:hAnsi="Times New Roman" w:eastAsia="宋体" w:cs="Times New Roman"/>
                      <w:bCs w:val="0"/>
                      <w:color w:val="auto"/>
                      <w:kern w:val="2"/>
                      <w:sz w:val="21"/>
                      <w:szCs w:val="21"/>
                      <w:highlight w:val="none"/>
                      <w:u w:val="none" w:color="auto"/>
                      <w:vertAlign w:val="baseline"/>
                      <w:lang w:val="en-US" w:eastAsia="zh-CN"/>
                    </w:rPr>
                    <w:t>原料区、成品区储罐</w:t>
                  </w:r>
                  <w:r>
                    <w:rPr>
                      <w:rFonts w:hint="default" w:ascii="Times New Roman" w:hAnsi="Times New Roman" w:eastAsia="宋体" w:cs="Times New Roman"/>
                      <w:bCs w:val="0"/>
                      <w:color w:val="auto"/>
                      <w:kern w:val="2"/>
                      <w:sz w:val="21"/>
                      <w:szCs w:val="21"/>
                      <w:highlight w:val="none"/>
                      <w:u w:val="none" w:color="auto"/>
                      <w:vertAlign w:val="baseline"/>
                      <w:lang w:val="en-US" w:eastAsia="zh-CN"/>
                    </w:rPr>
                    <w:t>区、生产区</w:t>
                  </w:r>
                  <w:r>
                    <w:rPr>
                      <w:rFonts w:hint="eastAsia" w:ascii="Times New Roman" w:hAnsi="Times New Roman" w:eastAsia="宋体" w:cs="Times New Roman"/>
                      <w:bCs w:val="0"/>
                      <w:color w:val="auto"/>
                      <w:kern w:val="2"/>
                      <w:sz w:val="21"/>
                      <w:szCs w:val="21"/>
                      <w:highlight w:val="none"/>
                      <w:u w:val="none" w:color="auto"/>
                      <w:vertAlign w:val="baseline"/>
                      <w:lang w:val="en-US" w:eastAsia="zh-CN"/>
                    </w:rPr>
                    <w:t>、一般固废暂存区</w:t>
                  </w:r>
                </w:p>
              </w:tc>
              <w:tc>
                <w:tcPr>
                  <w:tcW w:w="655" w:type="pct"/>
                  <w:tcBorders>
                    <w:tl2br w:val="nil"/>
                    <w:tr2bl w:val="nil"/>
                  </w:tcBorders>
                  <w:noWrap w:val="0"/>
                  <w:vAlign w:val="center"/>
                </w:tcPr>
                <w:p w14:paraId="67EEACE3">
                  <w:pPr>
                    <w:keepNext w:val="0"/>
                    <w:keepLines w:val="0"/>
                    <w:widowControl/>
                    <w:suppressLineNumbers w:val="0"/>
                    <w:jc w:val="center"/>
                    <w:rPr>
                      <w:rFonts w:hint="default" w:ascii="Times New Roman" w:hAnsi="Times New Roman" w:eastAsia="宋体" w:cs="Times New Roman"/>
                      <w:bCs w:val="0"/>
                      <w:color w:val="auto"/>
                      <w:kern w:val="2"/>
                      <w:sz w:val="21"/>
                      <w:szCs w:val="21"/>
                      <w:highlight w:val="none"/>
                      <w:u w:val="none" w:color="auto"/>
                      <w:vertAlign w:val="baseline"/>
                      <w:lang w:val="en-US" w:eastAsia="zh-CN"/>
                    </w:rPr>
                  </w:pPr>
                  <w:r>
                    <w:rPr>
                      <w:rFonts w:hint="default" w:ascii="Times New Roman" w:hAnsi="Times New Roman" w:eastAsia="宋体" w:cs="Times New Roman"/>
                      <w:color w:val="000000"/>
                      <w:kern w:val="0"/>
                      <w:sz w:val="21"/>
                      <w:szCs w:val="21"/>
                      <w:highlight w:val="none"/>
                      <w:u w:val="none" w:color="auto"/>
                      <w:lang w:val="en-US" w:eastAsia="zh-CN" w:bidi="ar"/>
                    </w:rPr>
                    <w:t>地面</w:t>
                  </w:r>
                </w:p>
              </w:tc>
              <w:tc>
                <w:tcPr>
                  <w:tcW w:w="549" w:type="pct"/>
                  <w:tcBorders>
                    <w:tl2br w:val="nil"/>
                    <w:tr2bl w:val="nil"/>
                  </w:tcBorders>
                  <w:noWrap w:val="0"/>
                  <w:vAlign w:val="center"/>
                </w:tcPr>
                <w:p w14:paraId="602D03A2">
                  <w:pPr>
                    <w:keepNext w:val="0"/>
                    <w:keepLines w:val="0"/>
                    <w:widowControl/>
                    <w:suppressLineNumbers w:val="0"/>
                    <w:jc w:val="center"/>
                    <w:rPr>
                      <w:rFonts w:hint="default" w:ascii="Times New Roman" w:hAnsi="Times New Roman" w:eastAsia="宋体" w:cs="Times New Roman"/>
                      <w:bCs w:val="0"/>
                      <w:color w:val="auto"/>
                      <w:kern w:val="2"/>
                      <w:sz w:val="21"/>
                      <w:szCs w:val="21"/>
                      <w:highlight w:val="none"/>
                      <w:u w:val="none" w:color="auto"/>
                      <w:vertAlign w:val="baseline"/>
                      <w:lang w:val="en-US" w:eastAsia="zh-CN"/>
                    </w:rPr>
                  </w:pPr>
                  <w:r>
                    <w:rPr>
                      <w:rFonts w:hint="eastAsia" w:ascii="Times New Roman" w:hAnsi="Times New Roman" w:eastAsia="宋体" w:cs="Times New Roman"/>
                      <w:color w:val="000000"/>
                      <w:kern w:val="0"/>
                      <w:sz w:val="21"/>
                      <w:szCs w:val="21"/>
                      <w:highlight w:val="none"/>
                      <w:u w:val="none" w:color="auto"/>
                      <w:lang w:val="en-US" w:eastAsia="zh-CN" w:bidi="ar"/>
                    </w:rPr>
                    <w:t>一般</w:t>
                  </w:r>
                  <w:r>
                    <w:rPr>
                      <w:rFonts w:hint="default" w:ascii="Times New Roman" w:hAnsi="Times New Roman" w:eastAsia="宋体" w:cs="Times New Roman"/>
                      <w:color w:val="000000"/>
                      <w:kern w:val="0"/>
                      <w:sz w:val="21"/>
                      <w:szCs w:val="21"/>
                      <w:highlight w:val="none"/>
                      <w:u w:val="none" w:color="auto"/>
                      <w:lang w:val="en-US" w:eastAsia="zh-CN" w:bidi="ar"/>
                    </w:rPr>
                    <w:t>防渗</w:t>
                  </w:r>
                  <w:r>
                    <w:rPr>
                      <w:rFonts w:hint="eastAsia" w:ascii="Times New Roman" w:hAnsi="Times New Roman" w:eastAsia="宋体" w:cs="Times New Roman"/>
                      <w:color w:val="000000"/>
                      <w:kern w:val="0"/>
                      <w:sz w:val="21"/>
                      <w:szCs w:val="21"/>
                      <w:highlight w:val="none"/>
                      <w:u w:val="none" w:color="auto"/>
                      <w:lang w:val="en-US" w:eastAsia="zh-CN" w:bidi="ar"/>
                    </w:rPr>
                    <w:t>区</w:t>
                  </w:r>
                </w:p>
              </w:tc>
              <w:tc>
                <w:tcPr>
                  <w:tcW w:w="1284" w:type="pct"/>
                  <w:tcBorders>
                    <w:tl2br w:val="nil"/>
                    <w:tr2bl w:val="nil"/>
                  </w:tcBorders>
                  <w:noWrap w:val="0"/>
                  <w:vAlign w:val="center"/>
                </w:tcPr>
                <w:p w14:paraId="36F0ED96">
                  <w:pPr>
                    <w:keepNext w:val="0"/>
                    <w:keepLines w:val="0"/>
                    <w:widowControl/>
                    <w:suppressLineNumbers w:val="0"/>
                    <w:jc w:val="center"/>
                    <w:rPr>
                      <w:rFonts w:hint="default" w:ascii="Times New Roman" w:hAnsi="Times New Roman" w:eastAsia="宋体" w:cs="Times New Roman"/>
                      <w:bCs w:val="0"/>
                      <w:color w:val="auto"/>
                      <w:kern w:val="2"/>
                      <w:sz w:val="21"/>
                      <w:szCs w:val="21"/>
                      <w:highlight w:val="none"/>
                      <w:u w:val="none" w:color="auto"/>
                      <w:vertAlign w:val="baseline"/>
                      <w:lang w:val="en-US" w:eastAsia="zh-CN"/>
                    </w:rPr>
                  </w:pPr>
                  <w:r>
                    <w:rPr>
                      <w:rFonts w:hint="default" w:ascii="Times New Roman" w:hAnsi="Times New Roman" w:eastAsia="宋体" w:cs="Times New Roman"/>
                      <w:color w:val="000000"/>
                      <w:kern w:val="0"/>
                      <w:sz w:val="21"/>
                      <w:szCs w:val="21"/>
                      <w:highlight w:val="none"/>
                      <w:u w:val="none" w:color="auto"/>
                      <w:lang w:val="en-US" w:eastAsia="zh-CN" w:bidi="ar"/>
                    </w:rPr>
                    <w:t>等效黏土防渗层Mb≥1.5m，渗透系数≤1.0×10</w:t>
                  </w:r>
                  <w:r>
                    <w:rPr>
                      <w:rFonts w:hint="default" w:ascii="Times New Roman" w:hAnsi="Times New Roman" w:eastAsia="宋体" w:cs="Times New Roman"/>
                      <w:color w:val="000000"/>
                      <w:kern w:val="0"/>
                      <w:sz w:val="21"/>
                      <w:szCs w:val="21"/>
                      <w:highlight w:val="none"/>
                      <w:u w:val="none" w:color="auto"/>
                      <w:vertAlign w:val="superscript"/>
                      <w:lang w:val="en-US" w:eastAsia="zh-CN" w:bidi="ar"/>
                    </w:rPr>
                    <w:t>-7</w:t>
                  </w:r>
                  <w:r>
                    <w:rPr>
                      <w:rFonts w:hint="default" w:ascii="Times New Roman" w:hAnsi="Times New Roman" w:eastAsia="宋体" w:cs="Times New Roman"/>
                      <w:color w:val="000000"/>
                      <w:kern w:val="0"/>
                      <w:sz w:val="21"/>
                      <w:szCs w:val="21"/>
                      <w:highlight w:val="none"/>
                      <w:u w:val="none" w:color="auto"/>
                      <w:lang w:val="en-US" w:eastAsia="zh-CN" w:bidi="ar"/>
                    </w:rPr>
                    <w:t>cm/s，或参照GB16889执行</w:t>
                  </w:r>
                </w:p>
              </w:tc>
              <w:tc>
                <w:tcPr>
                  <w:tcW w:w="1329" w:type="pct"/>
                  <w:tcBorders>
                    <w:tl2br w:val="nil"/>
                    <w:tr2bl w:val="nil"/>
                  </w:tcBorders>
                  <w:noWrap w:val="0"/>
                  <w:vAlign w:val="center"/>
                </w:tcPr>
                <w:p w14:paraId="0A568736">
                  <w:pPr>
                    <w:pStyle w:val="17"/>
                    <w:spacing w:line="240" w:lineRule="auto"/>
                    <w:jc w:val="center"/>
                    <w:rPr>
                      <w:rFonts w:hint="default" w:ascii="Times New Roman" w:hAnsi="Times New Roman" w:eastAsia="宋体" w:cs="Times New Roman"/>
                      <w:bCs w:val="0"/>
                      <w:color w:val="auto"/>
                      <w:kern w:val="2"/>
                      <w:sz w:val="21"/>
                      <w:szCs w:val="21"/>
                      <w:highlight w:val="none"/>
                      <w:u w:val="none" w:color="auto"/>
                      <w:vertAlign w:val="baseline"/>
                      <w:lang w:val="en-US" w:eastAsia="zh-CN"/>
                    </w:rPr>
                  </w:pPr>
                  <w:r>
                    <w:rPr>
                      <w:rFonts w:hint="default" w:ascii="Times New Roman" w:hAnsi="Times New Roman" w:eastAsia="宋体" w:cs="Times New Roman"/>
                      <w:bCs w:val="0"/>
                      <w:color w:val="auto"/>
                      <w:kern w:val="2"/>
                      <w:sz w:val="21"/>
                      <w:szCs w:val="21"/>
                      <w:highlight w:val="none"/>
                      <w:u w:val="none" w:color="auto"/>
                      <w:vertAlign w:val="baseline"/>
                      <w:lang w:val="en-US" w:eastAsia="zh-CN"/>
                    </w:rPr>
                    <w:t>铺设天然或人工材料构筑防渗层，防渗层的厚度应相当于渗透系数1.0×10</w:t>
                  </w:r>
                  <w:r>
                    <w:rPr>
                      <w:rFonts w:hint="default" w:ascii="Times New Roman" w:hAnsi="Times New Roman" w:eastAsia="宋体" w:cs="Times New Roman"/>
                      <w:bCs w:val="0"/>
                      <w:color w:val="auto"/>
                      <w:kern w:val="2"/>
                      <w:sz w:val="21"/>
                      <w:szCs w:val="21"/>
                      <w:highlight w:val="none"/>
                      <w:u w:val="none" w:color="auto"/>
                      <w:vertAlign w:val="superscript"/>
                      <w:lang w:val="en-US" w:eastAsia="zh-CN"/>
                    </w:rPr>
                    <w:t>-7</w:t>
                  </w:r>
                  <w:r>
                    <w:rPr>
                      <w:rFonts w:hint="default" w:ascii="Times New Roman" w:hAnsi="Times New Roman" w:eastAsia="宋体" w:cs="Times New Roman"/>
                      <w:bCs w:val="0"/>
                      <w:color w:val="auto"/>
                      <w:kern w:val="2"/>
                      <w:sz w:val="21"/>
                      <w:szCs w:val="21"/>
                      <w:highlight w:val="none"/>
                      <w:u w:val="none" w:color="auto"/>
                      <w:vertAlign w:val="baseline"/>
                      <w:lang w:val="en-US" w:eastAsia="zh-CN"/>
                    </w:rPr>
                    <w:t>cm</w:t>
                  </w:r>
                  <w:r>
                    <w:rPr>
                      <w:rFonts w:hint="default" w:ascii="Times New Roman" w:hAnsi="Times New Roman" w:eastAsia="宋体" w:cs="Times New Roman"/>
                      <w:bCs w:val="0"/>
                      <w:color w:val="000000"/>
                      <w:kern w:val="2"/>
                      <w:sz w:val="21"/>
                      <w:szCs w:val="21"/>
                      <w:highlight w:val="none"/>
                      <w:u w:val="none" w:color="auto"/>
                      <w:vertAlign w:val="baseline"/>
                      <w:lang w:val="en-US" w:eastAsia="zh-CN"/>
                    </w:rPr>
                    <w:t>/s</w:t>
                  </w:r>
                  <w:r>
                    <w:rPr>
                      <w:rFonts w:hint="default" w:ascii="Times New Roman" w:hAnsi="Times New Roman" w:eastAsia="宋体" w:cs="Times New Roman"/>
                      <w:bCs w:val="0"/>
                      <w:color w:val="auto"/>
                      <w:kern w:val="2"/>
                      <w:sz w:val="21"/>
                      <w:szCs w:val="21"/>
                      <w:highlight w:val="none"/>
                      <w:u w:val="none" w:color="auto"/>
                      <w:vertAlign w:val="baseline"/>
                      <w:lang w:val="en-US" w:eastAsia="zh-CN"/>
                    </w:rPr>
                    <w:t>和厚度1.5m的粘土层的防渗性能</w:t>
                  </w:r>
                </w:p>
              </w:tc>
            </w:tr>
            <w:tr w14:paraId="7772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69" w:type="pct"/>
                  <w:tcBorders>
                    <w:tl2br w:val="nil"/>
                    <w:tr2bl w:val="nil"/>
                  </w:tcBorders>
                  <w:noWrap w:val="0"/>
                  <w:vAlign w:val="center"/>
                </w:tcPr>
                <w:p w14:paraId="03875E44">
                  <w:pPr>
                    <w:pStyle w:val="17"/>
                    <w:spacing w:line="240" w:lineRule="auto"/>
                    <w:jc w:val="center"/>
                    <w:rPr>
                      <w:rFonts w:hint="default" w:ascii="Times New Roman" w:hAnsi="Times New Roman" w:eastAsia="宋体" w:cs="Times New Roman"/>
                      <w:bCs w:val="0"/>
                      <w:color w:val="auto"/>
                      <w:kern w:val="2"/>
                      <w:sz w:val="21"/>
                      <w:szCs w:val="21"/>
                      <w:highlight w:val="none"/>
                      <w:u w:val="none" w:color="auto"/>
                      <w:vertAlign w:val="baseline"/>
                      <w:lang w:val="en-US" w:eastAsia="zh-CN"/>
                    </w:rPr>
                  </w:pPr>
                  <w:r>
                    <w:rPr>
                      <w:rFonts w:hint="default" w:ascii="Times New Roman" w:hAnsi="Times New Roman" w:eastAsia="宋体" w:cs="Times New Roman"/>
                      <w:bCs w:val="0"/>
                      <w:color w:val="auto"/>
                      <w:kern w:val="2"/>
                      <w:sz w:val="21"/>
                      <w:szCs w:val="21"/>
                      <w:highlight w:val="none"/>
                      <w:u w:val="none" w:color="auto"/>
                      <w:vertAlign w:val="baseline"/>
                      <w:lang w:val="en-US" w:eastAsia="zh-CN"/>
                    </w:rPr>
                    <w:t>办公区</w:t>
                  </w:r>
                </w:p>
              </w:tc>
              <w:tc>
                <w:tcPr>
                  <w:tcW w:w="655" w:type="pct"/>
                  <w:tcBorders>
                    <w:tl2br w:val="nil"/>
                    <w:tr2bl w:val="nil"/>
                  </w:tcBorders>
                  <w:noWrap w:val="0"/>
                  <w:vAlign w:val="center"/>
                </w:tcPr>
                <w:p w14:paraId="02102B9D">
                  <w:pPr>
                    <w:keepNext w:val="0"/>
                    <w:keepLines w:val="0"/>
                    <w:widowControl/>
                    <w:suppressLineNumbers w:val="0"/>
                    <w:jc w:val="center"/>
                    <w:rPr>
                      <w:rFonts w:hint="default" w:ascii="Times New Roman" w:hAnsi="Times New Roman" w:eastAsia="宋体" w:cs="Times New Roman"/>
                      <w:bCs w:val="0"/>
                      <w:color w:val="auto"/>
                      <w:kern w:val="2"/>
                      <w:sz w:val="21"/>
                      <w:szCs w:val="21"/>
                      <w:highlight w:val="none"/>
                      <w:u w:val="none" w:color="auto"/>
                      <w:vertAlign w:val="baseline"/>
                      <w:lang w:val="en-US" w:eastAsia="zh-CN"/>
                    </w:rPr>
                  </w:pPr>
                  <w:r>
                    <w:rPr>
                      <w:rFonts w:hint="default" w:ascii="Times New Roman" w:hAnsi="Times New Roman" w:eastAsia="宋体" w:cs="Times New Roman"/>
                      <w:color w:val="000000"/>
                      <w:kern w:val="0"/>
                      <w:sz w:val="21"/>
                      <w:szCs w:val="21"/>
                      <w:highlight w:val="none"/>
                      <w:u w:val="none" w:color="auto"/>
                      <w:lang w:val="en-US" w:eastAsia="zh-CN" w:bidi="ar"/>
                    </w:rPr>
                    <w:t>地面</w:t>
                  </w:r>
                </w:p>
              </w:tc>
              <w:tc>
                <w:tcPr>
                  <w:tcW w:w="549" w:type="pct"/>
                  <w:tcBorders>
                    <w:tl2br w:val="nil"/>
                    <w:tr2bl w:val="nil"/>
                  </w:tcBorders>
                  <w:noWrap w:val="0"/>
                  <w:vAlign w:val="center"/>
                </w:tcPr>
                <w:p w14:paraId="31BEC296">
                  <w:pPr>
                    <w:keepNext w:val="0"/>
                    <w:keepLines w:val="0"/>
                    <w:widowControl/>
                    <w:suppressLineNumbers w:val="0"/>
                    <w:jc w:val="center"/>
                    <w:rPr>
                      <w:rFonts w:hint="default" w:ascii="Times New Roman" w:hAnsi="Times New Roman" w:eastAsia="宋体" w:cs="Times New Roman"/>
                      <w:bCs w:val="0"/>
                      <w:color w:val="auto"/>
                      <w:kern w:val="2"/>
                      <w:sz w:val="21"/>
                      <w:szCs w:val="21"/>
                      <w:highlight w:val="none"/>
                      <w:u w:val="none" w:color="auto"/>
                      <w:vertAlign w:val="baseline"/>
                      <w:lang w:val="en-US" w:eastAsia="zh-CN"/>
                    </w:rPr>
                  </w:pPr>
                  <w:r>
                    <w:rPr>
                      <w:rFonts w:hint="default" w:ascii="Times New Roman" w:hAnsi="Times New Roman" w:eastAsia="宋体" w:cs="Times New Roman"/>
                      <w:color w:val="000000"/>
                      <w:kern w:val="0"/>
                      <w:sz w:val="21"/>
                      <w:szCs w:val="21"/>
                      <w:highlight w:val="none"/>
                      <w:u w:val="none" w:color="auto"/>
                      <w:lang w:val="en-US" w:eastAsia="zh-CN" w:bidi="ar"/>
                    </w:rPr>
                    <w:t>简单防渗</w:t>
                  </w:r>
                  <w:r>
                    <w:rPr>
                      <w:rFonts w:hint="eastAsia" w:ascii="Times New Roman" w:hAnsi="Times New Roman" w:eastAsia="宋体" w:cs="Times New Roman"/>
                      <w:color w:val="000000"/>
                      <w:kern w:val="0"/>
                      <w:sz w:val="21"/>
                      <w:szCs w:val="21"/>
                      <w:highlight w:val="none"/>
                      <w:u w:val="none" w:color="auto"/>
                      <w:lang w:val="en-US" w:eastAsia="zh-CN" w:bidi="ar"/>
                    </w:rPr>
                    <w:t>区</w:t>
                  </w:r>
                </w:p>
              </w:tc>
              <w:tc>
                <w:tcPr>
                  <w:tcW w:w="1284" w:type="pct"/>
                  <w:tcBorders>
                    <w:tl2br w:val="nil"/>
                    <w:tr2bl w:val="nil"/>
                  </w:tcBorders>
                  <w:noWrap w:val="0"/>
                  <w:vAlign w:val="center"/>
                </w:tcPr>
                <w:p w14:paraId="2863184F">
                  <w:pPr>
                    <w:keepNext w:val="0"/>
                    <w:keepLines w:val="0"/>
                    <w:widowControl/>
                    <w:suppressLineNumbers w:val="0"/>
                    <w:jc w:val="center"/>
                    <w:rPr>
                      <w:rFonts w:hint="default" w:ascii="Times New Roman" w:hAnsi="Times New Roman" w:eastAsia="宋体" w:cs="Times New Roman"/>
                      <w:bCs w:val="0"/>
                      <w:color w:val="auto"/>
                      <w:kern w:val="2"/>
                      <w:sz w:val="21"/>
                      <w:szCs w:val="21"/>
                      <w:highlight w:val="none"/>
                      <w:u w:val="none" w:color="auto"/>
                      <w:vertAlign w:val="baseline"/>
                      <w:lang w:val="en-US" w:eastAsia="zh-CN"/>
                    </w:rPr>
                  </w:pPr>
                  <w:r>
                    <w:rPr>
                      <w:rFonts w:hint="default" w:ascii="Times New Roman" w:hAnsi="Times New Roman" w:eastAsia="宋体" w:cs="Times New Roman"/>
                      <w:color w:val="000000"/>
                      <w:kern w:val="0"/>
                      <w:sz w:val="21"/>
                      <w:szCs w:val="21"/>
                      <w:highlight w:val="none"/>
                      <w:u w:val="none" w:color="auto"/>
                      <w:lang w:val="en-US" w:eastAsia="zh-CN" w:bidi="ar"/>
                    </w:rPr>
                    <w:t>一般硬化地面</w:t>
                  </w:r>
                </w:p>
              </w:tc>
              <w:tc>
                <w:tcPr>
                  <w:tcW w:w="1329" w:type="pct"/>
                  <w:tcBorders>
                    <w:tl2br w:val="nil"/>
                    <w:tr2bl w:val="nil"/>
                  </w:tcBorders>
                  <w:noWrap w:val="0"/>
                  <w:vAlign w:val="center"/>
                </w:tcPr>
                <w:p w14:paraId="2E868A62">
                  <w:pPr>
                    <w:pStyle w:val="17"/>
                    <w:spacing w:line="240" w:lineRule="auto"/>
                    <w:jc w:val="center"/>
                    <w:rPr>
                      <w:rFonts w:hint="default" w:ascii="Times New Roman" w:hAnsi="Times New Roman" w:eastAsia="宋体" w:cs="Times New Roman"/>
                      <w:bCs w:val="0"/>
                      <w:color w:val="auto"/>
                      <w:kern w:val="2"/>
                      <w:sz w:val="21"/>
                      <w:szCs w:val="21"/>
                      <w:highlight w:val="none"/>
                      <w:u w:val="none" w:color="auto"/>
                      <w:vertAlign w:val="baseline"/>
                      <w:lang w:val="en-US" w:eastAsia="zh-CN"/>
                    </w:rPr>
                  </w:pPr>
                  <w:r>
                    <w:rPr>
                      <w:rFonts w:hint="default" w:ascii="Times New Roman" w:hAnsi="Times New Roman" w:eastAsia="宋体" w:cs="Times New Roman"/>
                      <w:color w:val="000000"/>
                      <w:kern w:val="0"/>
                      <w:sz w:val="21"/>
                      <w:szCs w:val="21"/>
                      <w:highlight w:val="none"/>
                      <w:u w:val="none" w:color="auto"/>
                      <w:lang w:val="en-US" w:eastAsia="zh-CN" w:bidi="ar"/>
                    </w:rPr>
                    <w:t>一般水泥地面（项目厂房地面已硬化）</w:t>
                  </w:r>
                </w:p>
              </w:tc>
            </w:tr>
          </w:tbl>
          <w:p w14:paraId="312AD25C">
            <w:pPr>
              <w:spacing w:line="360" w:lineRule="auto"/>
              <w:rPr>
                <w:b/>
                <w:bCs/>
                <w:sz w:val="24"/>
                <w:szCs w:val="24"/>
              </w:rPr>
            </w:pPr>
            <w:r>
              <w:rPr>
                <w:rFonts w:hint="eastAsia"/>
                <w:b/>
                <w:bCs/>
                <w:sz w:val="24"/>
                <w:szCs w:val="24"/>
                <w:lang w:val="en-US" w:eastAsia="zh-CN"/>
              </w:rPr>
              <w:t>六</w:t>
            </w:r>
            <w:r>
              <w:rPr>
                <w:rFonts w:hint="eastAsia"/>
                <w:b/>
                <w:bCs/>
                <w:sz w:val="24"/>
                <w:szCs w:val="24"/>
              </w:rPr>
              <w:t>、</w:t>
            </w:r>
            <w:r>
              <w:rPr>
                <w:rFonts w:hint="eastAsia"/>
                <w:b/>
                <w:bCs/>
                <w:sz w:val="24"/>
                <w:szCs w:val="24"/>
                <w:lang w:val="en-US" w:eastAsia="zh-CN"/>
              </w:rPr>
              <w:t>生态环境影响</w:t>
            </w:r>
            <w:r>
              <w:rPr>
                <w:b/>
                <w:bCs/>
                <w:sz w:val="24"/>
                <w:szCs w:val="24"/>
              </w:rPr>
              <w:t>分析</w:t>
            </w:r>
          </w:p>
          <w:p w14:paraId="005CA6A8">
            <w:pPr>
              <w:pStyle w:val="30"/>
              <w:spacing w:after="0" w:line="360" w:lineRule="auto"/>
              <w:ind w:firstLine="480" w:firstLineChars="200"/>
              <w:rPr>
                <w:rFonts w:hint="eastAsia"/>
              </w:rPr>
            </w:pPr>
            <w:r>
              <w:rPr>
                <w:rFonts w:hint="eastAsia"/>
                <w:lang w:val="en-US" w:eastAsia="zh-CN"/>
              </w:rPr>
              <w:t>本项目位于</w:t>
            </w:r>
            <w:r>
              <w:rPr>
                <w:rFonts w:hint="default" w:ascii="Times New Roman" w:hAnsi="Times New Roman" w:eastAsia="宋体" w:cs="Times New Roman"/>
                <w:sz w:val="24"/>
                <w:lang w:eastAsia="zh-CN"/>
              </w:rPr>
              <w:t>岳阳临港高新技术产业开发区</w:t>
            </w:r>
            <w:r>
              <w:rPr>
                <w:rFonts w:hint="eastAsia"/>
                <w:color w:val="auto"/>
                <w:highlight w:val="none"/>
                <w:lang w:val="en-US" w:eastAsia="zh-CN"/>
              </w:rPr>
              <w:t>内，且</w:t>
            </w:r>
            <w:r>
              <w:rPr>
                <w:rFonts w:hint="eastAsia"/>
                <w:lang w:val="en-US" w:eastAsia="zh-CN"/>
              </w:rPr>
              <w:t>租赁</w:t>
            </w:r>
            <w:r>
              <w:rPr>
                <w:rFonts w:hint="eastAsia"/>
                <w:color w:val="auto"/>
                <w:highlight w:val="none"/>
                <w:lang w:eastAsia="zh-CN"/>
              </w:rPr>
              <w:t>际华高分子材料高科产业园</w:t>
            </w:r>
            <w:r>
              <w:rPr>
                <w:rFonts w:hint="eastAsia"/>
                <w:color w:val="auto"/>
                <w:highlight w:val="none"/>
                <w:lang w:val="en-US" w:eastAsia="zh-CN"/>
              </w:rPr>
              <w:t>10#厂房进行生产，</w:t>
            </w:r>
            <w:r>
              <w:rPr>
                <w:rFonts w:hint="eastAsia"/>
                <w:lang w:val="en-US" w:eastAsia="zh-CN"/>
              </w:rPr>
              <w:t>周边已开发</w:t>
            </w:r>
            <w:r>
              <w:rPr>
                <w:rFonts w:hint="eastAsia"/>
              </w:rPr>
              <w:t>多年</w:t>
            </w:r>
            <w:r>
              <w:t>，已无原生植被</w:t>
            </w:r>
            <w:r>
              <w:rPr>
                <w:rFonts w:hint="eastAsia"/>
              </w:rPr>
              <w:t>，</w:t>
            </w:r>
            <w:r>
              <w:t>现仅存极少量次生植被和人工植被</w:t>
            </w:r>
            <w:r>
              <w:rPr>
                <w:rFonts w:hint="eastAsia"/>
                <w:lang w:eastAsia="zh-CN"/>
              </w:rPr>
              <w:t>，</w:t>
            </w:r>
            <w:r>
              <w:rPr>
                <w:rFonts w:hint="eastAsia"/>
                <w:lang w:val="en-US" w:eastAsia="zh-CN"/>
              </w:rPr>
              <w:t>因此本项目对周边生态环境产生的影响较小。</w:t>
            </w:r>
          </w:p>
          <w:p w14:paraId="61AD2070">
            <w:pPr>
              <w:spacing w:line="360" w:lineRule="auto"/>
              <w:rPr>
                <w:b/>
                <w:bCs/>
                <w:sz w:val="24"/>
                <w:szCs w:val="24"/>
              </w:rPr>
            </w:pPr>
            <w:r>
              <w:rPr>
                <w:rFonts w:hint="eastAsia"/>
                <w:b/>
                <w:bCs/>
                <w:sz w:val="24"/>
                <w:szCs w:val="24"/>
                <w:lang w:val="en-US" w:eastAsia="zh-CN"/>
              </w:rPr>
              <w:t>七</w:t>
            </w:r>
            <w:r>
              <w:rPr>
                <w:rFonts w:hint="eastAsia"/>
                <w:b/>
                <w:bCs/>
                <w:sz w:val="24"/>
                <w:szCs w:val="24"/>
              </w:rPr>
              <w:t>、</w:t>
            </w:r>
            <w:r>
              <w:rPr>
                <w:b/>
                <w:bCs/>
                <w:sz w:val="24"/>
                <w:szCs w:val="24"/>
              </w:rPr>
              <w:t>环境风险分析</w:t>
            </w:r>
          </w:p>
          <w:p w14:paraId="19104F6D">
            <w:pPr>
              <w:widowControl/>
              <w:spacing w:line="360" w:lineRule="auto"/>
              <w:ind w:firstLine="480" w:firstLineChars="200"/>
              <w:rPr>
                <w:rFonts w:ascii="Calibri" w:hAnsi="Calibri"/>
                <w:u w:val="none"/>
              </w:rPr>
            </w:pPr>
            <w:r>
              <w:rPr>
                <w:rFonts w:ascii="Calibri" w:hAnsi="Calibri"/>
                <w:sz w:val="24"/>
                <w:szCs w:val="24"/>
                <w:u w:val="none"/>
              </w:rPr>
              <w:t>环境风险评价目的是分析和预测建设项目存在的潜在危险、有害因素，建设项目建设和运行期间可能产生的突发性事件或事故（一般不包括人为破坏及自然灾害），引起有毒有害和易燃易爆等物质泄</w:t>
            </w:r>
            <w:r>
              <w:rPr>
                <w:rFonts w:ascii="Calibri" w:hAnsi="Calibri"/>
                <w:u w:val="none"/>
              </w:rPr>
              <w:t>漏，所造成的人身安全与环境影响和损害程度，提出合理可行的防范、应急减缓措施，以使建设项目的事故率、损失和环境影响降低到可接受水平。</w:t>
            </w:r>
          </w:p>
          <w:p w14:paraId="1AB88BB2">
            <w:pPr>
              <w:overflowPunct w:val="0"/>
              <w:snapToGrid w:val="0"/>
              <w:spacing w:line="360" w:lineRule="auto"/>
              <w:ind w:firstLine="480" w:firstLineChars="200"/>
              <w:rPr>
                <w:b/>
                <w:u w:val="none"/>
              </w:rPr>
            </w:pPr>
            <w:r>
              <w:rPr>
                <w:rFonts w:hint="eastAsia"/>
                <w:u w:val="none"/>
              </w:rPr>
              <w:t>（1）</w:t>
            </w:r>
            <w:r>
              <w:rPr>
                <w:u w:val="none"/>
              </w:rPr>
              <w:t>风险识别</w:t>
            </w:r>
          </w:p>
          <w:p w14:paraId="19EFE3A2">
            <w:pPr>
              <w:adjustRightInd w:val="0"/>
              <w:snapToGrid w:val="0"/>
              <w:spacing w:line="360" w:lineRule="auto"/>
              <w:ind w:firstLine="480" w:firstLineChars="200"/>
              <w:rPr>
                <w:rFonts w:hint="default" w:eastAsia="宋体"/>
                <w:bCs/>
                <w:u w:val="none"/>
                <w:lang w:val="en-US" w:eastAsia="zh-CN"/>
              </w:rPr>
            </w:pPr>
            <w:r>
              <w:rPr>
                <w:rFonts w:hint="eastAsia"/>
                <w:u w:val="none"/>
              </w:rPr>
              <w:t>本项目原料为NMP回收液，成品为N-甲基吡咯烷酮，工艺为精馏提纯，无化学反应，对照《建设项目环境风险评价技术导则》（HJ 169-2018）附录</w:t>
            </w:r>
            <w:r>
              <w:rPr>
                <w:rFonts w:hint="eastAsia"/>
                <w:u w:val="none"/>
                <w:lang w:val="en-US" w:eastAsia="zh-CN"/>
              </w:rPr>
              <w:t>NMP非风险物质；对照</w:t>
            </w:r>
            <w:r>
              <w:rPr>
                <w:rFonts w:hint="eastAsia"/>
                <w:u w:val="none"/>
              </w:rPr>
              <w:t>GB 30000.18</w:t>
            </w:r>
            <w:r>
              <w:rPr>
                <w:rFonts w:hint="eastAsia"/>
                <w:u w:val="none"/>
                <w:lang w:val="en-US" w:eastAsia="zh-CN"/>
              </w:rPr>
              <w:t>以及</w:t>
            </w:r>
            <w:r>
              <w:rPr>
                <w:rFonts w:hint="eastAsia"/>
                <w:u w:val="none"/>
              </w:rPr>
              <w:t>GB 30000.28</w:t>
            </w:r>
            <w:r>
              <w:rPr>
                <w:rFonts w:hint="eastAsia"/>
                <w:u w:val="none"/>
                <w:lang w:eastAsia="zh-CN"/>
              </w:rPr>
              <w:t>，</w:t>
            </w:r>
            <w:r>
              <w:rPr>
                <w:rFonts w:hint="eastAsia"/>
                <w:u w:val="none"/>
                <w:lang w:val="en-US" w:eastAsia="zh-CN"/>
              </w:rPr>
              <w:t>NMP非健康危害急性毒性物质以及急性危害水环境物质；对照《危险化学品名录（2022调整版）》</w:t>
            </w:r>
            <w:r>
              <w:rPr>
                <w:rFonts w:hint="eastAsia"/>
                <w:u w:val="none"/>
              </w:rPr>
              <w:t>，NMP</w:t>
            </w:r>
            <w:r>
              <w:rPr>
                <w:rFonts w:hint="eastAsia"/>
                <w:u w:val="none"/>
                <w:lang w:val="en-US" w:eastAsia="zh-CN"/>
              </w:rPr>
              <w:t>非</w:t>
            </w:r>
            <w:r>
              <w:rPr>
                <w:rFonts w:hint="eastAsia"/>
                <w:u w:val="none"/>
              </w:rPr>
              <w:t>危险</w:t>
            </w:r>
            <w:r>
              <w:rPr>
                <w:rFonts w:hint="eastAsia"/>
                <w:u w:val="none"/>
                <w:lang w:val="en-US" w:eastAsia="zh-CN"/>
              </w:rPr>
              <w:t>化学品</w:t>
            </w:r>
            <w:r>
              <w:rPr>
                <w:rFonts w:hint="eastAsia"/>
                <w:u w:val="none"/>
              </w:rPr>
              <w:t>，</w:t>
            </w:r>
            <w:r>
              <w:rPr>
                <w:rFonts w:hint="eastAsia"/>
                <w:u w:val="none"/>
                <w:lang w:val="en-US" w:eastAsia="zh-CN"/>
              </w:rPr>
              <w:t>且</w:t>
            </w:r>
            <w:r>
              <w:rPr>
                <w:rFonts w:hint="eastAsia"/>
                <w:u w:val="none"/>
              </w:rPr>
              <w:t>不涉及危险工艺</w:t>
            </w:r>
            <w:r>
              <w:rPr>
                <w:rFonts w:hint="eastAsia"/>
                <w:u w:val="none"/>
                <w:lang w:val="en-US" w:eastAsia="zh-CN"/>
              </w:rPr>
              <w:t>以及</w:t>
            </w:r>
            <w:r>
              <w:rPr>
                <w:rFonts w:hint="eastAsia"/>
                <w:u w:val="none"/>
              </w:rPr>
              <w:t>危险化学品储罐区。</w:t>
            </w:r>
            <w:r>
              <w:rPr>
                <w:rFonts w:hint="eastAsia"/>
                <w:u w:val="none"/>
                <w:lang w:val="en-US" w:eastAsia="zh-CN"/>
              </w:rPr>
              <w:t>因此，本项目风险物质为矿物油以及危险废物。</w:t>
            </w:r>
          </w:p>
          <w:p w14:paraId="1A185C36">
            <w:pPr>
              <w:widowControl/>
              <w:spacing w:line="360" w:lineRule="auto"/>
              <w:ind w:firstLine="480" w:firstLineChars="200"/>
              <w:jc w:val="left"/>
              <w:rPr>
                <w:color w:val="000000"/>
                <w:kern w:val="0"/>
                <w:szCs w:val="20"/>
                <w:u w:val="none"/>
              </w:rPr>
            </w:pPr>
            <w:r>
              <w:rPr>
                <w:rFonts w:hint="eastAsia"/>
                <w:color w:val="000000"/>
                <w:kern w:val="0"/>
                <w:szCs w:val="20"/>
                <w:u w:val="none"/>
              </w:rPr>
              <w:t>（2）环境</w:t>
            </w:r>
            <w:r>
              <w:rPr>
                <w:color w:val="000000"/>
                <w:kern w:val="0"/>
                <w:szCs w:val="20"/>
                <w:u w:val="none"/>
              </w:rPr>
              <w:t>风险潜势初判</w:t>
            </w:r>
          </w:p>
          <w:p w14:paraId="3F95E81C">
            <w:pPr>
              <w:widowControl/>
              <w:spacing w:line="360" w:lineRule="auto"/>
              <w:ind w:firstLine="480" w:firstLineChars="200"/>
              <w:jc w:val="left"/>
              <w:rPr>
                <w:color w:val="000000"/>
                <w:kern w:val="0"/>
                <w:szCs w:val="20"/>
                <w:u w:val="none"/>
              </w:rPr>
            </w:pPr>
            <w:r>
              <w:rPr>
                <w:color w:val="000000"/>
                <w:kern w:val="0"/>
                <w:szCs w:val="20"/>
                <w:u w:val="none"/>
              </w:rPr>
              <w:t>根据《建设项目环境风险评价技术导则》（HJ169-2018）中附录B</w:t>
            </w:r>
            <w:r>
              <w:rPr>
                <w:rFonts w:hint="eastAsia"/>
                <w:color w:val="000000"/>
                <w:kern w:val="0"/>
                <w:szCs w:val="20"/>
                <w:u w:val="none"/>
              </w:rPr>
              <w:t>可知风险因子临界量，详见下表。</w:t>
            </w:r>
          </w:p>
          <w:p w14:paraId="7862B00B">
            <w:pPr>
              <w:pStyle w:val="12"/>
              <w:spacing w:after="0" w:line="240" w:lineRule="auto"/>
              <w:jc w:val="center"/>
              <w:rPr>
                <w:u w:val="none"/>
              </w:rPr>
            </w:pPr>
            <w:r>
              <w:rPr>
                <w:b/>
                <w:bCs/>
                <w:sz w:val="24"/>
                <w:u w:val="none"/>
              </w:rPr>
              <w:t>表</w:t>
            </w:r>
            <w:r>
              <w:rPr>
                <w:rFonts w:hint="eastAsia"/>
                <w:b/>
                <w:bCs/>
                <w:sz w:val="24"/>
                <w:u w:val="none"/>
              </w:rPr>
              <w:t>4-</w:t>
            </w:r>
            <w:r>
              <w:rPr>
                <w:rFonts w:hint="eastAsia"/>
                <w:b/>
                <w:bCs/>
                <w:sz w:val="24"/>
                <w:u w:val="none"/>
                <w:lang w:val="en-US" w:eastAsia="zh-CN"/>
              </w:rPr>
              <w:t>16</w:t>
            </w:r>
            <w:r>
              <w:rPr>
                <w:b/>
                <w:bCs/>
                <w:sz w:val="24"/>
                <w:u w:val="none"/>
              </w:rPr>
              <w:t xml:space="preserve">  </w:t>
            </w:r>
            <w:r>
              <w:rPr>
                <w:rFonts w:hint="eastAsia"/>
                <w:b/>
                <w:bCs/>
                <w:sz w:val="24"/>
                <w:u w:val="none"/>
              </w:rPr>
              <w:t>风险因子Q值计算一览表</w:t>
            </w:r>
          </w:p>
          <w:tbl>
            <w:tblPr>
              <w:tblStyle w:val="32"/>
              <w:tblW w:w="8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2038"/>
              <w:gridCol w:w="2038"/>
              <w:gridCol w:w="2038"/>
            </w:tblGrid>
            <w:tr w14:paraId="5856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7" w:type="dxa"/>
                  <w:vAlign w:val="center"/>
                </w:tcPr>
                <w:p w14:paraId="1625A447">
                  <w:pPr>
                    <w:widowControl/>
                    <w:jc w:val="center"/>
                    <w:rPr>
                      <w:b/>
                      <w:bCs/>
                      <w:color w:val="000000"/>
                      <w:kern w:val="0"/>
                      <w:sz w:val="21"/>
                      <w:szCs w:val="21"/>
                      <w:u w:val="none"/>
                    </w:rPr>
                  </w:pPr>
                  <w:r>
                    <w:rPr>
                      <w:rFonts w:hint="eastAsia"/>
                      <w:b/>
                      <w:bCs/>
                      <w:color w:val="000000"/>
                      <w:kern w:val="0"/>
                      <w:sz w:val="21"/>
                      <w:szCs w:val="21"/>
                      <w:u w:val="none"/>
                    </w:rPr>
                    <w:t>风险因子</w:t>
                  </w:r>
                </w:p>
              </w:tc>
              <w:tc>
                <w:tcPr>
                  <w:tcW w:w="2038" w:type="dxa"/>
                  <w:vAlign w:val="center"/>
                </w:tcPr>
                <w:p w14:paraId="23E375CF">
                  <w:pPr>
                    <w:widowControl/>
                    <w:jc w:val="center"/>
                    <w:rPr>
                      <w:b/>
                      <w:bCs/>
                      <w:color w:val="000000"/>
                      <w:kern w:val="0"/>
                      <w:sz w:val="21"/>
                      <w:szCs w:val="21"/>
                      <w:u w:val="none"/>
                    </w:rPr>
                  </w:pPr>
                  <w:r>
                    <w:rPr>
                      <w:rFonts w:hint="eastAsia"/>
                      <w:b/>
                      <w:bCs/>
                      <w:color w:val="000000"/>
                      <w:kern w:val="0"/>
                      <w:sz w:val="21"/>
                      <w:szCs w:val="21"/>
                      <w:u w:val="none"/>
                    </w:rPr>
                    <w:t>最大储存量（t）</w:t>
                  </w:r>
                </w:p>
              </w:tc>
              <w:tc>
                <w:tcPr>
                  <w:tcW w:w="2038" w:type="dxa"/>
                  <w:vAlign w:val="center"/>
                </w:tcPr>
                <w:p w14:paraId="54165838">
                  <w:pPr>
                    <w:widowControl/>
                    <w:jc w:val="center"/>
                    <w:rPr>
                      <w:b/>
                      <w:bCs/>
                      <w:color w:val="000000"/>
                      <w:kern w:val="0"/>
                      <w:sz w:val="21"/>
                      <w:szCs w:val="21"/>
                      <w:u w:val="none"/>
                    </w:rPr>
                  </w:pPr>
                  <w:r>
                    <w:rPr>
                      <w:rFonts w:hint="eastAsia"/>
                      <w:b/>
                      <w:bCs/>
                      <w:color w:val="000000"/>
                      <w:kern w:val="0"/>
                      <w:sz w:val="21"/>
                      <w:szCs w:val="21"/>
                      <w:u w:val="none"/>
                    </w:rPr>
                    <w:t>临界量（t）</w:t>
                  </w:r>
                </w:p>
              </w:tc>
              <w:tc>
                <w:tcPr>
                  <w:tcW w:w="2038" w:type="dxa"/>
                  <w:vAlign w:val="center"/>
                </w:tcPr>
                <w:p w14:paraId="000AF3FE">
                  <w:pPr>
                    <w:widowControl/>
                    <w:jc w:val="center"/>
                    <w:rPr>
                      <w:b/>
                      <w:bCs/>
                      <w:color w:val="000000"/>
                      <w:kern w:val="0"/>
                      <w:sz w:val="21"/>
                      <w:szCs w:val="21"/>
                      <w:u w:val="none"/>
                    </w:rPr>
                  </w:pPr>
                  <w:r>
                    <w:rPr>
                      <w:rFonts w:hint="eastAsia"/>
                      <w:b/>
                      <w:bCs/>
                      <w:color w:val="000000"/>
                      <w:kern w:val="0"/>
                      <w:sz w:val="21"/>
                      <w:szCs w:val="21"/>
                      <w:u w:val="none"/>
                    </w:rPr>
                    <w:t>Q值</w:t>
                  </w:r>
                </w:p>
              </w:tc>
            </w:tr>
            <w:tr w14:paraId="61A8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7" w:type="dxa"/>
                  <w:shd w:val="clear" w:color="auto" w:fill="auto"/>
                  <w:vAlign w:val="center"/>
                </w:tcPr>
                <w:p w14:paraId="48E282AE">
                  <w:pPr>
                    <w:pStyle w:val="115"/>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cs="Times New Roman"/>
                      <w:color w:val="auto"/>
                      <w:lang w:val="en-US" w:eastAsia="zh-CN"/>
                    </w:rPr>
                  </w:pPr>
                  <w:r>
                    <w:rPr>
                      <w:rFonts w:hint="eastAsia" w:cs="Times New Roman"/>
                      <w:color w:val="auto"/>
                      <w:lang w:val="en-US" w:eastAsia="zh-CN"/>
                    </w:rPr>
                    <w:t>矿物油</w:t>
                  </w:r>
                </w:p>
              </w:tc>
              <w:tc>
                <w:tcPr>
                  <w:tcW w:w="2038" w:type="dxa"/>
                  <w:vAlign w:val="center"/>
                </w:tcPr>
                <w:p w14:paraId="0B6E7F57">
                  <w:pPr>
                    <w:widowControl/>
                    <w:jc w:val="center"/>
                    <w:rPr>
                      <w:rFonts w:hint="default"/>
                      <w:color w:val="000000"/>
                      <w:kern w:val="0"/>
                      <w:sz w:val="21"/>
                      <w:szCs w:val="21"/>
                      <w:u w:val="none"/>
                      <w:lang w:val="en-US" w:eastAsia="zh-CN"/>
                    </w:rPr>
                  </w:pPr>
                  <w:r>
                    <w:rPr>
                      <w:rFonts w:hint="eastAsia"/>
                      <w:color w:val="000000"/>
                      <w:kern w:val="0"/>
                      <w:sz w:val="21"/>
                      <w:szCs w:val="21"/>
                      <w:u w:val="none"/>
                      <w:lang w:val="en-US" w:eastAsia="zh-CN"/>
                    </w:rPr>
                    <w:t>0.02</w:t>
                  </w:r>
                </w:p>
              </w:tc>
              <w:tc>
                <w:tcPr>
                  <w:tcW w:w="2038" w:type="dxa"/>
                  <w:vAlign w:val="center"/>
                </w:tcPr>
                <w:p w14:paraId="78213625">
                  <w:pPr>
                    <w:widowControl/>
                    <w:jc w:val="center"/>
                    <w:rPr>
                      <w:rFonts w:hint="default"/>
                      <w:color w:val="000000"/>
                      <w:kern w:val="0"/>
                      <w:sz w:val="21"/>
                      <w:szCs w:val="21"/>
                      <w:u w:val="none"/>
                      <w:lang w:val="en-US" w:eastAsia="zh-CN"/>
                    </w:rPr>
                  </w:pPr>
                  <w:r>
                    <w:rPr>
                      <w:rFonts w:hint="eastAsia"/>
                      <w:color w:val="000000"/>
                      <w:kern w:val="0"/>
                      <w:sz w:val="21"/>
                      <w:szCs w:val="21"/>
                      <w:u w:val="none"/>
                      <w:lang w:val="en-US" w:eastAsia="zh-CN"/>
                    </w:rPr>
                    <w:t>2500</w:t>
                  </w:r>
                </w:p>
              </w:tc>
              <w:tc>
                <w:tcPr>
                  <w:tcW w:w="2038" w:type="dxa"/>
                  <w:vAlign w:val="center"/>
                </w:tcPr>
                <w:p w14:paraId="0F45E131">
                  <w:pPr>
                    <w:widowControl/>
                    <w:jc w:val="center"/>
                    <w:rPr>
                      <w:rFonts w:hint="default"/>
                      <w:color w:val="000000"/>
                      <w:kern w:val="0"/>
                      <w:sz w:val="21"/>
                      <w:szCs w:val="21"/>
                      <w:u w:val="none"/>
                      <w:lang w:val="en-US" w:eastAsia="zh-CN"/>
                    </w:rPr>
                  </w:pPr>
                  <w:r>
                    <w:rPr>
                      <w:rFonts w:hint="eastAsia"/>
                      <w:color w:val="000000"/>
                      <w:kern w:val="0"/>
                      <w:sz w:val="21"/>
                      <w:szCs w:val="21"/>
                      <w:u w:val="none"/>
                      <w:lang w:val="en-US" w:eastAsia="zh-CN"/>
                    </w:rPr>
                    <w:t>0.000008</w:t>
                  </w:r>
                </w:p>
              </w:tc>
            </w:tr>
            <w:tr w14:paraId="1B9B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7" w:type="dxa"/>
                  <w:vAlign w:val="center"/>
                </w:tcPr>
                <w:p w14:paraId="58361147">
                  <w:pPr>
                    <w:widowControl/>
                    <w:jc w:val="center"/>
                    <w:rPr>
                      <w:rFonts w:hint="default" w:eastAsia="宋体"/>
                      <w:bCs/>
                      <w:sz w:val="21"/>
                      <w:szCs w:val="21"/>
                      <w:u w:val="none"/>
                      <w:lang w:val="en-US" w:eastAsia="zh-CN"/>
                    </w:rPr>
                  </w:pPr>
                  <w:r>
                    <w:rPr>
                      <w:rFonts w:hint="eastAsia"/>
                      <w:bCs/>
                      <w:sz w:val="21"/>
                      <w:szCs w:val="21"/>
                      <w:u w:val="none"/>
                      <w:lang w:val="en-US" w:eastAsia="zh-CN"/>
                    </w:rPr>
                    <w:t>危险废物</w:t>
                  </w:r>
                </w:p>
              </w:tc>
              <w:tc>
                <w:tcPr>
                  <w:tcW w:w="2038" w:type="dxa"/>
                  <w:vAlign w:val="center"/>
                </w:tcPr>
                <w:p w14:paraId="13868358">
                  <w:pPr>
                    <w:widowControl/>
                    <w:jc w:val="center"/>
                    <w:rPr>
                      <w:rFonts w:hint="default"/>
                      <w:color w:val="000000"/>
                      <w:kern w:val="0"/>
                      <w:sz w:val="21"/>
                      <w:szCs w:val="21"/>
                      <w:u w:val="none"/>
                      <w:lang w:val="en-US" w:eastAsia="zh-CN"/>
                    </w:rPr>
                  </w:pPr>
                  <w:r>
                    <w:rPr>
                      <w:rFonts w:hint="eastAsia"/>
                      <w:color w:val="000000"/>
                      <w:kern w:val="0"/>
                      <w:sz w:val="21"/>
                      <w:szCs w:val="21"/>
                      <w:u w:val="none"/>
                      <w:lang w:val="en-US" w:eastAsia="zh-CN"/>
                    </w:rPr>
                    <w:t>8.552</w:t>
                  </w:r>
                </w:p>
              </w:tc>
              <w:tc>
                <w:tcPr>
                  <w:tcW w:w="2038" w:type="dxa"/>
                  <w:vAlign w:val="center"/>
                </w:tcPr>
                <w:p w14:paraId="286A0D93">
                  <w:pPr>
                    <w:widowControl/>
                    <w:jc w:val="center"/>
                    <w:rPr>
                      <w:rFonts w:hint="default"/>
                      <w:color w:val="000000"/>
                      <w:kern w:val="0"/>
                      <w:sz w:val="21"/>
                      <w:szCs w:val="21"/>
                      <w:u w:val="none"/>
                      <w:lang w:val="en-US" w:eastAsia="zh-CN"/>
                    </w:rPr>
                  </w:pPr>
                  <w:r>
                    <w:rPr>
                      <w:rFonts w:hint="eastAsia"/>
                      <w:color w:val="000000"/>
                      <w:kern w:val="0"/>
                      <w:sz w:val="21"/>
                      <w:szCs w:val="21"/>
                      <w:u w:val="none"/>
                      <w:lang w:val="en-US" w:eastAsia="zh-CN"/>
                    </w:rPr>
                    <w:t>50</w:t>
                  </w:r>
                </w:p>
              </w:tc>
              <w:tc>
                <w:tcPr>
                  <w:tcW w:w="2038" w:type="dxa"/>
                  <w:vAlign w:val="center"/>
                </w:tcPr>
                <w:p w14:paraId="4E60B0BD">
                  <w:pPr>
                    <w:widowControl/>
                    <w:jc w:val="center"/>
                    <w:rPr>
                      <w:rFonts w:hint="default"/>
                      <w:color w:val="000000"/>
                      <w:kern w:val="0"/>
                      <w:sz w:val="21"/>
                      <w:szCs w:val="21"/>
                      <w:u w:val="none"/>
                      <w:lang w:val="en-US" w:eastAsia="zh-CN"/>
                    </w:rPr>
                  </w:pPr>
                  <w:r>
                    <w:rPr>
                      <w:rFonts w:hint="eastAsia"/>
                      <w:color w:val="000000"/>
                      <w:kern w:val="0"/>
                      <w:sz w:val="21"/>
                      <w:szCs w:val="21"/>
                      <w:u w:val="none"/>
                      <w:lang w:val="en-US" w:eastAsia="zh-CN"/>
                    </w:rPr>
                    <w:t>0.17104</w:t>
                  </w:r>
                </w:p>
              </w:tc>
            </w:tr>
            <w:tr w14:paraId="4581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3" w:type="dxa"/>
                  <w:gridSpan w:val="3"/>
                  <w:vAlign w:val="center"/>
                </w:tcPr>
                <w:p w14:paraId="6041901A">
                  <w:pPr>
                    <w:widowControl/>
                    <w:jc w:val="center"/>
                    <w:rPr>
                      <w:color w:val="000000"/>
                      <w:kern w:val="0"/>
                      <w:sz w:val="21"/>
                      <w:szCs w:val="21"/>
                      <w:u w:val="none"/>
                    </w:rPr>
                  </w:pPr>
                  <w:r>
                    <w:rPr>
                      <w:rFonts w:hint="eastAsia"/>
                      <w:color w:val="000000"/>
                      <w:kern w:val="0"/>
                      <w:sz w:val="21"/>
                      <w:szCs w:val="21"/>
                      <w:u w:val="none"/>
                    </w:rPr>
                    <w:t>合计</w:t>
                  </w:r>
                </w:p>
              </w:tc>
              <w:tc>
                <w:tcPr>
                  <w:tcW w:w="2038" w:type="dxa"/>
                  <w:vAlign w:val="center"/>
                </w:tcPr>
                <w:p w14:paraId="795F7037">
                  <w:pPr>
                    <w:widowControl/>
                    <w:jc w:val="center"/>
                    <w:rPr>
                      <w:rFonts w:hint="default" w:eastAsia="宋体"/>
                      <w:color w:val="000000"/>
                      <w:kern w:val="0"/>
                      <w:sz w:val="21"/>
                      <w:szCs w:val="21"/>
                      <w:u w:val="none"/>
                      <w:lang w:val="en-US" w:eastAsia="zh-CN"/>
                    </w:rPr>
                  </w:pPr>
                  <w:r>
                    <w:rPr>
                      <w:rFonts w:hint="eastAsia"/>
                      <w:color w:val="000000"/>
                      <w:kern w:val="0"/>
                      <w:sz w:val="21"/>
                      <w:szCs w:val="21"/>
                      <w:u w:val="none"/>
                    </w:rPr>
                    <w:t>0.</w:t>
                  </w:r>
                  <w:r>
                    <w:rPr>
                      <w:rFonts w:hint="eastAsia"/>
                      <w:color w:val="000000"/>
                      <w:kern w:val="0"/>
                      <w:sz w:val="21"/>
                      <w:szCs w:val="21"/>
                      <w:u w:val="none"/>
                      <w:lang w:val="en-US" w:eastAsia="zh-CN"/>
                    </w:rPr>
                    <w:t>171048</w:t>
                  </w:r>
                </w:p>
              </w:tc>
            </w:tr>
          </w:tbl>
          <w:p w14:paraId="26C28AB2">
            <w:pPr>
              <w:widowControl/>
              <w:spacing w:line="360" w:lineRule="auto"/>
              <w:ind w:firstLine="480" w:firstLineChars="200"/>
              <w:jc w:val="left"/>
              <w:rPr>
                <w:color w:val="000000"/>
                <w:kern w:val="0"/>
                <w:szCs w:val="20"/>
                <w:u w:val="none"/>
              </w:rPr>
            </w:pPr>
            <w:r>
              <w:rPr>
                <w:rFonts w:hint="eastAsia"/>
                <w:color w:val="000000"/>
                <w:kern w:val="0"/>
                <w:szCs w:val="20"/>
                <w:u w:val="none"/>
              </w:rPr>
              <w:t>根据上表可知，</w:t>
            </w:r>
            <w:r>
              <w:rPr>
                <w:color w:val="000000"/>
                <w:kern w:val="0"/>
                <w:szCs w:val="20"/>
                <w:u w:val="none"/>
              </w:rPr>
              <w:t>项目环境风险潜势为Ⅰ，只需做简单分析。</w:t>
            </w:r>
          </w:p>
          <w:p w14:paraId="703F9648">
            <w:pPr>
              <w:pStyle w:val="12"/>
              <w:spacing w:after="0" w:line="240" w:lineRule="auto"/>
              <w:jc w:val="center"/>
              <w:rPr>
                <w:u w:val="none"/>
              </w:rPr>
            </w:pPr>
            <w:r>
              <w:rPr>
                <w:b/>
                <w:bCs/>
                <w:sz w:val="24"/>
                <w:u w:val="none"/>
              </w:rPr>
              <w:t>表</w:t>
            </w:r>
            <w:r>
              <w:rPr>
                <w:rFonts w:hint="eastAsia"/>
                <w:b/>
                <w:bCs/>
                <w:sz w:val="24"/>
                <w:u w:val="none"/>
              </w:rPr>
              <w:t>4-</w:t>
            </w:r>
            <w:r>
              <w:rPr>
                <w:rFonts w:hint="eastAsia"/>
                <w:b/>
                <w:bCs/>
                <w:sz w:val="24"/>
                <w:u w:val="none"/>
                <w:lang w:val="en-US" w:eastAsia="zh-CN"/>
              </w:rPr>
              <w:t>17</w:t>
            </w:r>
            <w:r>
              <w:rPr>
                <w:b/>
                <w:bCs/>
                <w:sz w:val="24"/>
                <w:u w:val="none"/>
              </w:rPr>
              <w:t xml:space="preserve">  建设项目环境风险简单分析内容表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1"/>
              <w:gridCol w:w="1829"/>
              <w:gridCol w:w="1142"/>
              <w:gridCol w:w="565"/>
              <w:gridCol w:w="1183"/>
              <w:gridCol w:w="1280"/>
              <w:gridCol w:w="1050"/>
            </w:tblGrid>
            <w:tr w14:paraId="4701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Align w:val="center"/>
                </w:tcPr>
                <w:p w14:paraId="3EA80AD9">
                  <w:pPr>
                    <w:jc w:val="center"/>
                    <w:rPr>
                      <w:sz w:val="21"/>
                      <w:szCs w:val="21"/>
                      <w:u w:val="none"/>
                    </w:rPr>
                  </w:pPr>
                  <w:r>
                    <w:rPr>
                      <w:sz w:val="21"/>
                      <w:szCs w:val="21"/>
                      <w:u w:val="none"/>
                    </w:rPr>
                    <w:t>建设项目</w:t>
                  </w:r>
                </w:p>
              </w:tc>
              <w:tc>
                <w:tcPr>
                  <w:tcW w:w="4319" w:type="pct"/>
                  <w:gridSpan w:val="6"/>
                  <w:vAlign w:val="center"/>
                </w:tcPr>
                <w:p w14:paraId="54676B4C">
                  <w:pPr>
                    <w:jc w:val="center"/>
                    <w:rPr>
                      <w:rFonts w:hint="eastAsia" w:eastAsia="宋体"/>
                      <w:sz w:val="21"/>
                      <w:szCs w:val="21"/>
                      <w:u w:val="none"/>
                      <w:lang w:eastAsia="zh-CN"/>
                    </w:rPr>
                  </w:pPr>
                  <w:r>
                    <w:rPr>
                      <w:rFonts w:hint="eastAsia"/>
                      <w:sz w:val="21"/>
                      <w:szCs w:val="21"/>
                      <w:u w:val="none"/>
                      <w:lang w:eastAsia="zh-CN"/>
                    </w:rPr>
                    <w:t>NMP浆料环保加工项目</w:t>
                  </w:r>
                </w:p>
              </w:tc>
            </w:tr>
            <w:tr w14:paraId="0FB6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Align w:val="center"/>
                </w:tcPr>
                <w:p w14:paraId="1CD0A3BE">
                  <w:pPr>
                    <w:jc w:val="center"/>
                    <w:rPr>
                      <w:sz w:val="21"/>
                      <w:szCs w:val="21"/>
                      <w:u w:val="none"/>
                    </w:rPr>
                  </w:pPr>
                  <w:r>
                    <w:rPr>
                      <w:sz w:val="21"/>
                      <w:szCs w:val="21"/>
                      <w:u w:val="none"/>
                    </w:rPr>
                    <w:t>建设地点</w:t>
                  </w:r>
                </w:p>
              </w:tc>
              <w:tc>
                <w:tcPr>
                  <w:tcW w:w="1120" w:type="pct"/>
                  <w:vAlign w:val="center"/>
                </w:tcPr>
                <w:p w14:paraId="58715E28">
                  <w:pPr>
                    <w:jc w:val="center"/>
                    <w:rPr>
                      <w:sz w:val="21"/>
                      <w:szCs w:val="21"/>
                      <w:u w:val="none"/>
                    </w:rPr>
                  </w:pPr>
                  <w:r>
                    <w:rPr>
                      <w:sz w:val="21"/>
                      <w:szCs w:val="21"/>
                      <w:u w:val="none"/>
                    </w:rPr>
                    <w:t>湖南省</w:t>
                  </w:r>
                </w:p>
              </w:tc>
              <w:tc>
                <w:tcPr>
                  <w:tcW w:w="1770" w:type="pct"/>
                  <w:gridSpan w:val="3"/>
                  <w:vAlign w:val="center"/>
                </w:tcPr>
                <w:p w14:paraId="23769C36">
                  <w:pPr>
                    <w:jc w:val="center"/>
                    <w:rPr>
                      <w:rFonts w:hint="eastAsia" w:eastAsia="宋体"/>
                      <w:sz w:val="21"/>
                      <w:szCs w:val="21"/>
                      <w:u w:val="none"/>
                      <w:lang w:eastAsia="zh-CN"/>
                    </w:rPr>
                  </w:pPr>
                  <w:r>
                    <w:rPr>
                      <w:rFonts w:hint="eastAsia"/>
                      <w:sz w:val="21"/>
                      <w:szCs w:val="21"/>
                      <w:u w:val="none"/>
                      <w:lang w:val="en-US" w:eastAsia="zh-CN"/>
                    </w:rPr>
                    <w:t>岳阳市</w:t>
                  </w:r>
                </w:p>
              </w:tc>
              <w:tc>
                <w:tcPr>
                  <w:tcW w:w="1427" w:type="pct"/>
                  <w:gridSpan w:val="2"/>
                  <w:vAlign w:val="center"/>
                </w:tcPr>
                <w:p w14:paraId="75CE802B">
                  <w:pPr>
                    <w:jc w:val="center"/>
                    <w:rPr>
                      <w:sz w:val="21"/>
                      <w:szCs w:val="21"/>
                      <w:u w:val="none"/>
                    </w:rPr>
                  </w:pPr>
                  <w:r>
                    <w:rPr>
                      <w:rFonts w:hint="eastAsia"/>
                      <w:sz w:val="21"/>
                      <w:szCs w:val="21"/>
                      <w:u w:val="none"/>
                    </w:rPr>
                    <w:t>岳阳临港高新技术产业开发区</w:t>
                  </w:r>
                </w:p>
              </w:tc>
            </w:tr>
            <w:tr w14:paraId="55B3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Align w:val="center"/>
                </w:tcPr>
                <w:p w14:paraId="09EB8E3A">
                  <w:pPr>
                    <w:jc w:val="center"/>
                    <w:rPr>
                      <w:sz w:val="21"/>
                      <w:szCs w:val="21"/>
                      <w:u w:val="none"/>
                    </w:rPr>
                  </w:pPr>
                  <w:r>
                    <w:rPr>
                      <w:sz w:val="21"/>
                      <w:szCs w:val="21"/>
                      <w:u w:val="none"/>
                    </w:rPr>
                    <w:t>地理坐标</w:t>
                  </w:r>
                </w:p>
              </w:tc>
              <w:tc>
                <w:tcPr>
                  <w:tcW w:w="1120" w:type="pct"/>
                  <w:vAlign w:val="center"/>
                </w:tcPr>
                <w:p w14:paraId="11FCC6B5">
                  <w:pPr>
                    <w:jc w:val="center"/>
                    <w:rPr>
                      <w:sz w:val="21"/>
                      <w:szCs w:val="21"/>
                      <w:u w:val="none"/>
                    </w:rPr>
                  </w:pPr>
                  <w:r>
                    <w:rPr>
                      <w:sz w:val="21"/>
                      <w:szCs w:val="21"/>
                      <w:u w:val="none"/>
                    </w:rPr>
                    <w:t>经度</w:t>
                  </w:r>
                </w:p>
              </w:tc>
              <w:tc>
                <w:tcPr>
                  <w:tcW w:w="1045" w:type="pct"/>
                  <w:gridSpan w:val="2"/>
                  <w:vAlign w:val="center"/>
                </w:tcPr>
                <w:p w14:paraId="46B25939">
                  <w:pPr>
                    <w:jc w:val="center"/>
                    <w:rPr>
                      <w:b w:val="0"/>
                      <w:bCs w:val="0"/>
                      <w:sz w:val="21"/>
                      <w:szCs w:val="21"/>
                      <w:u w:val="none"/>
                    </w:rPr>
                  </w:pPr>
                  <w:r>
                    <w:rPr>
                      <w:rFonts w:hint="default"/>
                      <w:b w:val="0"/>
                      <w:bCs w:val="0"/>
                      <w:sz w:val="21"/>
                      <w:szCs w:val="21"/>
                      <w:u w:val="none"/>
                    </w:rPr>
                    <w:t>113°12′38.78</w:t>
                  </w:r>
                  <w:r>
                    <w:rPr>
                      <w:rFonts w:hint="eastAsia"/>
                      <w:b w:val="0"/>
                      <w:bCs w:val="0"/>
                      <w:sz w:val="21"/>
                      <w:szCs w:val="21"/>
                      <w:u w:val="none"/>
                      <w:lang w:val="en-US" w:eastAsia="zh-CN"/>
                    </w:rPr>
                    <w:t>2</w:t>
                  </w:r>
                  <w:r>
                    <w:rPr>
                      <w:rFonts w:hint="default"/>
                      <w:b w:val="0"/>
                      <w:bCs w:val="0"/>
                      <w:sz w:val="21"/>
                      <w:szCs w:val="21"/>
                      <w:u w:val="none"/>
                    </w:rPr>
                    <w:t>″</w:t>
                  </w:r>
                </w:p>
              </w:tc>
              <w:tc>
                <w:tcPr>
                  <w:tcW w:w="724" w:type="pct"/>
                  <w:vAlign w:val="center"/>
                </w:tcPr>
                <w:p w14:paraId="3B42EEF7">
                  <w:pPr>
                    <w:jc w:val="center"/>
                    <w:rPr>
                      <w:b w:val="0"/>
                      <w:bCs w:val="0"/>
                      <w:sz w:val="21"/>
                      <w:szCs w:val="21"/>
                      <w:u w:val="none"/>
                    </w:rPr>
                  </w:pPr>
                  <w:r>
                    <w:rPr>
                      <w:b w:val="0"/>
                      <w:bCs w:val="0"/>
                      <w:sz w:val="21"/>
                      <w:szCs w:val="21"/>
                      <w:u w:val="none"/>
                    </w:rPr>
                    <w:t>纬度</w:t>
                  </w:r>
                </w:p>
              </w:tc>
              <w:tc>
                <w:tcPr>
                  <w:tcW w:w="1427" w:type="pct"/>
                  <w:gridSpan w:val="2"/>
                  <w:vAlign w:val="center"/>
                </w:tcPr>
                <w:p w14:paraId="0A0DA81F">
                  <w:pPr>
                    <w:jc w:val="center"/>
                    <w:rPr>
                      <w:b w:val="0"/>
                      <w:bCs w:val="0"/>
                      <w:sz w:val="21"/>
                      <w:szCs w:val="21"/>
                      <w:u w:val="none"/>
                    </w:rPr>
                  </w:pPr>
                  <w:r>
                    <w:rPr>
                      <w:rFonts w:hint="default"/>
                      <w:b w:val="0"/>
                      <w:bCs w:val="0"/>
                      <w:sz w:val="21"/>
                      <w:szCs w:val="21"/>
                      <w:u w:val="none"/>
                    </w:rPr>
                    <w:t>29°29′23.621″</w:t>
                  </w:r>
                </w:p>
              </w:tc>
            </w:tr>
            <w:tr w14:paraId="457D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restart"/>
                  <w:vAlign w:val="center"/>
                </w:tcPr>
                <w:p w14:paraId="638BD90B">
                  <w:pPr>
                    <w:jc w:val="center"/>
                    <w:rPr>
                      <w:sz w:val="21"/>
                      <w:szCs w:val="21"/>
                      <w:u w:val="none"/>
                    </w:rPr>
                  </w:pPr>
                  <w:r>
                    <w:rPr>
                      <w:sz w:val="21"/>
                      <w:szCs w:val="21"/>
                      <w:u w:val="none"/>
                    </w:rPr>
                    <w:t>主要危险物质及分布</w:t>
                  </w:r>
                </w:p>
              </w:tc>
              <w:tc>
                <w:tcPr>
                  <w:tcW w:w="1820" w:type="pct"/>
                  <w:gridSpan w:val="2"/>
                  <w:vAlign w:val="center"/>
                </w:tcPr>
                <w:p w14:paraId="3EDD2D4A">
                  <w:pPr>
                    <w:jc w:val="center"/>
                    <w:rPr>
                      <w:sz w:val="21"/>
                      <w:szCs w:val="21"/>
                      <w:u w:val="none"/>
                    </w:rPr>
                  </w:pPr>
                  <w:r>
                    <w:rPr>
                      <w:sz w:val="21"/>
                      <w:szCs w:val="21"/>
                      <w:u w:val="none"/>
                    </w:rPr>
                    <w:t>物质名称</w:t>
                  </w:r>
                </w:p>
              </w:tc>
              <w:tc>
                <w:tcPr>
                  <w:tcW w:w="1071" w:type="pct"/>
                  <w:gridSpan w:val="2"/>
                  <w:vAlign w:val="center"/>
                </w:tcPr>
                <w:p w14:paraId="42A062C9">
                  <w:pPr>
                    <w:jc w:val="center"/>
                    <w:rPr>
                      <w:sz w:val="21"/>
                      <w:szCs w:val="21"/>
                      <w:u w:val="none"/>
                    </w:rPr>
                  </w:pPr>
                  <w:r>
                    <w:rPr>
                      <w:sz w:val="21"/>
                      <w:szCs w:val="21"/>
                      <w:u w:val="none"/>
                    </w:rPr>
                    <w:t>分布</w:t>
                  </w:r>
                </w:p>
              </w:tc>
              <w:tc>
                <w:tcPr>
                  <w:tcW w:w="784" w:type="pct"/>
                  <w:vAlign w:val="center"/>
                </w:tcPr>
                <w:p w14:paraId="418DA424">
                  <w:pPr>
                    <w:jc w:val="center"/>
                    <w:rPr>
                      <w:sz w:val="21"/>
                      <w:szCs w:val="21"/>
                      <w:u w:val="none"/>
                    </w:rPr>
                  </w:pPr>
                  <w:r>
                    <w:rPr>
                      <w:sz w:val="21"/>
                      <w:szCs w:val="21"/>
                      <w:u w:val="none"/>
                    </w:rPr>
                    <w:t>最大贮存量/t</w:t>
                  </w:r>
                </w:p>
              </w:tc>
              <w:tc>
                <w:tcPr>
                  <w:tcW w:w="643" w:type="pct"/>
                  <w:vAlign w:val="center"/>
                </w:tcPr>
                <w:p w14:paraId="749D4AC5">
                  <w:pPr>
                    <w:jc w:val="center"/>
                    <w:rPr>
                      <w:sz w:val="21"/>
                      <w:szCs w:val="21"/>
                      <w:u w:val="none"/>
                    </w:rPr>
                  </w:pPr>
                  <w:r>
                    <w:rPr>
                      <w:sz w:val="21"/>
                      <w:szCs w:val="21"/>
                      <w:u w:val="none"/>
                    </w:rPr>
                    <w:t>临界量/t</w:t>
                  </w:r>
                </w:p>
              </w:tc>
            </w:tr>
            <w:tr w14:paraId="6739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vAlign w:val="center"/>
                </w:tcPr>
                <w:p w14:paraId="6F71F604">
                  <w:pPr>
                    <w:jc w:val="center"/>
                    <w:rPr>
                      <w:sz w:val="21"/>
                      <w:szCs w:val="21"/>
                      <w:u w:val="none"/>
                    </w:rPr>
                  </w:pPr>
                </w:p>
              </w:tc>
              <w:tc>
                <w:tcPr>
                  <w:tcW w:w="1820" w:type="pct"/>
                  <w:gridSpan w:val="2"/>
                  <w:shd w:val="clear" w:color="auto" w:fill="auto"/>
                  <w:vAlign w:val="center"/>
                </w:tcPr>
                <w:p w14:paraId="41D3448B">
                  <w:pPr>
                    <w:pStyle w:val="115"/>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kern w:val="2"/>
                      <w:sz w:val="21"/>
                      <w:szCs w:val="28"/>
                      <w:shd w:val="clear" w:color="auto" w:fill="FFFFFF"/>
                      <w:lang w:val="en-US" w:eastAsia="zh-CN" w:bidi="ar-SA"/>
                    </w:rPr>
                  </w:pPr>
                  <w:r>
                    <w:rPr>
                      <w:rFonts w:hint="eastAsia" w:cs="Times New Roman"/>
                      <w:color w:val="auto"/>
                      <w:lang w:val="en-US" w:eastAsia="zh-CN"/>
                    </w:rPr>
                    <w:t>矿物油</w:t>
                  </w:r>
                </w:p>
              </w:tc>
              <w:tc>
                <w:tcPr>
                  <w:tcW w:w="1071" w:type="pct"/>
                  <w:gridSpan w:val="2"/>
                  <w:shd w:val="clear" w:color="auto" w:fill="auto"/>
                  <w:vAlign w:val="center"/>
                </w:tcPr>
                <w:p w14:paraId="1174CCCC">
                  <w:pPr>
                    <w:widowControl/>
                    <w:jc w:val="center"/>
                    <w:rPr>
                      <w:rFonts w:hint="eastAsia" w:ascii="Times New Roman" w:hAnsi="Times New Roman" w:eastAsia="宋体" w:cs="Times New Roman"/>
                      <w:color w:val="000000"/>
                      <w:kern w:val="0"/>
                      <w:sz w:val="21"/>
                      <w:szCs w:val="21"/>
                      <w:u w:val="none"/>
                      <w:lang w:val="en-US" w:eastAsia="zh-CN" w:bidi="ar-SA"/>
                    </w:rPr>
                  </w:pPr>
                  <w:r>
                    <w:rPr>
                      <w:rFonts w:hint="eastAsia" w:cs="Times New Roman"/>
                      <w:color w:val="000000"/>
                      <w:kern w:val="0"/>
                      <w:sz w:val="21"/>
                      <w:szCs w:val="21"/>
                      <w:u w:val="none"/>
                      <w:lang w:val="en-US" w:eastAsia="zh-CN" w:bidi="ar-SA"/>
                    </w:rPr>
                    <w:t>原料区</w:t>
                  </w:r>
                </w:p>
              </w:tc>
              <w:tc>
                <w:tcPr>
                  <w:tcW w:w="784" w:type="pct"/>
                  <w:shd w:val="clear" w:color="auto" w:fill="auto"/>
                  <w:vAlign w:val="center"/>
                </w:tcPr>
                <w:p w14:paraId="6CFCACF7">
                  <w:pPr>
                    <w:widowControl/>
                    <w:jc w:val="center"/>
                    <w:rPr>
                      <w:rFonts w:hint="eastAsia" w:ascii="Times New Roman" w:hAnsi="Times New Roman" w:eastAsia="宋体" w:cs="Times New Roman"/>
                      <w:color w:val="000000"/>
                      <w:kern w:val="0"/>
                      <w:sz w:val="21"/>
                      <w:szCs w:val="21"/>
                      <w:u w:val="none"/>
                      <w:lang w:val="en-US" w:eastAsia="zh-CN" w:bidi="ar-SA"/>
                    </w:rPr>
                  </w:pPr>
                  <w:r>
                    <w:rPr>
                      <w:rFonts w:hint="eastAsia"/>
                      <w:color w:val="000000"/>
                      <w:kern w:val="0"/>
                      <w:sz w:val="21"/>
                      <w:szCs w:val="21"/>
                      <w:u w:val="none"/>
                      <w:lang w:val="en-US" w:eastAsia="zh-CN"/>
                    </w:rPr>
                    <w:t>0.25</w:t>
                  </w:r>
                </w:p>
              </w:tc>
              <w:tc>
                <w:tcPr>
                  <w:tcW w:w="643" w:type="pct"/>
                  <w:shd w:val="clear" w:color="auto" w:fill="auto"/>
                  <w:vAlign w:val="center"/>
                </w:tcPr>
                <w:p w14:paraId="75B3B419">
                  <w:pPr>
                    <w:widowControl/>
                    <w:jc w:val="center"/>
                    <w:rPr>
                      <w:rFonts w:hint="eastAsia" w:ascii="Times New Roman" w:hAnsi="Times New Roman" w:eastAsia="宋体" w:cs="Times New Roman"/>
                      <w:color w:val="000000"/>
                      <w:kern w:val="0"/>
                      <w:sz w:val="21"/>
                      <w:szCs w:val="21"/>
                      <w:u w:val="none"/>
                      <w:lang w:val="en-US" w:eastAsia="zh-CN" w:bidi="ar-SA"/>
                    </w:rPr>
                  </w:pPr>
                  <w:r>
                    <w:rPr>
                      <w:rFonts w:hint="eastAsia"/>
                      <w:color w:val="000000"/>
                      <w:kern w:val="0"/>
                      <w:sz w:val="21"/>
                      <w:szCs w:val="21"/>
                      <w:u w:val="none"/>
                      <w:lang w:val="en-US" w:eastAsia="zh-CN"/>
                    </w:rPr>
                    <w:t>2500</w:t>
                  </w:r>
                </w:p>
              </w:tc>
            </w:tr>
            <w:tr w14:paraId="2998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Merge w:val="continue"/>
                  <w:vAlign w:val="center"/>
                </w:tcPr>
                <w:p w14:paraId="677744E6">
                  <w:pPr>
                    <w:jc w:val="center"/>
                    <w:rPr>
                      <w:sz w:val="21"/>
                      <w:szCs w:val="21"/>
                      <w:u w:val="none"/>
                    </w:rPr>
                  </w:pPr>
                </w:p>
              </w:tc>
              <w:tc>
                <w:tcPr>
                  <w:tcW w:w="1820" w:type="pct"/>
                  <w:gridSpan w:val="2"/>
                  <w:shd w:val="clear" w:color="auto" w:fill="auto"/>
                  <w:vAlign w:val="center"/>
                </w:tcPr>
                <w:p w14:paraId="595E0F43">
                  <w:pPr>
                    <w:widowControl/>
                    <w:jc w:val="center"/>
                    <w:rPr>
                      <w:rFonts w:hint="default" w:ascii="Times New Roman" w:hAnsi="Times New Roman" w:eastAsia="宋体" w:cs="Times New Roman"/>
                      <w:bCs/>
                      <w:kern w:val="2"/>
                      <w:sz w:val="21"/>
                      <w:szCs w:val="21"/>
                      <w:u w:val="none"/>
                      <w:lang w:val="en-US" w:eastAsia="zh-CN" w:bidi="ar-SA"/>
                    </w:rPr>
                  </w:pPr>
                  <w:r>
                    <w:rPr>
                      <w:rFonts w:hint="eastAsia"/>
                      <w:bCs/>
                      <w:sz w:val="21"/>
                      <w:szCs w:val="21"/>
                      <w:u w:val="none"/>
                      <w:lang w:val="en-US" w:eastAsia="zh-CN"/>
                    </w:rPr>
                    <w:t>危险废物</w:t>
                  </w:r>
                </w:p>
              </w:tc>
              <w:tc>
                <w:tcPr>
                  <w:tcW w:w="1071" w:type="pct"/>
                  <w:gridSpan w:val="2"/>
                  <w:vAlign w:val="center"/>
                </w:tcPr>
                <w:p w14:paraId="68ED4FC5">
                  <w:pPr>
                    <w:widowControl/>
                    <w:jc w:val="center"/>
                    <w:rPr>
                      <w:rFonts w:hint="default" w:cs="Times New Roman"/>
                      <w:color w:val="000000"/>
                      <w:kern w:val="0"/>
                      <w:sz w:val="21"/>
                      <w:szCs w:val="21"/>
                      <w:u w:val="none"/>
                      <w:lang w:val="en-US" w:eastAsia="zh-CN" w:bidi="ar-SA"/>
                    </w:rPr>
                  </w:pPr>
                  <w:r>
                    <w:rPr>
                      <w:rFonts w:hint="eastAsia" w:cs="Times New Roman"/>
                      <w:color w:val="000000"/>
                      <w:kern w:val="0"/>
                      <w:sz w:val="21"/>
                      <w:szCs w:val="21"/>
                      <w:u w:val="none"/>
                      <w:lang w:val="en-US" w:eastAsia="zh-CN" w:bidi="ar-SA"/>
                    </w:rPr>
                    <w:t>危废暂存间</w:t>
                  </w:r>
                </w:p>
              </w:tc>
              <w:tc>
                <w:tcPr>
                  <w:tcW w:w="784" w:type="pct"/>
                  <w:shd w:val="clear" w:color="auto" w:fill="auto"/>
                  <w:vAlign w:val="center"/>
                </w:tcPr>
                <w:p w14:paraId="60FBDD47">
                  <w:pPr>
                    <w:widowControl/>
                    <w:jc w:val="center"/>
                    <w:rPr>
                      <w:rFonts w:hint="default" w:ascii="Times New Roman" w:hAnsi="Times New Roman" w:eastAsia="宋体" w:cs="Times New Roman"/>
                      <w:color w:val="000000"/>
                      <w:kern w:val="0"/>
                      <w:sz w:val="21"/>
                      <w:szCs w:val="21"/>
                      <w:u w:val="none"/>
                      <w:lang w:val="en-US" w:eastAsia="zh-CN" w:bidi="ar-SA"/>
                    </w:rPr>
                  </w:pPr>
                  <w:r>
                    <w:rPr>
                      <w:rFonts w:hint="eastAsia"/>
                      <w:color w:val="000000"/>
                      <w:kern w:val="0"/>
                      <w:sz w:val="21"/>
                      <w:szCs w:val="21"/>
                      <w:u w:val="none"/>
                      <w:lang w:val="en-US" w:eastAsia="zh-CN"/>
                    </w:rPr>
                    <w:t>8.552</w:t>
                  </w:r>
                </w:p>
              </w:tc>
              <w:tc>
                <w:tcPr>
                  <w:tcW w:w="643" w:type="pct"/>
                  <w:shd w:val="clear" w:color="auto" w:fill="auto"/>
                  <w:vAlign w:val="center"/>
                </w:tcPr>
                <w:p w14:paraId="196C9ADA">
                  <w:pPr>
                    <w:widowControl/>
                    <w:jc w:val="center"/>
                    <w:rPr>
                      <w:rFonts w:hint="default" w:ascii="Times New Roman" w:hAnsi="Times New Roman" w:eastAsia="宋体" w:cs="Times New Roman"/>
                      <w:color w:val="000000"/>
                      <w:kern w:val="0"/>
                      <w:sz w:val="21"/>
                      <w:szCs w:val="21"/>
                      <w:u w:val="none"/>
                      <w:lang w:val="en-US" w:eastAsia="zh-CN" w:bidi="ar-SA"/>
                    </w:rPr>
                  </w:pPr>
                  <w:r>
                    <w:rPr>
                      <w:rFonts w:hint="eastAsia"/>
                      <w:color w:val="000000"/>
                      <w:kern w:val="0"/>
                      <w:sz w:val="21"/>
                      <w:szCs w:val="21"/>
                      <w:u w:val="none"/>
                      <w:lang w:val="en-US" w:eastAsia="zh-CN"/>
                    </w:rPr>
                    <w:t>50</w:t>
                  </w:r>
                </w:p>
              </w:tc>
            </w:tr>
            <w:tr w14:paraId="70EC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Align w:val="center"/>
                </w:tcPr>
                <w:p w14:paraId="2D782263">
                  <w:pPr>
                    <w:jc w:val="center"/>
                    <w:rPr>
                      <w:sz w:val="21"/>
                      <w:szCs w:val="21"/>
                      <w:u w:val="none"/>
                    </w:rPr>
                  </w:pPr>
                  <w:r>
                    <w:rPr>
                      <w:sz w:val="21"/>
                      <w:szCs w:val="21"/>
                      <w:u w:val="none"/>
                    </w:rPr>
                    <w:t>环境影响途径及危害后果</w:t>
                  </w:r>
                </w:p>
              </w:tc>
              <w:tc>
                <w:tcPr>
                  <w:tcW w:w="4319" w:type="pct"/>
                  <w:gridSpan w:val="6"/>
                  <w:vAlign w:val="center"/>
                </w:tcPr>
                <w:p w14:paraId="331470A8">
                  <w:pPr>
                    <w:pStyle w:val="97"/>
                    <w:numPr>
                      <w:ilvl w:val="-1"/>
                      <w:numId w:val="0"/>
                    </w:numPr>
                    <w:spacing w:line="240" w:lineRule="auto"/>
                    <w:ind w:firstLine="0" w:firstLineChars="0"/>
                    <w:rPr>
                      <w:rFonts w:hint="eastAsia" w:ascii="Times New Roman" w:hAnsi="Times New Roman" w:eastAsia="宋体"/>
                      <w:spacing w:val="-4"/>
                      <w:sz w:val="21"/>
                      <w:szCs w:val="21"/>
                      <w:u w:val="none"/>
                      <w:lang w:eastAsia="zh-CN"/>
                    </w:rPr>
                  </w:pPr>
                  <w:r>
                    <w:rPr>
                      <w:rFonts w:hint="eastAsia" w:ascii="Times New Roman" w:hAnsi="Times New Roman" w:cs="Times New Roman"/>
                      <w:bCs/>
                      <w:sz w:val="21"/>
                      <w:szCs w:val="21"/>
                      <w:u w:val="none"/>
                      <w:lang w:val="en-US" w:eastAsia="zh-CN"/>
                    </w:rPr>
                    <w:t>矿物油以及</w:t>
                  </w:r>
                  <w:r>
                    <w:rPr>
                      <w:rFonts w:ascii="Times New Roman" w:hAnsi="Times New Roman" w:cs="Times New Roman"/>
                      <w:spacing w:val="-4"/>
                      <w:sz w:val="21"/>
                      <w:szCs w:val="21"/>
                      <w:u w:val="none"/>
                    </w:rPr>
                    <w:t>危险物质在储存及使用过程，一旦发生火灾爆炸，物料燃烧产生一氧化碳等风险物质对下风向大气环境造成影响，污染大气环境，消防废水会污染周边水环境。</w:t>
                  </w:r>
                </w:p>
              </w:tc>
            </w:tr>
            <w:tr w14:paraId="5E8B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0" w:type="pct"/>
                  <w:vAlign w:val="center"/>
                </w:tcPr>
                <w:p w14:paraId="328FDB15">
                  <w:pPr>
                    <w:jc w:val="center"/>
                    <w:rPr>
                      <w:sz w:val="21"/>
                      <w:szCs w:val="21"/>
                      <w:u w:val="none"/>
                    </w:rPr>
                  </w:pPr>
                  <w:r>
                    <w:rPr>
                      <w:sz w:val="21"/>
                      <w:szCs w:val="21"/>
                      <w:u w:val="none"/>
                    </w:rPr>
                    <w:t>风险防范措施要求</w:t>
                  </w:r>
                </w:p>
              </w:tc>
              <w:tc>
                <w:tcPr>
                  <w:tcW w:w="4319" w:type="pct"/>
                  <w:gridSpan w:val="6"/>
                  <w:vAlign w:val="center"/>
                </w:tcPr>
                <w:p w14:paraId="09F858E6">
                  <w:pPr>
                    <w:rPr>
                      <w:sz w:val="21"/>
                      <w:szCs w:val="21"/>
                      <w:u w:val="none"/>
                    </w:rPr>
                  </w:pPr>
                  <w:r>
                    <w:rPr>
                      <w:sz w:val="21"/>
                      <w:szCs w:val="21"/>
                      <w:u w:val="none"/>
                    </w:rPr>
                    <w:t>（1）建设单位需编制突发环境事件应急预案并进行备案。</w:t>
                  </w:r>
                </w:p>
                <w:p w14:paraId="4A4F0FA6">
                  <w:pPr>
                    <w:rPr>
                      <w:sz w:val="21"/>
                      <w:szCs w:val="21"/>
                      <w:u w:val="none"/>
                    </w:rPr>
                  </w:pPr>
                  <w:r>
                    <w:rPr>
                      <w:rFonts w:hint="eastAsia"/>
                      <w:sz w:val="21"/>
                      <w:szCs w:val="21"/>
                      <w:u w:val="none"/>
                      <w:lang w:eastAsia="zh-CN"/>
                    </w:rPr>
                    <w:t>（</w:t>
                  </w:r>
                  <w:r>
                    <w:rPr>
                      <w:rFonts w:hint="eastAsia"/>
                      <w:sz w:val="21"/>
                      <w:szCs w:val="21"/>
                      <w:u w:val="none"/>
                      <w:lang w:val="en-US" w:eastAsia="zh-CN"/>
                    </w:rPr>
                    <w:t>2</w:t>
                  </w:r>
                  <w:r>
                    <w:rPr>
                      <w:rFonts w:hint="eastAsia"/>
                      <w:sz w:val="21"/>
                      <w:szCs w:val="21"/>
                      <w:u w:val="none"/>
                      <w:lang w:eastAsia="zh-CN"/>
                    </w:rPr>
                    <w:t>）</w:t>
                  </w:r>
                  <w:r>
                    <w:rPr>
                      <w:sz w:val="21"/>
                      <w:szCs w:val="21"/>
                      <w:u w:val="none"/>
                    </w:rPr>
                    <w:t>本项目风险源为</w:t>
                  </w:r>
                  <w:r>
                    <w:rPr>
                      <w:rFonts w:hint="default"/>
                      <w:bCs/>
                      <w:sz w:val="21"/>
                      <w:szCs w:val="21"/>
                      <w:u w:val="none"/>
                    </w:rPr>
                    <w:t>矿物油以及危险固废</w:t>
                  </w:r>
                  <w:r>
                    <w:rPr>
                      <w:sz w:val="21"/>
                      <w:szCs w:val="21"/>
                      <w:u w:val="none"/>
                    </w:rPr>
                    <w:t>，环境影响途径为</w:t>
                  </w:r>
                  <w:r>
                    <w:rPr>
                      <w:sz w:val="21"/>
                      <w:szCs w:val="21"/>
                      <w:u w:val="none"/>
                      <w:lang w:val="zh-CN"/>
                    </w:rPr>
                    <w:t>火灾、爆炸、泄漏、中毒、窒息、灼伤</w:t>
                  </w:r>
                  <w:r>
                    <w:rPr>
                      <w:sz w:val="21"/>
                      <w:szCs w:val="21"/>
                      <w:u w:val="none"/>
                    </w:rPr>
                    <w:t>及引发次生环境污染事件及水体污染等环境危害</w:t>
                  </w:r>
                  <w:r>
                    <w:rPr>
                      <w:sz w:val="21"/>
                      <w:szCs w:val="21"/>
                      <w:u w:val="none"/>
                      <w:lang w:val="zh-CN"/>
                    </w:rPr>
                    <w:t>，</w:t>
                  </w:r>
                  <w:r>
                    <w:rPr>
                      <w:sz w:val="21"/>
                      <w:szCs w:val="21"/>
                      <w:u w:val="none"/>
                    </w:rPr>
                    <w:t>本环评建议采取以下防范措施：</w:t>
                  </w:r>
                </w:p>
                <w:p w14:paraId="39B10E24">
                  <w:pPr>
                    <w:rPr>
                      <w:sz w:val="21"/>
                      <w:szCs w:val="21"/>
                      <w:u w:val="none"/>
                    </w:rPr>
                  </w:pPr>
                  <w:r>
                    <w:rPr>
                      <w:sz w:val="21"/>
                      <w:szCs w:val="21"/>
                      <w:u w:val="none"/>
                    </w:rPr>
                    <w:t>1.</w:t>
                  </w:r>
                  <w:r>
                    <w:rPr>
                      <w:rFonts w:ascii="宋体" w:hAnsi="宋体" w:eastAsia="宋体" w:cs="宋体"/>
                      <w:sz w:val="21"/>
                      <w:szCs w:val="21"/>
                    </w:rPr>
                    <w:t>原料储存区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危废间</w:t>
                  </w:r>
                  <w:r>
                    <w:rPr>
                      <w:rFonts w:ascii="宋体" w:hAnsi="宋体" w:eastAsia="宋体" w:cs="宋体"/>
                      <w:sz w:val="21"/>
                      <w:szCs w:val="21"/>
                    </w:rPr>
                    <w:t>地面设置了</w:t>
                  </w:r>
                  <w:r>
                    <w:rPr>
                      <w:rFonts w:hint="eastAsia" w:ascii="宋体" w:hAnsi="宋体" w:cs="宋体"/>
                      <w:sz w:val="21"/>
                      <w:szCs w:val="21"/>
                    </w:rPr>
                    <w:t>防风、防雨、防晒、防流失</w:t>
                  </w:r>
                  <w:r>
                    <w:rPr>
                      <w:rFonts w:hint="eastAsia" w:ascii="宋体" w:hAnsi="宋体" w:cs="宋体"/>
                      <w:sz w:val="21"/>
                      <w:szCs w:val="21"/>
                      <w:lang w:val="en-US" w:eastAsia="zh-CN"/>
                    </w:rPr>
                    <w:t>以及防渗措施</w:t>
                  </w:r>
                  <w:r>
                    <w:rPr>
                      <w:rFonts w:ascii="宋体" w:hAnsi="宋体" w:eastAsia="宋体" w:cs="宋体"/>
                      <w:sz w:val="21"/>
                      <w:szCs w:val="21"/>
                    </w:rPr>
                    <w:t>，且应备有泄漏应急处理设备和合适的收容材料，储存、运输过程中应当进行密闭，采取</w:t>
                  </w:r>
                  <w:r>
                    <w:rPr>
                      <w:rFonts w:hint="eastAsia" w:ascii="宋体" w:hAnsi="宋体" w:cs="宋体"/>
                      <w:sz w:val="21"/>
                      <w:szCs w:val="21"/>
                      <w:lang w:val="en-US" w:eastAsia="zh-CN"/>
                    </w:rPr>
                    <w:t>加盖</w:t>
                  </w:r>
                  <w:r>
                    <w:rPr>
                      <w:rFonts w:ascii="宋体" w:hAnsi="宋体" w:eastAsia="宋体" w:cs="宋体"/>
                      <w:sz w:val="21"/>
                      <w:szCs w:val="21"/>
                    </w:rPr>
                    <w:t>密闭等措施，避免化学品泄漏。</w:t>
                  </w:r>
                </w:p>
                <w:p w14:paraId="5C3FAC1A">
                  <w:pPr>
                    <w:rPr>
                      <w:sz w:val="21"/>
                      <w:szCs w:val="21"/>
                      <w:u w:val="none"/>
                    </w:rPr>
                  </w:pPr>
                  <w:r>
                    <w:rPr>
                      <w:rFonts w:hint="eastAsia"/>
                      <w:sz w:val="21"/>
                      <w:szCs w:val="21"/>
                      <w:u w:val="none"/>
                      <w:lang w:val="en-US" w:eastAsia="zh-CN"/>
                    </w:rPr>
                    <w:t>2、</w:t>
                  </w:r>
                  <w:r>
                    <w:rPr>
                      <w:sz w:val="21"/>
                      <w:szCs w:val="21"/>
                      <w:u w:val="none"/>
                    </w:rPr>
                    <w:t>设置专门的负责人，定期检查危废间暂存情况，做好记录，及时发现问题，并解决问题；</w:t>
                  </w:r>
                </w:p>
                <w:p w14:paraId="20FB19E1">
                  <w:pPr>
                    <w:rPr>
                      <w:color w:val="000000"/>
                      <w:sz w:val="21"/>
                      <w:szCs w:val="21"/>
                      <w:u w:val="none"/>
                    </w:rPr>
                  </w:pPr>
                  <w:r>
                    <w:rPr>
                      <w:sz w:val="21"/>
                      <w:szCs w:val="21"/>
                      <w:u w:val="none"/>
                    </w:rPr>
                    <w:t>2.建设单位应准备充足的应急物资，保证发生突发环境事件时，能够有物资控制</w:t>
                  </w:r>
                  <w:r>
                    <w:rPr>
                      <w:color w:val="000000"/>
                      <w:sz w:val="21"/>
                      <w:szCs w:val="21"/>
                      <w:u w:val="none"/>
                    </w:rPr>
                    <w:t>事故；</w:t>
                  </w:r>
                </w:p>
                <w:p w14:paraId="32C0E81E">
                  <w:pPr>
                    <w:rPr>
                      <w:sz w:val="21"/>
                      <w:szCs w:val="21"/>
                      <w:u w:val="none"/>
                    </w:rPr>
                  </w:pPr>
                  <w:r>
                    <w:rPr>
                      <w:rFonts w:hint="eastAsia"/>
                      <w:sz w:val="21"/>
                      <w:szCs w:val="21"/>
                      <w:u w:val="none"/>
                      <w:lang w:val="en-US" w:eastAsia="zh-CN"/>
                    </w:rPr>
                    <w:t>3</w:t>
                  </w:r>
                  <w:r>
                    <w:rPr>
                      <w:sz w:val="21"/>
                      <w:szCs w:val="21"/>
                      <w:u w:val="none"/>
                    </w:rPr>
                    <w:t>.建设单位应定期进行环境突发事件演练，保证事故发生时，工作人员能够积极应对；</w:t>
                  </w:r>
                </w:p>
                <w:p w14:paraId="38EEC28E">
                  <w:pPr>
                    <w:rPr>
                      <w:rFonts w:hint="eastAsia"/>
                      <w:sz w:val="21"/>
                      <w:szCs w:val="21"/>
                      <w:u w:val="none"/>
                      <w:lang w:eastAsia="zh-CN"/>
                    </w:rPr>
                  </w:pPr>
                  <w:r>
                    <w:rPr>
                      <w:rFonts w:hint="eastAsia"/>
                      <w:sz w:val="21"/>
                      <w:szCs w:val="21"/>
                      <w:u w:val="none"/>
                      <w:lang w:val="en-US" w:eastAsia="zh-CN"/>
                    </w:rPr>
                    <w:t>4</w:t>
                  </w:r>
                  <w:r>
                    <w:rPr>
                      <w:sz w:val="21"/>
                      <w:szCs w:val="21"/>
                      <w:u w:val="none"/>
                    </w:rPr>
                    <w:t>.危废的贮存应符合《危险废物暂存污染控制标准》规范等</w:t>
                  </w:r>
                  <w:r>
                    <w:rPr>
                      <w:rFonts w:hint="eastAsia"/>
                      <w:sz w:val="21"/>
                      <w:szCs w:val="21"/>
                      <w:u w:val="none"/>
                      <w:lang w:eastAsia="zh-CN"/>
                    </w:rPr>
                    <w:t>；</w:t>
                  </w:r>
                </w:p>
                <w:p w14:paraId="1B3E45E6">
                  <w:pPr>
                    <w:rPr>
                      <w:rFonts w:hint="eastAsia" w:eastAsia="宋体"/>
                      <w:sz w:val="21"/>
                      <w:szCs w:val="21"/>
                      <w:u w:val="none"/>
                      <w:lang w:eastAsia="zh-CN"/>
                    </w:rPr>
                  </w:pPr>
                  <w:r>
                    <w:rPr>
                      <w:rFonts w:hint="eastAsia"/>
                      <w:sz w:val="21"/>
                      <w:szCs w:val="21"/>
                      <w:u w:val="none"/>
                      <w:lang w:val="en-US" w:eastAsia="zh-CN"/>
                    </w:rPr>
                    <w:t>5.</w:t>
                  </w:r>
                  <w:r>
                    <w:rPr>
                      <w:rFonts w:hint="eastAsia"/>
                      <w:sz w:val="21"/>
                      <w:szCs w:val="21"/>
                      <w:u w:val="none"/>
                    </w:rPr>
                    <w:t>针对火灾风险，应按规范设置灭火和消防装备，</w:t>
                  </w:r>
                  <w:r>
                    <w:rPr>
                      <w:rFonts w:hint="eastAsia"/>
                      <w:sz w:val="21"/>
                      <w:szCs w:val="21"/>
                      <w:u w:val="none"/>
                      <w:lang w:val="en-US" w:eastAsia="zh-CN"/>
                    </w:rPr>
                    <w:t>配置沙袋、事故应急桶等事故废水处理措施，</w:t>
                  </w:r>
                  <w:r>
                    <w:rPr>
                      <w:rFonts w:hint="eastAsia"/>
                      <w:sz w:val="21"/>
                      <w:szCs w:val="21"/>
                      <w:u w:val="none"/>
                    </w:rPr>
                    <w:t>制定巡查制度、提高人员防火意识和加强火源管理，定期培训工作人员防火技能和知识</w:t>
                  </w:r>
                  <w:r>
                    <w:rPr>
                      <w:sz w:val="21"/>
                      <w:szCs w:val="21"/>
                      <w:u w:val="none"/>
                    </w:rPr>
                    <w:t>。</w:t>
                  </w:r>
                </w:p>
              </w:tc>
            </w:tr>
            <w:tr w14:paraId="797D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7"/>
                  <w:vAlign w:val="center"/>
                </w:tcPr>
                <w:p w14:paraId="1278EC66">
                  <w:pPr>
                    <w:rPr>
                      <w:sz w:val="21"/>
                      <w:szCs w:val="21"/>
                      <w:u w:val="none"/>
                    </w:rPr>
                  </w:pPr>
                  <w:r>
                    <w:rPr>
                      <w:sz w:val="21"/>
                      <w:szCs w:val="21"/>
                      <w:u w:val="none"/>
                    </w:rPr>
                    <w:t>填表说明（列出项目相关信息及评价说明）：</w:t>
                  </w:r>
                </w:p>
                <w:p w14:paraId="78C43046">
                  <w:pPr>
                    <w:tabs>
                      <w:tab w:val="left" w:pos="1440"/>
                      <w:tab w:val="left" w:pos="1800"/>
                    </w:tabs>
                    <w:adjustRightInd w:val="0"/>
                    <w:rPr>
                      <w:sz w:val="21"/>
                      <w:szCs w:val="21"/>
                      <w:u w:val="none"/>
                    </w:rPr>
                  </w:pPr>
                  <w:r>
                    <w:rPr>
                      <w:sz w:val="21"/>
                      <w:szCs w:val="21"/>
                      <w:u w:val="none"/>
                    </w:rPr>
                    <w:t>1、风险调查：</w:t>
                  </w:r>
                  <w:r>
                    <w:rPr>
                      <w:sz w:val="21"/>
                      <w:szCs w:val="21"/>
                      <w:u w:val="none"/>
                      <w:lang w:val="zh-CN"/>
                    </w:rPr>
                    <w:t>本项目生产过程中存在火灾、爆炸、泄漏、中毒、窒息、灼伤</w:t>
                  </w:r>
                  <w:r>
                    <w:rPr>
                      <w:sz w:val="21"/>
                      <w:szCs w:val="21"/>
                      <w:u w:val="none"/>
                    </w:rPr>
                    <w:t>及水体污染</w:t>
                  </w:r>
                  <w:r>
                    <w:rPr>
                      <w:sz w:val="21"/>
                      <w:szCs w:val="21"/>
                      <w:u w:val="none"/>
                      <w:lang w:val="zh-CN"/>
                    </w:rPr>
                    <w:t>等危险有害性</w:t>
                  </w:r>
                  <w:r>
                    <w:rPr>
                      <w:rFonts w:hint="eastAsia"/>
                      <w:sz w:val="21"/>
                      <w:szCs w:val="21"/>
                      <w:u w:val="none"/>
                      <w:lang w:val="zh-CN"/>
                    </w:rPr>
                    <w:t>；</w:t>
                  </w:r>
                  <w:r>
                    <w:rPr>
                      <w:sz w:val="21"/>
                      <w:szCs w:val="21"/>
                      <w:u w:val="none"/>
                    </w:rPr>
                    <w:t>主要危险物质为</w:t>
                  </w:r>
                  <w:r>
                    <w:rPr>
                      <w:rFonts w:hint="default"/>
                      <w:bCs/>
                      <w:sz w:val="21"/>
                      <w:szCs w:val="21"/>
                      <w:u w:val="none"/>
                    </w:rPr>
                    <w:t>矿物油以及危险固废</w:t>
                  </w:r>
                  <w:r>
                    <w:rPr>
                      <w:sz w:val="21"/>
                      <w:szCs w:val="21"/>
                      <w:u w:val="none"/>
                    </w:rPr>
                    <w:t>，</w:t>
                  </w:r>
                  <w:r>
                    <w:rPr>
                      <w:sz w:val="21"/>
                      <w:szCs w:val="21"/>
                      <w:u w:val="none"/>
                      <w:lang w:val="zh-CN"/>
                    </w:rPr>
                    <w:t>主要危险单位为</w:t>
                  </w:r>
                  <w:r>
                    <w:rPr>
                      <w:rFonts w:hint="eastAsia"/>
                      <w:sz w:val="21"/>
                      <w:szCs w:val="21"/>
                      <w:u w:val="none"/>
                      <w:lang w:val="en-US" w:eastAsia="zh-CN"/>
                    </w:rPr>
                    <w:t>辅料储存区以及危废间</w:t>
                  </w:r>
                  <w:r>
                    <w:rPr>
                      <w:sz w:val="21"/>
                      <w:szCs w:val="21"/>
                      <w:u w:val="none"/>
                    </w:rPr>
                    <w:t>。</w:t>
                  </w:r>
                </w:p>
                <w:p w14:paraId="6B0266D2">
                  <w:pPr>
                    <w:tabs>
                      <w:tab w:val="left" w:pos="1440"/>
                      <w:tab w:val="left" w:pos="1800"/>
                    </w:tabs>
                    <w:rPr>
                      <w:sz w:val="21"/>
                      <w:szCs w:val="21"/>
                      <w:u w:val="none"/>
                    </w:rPr>
                  </w:pPr>
                  <w:r>
                    <w:rPr>
                      <w:kern w:val="0"/>
                      <w:sz w:val="21"/>
                      <w:szCs w:val="21"/>
                      <w:u w:val="none"/>
                    </w:rPr>
                    <w:t>2、评价等级：</w:t>
                  </w:r>
                  <w:r>
                    <w:rPr>
                      <w:sz w:val="21"/>
                      <w:szCs w:val="21"/>
                      <w:u w:val="none"/>
                    </w:rPr>
                    <w:t>根据《建设项目环境风险评价技术导则》（HJ/T169-2018）对环境风险评价工作等级进行判定，本项目Q值为</w:t>
                  </w:r>
                  <w:r>
                    <w:rPr>
                      <w:rFonts w:hint="eastAsia"/>
                      <w:color w:val="000000"/>
                      <w:kern w:val="0"/>
                      <w:sz w:val="21"/>
                      <w:szCs w:val="21"/>
                      <w:u w:val="none"/>
                    </w:rPr>
                    <w:t>0.171048</w:t>
                  </w:r>
                  <w:r>
                    <w:rPr>
                      <w:sz w:val="21"/>
                      <w:szCs w:val="21"/>
                      <w:u w:val="none"/>
                    </w:rPr>
                    <w:t>，环境风险潜势为Ⅰ，环境敏感程度为E</w:t>
                  </w:r>
                  <w:r>
                    <w:rPr>
                      <w:rFonts w:hint="eastAsia"/>
                      <w:sz w:val="21"/>
                      <w:szCs w:val="21"/>
                      <w:u w:val="none"/>
                      <w:lang w:val="en-US" w:eastAsia="zh-CN"/>
                    </w:rPr>
                    <w:t>2</w:t>
                  </w:r>
                  <w:r>
                    <w:rPr>
                      <w:sz w:val="21"/>
                      <w:szCs w:val="21"/>
                      <w:u w:val="none"/>
                    </w:rPr>
                    <w:t>级，可简单分析。</w:t>
                  </w:r>
                </w:p>
              </w:tc>
            </w:tr>
          </w:tbl>
          <w:p w14:paraId="220186AB">
            <w:pPr>
              <w:widowControl/>
              <w:spacing w:line="360" w:lineRule="auto"/>
              <w:ind w:firstLine="480" w:firstLineChars="200"/>
              <w:jc w:val="left"/>
              <w:rPr>
                <w:rFonts w:hint="default" w:eastAsia="宋体"/>
                <w:color w:val="000000"/>
                <w:kern w:val="0"/>
                <w:szCs w:val="20"/>
                <w:u w:val="none"/>
                <w:lang w:val="en-US" w:eastAsia="zh-CN"/>
              </w:rPr>
            </w:pPr>
            <w:r>
              <w:rPr>
                <w:rFonts w:hint="eastAsia"/>
                <w:color w:val="000000"/>
                <w:kern w:val="0"/>
                <w:szCs w:val="20"/>
                <w:u w:val="none"/>
              </w:rPr>
              <w:t>（</w:t>
            </w:r>
            <w:r>
              <w:rPr>
                <w:rFonts w:hint="eastAsia"/>
                <w:color w:val="000000"/>
                <w:kern w:val="0"/>
                <w:szCs w:val="20"/>
                <w:u w:val="none"/>
                <w:lang w:val="en-US" w:eastAsia="zh-CN"/>
              </w:rPr>
              <w:t>3</w:t>
            </w:r>
            <w:r>
              <w:rPr>
                <w:rFonts w:hint="eastAsia"/>
                <w:color w:val="000000"/>
                <w:kern w:val="0"/>
                <w:szCs w:val="20"/>
                <w:u w:val="none"/>
              </w:rPr>
              <w:t>）</w:t>
            </w:r>
            <w:r>
              <w:rPr>
                <w:rFonts w:hint="eastAsia"/>
                <w:color w:val="000000"/>
                <w:kern w:val="0"/>
                <w:szCs w:val="20"/>
                <w:u w:val="none"/>
                <w:lang w:val="en-US" w:eastAsia="zh-CN"/>
              </w:rPr>
              <w:t>NMP液防泄漏措施</w:t>
            </w:r>
          </w:p>
          <w:p w14:paraId="13D0BA62">
            <w:pPr>
              <w:pStyle w:val="41"/>
              <w:spacing w:line="360" w:lineRule="auto"/>
              <w:ind w:left="0" w:leftChars="0" w:firstLine="480" w:firstLineChars="200"/>
              <w:rPr>
                <w:rFonts w:hint="eastAsia" w:ascii="Times New Roman"/>
                <w:b w:val="0"/>
                <w:bCs w:val="0"/>
                <w:color w:val="auto"/>
                <w:sz w:val="24"/>
                <w:szCs w:val="24"/>
                <w:lang w:val="en-US" w:eastAsia="zh-CN"/>
              </w:rPr>
            </w:pPr>
            <w:r>
              <w:rPr>
                <w:rFonts w:hint="eastAsia" w:ascii="Times New Roman"/>
                <w:b w:val="0"/>
                <w:bCs w:val="0"/>
                <w:color w:val="auto"/>
                <w:sz w:val="24"/>
                <w:szCs w:val="24"/>
                <w:lang w:val="en-US" w:eastAsia="zh-CN"/>
              </w:rPr>
              <w:t>为了防止NMP废液以及回收液泄露对外环境产生影响，本环评要求：</w:t>
            </w:r>
          </w:p>
          <w:p w14:paraId="62017195">
            <w:pPr>
              <w:pStyle w:val="41"/>
              <w:spacing w:line="360" w:lineRule="auto"/>
              <w:ind w:left="0" w:leftChars="0" w:firstLine="480" w:firstLineChars="200"/>
              <w:rPr>
                <w:rFonts w:hint="eastAsia" w:ascii="Times New Roman"/>
                <w:b w:val="0"/>
                <w:bCs w:val="0"/>
                <w:color w:val="auto"/>
                <w:sz w:val="24"/>
                <w:szCs w:val="24"/>
                <w:lang w:val="en-US" w:eastAsia="zh-CN"/>
              </w:rPr>
            </w:pPr>
            <w:r>
              <w:rPr>
                <w:rFonts w:hint="eastAsia" w:ascii="Times New Roman"/>
                <w:b w:val="0"/>
                <w:bCs w:val="0"/>
                <w:color w:val="auto"/>
                <w:sz w:val="24"/>
                <w:szCs w:val="24"/>
                <w:lang w:val="en-US" w:eastAsia="zh-CN"/>
              </w:rPr>
              <w:t>①原料区</w:t>
            </w:r>
            <w:r>
              <w:rPr>
                <w:rFonts w:hint="eastAsia"/>
                <w:b w:val="0"/>
                <w:bCs w:val="0"/>
                <w:color w:val="auto"/>
                <w:sz w:val="24"/>
                <w:szCs w:val="24"/>
                <w:lang w:val="en-US" w:eastAsia="zh-CN"/>
              </w:rPr>
              <w:t>、成品区</w:t>
            </w:r>
            <w:r>
              <w:rPr>
                <w:rFonts w:hint="eastAsia" w:ascii="Times New Roman"/>
                <w:b w:val="0"/>
                <w:bCs w:val="0"/>
                <w:color w:val="auto"/>
                <w:sz w:val="24"/>
                <w:szCs w:val="24"/>
                <w:lang w:val="en-US" w:eastAsia="zh-CN"/>
              </w:rPr>
              <w:t>设置防渗漏措施，并在四周设置</w:t>
            </w:r>
            <w:r>
              <w:rPr>
                <w:rFonts w:hint="eastAsia"/>
                <w:b w:val="0"/>
                <w:bCs w:val="0"/>
                <w:color w:val="auto"/>
                <w:sz w:val="24"/>
                <w:szCs w:val="24"/>
                <w:lang w:val="en-US" w:eastAsia="zh-CN"/>
              </w:rPr>
              <w:t>0.5m高的</w:t>
            </w:r>
            <w:r>
              <w:rPr>
                <w:rFonts w:hint="eastAsia" w:ascii="Times New Roman"/>
                <w:b w:val="0"/>
                <w:bCs w:val="0"/>
                <w:color w:val="auto"/>
                <w:sz w:val="24"/>
                <w:szCs w:val="24"/>
                <w:lang w:val="en-US" w:eastAsia="zh-CN"/>
              </w:rPr>
              <w:t>围堰</w:t>
            </w:r>
            <w:r>
              <w:rPr>
                <w:rFonts w:hint="eastAsia"/>
                <w:b w:val="0"/>
                <w:bCs w:val="0"/>
                <w:color w:val="auto"/>
                <w:sz w:val="24"/>
                <w:szCs w:val="24"/>
                <w:lang w:val="en-US" w:eastAsia="zh-CN"/>
              </w:rPr>
              <w:t>，配置防泄漏托盘，原料区（1700m</w:t>
            </w:r>
            <w:r>
              <w:rPr>
                <w:rFonts w:hint="eastAsia"/>
                <w:b w:val="0"/>
                <w:bCs w:val="0"/>
                <w:color w:val="auto"/>
                <w:sz w:val="24"/>
                <w:szCs w:val="24"/>
                <w:vertAlign w:val="superscript"/>
                <w:lang w:val="en-US" w:eastAsia="zh-CN"/>
              </w:rPr>
              <w:t>2</w:t>
            </w:r>
            <w:r>
              <w:rPr>
                <w:rFonts w:hint="eastAsia"/>
                <w:b w:val="0"/>
                <w:bCs w:val="0"/>
                <w:color w:val="auto"/>
                <w:sz w:val="24"/>
                <w:szCs w:val="24"/>
                <w:lang w:val="en-US" w:eastAsia="zh-CN"/>
              </w:rPr>
              <w:t>）、成品区（313m</w:t>
            </w:r>
            <w:r>
              <w:rPr>
                <w:rFonts w:hint="eastAsia"/>
                <w:b w:val="0"/>
                <w:bCs w:val="0"/>
                <w:color w:val="auto"/>
                <w:sz w:val="24"/>
                <w:szCs w:val="24"/>
                <w:vertAlign w:val="superscript"/>
                <w:lang w:val="en-US" w:eastAsia="zh-CN"/>
              </w:rPr>
              <w:t>2</w:t>
            </w:r>
            <w:r>
              <w:rPr>
                <w:rFonts w:hint="eastAsia"/>
                <w:b w:val="0"/>
                <w:bCs w:val="0"/>
                <w:color w:val="auto"/>
                <w:sz w:val="24"/>
                <w:szCs w:val="24"/>
                <w:lang w:val="en-US" w:eastAsia="zh-CN"/>
              </w:rPr>
              <w:t>）设置围堰后，其有效容积远大于原料以及成品的最大储存量，足够容纳事故状态下液体的泄漏量</w:t>
            </w:r>
            <w:r>
              <w:rPr>
                <w:rFonts w:hint="eastAsia" w:ascii="Times New Roman"/>
                <w:b w:val="0"/>
                <w:bCs w:val="0"/>
                <w:color w:val="auto"/>
                <w:sz w:val="24"/>
                <w:szCs w:val="24"/>
                <w:lang w:val="en-US" w:eastAsia="zh-CN"/>
              </w:rPr>
              <w:t>；</w:t>
            </w:r>
          </w:p>
          <w:p w14:paraId="4FD37A22">
            <w:pPr>
              <w:pStyle w:val="30"/>
              <w:spacing w:after="0" w:line="360" w:lineRule="auto"/>
              <w:ind w:firstLine="480" w:firstLineChars="200"/>
              <w:rPr>
                <w:rFonts w:hint="eastAsia"/>
                <w:color w:val="auto"/>
                <w:szCs w:val="24"/>
                <w:lang w:val="en-US" w:eastAsia="zh-CN"/>
              </w:rPr>
            </w:pPr>
            <w:r>
              <w:rPr>
                <w:rFonts w:hint="eastAsia" w:ascii="Times New Roman"/>
                <w:b w:val="0"/>
                <w:bCs w:val="0"/>
                <w:color w:val="auto"/>
                <w:sz w:val="24"/>
                <w:szCs w:val="24"/>
                <w:lang w:val="en-US" w:eastAsia="zh-CN"/>
              </w:rPr>
              <w:t>②储罐区设置防渗漏措施，并设置围堰，规格为：4</w:t>
            </w:r>
            <w:r>
              <w:rPr>
                <w:rFonts w:hint="eastAsia"/>
                <w:b w:val="0"/>
                <w:bCs w:val="0"/>
                <w:color w:val="auto"/>
                <w:sz w:val="24"/>
                <w:szCs w:val="24"/>
                <w:lang w:val="en-US" w:eastAsia="zh-CN"/>
              </w:rPr>
              <w:t>.5</w:t>
            </w:r>
            <w:r>
              <w:rPr>
                <w:rFonts w:hint="eastAsia" w:ascii="Times New Roman"/>
                <w:b w:val="0"/>
                <w:bCs w:val="0"/>
                <w:color w:val="auto"/>
                <w:sz w:val="24"/>
                <w:szCs w:val="24"/>
                <w:lang w:val="en-US" w:eastAsia="zh-CN"/>
              </w:rPr>
              <w:t>m</w:t>
            </w:r>
            <w:r>
              <w:rPr>
                <w:rFonts w:hint="default" w:ascii="Arial" w:hAnsi="Arial" w:cs="Arial"/>
                <w:b w:val="0"/>
                <w:bCs w:val="0"/>
                <w:color w:val="auto"/>
                <w:sz w:val="24"/>
                <w:szCs w:val="24"/>
                <w:lang w:val="en-US" w:eastAsia="zh-CN"/>
              </w:rPr>
              <w:t>×</w:t>
            </w:r>
            <w:r>
              <w:rPr>
                <w:rFonts w:hint="eastAsia"/>
                <w:b w:val="0"/>
                <w:bCs w:val="0"/>
                <w:color w:val="auto"/>
                <w:sz w:val="24"/>
                <w:szCs w:val="24"/>
                <w:lang w:val="en-US" w:eastAsia="zh-CN"/>
              </w:rPr>
              <w:t>10</w:t>
            </w:r>
            <w:r>
              <w:rPr>
                <w:rFonts w:hint="eastAsia" w:ascii="Times New Roman"/>
                <w:b w:val="0"/>
                <w:bCs w:val="0"/>
                <w:color w:val="auto"/>
                <w:sz w:val="24"/>
                <w:szCs w:val="24"/>
                <w:lang w:val="en-US" w:eastAsia="zh-CN"/>
              </w:rPr>
              <w:t>m</w:t>
            </w:r>
            <w:r>
              <w:rPr>
                <w:rFonts w:hint="default" w:ascii="Arial" w:hAnsi="Arial" w:cs="Arial"/>
                <w:b w:val="0"/>
                <w:bCs w:val="0"/>
                <w:color w:val="auto"/>
                <w:sz w:val="24"/>
                <w:szCs w:val="24"/>
                <w:lang w:val="en-US" w:eastAsia="zh-CN"/>
              </w:rPr>
              <w:t>×</w:t>
            </w:r>
            <w:r>
              <w:rPr>
                <w:rFonts w:hint="eastAsia"/>
                <w:b w:val="0"/>
                <w:bCs w:val="0"/>
                <w:color w:val="auto"/>
                <w:sz w:val="24"/>
                <w:szCs w:val="24"/>
                <w:lang w:val="en-US" w:eastAsia="zh-CN"/>
              </w:rPr>
              <w:t>1.2</w:t>
            </w:r>
            <w:r>
              <w:rPr>
                <w:rFonts w:hint="eastAsia" w:ascii="Times New Roman"/>
                <w:b w:val="0"/>
                <w:bCs w:val="0"/>
                <w:color w:val="auto"/>
                <w:sz w:val="24"/>
                <w:szCs w:val="24"/>
                <w:lang w:val="en-US" w:eastAsia="zh-CN"/>
              </w:rPr>
              <w:t>m</w:t>
            </w:r>
            <w:r>
              <w:rPr>
                <w:rFonts w:hint="eastAsia"/>
                <w:b w:val="0"/>
                <w:bCs w:val="0"/>
                <w:color w:val="auto"/>
                <w:sz w:val="24"/>
                <w:szCs w:val="24"/>
                <w:lang w:val="en-US" w:eastAsia="zh-CN"/>
              </w:rPr>
              <w:t>，总容积为54m</w:t>
            </w:r>
            <w:r>
              <w:rPr>
                <w:rFonts w:hint="eastAsia"/>
                <w:b w:val="0"/>
                <w:bCs w:val="0"/>
                <w:color w:val="auto"/>
                <w:sz w:val="24"/>
                <w:szCs w:val="24"/>
                <w:vertAlign w:val="superscript"/>
                <w:lang w:val="en-US" w:eastAsia="zh-CN"/>
              </w:rPr>
              <w:t>3</w:t>
            </w:r>
            <w:r>
              <w:rPr>
                <w:rFonts w:hint="eastAsia"/>
                <w:b w:val="0"/>
                <w:bCs w:val="0"/>
                <w:color w:val="auto"/>
                <w:sz w:val="24"/>
                <w:szCs w:val="24"/>
                <w:lang w:val="en-US" w:eastAsia="zh-CN"/>
              </w:rPr>
              <w:t>，储罐总容积为72m</w:t>
            </w:r>
            <w:r>
              <w:rPr>
                <w:rFonts w:hint="eastAsia"/>
                <w:b w:val="0"/>
                <w:bCs w:val="0"/>
                <w:color w:val="auto"/>
                <w:sz w:val="24"/>
                <w:szCs w:val="24"/>
                <w:vertAlign w:val="superscript"/>
                <w:lang w:val="en-US" w:eastAsia="zh-CN"/>
              </w:rPr>
              <w:t>3</w:t>
            </w:r>
            <w:r>
              <w:rPr>
                <w:rFonts w:hint="eastAsia"/>
                <w:b w:val="0"/>
                <w:bCs w:val="0"/>
                <w:color w:val="auto"/>
                <w:sz w:val="24"/>
                <w:szCs w:val="24"/>
                <w:lang w:val="en-US" w:eastAsia="zh-CN"/>
              </w:rPr>
              <w:t>，围堰容积可足够容纳</w:t>
            </w:r>
            <w:r>
              <w:rPr>
                <w:rFonts w:hint="eastAsia"/>
                <w:color w:val="auto"/>
                <w:szCs w:val="24"/>
              </w:rPr>
              <w:t>1</w:t>
            </w:r>
            <w:r>
              <w:rPr>
                <w:rFonts w:hint="eastAsia"/>
                <w:color w:val="auto"/>
                <w:szCs w:val="24"/>
                <w:lang w:val="en-US" w:eastAsia="zh-CN"/>
              </w:rPr>
              <w:t>.5</w:t>
            </w:r>
            <w:r>
              <w:rPr>
                <w:rFonts w:hint="eastAsia"/>
                <w:color w:val="auto"/>
                <w:szCs w:val="24"/>
              </w:rPr>
              <w:t>个最大储罐的容积</w:t>
            </w:r>
            <w:r>
              <w:rPr>
                <w:rFonts w:hint="eastAsia"/>
                <w:color w:val="auto"/>
                <w:szCs w:val="24"/>
                <w:lang w:eastAsia="zh-CN"/>
              </w:rPr>
              <w:t>，</w:t>
            </w:r>
            <w:r>
              <w:rPr>
                <w:rFonts w:hint="eastAsia"/>
                <w:color w:val="auto"/>
                <w:szCs w:val="24"/>
                <w:lang w:val="en-US" w:eastAsia="zh-CN"/>
              </w:rPr>
              <w:t>符合</w:t>
            </w:r>
            <w:r>
              <w:rPr>
                <w:rFonts w:hint="eastAsia"/>
                <w:color w:val="auto"/>
                <w:szCs w:val="24"/>
              </w:rPr>
              <w:t>《石油化工工厂布置设计规范》</w:t>
            </w:r>
            <w:r>
              <w:rPr>
                <w:rFonts w:hint="eastAsia"/>
                <w:color w:val="auto"/>
                <w:szCs w:val="24"/>
                <w:lang w:eastAsia="zh-CN"/>
              </w:rPr>
              <w:t>（</w:t>
            </w:r>
            <w:r>
              <w:rPr>
                <w:rFonts w:hint="eastAsia"/>
                <w:color w:val="auto"/>
                <w:szCs w:val="24"/>
              </w:rPr>
              <w:t>GB 50984-2014</w:t>
            </w:r>
            <w:r>
              <w:rPr>
                <w:rFonts w:hint="eastAsia"/>
                <w:color w:val="auto"/>
                <w:szCs w:val="24"/>
                <w:lang w:eastAsia="zh-CN"/>
              </w:rPr>
              <w:t>）</w:t>
            </w:r>
            <w:r>
              <w:rPr>
                <w:rFonts w:hint="eastAsia"/>
                <w:color w:val="auto"/>
                <w:szCs w:val="24"/>
                <w:lang w:val="en-US" w:eastAsia="zh-CN"/>
              </w:rPr>
              <w:t>相关要求；</w:t>
            </w:r>
          </w:p>
          <w:p w14:paraId="46B667A3">
            <w:pPr>
              <w:spacing w:line="360" w:lineRule="auto"/>
              <w:ind w:firstLine="480" w:firstLineChars="200"/>
              <w:rPr>
                <w:rFonts w:hint="default"/>
                <w:lang w:val="en-US" w:eastAsia="zh-CN"/>
              </w:rPr>
            </w:pPr>
            <w:r>
              <w:rPr>
                <w:rFonts w:hint="eastAsia"/>
                <w:color w:val="auto"/>
                <w:szCs w:val="24"/>
                <w:lang w:val="en-US" w:eastAsia="zh-CN"/>
              </w:rPr>
              <w:t>③原料区、成品区以及储罐区应配备好沙袋的应急设施。</w:t>
            </w:r>
          </w:p>
          <w:p w14:paraId="17B9E2FA">
            <w:pPr>
              <w:pStyle w:val="41"/>
              <w:spacing w:line="360" w:lineRule="auto"/>
              <w:ind w:left="0" w:leftChars="0" w:firstLine="0" w:firstLineChars="0"/>
              <w:rPr>
                <w:rFonts w:ascii="Times New Roman"/>
                <w:b/>
                <w:bCs/>
                <w:color w:val="auto"/>
                <w:sz w:val="24"/>
                <w:szCs w:val="24"/>
              </w:rPr>
            </w:pPr>
            <w:r>
              <w:rPr>
                <w:rFonts w:hint="eastAsia" w:ascii="Times New Roman"/>
                <w:b/>
                <w:bCs/>
                <w:color w:val="auto"/>
                <w:sz w:val="24"/>
                <w:szCs w:val="24"/>
                <w:lang w:val="en-US" w:eastAsia="zh-CN"/>
              </w:rPr>
              <w:t>八</w:t>
            </w:r>
            <w:r>
              <w:rPr>
                <w:rFonts w:hint="eastAsia" w:ascii="Times New Roman"/>
                <w:b/>
                <w:bCs/>
                <w:color w:val="auto"/>
                <w:sz w:val="24"/>
                <w:szCs w:val="24"/>
              </w:rPr>
              <w:t>、电磁辐射</w:t>
            </w:r>
            <w:r>
              <w:rPr>
                <w:rFonts w:ascii="Times New Roman"/>
                <w:b/>
                <w:bCs/>
                <w:color w:val="auto"/>
                <w:sz w:val="24"/>
                <w:szCs w:val="24"/>
              </w:rPr>
              <w:t>环境影响分析</w:t>
            </w:r>
          </w:p>
          <w:p w14:paraId="0F765CBA">
            <w:pPr>
              <w:pStyle w:val="3"/>
              <w:widowControl/>
              <w:ind w:firstLine="480" w:firstLineChars="200"/>
            </w:pPr>
            <w:r>
              <w:rPr>
                <w:rFonts w:hint="eastAsia" w:ascii="Times New Roman" w:hAnsi="Times New Roman"/>
                <w:b w:val="0"/>
                <w:bCs w:val="0"/>
                <w:szCs w:val="24"/>
              </w:rPr>
              <w:t>本项目不属于电磁辐射项目，无需进行电磁辐射环境影响评价工作。</w:t>
            </w:r>
          </w:p>
          <w:p w14:paraId="1BB50717">
            <w:pPr>
              <w:pStyle w:val="86"/>
              <w:spacing w:line="360" w:lineRule="auto"/>
              <w:ind w:firstLine="0"/>
              <w:rPr>
                <w:rFonts w:ascii="Arial" w:hAnsi="Arial"/>
                <w:b/>
                <w:bCs/>
                <w:sz w:val="24"/>
                <w:szCs w:val="32"/>
              </w:rPr>
            </w:pPr>
            <w:r>
              <w:rPr>
                <w:rFonts w:hint="eastAsia" w:ascii="Arial" w:hAnsi="Arial"/>
                <w:b/>
                <w:bCs/>
                <w:sz w:val="24"/>
                <w:szCs w:val="32"/>
                <w:lang w:val="en-US" w:eastAsia="zh-CN"/>
              </w:rPr>
              <w:t>九</w:t>
            </w:r>
            <w:r>
              <w:rPr>
                <w:rFonts w:hint="eastAsia" w:ascii="Arial" w:hAnsi="Arial"/>
                <w:b/>
                <w:bCs/>
                <w:sz w:val="24"/>
                <w:szCs w:val="32"/>
              </w:rPr>
              <w:t>、</w:t>
            </w:r>
            <w:r>
              <w:rPr>
                <w:rFonts w:ascii="Arial" w:hAnsi="Arial"/>
                <w:b/>
                <w:bCs/>
                <w:sz w:val="24"/>
                <w:szCs w:val="32"/>
              </w:rPr>
              <w:t>环保投资</w:t>
            </w:r>
          </w:p>
          <w:p w14:paraId="4E431CA2">
            <w:pPr>
              <w:pStyle w:val="86"/>
              <w:spacing w:line="360" w:lineRule="auto"/>
              <w:rPr>
                <w:rFonts w:ascii="Times New Roman"/>
                <w:sz w:val="24"/>
                <w:u w:val="none"/>
              </w:rPr>
            </w:pPr>
            <w:r>
              <w:rPr>
                <w:rFonts w:hint="eastAsia" w:ascii="Times New Roman"/>
                <w:sz w:val="24"/>
                <w:u w:val="none"/>
              </w:rPr>
              <w:t>本次扩建</w:t>
            </w:r>
            <w:r>
              <w:rPr>
                <w:rFonts w:ascii="Times New Roman"/>
                <w:sz w:val="24"/>
                <w:u w:val="none"/>
              </w:rPr>
              <w:t>环保投资</w:t>
            </w:r>
            <w:r>
              <w:rPr>
                <w:rFonts w:hint="eastAsia" w:ascii="Times New Roman"/>
                <w:sz w:val="24"/>
                <w:u w:val="none"/>
                <w:lang w:val="en-US" w:eastAsia="zh-CN"/>
              </w:rPr>
              <w:t>18</w:t>
            </w:r>
            <w:r>
              <w:rPr>
                <w:rFonts w:ascii="Times New Roman"/>
                <w:sz w:val="24"/>
                <w:u w:val="none"/>
              </w:rPr>
              <w:t>万元，占项目总投资</w:t>
            </w:r>
            <w:r>
              <w:rPr>
                <w:rFonts w:hint="eastAsia" w:ascii="Times New Roman"/>
                <w:color w:val="auto"/>
                <w:sz w:val="24"/>
                <w:u w:val="none"/>
                <w:lang w:val="en-US" w:eastAsia="zh-CN"/>
              </w:rPr>
              <w:t>5000</w:t>
            </w:r>
            <w:r>
              <w:rPr>
                <w:rFonts w:ascii="Times New Roman"/>
                <w:color w:val="auto"/>
                <w:sz w:val="24"/>
                <w:u w:val="none"/>
              </w:rPr>
              <w:t>万元的</w:t>
            </w:r>
            <w:r>
              <w:rPr>
                <w:rFonts w:ascii="Times New Roman"/>
                <w:sz w:val="24"/>
                <w:u w:val="none"/>
              </w:rPr>
              <w:t>的</w:t>
            </w:r>
            <w:r>
              <w:rPr>
                <w:rFonts w:hint="eastAsia" w:ascii="Times New Roman"/>
                <w:sz w:val="24"/>
                <w:u w:val="none"/>
                <w:lang w:val="en-US" w:eastAsia="zh-CN"/>
              </w:rPr>
              <w:t>0.36</w:t>
            </w:r>
            <w:r>
              <w:rPr>
                <w:rFonts w:ascii="Times New Roman"/>
                <w:sz w:val="24"/>
                <w:u w:val="none"/>
              </w:rPr>
              <w:t>%，</w:t>
            </w:r>
            <w:r>
              <w:rPr>
                <w:rFonts w:hint="eastAsia" w:ascii="Times New Roman"/>
                <w:sz w:val="24"/>
                <w:u w:val="none"/>
              </w:rPr>
              <w:t>详见下表。</w:t>
            </w:r>
          </w:p>
          <w:p w14:paraId="1B75FF40">
            <w:pPr>
              <w:spacing w:line="240" w:lineRule="auto"/>
              <w:jc w:val="center"/>
              <w:rPr>
                <w:b/>
                <w:bCs/>
                <w:u w:val="none"/>
              </w:rPr>
            </w:pPr>
            <w:r>
              <w:rPr>
                <w:b/>
                <w:bCs/>
                <w:u w:val="none"/>
              </w:rPr>
              <w:t>表</w:t>
            </w:r>
            <w:r>
              <w:rPr>
                <w:rFonts w:hint="eastAsia"/>
                <w:b/>
                <w:bCs/>
                <w:u w:val="none"/>
              </w:rPr>
              <w:t>4-</w:t>
            </w:r>
            <w:r>
              <w:rPr>
                <w:rFonts w:hint="eastAsia"/>
                <w:b/>
                <w:bCs/>
                <w:u w:val="none"/>
                <w:lang w:val="en-US" w:eastAsia="zh-CN"/>
              </w:rPr>
              <w:t>18</w:t>
            </w:r>
            <w:r>
              <w:rPr>
                <w:rFonts w:hint="eastAsia"/>
                <w:b/>
                <w:bCs/>
                <w:u w:val="none"/>
              </w:rPr>
              <w:t xml:space="preserve">  </w:t>
            </w:r>
            <w:r>
              <w:rPr>
                <w:b/>
                <w:bCs/>
                <w:u w:val="none"/>
              </w:rPr>
              <w:t>建设项目环保措施投资一览表</w:t>
            </w:r>
          </w:p>
          <w:tbl>
            <w:tblPr>
              <w:tblStyle w:val="31"/>
              <w:tblW w:w="492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0"/>
              <w:gridCol w:w="798"/>
              <w:gridCol w:w="1062"/>
              <w:gridCol w:w="4144"/>
              <w:gridCol w:w="1362"/>
            </w:tblGrid>
            <w:tr w14:paraId="0CBBA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0" w:type="pct"/>
                  <w:vAlign w:val="center"/>
                </w:tcPr>
                <w:p w14:paraId="786811C8">
                  <w:pPr>
                    <w:jc w:val="center"/>
                    <w:rPr>
                      <w:sz w:val="21"/>
                      <w:szCs w:val="21"/>
                      <w:u w:val="none"/>
                    </w:rPr>
                  </w:pPr>
                  <w:r>
                    <w:rPr>
                      <w:sz w:val="21"/>
                      <w:szCs w:val="21"/>
                      <w:u w:val="none"/>
                    </w:rPr>
                    <w:t>序号</w:t>
                  </w:r>
                </w:p>
              </w:tc>
              <w:tc>
                <w:tcPr>
                  <w:tcW w:w="496" w:type="pct"/>
                  <w:vAlign w:val="center"/>
                </w:tcPr>
                <w:p w14:paraId="65CDDD50">
                  <w:pPr>
                    <w:jc w:val="center"/>
                    <w:rPr>
                      <w:sz w:val="21"/>
                      <w:szCs w:val="21"/>
                      <w:u w:val="none"/>
                    </w:rPr>
                  </w:pPr>
                  <w:r>
                    <w:rPr>
                      <w:sz w:val="21"/>
                      <w:szCs w:val="21"/>
                      <w:u w:val="none"/>
                    </w:rPr>
                    <w:t>类别</w:t>
                  </w:r>
                </w:p>
              </w:tc>
              <w:tc>
                <w:tcPr>
                  <w:tcW w:w="661" w:type="pct"/>
                  <w:vAlign w:val="center"/>
                </w:tcPr>
                <w:p w14:paraId="6B68CFDA">
                  <w:pPr>
                    <w:jc w:val="center"/>
                    <w:rPr>
                      <w:sz w:val="21"/>
                      <w:szCs w:val="21"/>
                      <w:u w:val="none"/>
                    </w:rPr>
                  </w:pPr>
                  <w:r>
                    <w:rPr>
                      <w:sz w:val="21"/>
                      <w:szCs w:val="21"/>
                      <w:u w:val="none"/>
                    </w:rPr>
                    <w:t>治理对象</w:t>
                  </w:r>
                </w:p>
              </w:tc>
              <w:tc>
                <w:tcPr>
                  <w:tcW w:w="2581" w:type="pct"/>
                  <w:vAlign w:val="center"/>
                </w:tcPr>
                <w:p w14:paraId="3D0D91E7">
                  <w:pPr>
                    <w:jc w:val="center"/>
                    <w:rPr>
                      <w:sz w:val="21"/>
                      <w:szCs w:val="21"/>
                      <w:u w:val="none"/>
                    </w:rPr>
                  </w:pPr>
                  <w:r>
                    <w:rPr>
                      <w:sz w:val="21"/>
                      <w:szCs w:val="21"/>
                      <w:u w:val="none"/>
                    </w:rPr>
                    <w:t>治理</w:t>
                  </w:r>
                  <w:r>
                    <w:rPr>
                      <w:rFonts w:hint="eastAsia"/>
                      <w:sz w:val="21"/>
                      <w:szCs w:val="21"/>
                      <w:u w:val="none"/>
                    </w:rPr>
                    <w:t>措施</w:t>
                  </w:r>
                </w:p>
              </w:tc>
              <w:tc>
                <w:tcPr>
                  <w:tcW w:w="848" w:type="pct"/>
                  <w:tcBorders>
                    <w:right w:val="single" w:color="auto" w:sz="4" w:space="0"/>
                  </w:tcBorders>
                  <w:vAlign w:val="center"/>
                </w:tcPr>
                <w:p w14:paraId="0EF91F8B">
                  <w:pPr>
                    <w:jc w:val="center"/>
                    <w:rPr>
                      <w:rFonts w:hint="eastAsia" w:eastAsia="宋体"/>
                      <w:sz w:val="21"/>
                      <w:szCs w:val="21"/>
                      <w:u w:val="none"/>
                      <w:lang w:eastAsia="zh-CN"/>
                    </w:rPr>
                  </w:pPr>
                  <w:r>
                    <w:rPr>
                      <w:sz w:val="21"/>
                      <w:szCs w:val="21"/>
                      <w:u w:val="none"/>
                    </w:rPr>
                    <w:t>投资</w:t>
                  </w:r>
                  <w:r>
                    <w:rPr>
                      <w:rFonts w:hint="eastAsia"/>
                      <w:sz w:val="21"/>
                      <w:szCs w:val="21"/>
                      <w:u w:val="none"/>
                      <w:lang w:eastAsia="zh-CN"/>
                    </w:rPr>
                    <w:t>（</w:t>
                  </w:r>
                  <w:r>
                    <w:rPr>
                      <w:sz w:val="21"/>
                      <w:szCs w:val="21"/>
                      <w:u w:val="none"/>
                    </w:rPr>
                    <w:t>万元</w:t>
                  </w:r>
                  <w:r>
                    <w:rPr>
                      <w:rFonts w:hint="eastAsia"/>
                      <w:sz w:val="21"/>
                      <w:szCs w:val="21"/>
                      <w:u w:val="none"/>
                      <w:lang w:eastAsia="zh-CN"/>
                    </w:rPr>
                    <w:t>）</w:t>
                  </w:r>
                </w:p>
              </w:tc>
            </w:tr>
            <w:tr w14:paraId="3E0E6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0" w:type="pct"/>
                  <w:shd w:val="clear" w:color="auto" w:fill="auto"/>
                  <w:vAlign w:val="center"/>
                </w:tcPr>
                <w:p w14:paraId="526BCF6E">
                  <w:pPr>
                    <w:jc w:val="center"/>
                    <w:rPr>
                      <w:rFonts w:hint="eastAsia" w:ascii="Times New Roman" w:hAnsi="Times New Roman" w:eastAsia="宋体" w:cs="Times New Roman"/>
                      <w:kern w:val="2"/>
                      <w:sz w:val="21"/>
                      <w:szCs w:val="21"/>
                      <w:u w:val="none"/>
                      <w:lang w:val="en-US" w:eastAsia="zh-CN" w:bidi="ar-SA"/>
                    </w:rPr>
                  </w:pPr>
                  <w:r>
                    <w:rPr>
                      <w:rFonts w:hint="eastAsia"/>
                      <w:sz w:val="21"/>
                      <w:szCs w:val="21"/>
                      <w:u w:val="none"/>
                      <w:lang w:val="en-US" w:eastAsia="zh-CN"/>
                    </w:rPr>
                    <w:t>1</w:t>
                  </w:r>
                </w:p>
              </w:tc>
              <w:tc>
                <w:tcPr>
                  <w:tcW w:w="496" w:type="pct"/>
                  <w:shd w:val="clear" w:color="auto" w:fill="auto"/>
                  <w:vAlign w:val="center"/>
                </w:tcPr>
                <w:p w14:paraId="635270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废气</w:t>
                  </w:r>
                </w:p>
              </w:tc>
              <w:tc>
                <w:tcPr>
                  <w:tcW w:w="661" w:type="pct"/>
                  <w:shd w:val="clear" w:color="auto" w:fill="auto"/>
                  <w:vAlign w:val="center"/>
                </w:tcPr>
                <w:p w14:paraId="50E33B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不凝气体</w:t>
                  </w:r>
                </w:p>
              </w:tc>
              <w:tc>
                <w:tcPr>
                  <w:tcW w:w="2581" w:type="pct"/>
                  <w:shd w:val="clear" w:color="auto" w:fill="auto"/>
                  <w:vAlign w:val="center"/>
                </w:tcPr>
                <w:p w14:paraId="3F056F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二级活性炭+15m排气筒</w:t>
                  </w:r>
                </w:p>
              </w:tc>
              <w:tc>
                <w:tcPr>
                  <w:tcW w:w="848" w:type="pct"/>
                  <w:tcBorders>
                    <w:right w:val="single" w:color="auto" w:sz="4" w:space="0"/>
                  </w:tcBorders>
                  <w:shd w:val="clear" w:color="auto" w:fill="auto"/>
                  <w:vAlign w:val="center"/>
                </w:tcPr>
                <w:p w14:paraId="0A58F4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10</w:t>
                  </w:r>
                </w:p>
              </w:tc>
            </w:tr>
            <w:tr w14:paraId="5E404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0" w:type="pct"/>
                  <w:shd w:val="clear" w:color="auto" w:fill="auto"/>
                  <w:vAlign w:val="center"/>
                </w:tcPr>
                <w:p w14:paraId="45903A66">
                  <w:pPr>
                    <w:jc w:val="center"/>
                    <w:rPr>
                      <w:rFonts w:hint="eastAsia" w:ascii="Times New Roman" w:hAnsi="Times New Roman" w:eastAsia="宋体" w:cs="Times New Roman"/>
                      <w:kern w:val="2"/>
                      <w:sz w:val="21"/>
                      <w:szCs w:val="21"/>
                      <w:u w:val="none"/>
                      <w:lang w:val="en-US" w:eastAsia="zh-CN" w:bidi="ar-SA"/>
                    </w:rPr>
                  </w:pPr>
                  <w:r>
                    <w:rPr>
                      <w:rFonts w:hint="eastAsia"/>
                      <w:sz w:val="21"/>
                      <w:szCs w:val="21"/>
                      <w:u w:val="none"/>
                      <w:lang w:val="en-US" w:eastAsia="zh-CN"/>
                    </w:rPr>
                    <w:t>2</w:t>
                  </w:r>
                </w:p>
              </w:tc>
              <w:tc>
                <w:tcPr>
                  <w:tcW w:w="496" w:type="pct"/>
                  <w:shd w:val="clear" w:color="auto" w:fill="auto"/>
                  <w:vAlign w:val="center"/>
                </w:tcPr>
                <w:p w14:paraId="5510C8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u w:val="none"/>
                    </w:rPr>
                    <w:t>噪声</w:t>
                  </w:r>
                </w:p>
              </w:tc>
              <w:tc>
                <w:tcPr>
                  <w:tcW w:w="661" w:type="pct"/>
                  <w:shd w:val="clear" w:color="auto" w:fill="auto"/>
                  <w:vAlign w:val="center"/>
                </w:tcPr>
                <w:p w14:paraId="79FA60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u w:val="none"/>
                    </w:rPr>
                    <w:t>生产设备</w:t>
                  </w:r>
                </w:p>
              </w:tc>
              <w:tc>
                <w:tcPr>
                  <w:tcW w:w="2581" w:type="pct"/>
                  <w:shd w:val="clear" w:color="auto" w:fill="auto"/>
                  <w:vAlign w:val="center"/>
                </w:tcPr>
                <w:p w14:paraId="68002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u w:val="none"/>
                    </w:rPr>
                    <w:t>设备基础安装减震垫，厂房隔声等</w:t>
                  </w:r>
                </w:p>
              </w:tc>
              <w:tc>
                <w:tcPr>
                  <w:tcW w:w="848" w:type="pct"/>
                  <w:tcBorders>
                    <w:right w:val="single" w:color="auto" w:sz="4" w:space="0"/>
                  </w:tcBorders>
                  <w:shd w:val="clear" w:color="auto" w:fill="auto"/>
                  <w:vAlign w:val="center"/>
                </w:tcPr>
                <w:p w14:paraId="2724C8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1</w:t>
                  </w:r>
                </w:p>
              </w:tc>
            </w:tr>
            <w:tr w14:paraId="62F09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0" w:type="pct"/>
                  <w:shd w:val="clear" w:color="auto" w:fill="auto"/>
                  <w:vAlign w:val="center"/>
                </w:tcPr>
                <w:p w14:paraId="213615CE">
                  <w:pPr>
                    <w:jc w:val="center"/>
                    <w:rPr>
                      <w:rFonts w:hint="eastAsia" w:ascii="Times New Roman" w:hAnsi="Times New Roman" w:eastAsia="宋体" w:cs="Times New Roman"/>
                      <w:kern w:val="2"/>
                      <w:sz w:val="21"/>
                      <w:szCs w:val="21"/>
                      <w:u w:val="none"/>
                      <w:lang w:val="en-US" w:eastAsia="zh-CN" w:bidi="ar-SA"/>
                    </w:rPr>
                  </w:pPr>
                  <w:r>
                    <w:rPr>
                      <w:rFonts w:hint="eastAsia"/>
                      <w:sz w:val="21"/>
                      <w:szCs w:val="21"/>
                      <w:u w:val="none"/>
                      <w:lang w:val="en-US" w:eastAsia="zh-CN"/>
                    </w:rPr>
                    <w:t>3</w:t>
                  </w:r>
                </w:p>
              </w:tc>
              <w:tc>
                <w:tcPr>
                  <w:tcW w:w="496" w:type="pct"/>
                  <w:vAlign w:val="center"/>
                </w:tcPr>
                <w:p w14:paraId="1B5AF078">
                  <w:pPr>
                    <w:jc w:val="center"/>
                    <w:rPr>
                      <w:rFonts w:hint="eastAsia" w:eastAsia="宋体"/>
                      <w:sz w:val="21"/>
                      <w:szCs w:val="21"/>
                      <w:u w:val="none"/>
                      <w:lang w:val="en-US" w:eastAsia="zh-CN"/>
                    </w:rPr>
                  </w:pPr>
                  <w:r>
                    <w:rPr>
                      <w:rFonts w:hint="eastAsia"/>
                      <w:sz w:val="21"/>
                      <w:szCs w:val="21"/>
                      <w:u w:val="none"/>
                      <w:lang w:val="en-US" w:eastAsia="zh-CN"/>
                    </w:rPr>
                    <w:t>固废</w:t>
                  </w:r>
                </w:p>
              </w:tc>
              <w:tc>
                <w:tcPr>
                  <w:tcW w:w="661" w:type="pct"/>
                  <w:vAlign w:val="center"/>
                </w:tcPr>
                <w:p w14:paraId="78E148E9">
                  <w:pPr>
                    <w:jc w:val="center"/>
                    <w:rPr>
                      <w:rFonts w:hint="default" w:eastAsia="宋体"/>
                      <w:sz w:val="21"/>
                      <w:szCs w:val="21"/>
                      <w:u w:val="none"/>
                      <w:lang w:val="en-US" w:eastAsia="zh-CN"/>
                    </w:rPr>
                  </w:pPr>
                  <w:r>
                    <w:rPr>
                      <w:rFonts w:hint="eastAsia"/>
                      <w:sz w:val="21"/>
                      <w:szCs w:val="21"/>
                      <w:u w:val="none"/>
                      <w:lang w:val="en-US" w:eastAsia="zh-CN"/>
                    </w:rPr>
                    <w:t>危险固废</w:t>
                  </w:r>
                </w:p>
              </w:tc>
              <w:tc>
                <w:tcPr>
                  <w:tcW w:w="2581" w:type="pct"/>
                  <w:vAlign w:val="center"/>
                </w:tcPr>
                <w:p w14:paraId="2D330915">
                  <w:pPr>
                    <w:jc w:val="center"/>
                    <w:rPr>
                      <w:rFonts w:hint="default"/>
                      <w:sz w:val="21"/>
                      <w:szCs w:val="21"/>
                      <w:u w:val="none"/>
                      <w:lang w:val="en-US" w:eastAsia="zh-CN"/>
                    </w:rPr>
                  </w:pPr>
                  <w:r>
                    <w:rPr>
                      <w:rFonts w:hint="eastAsia"/>
                      <w:sz w:val="21"/>
                      <w:szCs w:val="21"/>
                      <w:u w:val="none"/>
                      <w:lang w:val="en-US" w:eastAsia="zh-CN"/>
                    </w:rPr>
                    <w:t>危废暂存间、危废处置协议</w:t>
                  </w:r>
                </w:p>
              </w:tc>
              <w:tc>
                <w:tcPr>
                  <w:tcW w:w="848" w:type="pct"/>
                  <w:tcBorders>
                    <w:right w:val="single" w:color="auto" w:sz="4" w:space="0"/>
                  </w:tcBorders>
                  <w:vAlign w:val="center"/>
                </w:tcPr>
                <w:p w14:paraId="2D38FB15">
                  <w:pPr>
                    <w:jc w:val="center"/>
                    <w:rPr>
                      <w:rFonts w:hint="default"/>
                      <w:sz w:val="21"/>
                      <w:szCs w:val="21"/>
                      <w:u w:val="none"/>
                      <w:lang w:val="en-US" w:eastAsia="zh-CN"/>
                    </w:rPr>
                  </w:pPr>
                  <w:r>
                    <w:rPr>
                      <w:rFonts w:hint="eastAsia"/>
                      <w:sz w:val="21"/>
                      <w:szCs w:val="21"/>
                      <w:u w:val="none"/>
                      <w:lang w:val="en-US" w:eastAsia="zh-CN"/>
                    </w:rPr>
                    <w:t>3</w:t>
                  </w:r>
                </w:p>
              </w:tc>
            </w:tr>
            <w:tr w14:paraId="0AB87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0" w:type="pct"/>
                  <w:vAlign w:val="center"/>
                </w:tcPr>
                <w:p w14:paraId="7EB39B10">
                  <w:pPr>
                    <w:jc w:val="center"/>
                    <w:rPr>
                      <w:rFonts w:hint="default"/>
                      <w:sz w:val="21"/>
                      <w:szCs w:val="21"/>
                      <w:u w:val="none"/>
                      <w:lang w:val="en-US" w:eastAsia="zh-CN"/>
                    </w:rPr>
                  </w:pPr>
                  <w:r>
                    <w:rPr>
                      <w:rFonts w:hint="eastAsia"/>
                      <w:sz w:val="21"/>
                      <w:szCs w:val="21"/>
                      <w:u w:val="none"/>
                      <w:lang w:val="en-US" w:eastAsia="zh-CN"/>
                    </w:rPr>
                    <w:t>4</w:t>
                  </w:r>
                </w:p>
              </w:tc>
              <w:tc>
                <w:tcPr>
                  <w:tcW w:w="1158" w:type="pct"/>
                  <w:gridSpan w:val="2"/>
                  <w:vAlign w:val="center"/>
                </w:tcPr>
                <w:p w14:paraId="07CA1680">
                  <w:pPr>
                    <w:jc w:val="center"/>
                    <w:rPr>
                      <w:rFonts w:hint="eastAsia"/>
                      <w:sz w:val="21"/>
                      <w:szCs w:val="21"/>
                      <w:u w:val="none"/>
                      <w:lang w:val="en-US" w:eastAsia="zh-CN"/>
                    </w:rPr>
                  </w:pPr>
                  <w:r>
                    <w:rPr>
                      <w:rFonts w:hint="eastAsia"/>
                      <w:sz w:val="21"/>
                      <w:szCs w:val="21"/>
                      <w:u w:val="none"/>
                      <w:lang w:val="en-US" w:eastAsia="zh-CN"/>
                    </w:rPr>
                    <w:t>环境风险</w:t>
                  </w:r>
                </w:p>
              </w:tc>
              <w:tc>
                <w:tcPr>
                  <w:tcW w:w="2581" w:type="pct"/>
                  <w:vAlign w:val="center"/>
                </w:tcPr>
                <w:p w14:paraId="639D1E88">
                  <w:pPr>
                    <w:jc w:val="center"/>
                    <w:rPr>
                      <w:rFonts w:hint="default"/>
                      <w:sz w:val="21"/>
                      <w:szCs w:val="21"/>
                      <w:u w:val="none"/>
                      <w:lang w:val="en-US" w:eastAsia="zh-CN"/>
                    </w:rPr>
                  </w:pPr>
                  <w:r>
                    <w:rPr>
                      <w:rFonts w:hint="eastAsia"/>
                      <w:sz w:val="21"/>
                      <w:szCs w:val="21"/>
                      <w:u w:val="none"/>
                      <w:lang w:val="en-US" w:eastAsia="zh-CN"/>
                    </w:rPr>
                    <w:t>原料区、成品区、储罐区防渗、围堰等措施</w:t>
                  </w:r>
                </w:p>
              </w:tc>
              <w:tc>
                <w:tcPr>
                  <w:tcW w:w="848" w:type="pct"/>
                  <w:tcBorders>
                    <w:right w:val="single" w:color="auto" w:sz="4" w:space="0"/>
                  </w:tcBorders>
                  <w:vAlign w:val="center"/>
                </w:tcPr>
                <w:p w14:paraId="5E624C63">
                  <w:pPr>
                    <w:jc w:val="center"/>
                    <w:rPr>
                      <w:rFonts w:hint="default"/>
                      <w:sz w:val="21"/>
                      <w:szCs w:val="21"/>
                      <w:u w:val="none"/>
                      <w:lang w:val="en-US" w:eastAsia="zh-CN"/>
                    </w:rPr>
                  </w:pPr>
                  <w:r>
                    <w:rPr>
                      <w:rFonts w:hint="eastAsia"/>
                      <w:sz w:val="21"/>
                      <w:szCs w:val="21"/>
                      <w:u w:val="none"/>
                      <w:lang w:val="en-US" w:eastAsia="zh-CN"/>
                    </w:rPr>
                    <w:t>4</w:t>
                  </w:r>
                </w:p>
              </w:tc>
            </w:tr>
            <w:tr w14:paraId="27ECC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151" w:type="pct"/>
                  <w:gridSpan w:val="4"/>
                  <w:vAlign w:val="center"/>
                </w:tcPr>
                <w:p w14:paraId="341974B4">
                  <w:pPr>
                    <w:jc w:val="center"/>
                    <w:rPr>
                      <w:sz w:val="21"/>
                      <w:szCs w:val="21"/>
                      <w:u w:val="none"/>
                    </w:rPr>
                  </w:pPr>
                  <w:r>
                    <w:rPr>
                      <w:sz w:val="21"/>
                      <w:szCs w:val="21"/>
                      <w:u w:val="none"/>
                    </w:rPr>
                    <w:t>总计</w:t>
                  </w:r>
                </w:p>
              </w:tc>
              <w:tc>
                <w:tcPr>
                  <w:tcW w:w="848" w:type="pct"/>
                  <w:tcBorders>
                    <w:right w:val="single" w:color="auto" w:sz="4" w:space="0"/>
                  </w:tcBorders>
                  <w:vAlign w:val="center"/>
                </w:tcPr>
                <w:p w14:paraId="6F9184F4">
                  <w:pPr>
                    <w:jc w:val="center"/>
                    <w:rPr>
                      <w:rFonts w:hint="default" w:eastAsia="宋体"/>
                      <w:sz w:val="21"/>
                      <w:szCs w:val="21"/>
                      <w:u w:val="none"/>
                      <w:lang w:val="en-US" w:eastAsia="zh-CN"/>
                    </w:rPr>
                  </w:pPr>
                  <w:r>
                    <w:rPr>
                      <w:rFonts w:hint="eastAsia"/>
                      <w:sz w:val="21"/>
                      <w:szCs w:val="21"/>
                      <w:u w:val="none"/>
                      <w:lang w:val="en-US" w:eastAsia="zh-CN"/>
                    </w:rPr>
                    <w:t>18</w:t>
                  </w:r>
                </w:p>
              </w:tc>
            </w:tr>
          </w:tbl>
          <w:p w14:paraId="3C2F07D9">
            <w:pPr>
              <w:pStyle w:val="5"/>
            </w:pPr>
          </w:p>
        </w:tc>
      </w:tr>
    </w:tbl>
    <w:p w14:paraId="69844FB9">
      <w:pPr>
        <w:adjustRightInd w:val="0"/>
        <w:snapToGrid w:val="0"/>
        <w:spacing w:line="360" w:lineRule="auto"/>
        <w:rPr>
          <w:b/>
          <w:kern w:val="0"/>
          <w:sz w:val="28"/>
          <w:szCs w:val="28"/>
        </w:rPr>
        <w:sectPr>
          <w:pgSz w:w="11907" w:h="16840"/>
          <w:pgMar w:top="1701" w:right="1531" w:bottom="2127" w:left="1531" w:header="851" w:footer="851" w:gutter="0"/>
          <w:cols w:space="720" w:num="1"/>
          <w:docGrid w:linePitch="312" w:charSpace="0"/>
        </w:sectPr>
      </w:pPr>
    </w:p>
    <w:p w14:paraId="4EC7C44B">
      <w:pPr>
        <w:pStyle w:val="26"/>
        <w:jc w:val="center"/>
        <w:outlineLvl w:val="0"/>
        <w:rPr>
          <w:rStyle w:val="48"/>
          <w:rFonts w:ascii="Times New Roman" w:hAnsi="Times New Roman" w:eastAsia="宋体"/>
          <w:color w:val="auto"/>
          <w:u w:val="none"/>
        </w:rPr>
      </w:pPr>
      <w:bookmarkStart w:id="31" w:name="_Toc71631407"/>
      <w:r>
        <w:rPr>
          <w:rStyle w:val="48"/>
          <w:rFonts w:ascii="Times New Roman" w:hAnsi="Times New Roman" w:eastAsia="宋体"/>
          <w:color w:val="auto"/>
          <w:u w:val="none"/>
        </w:rPr>
        <w:t>五、</w:t>
      </w:r>
      <w:bookmarkStart w:id="32" w:name="_Hlk54167917"/>
      <w:r>
        <w:rPr>
          <w:rStyle w:val="48"/>
          <w:rFonts w:ascii="Times New Roman" w:hAnsi="Times New Roman" w:eastAsia="宋体"/>
          <w:color w:val="auto"/>
          <w:u w:val="none"/>
        </w:rPr>
        <w:t>环境保护措施监督检查清单</w:t>
      </w:r>
      <w:bookmarkEnd w:id="31"/>
      <w:bookmarkEnd w:id="32"/>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650"/>
        <w:gridCol w:w="1604"/>
        <w:gridCol w:w="1691"/>
        <w:gridCol w:w="2267"/>
      </w:tblGrid>
      <w:tr w14:paraId="0CCAF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8" w:type="dxa"/>
            <w:tcBorders>
              <w:tl2br w:val="single" w:color="auto" w:sz="4" w:space="0"/>
            </w:tcBorders>
          </w:tcPr>
          <w:p w14:paraId="3772A392">
            <w:pPr>
              <w:adjustRightInd w:val="0"/>
              <w:snapToGrid w:val="0"/>
              <w:ind w:firstLine="840"/>
              <w:rPr>
                <w:sz w:val="24"/>
                <w:szCs w:val="24"/>
                <w:u w:val="none"/>
              </w:rPr>
            </w:pPr>
            <w:r>
              <w:rPr>
                <w:sz w:val="24"/>
                <w:szCs w:val="24"/>
                <w:u w:val="none"/>
              </w:rPr>
              <w:t>内容</w:t>
            </w:r>
          </w:p>
          <w:p w14:paraId="23C56344">
            <w:pPr>
              <w:adjustRightInd w:val="0"/>
              <w:snapToGrid w:val="0"/>
              <w:rPr>
                <w:sz w:val="24"/>
                <w:szCs w:val="24"/>
                <w:u w:val="none"/>
              </w:rPr>
            </w:pPr>
            <w:r>
              <w:rPr>
                <w:sz w:val="24"/>
                <w:szCs w:val="24"/>
                <w:u w:val="none"/>
              </w:rPr>
              <w:t>要素</w:t>
            </w:r>
          </w:p>
        </w:tc>
        <w:tc>
          <w:tcPr>
            <w:tcW w:w="1650" w:type="dxa"/>
            <w:vAlign w:val="center"/>
          </w:tcPr>
          <w:p w14:paraId="4C3CEB87">
            <w:pPr>
              <w:adjustRightInd w:val="0"/>
              <w:snapToGrid w:val="0"/>
              <w:jc w:val="center"/>
              <w:rPr>
                <w:sz w:val="24"/>
                <w:szCs w:val="24"/>
                <w:u w:val="none"/>
              </w:rPr>
            </w:pPr>
            <w:r>
              <w:rPr>
                <w:sz w:val="24"/>
                <w:szCs w:val="24"/>
                <w:u w:val="none"/>
              </w:rPr>
              <w:t>排放口(编号、</w:t>
            </w:r>
          </w:p>
          <w:p w14:paraId="263A1044">
            <w:pPr>
              <w:adjustRightInd w:val="0"/>
              <w:snapToGrid w:val="0"/>
              <w:jc w:val="center"/>
              <w:rPr>
                <w:sz w:val="24"/>
                <w:szCs w:val="24"/>
                <w:u w:val="none"/>
              </w:rPr>
            </w:pPr>
            <w:r>
              <w:rPr>
                <w:sz w:val="24"/>
                <w:szCs w:val="24"/>
                <w:u w:val="none"/>
              </w:rPr>
              <w:t>名称)/污染源</w:t>
            </w:r>
          </w:p>
        </w:tc>
        <w:tc>
          <w:tcPr>
            <w:tcW w:w="1604" w:type="dxa"/>
            <w:vAlign w:val="center"/>
          </w:tcPr>
          <w:p w14:paraId="2DB866C0">
            <w:pPr>
              <w:adjustRightInd w:val="0"/>
              <w:snapToGrid w:val="0"/>
              <w:jc w:val="center"/>
              <w:rPr>
                <w:sz w:val="24"/>
                <w:szCs w:val="24"/>
                <w:u w:val="none"/>
              </w:rPr>
            </w:pPr>
            <w:r>
              <w:rPr>
                <w:sz w:val="24"/>
                <w:szCs w:val="24"/>
                <w:u w:val="none"/>
              </w:rPr>
              <w:t>污染物项目</w:t>
            </w:r>
          </w:p>
        </w:tc>
        <w:tc>
          <w:tcPr>
            <w:tcW w:w="1691" w:type="dxa"/>
            <w:vAlign w:val="center"/>
          </w:tcPr>
          <w:p w14:paraId="483E195E">
            <w:pPr>
              <w:adjustRightInd w:val="0"/>
              <w:snapToGrid w:val="0"/>
              <w:jc w:val="center"/>
              <w:rPr>
                <w:sz w:val="24"/>
                <w:szCs w:val="24"/>
                <w:u w:val="none"/>
              </w:rPr>
            </w:pPr>
            <w:r>
              <w:rPr>
                <w:sz w:val="24"/>
                <w:szCs w:val="24"/>
                <w:u w:val="none"/>
              </w:rPr>
              <w:t>环境保护措施</w:t>
            </w:r>
          </w:p>
        </w:tc>
        <w:tc>
          <w:tcPr>
            <w:tcW w:w="2267" w:type="dxa"/>
            <w:vAlign w:val="center"/>
          </w:tcPr>
          <w:p w14:paraId="4A2FB23F">
            <w:pPr>
              <w:adjustRightInd w:val="0"/>
              <w:snapToGrid w:val="0"/>
              <w:jc w:val="center"/>
              <w:rPr>
                <w:sz w:val="24"/>
                <w:szCs w:val="24"/>
                <w:u w:val="none"/>
              </w:rPr>
            </w:pPr>
            <w:r>
              <w:rPr>
                <w:sz w:val="24"/>
                <w:szCs w:val="24"/>
                <w:u w:val="none"/>
              </w:rPr>
              <w:t>执行标准</w:t>
            </w:r>
          </w:p>
        </w:tc>
      </w:tr>
      <w:tr w14:paraId="01DED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8" w:type="dxa"/>
            <w:vMerge w:val="restart"/>
            <w:vAlign w:val="center"/>
          </w:tcPr>
          <w:p w14:paraId="1C15D50B">
            <w:pPr>
              <w:adjustRightInd w:val="0"/>
              <w:snapToGrid w:val="0"/>
              <w:jc w:val="center"/>
              <w:rPr>
                <w:sz w:val="24"/>
                <w:szCs w:val="24"/>
                <w:u w:val="none"/>
              </w:rPr>
            </w:pPr>
            <w:r>
              <w:rPr>
                <w:sz w:val="24"/>
                <w:szCs w:val="24"/>
                <w:u w:val="none"/>
              </w:rPr>
              <w:t>大气环境</w:t>
            </w:r>
          </w:p>
        </w:tc>
        <w:tc>
          <w:tcPr>
            <w:tcW w:w="1650" w:type="dxa"/>
            <w:shd w:val="clear" w:color="auto" w:fill="auto"/>
            <w:vAlign w:val="center"/>
          </w:tcPr>
          <w:p w14:paraId="1210AED1">
            <w:pPr>
              <w:adjustRightInd w:val="0"/>
              <w:snapToGrid w:val="0"/>
              <w:jc w:val="center"/>
              <w:rPr>
                <w:rFonts w:hint="eastAsia" w:ascii="Times New Roman" w:hAnsi="Times New Roman" w:eastAsia="宋体" w:cs="Times New Roman"/>
                <w:kern w:val="2"/>
                <w:sz w:val="24"/>
                <w:szCs w:val="24"/>
                <w:u w:val="none"/>
                <w:lang w:val="en-US" w:eastAsia="zh-CN" w:bidi="ar-SA"/>
              </w:rPr>
            </w:pPr>
            <w:r>
              <w:rPr>
                <w:rFonts w:hint="eastAsia"/>
                <w:sz w:val="24"/>
                <w:szCs w:val="24"/>
                <w:u w:val="none"/>
                <w:lang w:val="en-US" w:eastAsia="zh-CN"/>
              </w:rPr>
              <w:t>DA001</w:t>
            </w:r>
          </w:p>
        </w:tc>
        <w:tc>
          <w:tcPr>
            <w:tcW w:w="1604" w:type="dxa"/>
            <w:vMerge w:val="restart"/>
            <w:shd w:val="clear" w:color="auto" w:fill="auto"/>
            <w:vAlign w:val="center"/>
          </w:tcPr>
          <w:p w14:paraId="154378C9">
            <w:pPr>
              <w:adjustRightInd w:val="0"/>
              <w:snapToGrid w:val="0"/>
              <w:jc w:val="center"/>
              <w:rPr>
                <w:rFonts w:hint="eastAsia" w:ascii="Times New Roman" w:hAnsi="Times New Roman" w:eastAsia="宋体" w:cs="Times New Roman"/>
                <w:kern w:val="2"/>
                <w:sz w:val="24"/>
                <w:szCs w:val="24"/>
                <w:u w:val="none"/>
                <w:lang w:val="en-US" w:eastAsia="zh-CN" w:bidi="ar-SA"/>
              </w:rPr>
            </w:pPr>
            <w:r>
              <w:rPr>
                <w:rFonts w:hint="eastAsia" w:ascii="Times New Roman" w:hAnsi="Times New Roman" w:cs="Times New Roman"/>
                <w:sz w:val="24"/>
                <w:szCs w:val="24"/>
                <w:u w:val="none"/>
              </w:rPr>
              <w:t>VOCs</w:t>
            </w:r>
            <w:r>
              <w:rPr>
                <w:rFonts w:hint="eastAsia" w:ascii="Times New Roman" w:hAnsi="Times New Roman" w:cs="Times New Roman"/>
                <w:sz w:val="24"/>
                <w:szCs w:val="24"/>
                <w:u w:val="none"/>
                <w:lang w:eastAsia="zh-CN"/>
              </w:rPr>
              <w:t>、</w:t>
            </w:r>
            <w:r>
              <w:rPr>
                <w:rFonts w:hint="eastAsia"/>
                <w:sz w:val="24"/>
                <w:szCs w:val="24"/>
                <w:u w:val="none"/>
                <w:lang w:val="en-US" w:eastAsia="zh-CN"/>
              </w:rPr>
              <w:t>臭气浓度</w:t>
            </w:r>
          </w:p>
        </w:tc>
        <w:tc>
          <w:tcPr>
            <w:tcW w:w="1691" w:type="dxa"/>
            <w:shd w:val="clear" w:color="auto" w:fill="auto"/>
            <w:vAlign w:val="center"/>
          </w:tcPr>
          <w:p w14:paraId="53F165A0">
            <w:pPr>
              <w:pStyle w:val="41"/>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000000"/>
                <w:kern w:val="2"/>
                <w:sz w:val="24"/>
                <w:szCs w:val="24"/>
                <w:u w:val="none"/>
                <w:lang w:val="en-US" w:eastAsia="zh-CN" w:bidi="ar-SA"/>
              </w:rPr>
            </w:pPr>
            <w:r>
              <w:rPr>
                <w:rFonts w:hint="eastAsia"/>
                <w:sz w:val="24"/>
                <w:szCs w:val="24"/>
                <w:u w:val="none"/>
                <w:lang w:val="en-US" w:eastAsia="zh-CN"/>
              </w:rPr>
              <w:t>二级活性炭吸附+15m排气筒</w:t>
            </w:r>
          </w:p>
        </w:tc>
        <w:tc>
          <w:tcPr>
            <w:tcW w:w="2267" w:type="dxa"/>
            <w:vMerge w:val="restart"/>
            <w:shd w:val="clear" w:color="auto" w:fill="auto"/>
            <w:vAlign w:val="center"/>
          </w:tcPr>
          <w:p w14:paraId="054E869B">
            <w:pPr>
              <w:pStyle w:val="41"/>
              <w:snapToGrid/>
              <w:jc w:val="center"/>
              <w:textAlignment w:val="auto"/>
              <w:rPr>
                <w:rFonts w:hint="eastAsia" w:ascii="Times New Roman" w:hAnsi="Times New Roman" w:eastAsia="宋体" w:cs="Times New Roman"/>
                <w:bCs w:val="0"/>
                <w:kern w:val="2"/>
                <w:sz w:val="24"/>
                <w:szCs w:val="24"/>
                <w:u w:val="none"/>
                <w:lang w:val="en-US" w:eastAsia="zh-CN" w:bidi="ar-SA"/>
              </w:rPr>
            </w:pPr>
            <w:r>
              <w:rPr>
                <w:rFonts w:hint="default" w:ascii="Times New Roman" w:hAnsi="Times New Roman" w:eastAsia="宋体" w:cs="Times New Roman"/>
                <w:sz w:val="24"/>
                <w:szCs w:val="24"/>
                <w:u w:val="none"/>
              </w:rPr>
              <w:t>《大气污染物综合排放标准》（GB</w:t>
            </w:r>
            <w:r>
              <w:rPr>
                <w:rFonts w:hint="eastAsia" w:ascii="Times New Roman" w:hAnsi="Times New Roman" w:cs="Times New Roman"/>
                <w:sz w:val="24"/>
                <w:szCs w:val="24"/>
                <w:u w:val="none"/>
                <w:lang w:val="en-US" w:eastAsia="zh-CN"/>
              </w:rPr>
              <w:t xml:space="preserve"> </w:t>
            </w:r>
            <w:r>
              <w:rPr>
                <w:rFonts w:hint="default" w:ascii="Times New Roman" w:hAnsi="Times New Roman" w:eastAsia="宋体" w:cs="Times New Roman"/>
                <w:sz w:val="24"/>
                <w:szCs w:val="24"/>
                <w:u w:val="none"/>
              </w:rPr>
              <w:t>16297-1996）</w:t>
            </w:r>
            <w:r>
              <w:rPr>
                <w:rFonts w:hint="eastAsia" w:ascii="Times New Roman" w:hAnsi="Times New Roman" w:cs="Times New Roman"/>
                <w:sz w:val="24"/>
                <w:szCs w:val="24"/>
                <w:u w:val="none"/>
                <w:lang w:eastAsia="zh-CN"/>
              </w:rPr>
              <w:t>、</w:t>
            </w:r>
            <w:r>
              <w:rPr>
                <w:rFonts w:hint="eastAsia" w:ascii="Times New Roman" w:hAnsi="Times New Roman"/>
                <w:sz w:val="24"/>
                <w:u w:val="none"/>
              </w:rPr>
              <w:t>《恶臭污染物排放标准》（GB 14554-93）</w:t>
            </w:r>
          </w:p>
        </w:tc>
      </w:tr>
      <w:tr w14:paraId="12C450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8" w:type="dxa"/>
            <w:vMerge w:val="continue"/>
            <w:vAlign w:val="center"/>
          </w:tcPr>
          <w:p w14:paraId="01801D97">
            <w:pPr>
              <w:adjustRightInd w:val="0"/>
              <w:snapToGrid w:val="0"/>
              <w:jc w:val="center"/>
              <w:rPr>
                <w:sz w:val="24"/>
                <w:szCs w:val="24"/>
                <w:u w:val="none"/>
              </w:rPr>
            </w:pPr>
          </w:p>
        </w:tc>
        <w:tc>
          <w:tcPr>
            <w:tcW w:w="1650" w:type="dxa"/>
            <w:shd w:val="clear" w:color="auto" w:fill="auto"/>
            <w:vAlign w:val="center"/>
          </w:tcPr>
          <w:p w14:paraId="67FCBF85">
            <w:pPr>
              <w:adjustRightInd w:val="0"/>
              <w:snapToGrid w:val="0"/>
              <w:jc w:val="center"/>
              <w:rPr>
                <w:rFonts w:hint="eastAsia" w:ascii="Times New Roman" w:hAnsi="Times New Roman" w:eastAsia="宋体" w:cs="Times New Roman"/>
                <w:kern w:val="2"/>
                <w:sz w:val="24"/>
                <w:szCs w:val="24"/>
                <w:u w:val="none"/>
                <w:lang w:val="en-US" w:eastAsia="zh-CN" w:bidi="ar-SA"/>
              </w:rPr>
            </w:pPr>
            <w:r>
              <w:rPr>
                <w:rFonts w:hint="eastAsia"/>
                <w:sz w:val="24"/>
                <w:szCs w:val="24"/>
                <w:u w:val="none"/>
                <w:lang w:val="en-US" w:eastAsia="zh-CN"/>
              </w:rPr>
              <w:t>厂界</w:t>
            </w:r>
          </w:p>
        </w:tc>
        <w:tc>
          <w:tcPr>
            <w:tcW w:w="1604" w:type="dxa"/>
            <w:vMerge w:val="continue"/>
            <w:shd w:val="clear" w:color="auto" w:fill="auto"/>
            <w:vAlign w:val="center"/>
          </w:tcPr>
          <w:p w14:paraId="21C23B4E">
            <w:pPr>
              <w:adjustRightInd w:val="0"/>
              <w:snapToGrid w:val="0"/>
              <w:jc w:val="center"/>
              <w:rPr>
                <w:rFonts w:hint="eastAsia" w:ascii="Times New Roman" w:hAnsi="Times New Roman" w:eastAsia="宋体" w:cs="Times New Roman"/>
                <w:kern w:val="2"/>
                <w:sz w:val="24"/>
                <w:szCs w:val="24"/>
                <w:u w:val="none"/>
                <w:lang w:val="en-US" w:eastAsia="zh-CN" w:bidi="ar-SA"/>
              </w:rPr>
            </w:pPr>
          </w:p>
        </w:tc>
        <w:tc>
          <w:tcPr>
            <w:tcW w:w="1691" w:type="dxa"/>
            <w:vMerge w:val="restart"/>
            <w:shd w:val="clear" w:color="auto" w:fill="auto"/>
            <w:vAlign w:val="center"/>
          </w:tcPr>
          <w:p w14:paraId="604F3FB2">
            <w:pPr>
              <w:pStyle w:val="4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Times New Roman" w:hAnsi="Times New Roman"/>
                <w:sz w:val="24"/>
                <w:szCs w:val="24"/>
                <w:u w:val="none"/>
                <w:lang w:val="en-US" w:eastAsia="zh-CN"/>
              </w:rPr>
            </w:pPr>
            <w:r>
              <w:rPr>
                <w:rFonts w:hint="eastAsia" w:ascii="Times New Roman" w:hAnsi="Times New Roman"/>
                <w:sz w:val="24"/>
                <w:szCs w:val="24"/>
                <w:u w:val="none"/>
                <w:lang w:val="en-US" w:eastAsia="zh-CN"/>
              </w:rPr>
              <w:t>加强通风</w:t>
            </w:r>
          </w:p>
        </w:tc>
        <w:tc>
          <w:tcPr>
            <w:tcW w:w="2267" w:type="dxa"/>
            <w:vMerge w:val="continue"/>
            <w:shd w:val="clear" w:color="auto" w:fill="auto"/>
            <w:vAlign w:val="center"/>
          </w:tcPr>
          <w:p w14:paraId="4A59DFFD">
            <w:pPr>
              <w:pStyle w:val="41"/>
              <w:snapToGrid/>
              <w:jc w:val="center"/>
              <w:textAlignment w:val="auto"/>
              <w:rPr>
                <w:rFonts w:hint="default" w:ascii="Times New Roman" w:hAnsi="Times New Roman" w:eastAsia="宋体" w:cs="Times New Roman"/>
                <w:sz w:val="24"/>
                <w:szCs w:val="24"/>
                <w:u w:val="none"/>
              </w:rPr>
            </w:pPr>
          </w:p>
        </w:tc>
      </w:tr>
      <w:tr w14:paraId="1AD7C7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8" w:type="dxa"/>
            <w:vMerge w:val="continue"/>
            <w:vAlign w:val="center"/>
          </w:tcPr>
          <w:p w14:paraId="309C1415">
            <w:pPr>
              <w:adjustRightInd w:val="0"/>
              <w:snapToGrid w:val="0"/>
              <w:jc w:val="center"/>
              <w:rPr>
                <w:sz w:val="24"/>
                <w:szCs w:val="24"/>
                <w:u w:val="none"/>
              </w:rPr>
            </w:pPr>
          </w:p>
        </w:tc>
        <w:tc>
          <w:tcPr>
            <w:tcW w:w="1650" w:type="dxa"/>
            <w:shd w:val="clear" w:color="auto" w:fill="auto"/>
            <w:vAlign w:val="center"/>
          </w:tcPr>
          <w:p w14:paraId="75C9B07C">
            <w:pPr>
              <w:adjustRightInd w:val="0"/>
              <w:snapToGrid w:val="0"/>
              <w:jc w:val="center"/>
              <w:rPr>
                <w:rFonts w:hint="eastAsia" w:ascii="Times New Roman" w:hAnsi="Times New Roman" w:eastAsia="宋体" w:cs="Times New Roman"/>
                <w:kern w:val="2"/>
                <w:sz w:val="24"/>
                <w:szCs w:val="24"/>
                <w:u w:val="none"/>
                <w:lang w:val="en-US" w:eastAsia="zh-CN" w:bidi="ar-SA"/>
              </w:rPr>
            </w:pPr>
            <w:r>
              <w:rPr>
                <w:rFonts w:hint="eastAsia"/>
                <w:sz w:val="24"/>
                <w:szCs w:val="24"/>
                <w:u w:val="none"/>
                <w:lang w:val="en-US" w:eastAsia="zh-CN"/>
              </w:rPr>
              <w:t>厂区外</w:t>
            </w:r>
          </w:p>
        </w:tc>
        <w:tc>
          <w:tcPr>
            <w:tcW w:w="1604" w:type="dxa"/>
            <w:shd w:val="clear" w:color="auto" w:fill="auto"/>
            <w:vAlign w:val="center"/>
          </w:tcPr>
          <w:p w14:paraId="0BC79E66">
            <w:pPr>
              <w:adjustRightInd w:val="0"/>
              <w:snapToGrid w:val="0"/>
              <w:jc w:val="center"/>
              <w:rPr>
                <w:rFonts w:hint="eastAsia" w:ascii="Times New Roman" w:hAnsi="Times New Roman" w:cs="Times New Roman"/>
                <w:sz w:val="24"/>
                <w:szCs w:val="24"/>
                <w:u w:val="none"/>
              </w:rPr>
            </w:pPr>
            <w:r>
              <w:rPr>
                <w:rFonts w:hint="eastAsia" w:ascii="Times New Roman" w:hAnsi="Times New Roman" w:cs="Times New Roman"/>
                <w:sz w:val="24"/>
                <w:szCs w:val="24"/>
                <w:u w:val="none"/>
              </w:rPr>
              <w:t>VOCs</w:t>
            </w:r>
          </w:p>
        </w:tc>
        <w:tc>
          <w:tcPr>
            <w:tcW w:w="1691" w:type="dxa"/>
            <w:vMerge w:val="continue"/>
            <w:shd w:val="clear" w:color="auto" w:fill="auto"/>
            <w:vAlign w:val="center"/>
          </w:tcPr>
          <w:p w14:paraId="7B1DF154">
            <w:pPr>
              <w:pStyle w:val="4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Times New Roman" w:hAnsi="Times New Roman"/>
                <w:sz w:val="24"/>
                <w:szCs w:val="24"/>
                <w:u w:val="none"/>
                <w:lang w:val="en-US" w:eastAsia="zh-CN"/>
              </w:rPr>
            </w:pPr>
          </w:p>
        </w:tc>
        <w:tc>
          <w:tcPr>
            <w:tcW w:w="2267" w:type="dxa"/>
            <w:vAlign w:val="center"/>
          </w:tcPr>
          <w:p w14:paraId="1E300213">
            <w:pPr>
              <w:pStyle w:val="41"/>
              <w:snapToGrid/>
              <w:jc w:val="center"/>
              <w:rPr>
                <w:rFonts w:hint="default" w:ascii="Times New Roman" w:hAnsi="Times New Roman" w:eastAsia="宋体" w:cs="Times New Roman"/>
                <w:sz w:val="24"/>
                <w:szCs w:val="24"/>
                <w:u w:val="none"/>
                <w:lang w:eastAsia="zh-CN"/>
              </w:rPr>
            </w:pPr>
            <w:r>
              <w:rPr>
                <w:rFonts w:hint="default" w:ascii="Times New Roman" w:hAnsi="Times New Roman"/>
                <w:sz w:val="24"/>
                <w:u w:val="none"/>
              </w:rPr>
              <w:t>《挥发性有机物无组织排放控制标准》（GB37822—2019）</w:t>
            </w:r>
          </w:p>
        </w:tc>
      </w:tr>
      <w:tr w14:paraId="4D3EA2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8" w:type="dxa"/>
            <w:vAlign w:val="center"/>
          </w:tcPr>
          <w:p w14:paraId="23EFA74A">
            <w:pPr>
              <w:adjustRightInd w:val="0"/>
              <w:snapToGrid w:val="0"/>
              <w:jc w:val="center"/>
              <w:rPr>
                <w:sz w:val="24"/>
                <w:szCs w:val="24"/>
                <w:u w:val="none"/>
              </w:rPr>
            </w:pPr>
            <w:r>
              <w:rPr>
                <w:sz w:val="24"/>
                <w:szCs w:val="24"/>
                <w:u w:val="none"/>
              </w:rPr>
              <w:t>地表水环境</w:t>
            </w:r>
          </w:p>
        </w:tc>
        <w:tc>
          <w:tcPr>
            <w:tcW w:w="1650" w:type="dxa"/>
            <w:vAlign w:val="center"/>
          </w:tcPr>
          <w:p w14:paraId="13DB8D7C">
            <w:pPr>
              <w:adjustRightInd w:val="0"/>
              <w:snapToGrid w:val="0"/>
              <w:jc w:val="center"/>
              <w:rPr>
                <w:rFonts w:hint="default" w:eastAsia="宋体"/>
                <w:sz w:val="24"/>
                <w:szCs w:val="24"/>
                <w:u w:val="none"/>
                <w:lang w:val="en-US" w:eastAsia="zh-CN"/>
              </w:rPr>
            </w:pPr>
            <w:r>
              <w:rPr>
                <w:rFonts w:hint="eastAsia"/>
                <w:sz w:val="24"/>
                <w:szCs w:val="24"/>
                <w:u w:val="none"/>
                <w:lang w:val="en-US" w:eastAsia="zh-CN"/>
              </w:rPr>
              <w:t>生活废水、冷凝水</w:t>
            </w:r>
          </w:p>
        </w:tc>
        <w:tc>
          <w:tcPr>
            <w:tcW w:w="1604" w:type="dxa"/>
            <w:vAlign w:val="center"/>
          </w:tcPr>
          <w:p w14:paraId="66D5C45B">
            <w:pPr>
              <w:adjustRightInd w:val="0"/>
              <w:snapToGrid w:val="0"/>
              <w:jc w:val="center"/>
              <w:rPr>
                <w:rFonts w:hint="default" w:eastAsia="宋体"/>
                <w:sz w:val="24"/>
                <w:szCs w:val="24"/>
                <w:u w:val="none"/>
                <w:lang w:val="en-US" w:eastAsia="zh-CN"/>
              </w:rPr>
            </w:pPr>
            <w:r>
              <w:rPr>
                <w:rFonts w:hint="eastAsia"/>
                <w:sz w:val="24"/>
                <w:szCs w:val="24"/>
                <w:u w:val="none"/>
                <w:lang w:val="en-US" w:eastAsia="zh-CN"/>
              </w:rPr>
              <w:t>COD、SS、BOD</w:t>
            </w:r>
            <w:r>
              <w:rPr>
                <w:rFonts w:hint="eastAsia"/>
                <w:sz w:val="24"/>
                <w:szCs w:val="24"/>
                <w:u w:val="none"/>
                <w:vertAlign w:val="subscript"/>
                <w:lang w:val="en-US" w:eastAsia="zh-CN"/>
              </w:rPr>
              <w:t>5</w:t>
            </w:r>
            <w:r>
              <w:rPr>
                <w:rFonts w:hint="eastAsia"/>
                <w:sz w:val="24"/>
                <w:szCs w:val="24"/>
                <w:u w:val="none"/>
                <w:lang w:val="en-US" w:eastAsia="zh-CN"/>
              </w:rPr>
              <w:t>、NH</w:t>
            </w:r>
            <w:r>
              <w:rPr>
                <w:rFonts w:hint="eastAsia"/>
                <w:sz w:val="24"/>
                <w:szCs w:val="24"/>
                <w:u w:val="none"/>
                <w:vertAlign w:val="subscript"/>
                <w:lang w:val="en-US" w:eastAsia="zh-CN"/>
              </w:rPr>
              <w:t>3</w:t>
            </w:r>
            <w:r>
              <w:rPr>
                <w:rFonts w:hint="eastAsia"/>
                <w:sz w:val="24"/>
                <w:szCs w:val="24"/>
                <w:u w:val="none"/>
                <w:lang w:val="en-US" w:eastAsia="zh-CN"/>
              </w:rPr>
              <w:t>-N</w:t>
            </w:r>
          </w:p>
        </w:tc>
        <w:tc>
          <w:tcPr>
            <w:tcW w:w="3958" w:type="dxa"/>
            <w:gridSpan w:val="2"/>
            <w:vAlign w:val="center"/>
          </w:tcPr>
          <w:p w14:paraId="17867BBF">
            <w:pPr>
              <w:adjustRightInd w:val="0"/>
              <w:snapToGrid w:val="0"/>
              <w:jc w:val="center"/>
              <w:rPr>
                <w:rFonts w:hint="eastAsia" w:eastAsia="宋体"/>
                <w:sz w:val="24"/>
                <w:szCs w:val="24"/>
                <w:u w:val="none"/>
                <w:lang w:eastAsia="zh-CN"/>
              </w:rPr>
            </w:pPr>
            <w:r>
              <w:rPr>
                <w:rFonts w:hint="eastAsia" w:ascii="Times New Roman" w:hAnsi="Times New Roman"/>
                <w:u w:val="none"/>
              </w:rPr>
              <w:t>经园区化粪池处理后，通过</w:t>
            </w:r>
            <w:r>
              <w:rPr>
                <w:rFonts w:hint="eastAsia"/>
                <w:u w:val="none"/>
                <w:lang w:val="en-US" w:eastAsia="zh-CN"/>
              </w:rPr>
              <w:t>园区</w:t>
            </w:r>
            <w:r>
              <w:rPr>
                <w:rFonts w:hint="eastAsia" w:ascii="Times New Roman" w:hAnsi="Times New Roman"/>
                <w:u w:val="none"/>
              </w:rPr>
              <w:t>管网排入</w:t>
            </w:r>
            <w:r>
              <w:rPr>
                <w:rFonts w:hint="eastAsia"/>
                <w:u w:val="none"/>
                <w:lang w:eastAsia="zh-CN"/>
              </w:rPr>
              <w:t>岳阳市三峡水环境综合治理有限责任公司临港水质净化厂</w:t>
            </w:r>
            <w:r>
              <w:rPr>
                <w:rFonts w:hint="eastAsia" w:ascii="Times New Roman" w:hAnsi="Times New Roman"/>
                <w:u w:val="none"/>
              </w:rPr>
              <w:t>处理</w:t>
            </w:r>
          </w:p>
        </w:tc>
      </w:tr>
      <w:tr w14:paraId="503C7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8" w:type="dxa"/>
            <w:vAlign w:val="center"/>
          </w:tcPr>
          <w:p w14:paraId="2642D030">
            <w:pPr>
              <w:adjustRightInd w:val="0"/>
              <w:snapToGrid w:val="0"/>
              <w:jc w:val="center"/>
              <w:rPr>
                <w:sz w:val="24"/>
                <w:szCs w:val="24"/>
                <w:u w:val="none"/>
              </w:rPr>
            </w:pPr>
            <w:r>
              <w:rPr>
                <w:sz w:val="24"/>
                <w:szCs w:val="24"/>
                <w:u w:val="none"/>
              </w:rPr>
              <w:t>声环境</w:t>
            </w:r>
          </w:p>
        </w:tc>
        <w:tc>
          <w:tcPr>
            <w:tcW w:w="7212" w:type="dxa"/>
            <w:gridSpan w:val="4"/>
            <w:vAlign w:val="center"/>
          </w:tcPr>
          <w:p w14:paraId="69DFDB4D">
            <w:pPr>
              <w:adjustRightInd w:val="0"/>
              <w:snapToGrid w:val="0"/>
              <w:jc w:val="center"/>
              <w:rPr>
                <w:rFonts w:eastAsia="宋体"/>
                <w:sz w:val="24"/>
                <w:szCs w:val="24"/>
                <w:u w:val="none"/>
              </w:rPr>
            </w:pPr>
            <w:r>
              <w:rPr>
                <w:rFonts w:hint="default" w:eastAsia="宋体"/>
                <w:sz w:val="24"/>
                <w:szCs w:val="24"/>
                <w:u w:val="none"/>
              </w:rPr>
              <w:t>采取合理布局；利用墙体阻隔；选用低噪声设备；对设备采取减震处理，并加强对生产设备日常维护和管理，确保其良好的运行状态，避免机械设备“带病”运行产生的噪声</w:t>
            </w:r>
          </w:p>
        </w:tc>
      </w:tr>
      <w:tr w14:paraId="3432F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8" w:type="dxa"/>
            <w:vAlign w:val="center"/>
          </w:tcPr>
          <w:p w14:paraId="6E8B94F3">
            <w:pPr>
              <w:adjustRightInd w:val="0"/>
              <w:snapToGrid w:val="0"/>
              <w:jc w:val="center"/>
              <w:rPr>
                <w:sz w:val="24"/>
                <w:szCs w:val="24"/>
                <w:u w:val="none"/>
              </w:rPr>
            </w:pPr>
            <w:r>
              <w:rPr>
                <w:sz w:val="24"/>
                <w:szCs w:val="24"/>
                <w:u w:val="none"/>
              </w:rPr>
              <w:t>电磁辐射</w:t>
            </w:r>
          </w:p>
        </w:tc>
        <w:tc>
          <w:tcPr>
            <w:tcW w:w="7212" w:type="dxa"/>
            <w:gridSpan w:val="4"/>
            <w:vAlign w:val="center"/>
          </w:tcPr>
          <w:p w14:paraId="18822886">
            <w:pPr>
              <w:adjustRightInd w:val="0"/>
              <w:snapToGrid w:val="0"/>
              <w:jc w:val="center"/>
              <w:rPr>
                <w:rFonts w:eastAsia="宋体"/>
                <w:sz w:val="24"/>
                <w:szCs w:val="24"/>
                <w:u w:val="none"/>
              </w:rPr>
            </w:pPr>
            <w:r>
              <w:rPr>
                <w:rFonts w:hint="default" w:eastAsia="宋体"/>
                <w:sz w:val="24"/>
                <w:szCs w:val="24"/>
                <w:u w:val="none"/>
              </w:rPr>
              <w:t>/</w:t>
            </w:r>
          </w:p>
        </w:tc>
      </w:tr>
      <w:tr w14:paraId="7731F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8" w:type="dxa"/>
            <w:vAlign w:val="center"/>
          </w:tcPr>
          <w:p w14:paraId="74F18097">
            <w:pPr>
              <w:adjustRightInd w:val="0"/>
              <w:snapToGrid w:val="0"/>
              <w:jc w:val="center"/>
              <w:rPr>
                <w:sz w:val="24"/>
                <w:szCs w:val="24"/>
                <w:u w:val="none"/>
              </w:rPr>
            </w:pPr>
            <w:r>
              <w:rPr>
                <w:sz w:val="24"/>
                <w:szCs w:val="24"/>
                <w:u w:val="none"/>
              </w:rPr>
              <w:t>固体废物</w:t>
            </w:r>
          </w:p>
        </w:tc>
        <w:tc>
          <w:tcPr>
            <w:tcW w:w="7212" w:type="dxa"/>
            <w:gridSpan w:val="4"/>
            <w:vAlign w:val="center"/>
          </w:tcPr>
          <w:p w14:paraId="3ECDB8C5">
            <w:pPr>
              <w:adjustRightInd w:val="0"/>
              <w:snapToGrid w:val="0"/>
              <w:jc w:val="center"/>
              <w:rPr>
                <w:rFonts w:hint="default" w:eastAsia="宋体"/>
                <w:bCs/>
                <w:sz w:val="24"/>
                <w:szCs w:val="24"/>
                <w:u w:val="none"/>
                <w:lang w:val="en-US" w:eastAsia="zh-CN"/>
              </w:rPr>
            </w:pPr>
            <w:r>
              <w:rPr>
                <w:rFonts w:hint="eastAsia"/>
                <w:szCs w:val="24"/>
                <w:u w:val="none"/>
              </w:rPr>
              <w:t>本项目</w:t>
            </w:r>
            <w:r>
              <w:rPr>
                <w:rFonts w:hint="eastAsia"/>
                <w:szCs w:val="24"/>
                <w:u w:val="none"/>
                <w:lang w:eastAsia="zh-CN"/>
              </w:rPr>
              <w:t>的固废</w:t>
            </w:r>
            <w:r>
              <w:rPr>
                <w:rFonts w:hint="eastAsia"/>
                <w:szCs w:val="24"/>
                <w:u w:val="none"/>
              </w:rPr>
              <w:t>主要</w:t>
            </w:r>
            <w:r>
              <w:rPr>
                <w:rFonts w:hint="eastAsia"/>
                <w:szCs w:val="24"/>
                <w:u w:val="none"/>
                <w:lang w:val="en-US" w:eastAsia="zh-CN"/>
              </w:rPr>
              <w:t>为生活垃圾、</w:t>
            </w:r>
            <w:r>
              <w:rPr>
                <w:rFonts w:hint="eastAsia" w:cs="Times New Roman"/>
                <w:u w:val="none"/>
                <w:lang w:val="en-US" w:eastAsia="zh-CN"/>
              </w:rPr>
              <w:t>回收固废</w:t>
            </w:r>
            <w:r>
              <w:rPr>
                <w:rFonts w:hint="eastAsia"/>
                <w:color w:val="auto"/>
                <w:u w:val="none"/>
                <w:lang w:eastAsia="zh-CN"/>
              </w:rPr>
              <w:t>、</w:t>
            </w:r>
            <w:r>
              <w:rPr>
                <w:rFonts w:hint="eastAsia"/>
                <w:color w:val="auto"/>
                <w:u w:val="none"/>
                <w:lang w:val="en-US" w:eastAsia="zh-CN"/>
              </w:rPr>
              <w:t>废原料包装桶、废活性炭、</w:t>
            </w:r>
            <w:r>
              <w:rPr>
                <w:rFonts w:hint="eastAsia"/>
                <w:color w:val="auto"/>
                <w:u w:val="none"/>
              </w:rPr>
              <w:t>废矿物油、废矿物油桶、含油手套及抹布</w:t>
            </w:r>
            <w:r>
              <w:rPr>
                <w:rFonts w:hint="eastAsia"/>
                <w:u w:val="none"/>
                <w:lang w:eastAsia="zh-CN"/>
              </w:rPr>
              <w:t>。</w:t>
            </w:r>
            <w:r>
              <w:rPr>
                <w:rFonts w:hint="eastAsia" w:cs="Times New Roman"/>
                <w:u w:val="none"/>
                <w:lang w:val="en-US" w:eastAsia="zh-CN"/>
              </w:rPr>
              <w:t>回收固废经收集后外售给回收公司；</w:t>
            </w:r>
            <w:r>
              <w:rPr>
                <w:rFonts w:hint="eastAsia"/>
                <w:color w:val="auto"/>
                <w:u w:val="none"/>
                <w:lang w:val="en-US" w:eastAsia="zh-CN"/>
              </w:rPr>
              <w:t>原料包装桶交由厂家回收；</w:t>
            </w:r>
            <w:r>
              <w:rPr>
                <w:rFonts w:hint="eastAsia" w:cs="Times New Roman"/>
                <w:u w:val="none"/>
                <w:lang w:val="en-US" w:eastAsia="zh-CN"/>
              </w:rPr>
              <w:t>生活垃圾交由环卫部门处理；废活性炭、</w:t>
            </w:r>
            <w:r>
              <w:rPr>
                <w:rFonts w:hint="eastAsia"/>
                <w:u w:val="none"/>
              </w:rPr>
              <w:t>废矿物油、废矿物油桶、含油手套及抹布</w:t>
            </w:r>
            <w:r>
              <w:rPr>
                <w:rFonts w:hint="eastAsia"/>
                <w:u w:val="none"/>
                <w:lang w:val="en-US" w:eastAsia="zh-CN"/>
              </w:rPr>
              <w:t>经统一收集暂存于危废间后，交由有资质单位处理</w:t>
            </w:r>
          </w:p>
        </w:tc>
      </w:tr>
      <w:tr w14:paraId="79B09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8" w:type="dxa"/>
            <w:vAlign w:val="center"/>
          </w:tcPr>
          <w:p w14:paraId="2613BC47">
            <w:pPr>
              <w:adjustRightInd w:val="0"/>
              <w:snapToGrid w:val="0"/>
              <w:jc w:val="center"/>
              <w:rPr>
                <w:sz w:val="24"/>
                <w:szCs w:val="24"/>
                <w:u w:val="none"/>
              </w:rPr>
            </w:pPr>
            <w:r>
              <w:rPr>
                <w:sz w:val="24"/>
                <w:szCs w:val="24"/>
                <w:u w:val="none"/>
              </w:rPr>
              <w:t>土壤及地下水污染防治措施</w:t>
            </w:r>
          </w:p>
        </w:tc>
        <w:tc>
          <w:tcPr>
            <w:tcW w:w="7212" w:type="dxa"/>
            <w:gridSpan w:val="4"/>
            <w:vAlign w:val="center"/>
          </w:tcPr>
          <w:p w14:paraId="090E96B2">
            <w:pPr>
              <w:adjustRightInd w:val="0"/>
              <w:snapToGrid w:val="0"/>
              <w:jc w:val="center"/>
              <w:rPr>
                <w:sz w:val="24"/>
                <w:szCs w:val="24"/>
                <w:u w:val="none"/>
              </w:rPr>
            </w:pPr>
            <w:r>
              <w:rPr>
                <w:rFonts w:hint="eastAsia"/>
                <w:sz w:val="24"/>
                <w:szCs w:val="24"/>
                <w:u w:val="none"/>
                <w:lang w:val="en-US" w:eastAsia="zh-CN"/>
              </w:rPr>
              <w:t>原料区、成品区、储罐区以及危废间设置</w:t>
            </w:r>
            <w:r>
              <w:rPr>
                <w:rFonts w:hint="eastAsia"/>
                <w:u w:val="none"/>
              </w:rPr>
              <w:t>防风、防雨、防晒、防流失以及防泄漏托盘等措施</w:t>
            </w:r>
          </w:p>
        </w:tc>
      </w:tr>
      <w:tr w14:paraId="3BDD7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8" w:type="dxa"/>
            <w:vAlign w:val="center"/>
          </w:tcPr>
          <w:p w14:paraId="01521BDA">
            <w:pPr>
              <w:adjustRightInd w:val="0"/>
              <w:snapToGrid w:val="0"/>
              <w:jc w:val="center"/>
              <w:rPr>
                <w:sz w:val="24"/>
                <w:szCs w:val="24"/>
                <w:u w:val="none"/>
              </w:rPr>
            </w:pPr>
            <w:r>
              <w:rPr>
                <w:sz w:val="24"/>
                <w:szCs w:val="24"/>
                <w:u w:val="none"/>
              </w:rPr>
              <w:t>生态保护措施</w:t>
            </w:r>
          </w:p>
        </w:tc>
        <w:tc>
          <w:tcPr>
            <w:tcW w:w="7212" w:type="dxa"/>
            <w:gridSpan w:val="4"/>
            <w:vAlign w:val="center"/>
          </w:tcPr>
          <w:p w14:paraId="7055099E">
            <w:pPr>
              <w:adjustRightInd w:val="0"/>
              <w:snapToGrid w:val="0"/>
              <w:jc w:val="center"/>
              <w:rPr>
                <w:rFonts w:ascii="Times New Roman" w:hAnsi="Times New Roman" w:cs="Times New Roman"/>
                <w:sz w:val="24"/>
                <w:szCs w:val="24"/>
                <w:u w:val="none"/>
              </w:rPr>
            </w:pPr>
            <w:r>
              <w:rPr>
                <w:rFonts w:ascii="Times New Roman" w:hAnsi="Times New Roman" w:cs="Times New Roman"/>
                <w:sz w:val="24"/>
                <w:szCs w:val="24"/>
                <w:u w:val="none"/>
              </w:rPr>
              <w:t>/</w:t>
            </w:r>
          </w:p>
        </w:tc>
      </w:tr>
      <w:tr w14:paraId="11AE9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8" w:type="dxa"/>
            <w:vAlign w:val="center"/>
          </w:tcPr>
          <w:p w14:paraId="13A4B34D">
            <w:pPr>
              <w:adjustRightInd w:val="0"/>
              <w:snapToGrid w:val="0"/>
              <w:jc w:val="center"/>
              <w:rPr>
                <w:spacing w:val="-8"/>
                <w:sz w:val="24"/>
                <w:szCs w:val="24"/>
                <w:u w:val="none"/>
              </w:rPr>
            </w:pPr>
            <w:r>
              <w:rPr>
                <w:spacing w:val="-8"/>
                <w:sz w:val="24"/>
                <w:szCs w:val="24"/>
                <w:u w:val="none"/>
              </w:rPr>
              <w:t>环境风险</w:t>
            </w:r>
          </w:p>
          <w:p w14:paraId="59A8FCCB">
            <w:pPr>
              <w:adjustRightInd w:val="0"/>
              <w:snapToGrid w:val="0"/>
              <w:jc w:val="center"/>
              <w:rPr>
                <w:spacing w:val="-8"/>
                <w:sz w:val="24"/>
                <w:szCs w:val="24"/>
                <w:u w:val="none"/>
              </w:rPr>
            </w:pPr>
            <w:r>
              <w:rPr>
                <w:spacing w:val="-8"/>
                <w:sz w:val="24"/>
                <w:szCs w:val="24"/>
                <w:u w:val="none"/>
              </w:rPr>
              <w:t>防范措施</w:t>
            </w:r>
          </w:p>
        </w:tc>
        <w:tc>
          <w:tcPr>
            <w:tcW w:w="7212" w:type="dxa"/>
            <w:gridSpan w:val="4"/>
            <w:vAlign w:val="center"/>
          </w:tcPr>
          <w:p w14:paraId="0A5A7767">
            <w:pPr>
              <w:adjustRightInd w:val="0"/>
              <w:snapToGrid w:val="0"/>
              <w:jc w:val="left"/>
              <w:rPr>
                <w:rFonts w:hint="default" w:ascii="Times New Roman" w:hAnsi="Times New Roman" w:eastAsia="宋体" w:cs="Times New Roman"/>
                <w:szCs w:val="24"/>
                <w:u w:val="none"/>
                <w:lang w:val="en-US" w:eastAsia="zh-CN"/>
              </w:rPr>
            </w:pPr>
            <w:r>
              <w:rPr>
                <w:rFonts w:hint="default" w:ascii="Times New Roman" w:hAnsi="Times New Roman" w:eastAsia="宋体" w:cs="Times New Roman"/>
                <w:szCs w:val="24"/>
                <w:u w:val="none"/>
                <w:lang w:val="en-US" w:eastAsia="zh-CN"/>
              </w:rPr>
              <w:t>1、按《危险废物贮存污染控制标准》要求设置危废暂存间（10m</w:t>
            </w:r>
            <w:r>
              <w:rPr>
                <w:rFonts w:hint="default" w:ascii="Times New Roman" w:hAnsi="Times New Roman" w:eastAsia="宋体" w:cs="Times New Roman"/>
                <w:szCs w:val="24"/>
                <w:u w:val="none"/>
                <w:vertAlign w:val="superscript"/>
                <w:lang w:val="en-US" w:eastAsia="zh-CN"/>
              </w:rPr>
              <w:t>3</w:t>
            </w:r>
            <w:r>
              <w:rPr>
                <w:rFonts w:hint="default" w:ascii="Times New Roman" w:hAnsi="Times New Roman" w:eastAsia="宋体" w:cs="Times New Roman"/>
                <w:szCs w:val="24"/>
                <w:u w:val="none"/>
                <w:lang w:val="en-US" w:eastAsia="zh-CN"/>
              </w:rPr>
              <w:t>），签订危废处理协议，建立危废管理台账；</w:t>
            </w:r>
          </w:p>
          <w:p w14:paraId="3778AEC3">
            <w:pPr>
              <w:pStyle w:val="30"/>
              <w:spacing w:after="0" w:line="240" w:lineRule="auto"/>
              <w:rPr>
                <w:rFonts w:hint="default"/>
                <w:szCs w:val="24"/>
                <w:lang w:val="en-US" w:eastAsia="zh-CN"/>
              </w:rPr>
            </w:pPr>
            <w:r>
              <w:rPr>
                <w:rFonts w:hint="eastAsia"/>
                <w:szCs w:val="24"/>
                <w:lang w:val="en-US" w:eastAsia="zh-CN"/>
              </w:rPr>
              <w:t>2、</w:t>
            </w:r>
            <w:r>
              <w:rPr>
                <w:rFonts w:hint="eastAsia"/>
                <w:sz w:val="24"/>
                <w:szCs w:val="24"/>
                <w:u w:val="none"/>
                <w:lang w:val="en-US" w:eastAsia="zh-CN"/>
              </w:rPr>
              <w:t>原料区、成品区、储罐区</w:t>
            </w:r>
            <w:r>
              <w:rPr>
                <w:rFonts w:hint="eastAsia"/>
                <w:szCs w:val="24"/>
                <w:lang w:val="en-US" w:eastAsia="zh-CN"/>
              </w:rPr>
              <w:t>以及</w:t>
            </w:r>
            <w:r>
              <w:rPr>
                <w:rFonts w:hint="eastAsia"/>
                <w:szCs w:val="24"/>
              </w:rPr>
              <w:t>危废间地面设置了防风、防雨、防晒、防流失以及防渗措施，且应备有泄漏应急处理设备和合适的收容材料，储存、运输过程中应当进行密闭，采取加盖密闭等措施，避免化学品泄漏</w:t>
            </w:r>
            <w:r>
              <w:rPr>
                <w:rFonts w:hint="eastAsia"/>
                <w:szCs w:val="24"/>
                <w:lang w:eastAsia="zh-CN"/>
              </w:rPr>
              <w:t>；</w:t>
            </w:r>
          </w:p>
          <w:p w14:paraId="32EE33DB">
            <w:pPr>
              <w:pStyle w:val="30"/>
              <w:spacing w:after="0" w:line="240" w:lineRule="auto"/>
              <w:rPr>
                <w:rFonts w:hint="eastAsia" w:eastAsia="宋体"/>
                <w:szCs w:val="24"/>
                <w:lang w:val="en-US" w:eastAsia="zh-CN"/>
              </w:rPr>
            </w:pPr>
            <w:r>
              <w:rPr>
                <w:rFonts w:hint="eastAsia"/>
                <w:szCs w:val="24"/>
                <w:lang w:val="en-US" w:eastAsia="zh-CN"/>
              </w:rPr>
              <w:t>3、</w:t>
            </w:r>
            <w:r>
              <w:rPr>
                <w:rFonts w:hint="eastAsia"/>
                <w:szCs w:val="24"/>
              </w:rPr>
              <w:t>针对火灾风险，应按规范设置灭火和消防装备，配置沙袋、事故应急桶等事故废水处理措施，制定巡查制度、提高人员防火意识和加强火源管理，定期培训工作人员防火技能和知识</w:t>
            </w:r>
            <w:r>
              <w:rPr>
                <w:rFonts w:hint="eastAsia"/>
                <w:szCs w:val="24"/>
                <w:lang w:eastAsia="zh-CN"/>
              </w:rPr>
              <w:t>；</w:t>
            </w:r>
          </w:p>
          <w:p w14:paraId="20682042">
            <w:pPr>
              <w:rPr>
                <w:rFonts w:ascii="Times New Roman" w:hAnsi="Times New Roman" w:cs="Times New Roman"/>
                <w:sz w:val="24"/>
                <w:szCs w:val="24"/>
                <w:u w:val="none"/>
              </w:rPr>
            </w:pPr>
            <w:r>
              <w:rPr>
                <w:rFonts w:hint="eastAsia" w:cs="Times New Roman"/>
                <w:szCs w:val="24"/>
                <w:u w:val="none"/>
                <w:lang w:val="en-US" w:eastAsia="zh-CN"/>
              </w:rPr>
              <w:t>4</w:t>
            </w:r>
            <w:r>
              <w:rPr>
                <w:rFonts w:hint="default" w:ascii="Times New Roman" w:hAnsi="Times New Roman" w:eastAsia="宋体" w:cs="Times New Roman"/>
                <w:szCs w:val="24"/>
                <w:u w:val="none"/>
                <w:lang w:val="en-US" w:eastAsia="zh-CN"/>
              </w:rPr>
              <w:t>、建设单位需</w:t>
            </w:r>
            <w:r>
              <w:rPr>
                <w:rFonts w:hint="default" w:ascii="Times New Roman" w:hAnsi="Times New Roman" w:cs="Times New Roman"/>
                <w:szCs w:val="24"/>
                <w:u w:val="none"/>
              </w:rPr>
              <w:t>按照《湖南省突发环境事件应急预案管理办法（修订版）》（湘环发〔2024〕49号）开展应急预案相关工作</w:t>
            </w:r>
            <w:r>
              <w:rPr>
                <w:rFonts w:hint="default" w:ascii="Times New Roman" w:hAnsi="Times New Roman" w:eastAsia="宋体" w:cs="Times New Roman"/>
                <w:szCs w:val="24"/>
                <w:u w:val="none"/>
                <w:lang w:val="en-US" w:eastAsia="zh-CN"/>
              </w:rPr>
              <w:t>。</w:t>
            </w:r>
          </w:p>
        </w:tc>
      </w:tr>
      <w:tr w14:paraId="08139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8" w:type="dxa"/>
            <w:vAlign w:val="center"/>
          </w:tcPr>
          <w:p w14:paraId="41DD7C8F">
            <w:pPr>
              <w:adjustRightInd w:val="0"/>
              <w:snapToGrid w:val="0"/>
              <w:jc w:val="center"/>
              <w:rPr>
                <w:spacing w:val="-8"/>
                <w:sz w:val="24"/>
                <w:szCs w:val="24"/>
                <w:u w:val="none"/>
              </w:rPr>
            </w:pPr>
            <w:r>
              <w:rPr>
                <w:spacing w:val="-8"/>
                <w:sz w:val="24"/>
                <w:szCs w:val="24"/>
                <w:u w:val="none"/>
              </w:rPr>
              <w:t>其他环境</w:t>
            </w:r>
          </w:p>
          <w:p w14:paraId="2E40341F">
            <w:pPr>
              <w:adjustRightInd w:val="0"/>
              <w:snapToGrid w:val="0"/>
              <w:jc w:val="center"/>
              <w:rPr>
                <w:spacing w:val="-8"/>
                <w:sz w:val="24"/>
                <w:szCs w:val="24"/>
                <w:u w:val="none"/>
              </w:rPr>
            </w:pPr>
            <w:r>
              <w:rPr>
                <w:spacing w:val="-8"/>
                <w:sz w:val="24"/>
                <w:szCs w:val="24"/>
                <w:u w:val="none"/>
              </w:rPr>
              <w:t>管理要求</w:t>
            </w:r>
          </w:p>
        </w:tc>
        <w:tc>
          <w:tcPr>
            <w:tcW w:w="7212" w:type="dxa"/>
            <w:gridSpan w:val="4"/>
            <w:vAlign w:val="center"/>
          </w:tcPr>
          <w:p w14:paraId="1FBFBFA9">
            <w:pPr>
              <w:numPr>
                <w:ilvl w:val="0"/>
                <w:numId w:val="5"/>
              </w:numPr>
              <w:adjustRightInd w:val="0"/>
              <w:snapToGrid w:val="0"/>
              <w:jc w:val="left"/>
              <w:rPr>
                <w:sz w:val="24"/>
                <w:szCs w:val="24"/>
                <w:u w:val="none"/>
              </w:rPr>
            </w:pPr>
            <w:r>
              <w:rPr>
                <w:sz w:val="24"/>
                <w:szCs w:val="24"/>
                <w:u w:val="none"/>
              </w:rPr>
              <w:t>严格执行排污许可制度</w:t>
            </w:r>
            <w:r>
              <w:rPr>
                <w:rFonts w:hint="eastAsia"/>
                <w:sz w:val="24"/>
                <w:szCs w:val="24"/>
                <w:u w:val="none"/>
              </w:rPr>
              <w:t>，</w:t>
            </w:r>
            <w:r>
              <w:rPr>
                <w:sz w:val="24"/>
                <w:szCs w:val="24"/>
                <w:u w:val="none"/>
              </w:rPr>
              <w:t>按照排污许可证要求，定期开展自行监测、记录环境管理台账</w:t>
            </w:r>
            <w:r>
              <w:rPr>
                <w:rFonts w:hint="eastAsia"/>
                <w:sz w:val="24"/>
                <w:szCs w:val="24"/>
                <w:u w:val="none"/>
              </w:rPr>
              <w:t>。</w:t>
            </w:r>
          </w:p>
          <w:p w14:paraId="56248E57">
            <w:pPr>
              <w:adjustRightInd w:val="0"/>
              <w:snapToGrid w:val="0"/>
              <w:rPr>
                <w:sz w:val="24"/>
                <w:szCs w:val="24"/>
                <w:u w:val="none"/>
              </w:rPr>
            </w:pPr>
            <w:r>
              <w:rPr>
                <w:sz w:val="24"/>
                <w:szCs w:val="24"/>
                <w:u w:val="none"/>
              </w:rPr>
              <w:t>2、按排污许可证规定的监测点位、监测因子、监测频次和相关监测技术规范开展自行监测</w:t>
            </w:r>
            <w:r>
              <w:rPr>
                <w:rFonts w:hint="eastAsia"/>
                <w:sz w:val="24"/>
                <w:szCs w:val="24"/>
                <w:u w:val="none"/>
              </w:rPr>
              <w:t>。</w:t>
            </w:r>
          </w:p>
        </w:tc>
      </w:tr>
    </w:tbl>
    <w:p w14:paraId="502311A6">
      <w:pPr>
        <w:pStyle w:val="26"/>
        <w:jc w:val="center"/>
        <w:outlineLvl w:val="0"/>
        <w:rPr>
          <w:rFonts w:ascii="Times New Roman" w:hAnsi="Times New Roman" w:eastAsia="黑体"/>
          <w:snapToGrid w:val="0"/>
          <w:sz w:val="30"/>
          <w:szCs w:val="30"/>
        </w:rPr>
      </w:pPr>
      <w:r>
        <w:rPr>
          <w:rFonts w:ascii="Times New Roman" w:hAnsi="Times New Roman"/>
          <w:snapToGrid w:val="0"/>
        </w:rPr>
        <w:br w:type="page"/>
      </w:r>
      <w:bookmarkStart w:id="33" w:name="_Toc71631408"/>
      <w:r>
        <w:rPr>
          <w:rStyle w:val="48"/>
          <w:rFonts w:ascii="Times New Roman" w:hAnsi="Times New Roman" w:eastAsia="宋体"/>
          <w:color w:val="auto"/>
        </w:rPr>
        <w:t>六、结论</w:t>
      </w:r>
      <w:bookmarkEnd w:id="33"/>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F7EA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240BDDC5">
            <w:pPr>
              <w:spacing w:line="360" w:lineRule="auto"/>
              <w:ind w:firstLine="480" w:firstLineChars="200"/>
            </w:pPr>
            <w:r>
              <w:rPr>
                <w:rFonts w:hint="default" w:ascii="Times New Roman" w:hAnsi="Times New Roman" w:eastAsia="宋体" w:cs="Times New Roman"/>
                <w:sz w:val="24"/>
                <w:szCs w:val="24"/>
              </w:rPr>
              <w:t>本项目符合国家产业政策，选址可行。在落实本报告</w:t>
            </w:r>
            <w:r>
              <w:rPr>
                <w:rFonts w:hint="default" w:ascii="Times New Roman" w:hAnsi="Times New Roman" w:eastAsia="宋体" w:cs="Times New Roman"/>
                <w:sz w:val="24"/>
                <w:szCs w:val="24"/>
                <w:lang w:eastAsia="zh-CN"/>
              </w:rPr>
              <w:t>表</w:t>
            </w:r>
            <w:r>
              <w:rPr>
                <w:rFonts w:hint="default" w:ascii="Times New Roman" w:hAnsi="Times New Roman" w:eastAsia="宋体" w:cs="Times New Roman"/>
                <w:sz w:val="24"/>
                <w:szCs w:val="24"/>
              </w:rPr>
              <w:t>和评审意见中提出的各项污染防治措施</w:t>
            </w:r>
            <w:r>
              <w:rPr>
                <w:rFonts w:hint="default" w:ascii="Times New Roman" w:hAnsi="Times New Roman" w:cs="Times New Roman"/>
                <w:sz w:val="24"/>
                <w:szCs w:val="24"/>
                <w:lang w:eastAsia="zh-CN"/>
              </w:rPr>
              <w:t>和环境风险防范措施</w:t>
            </w:r>
            <w:r>
              <w:rPr>
                <w:rFonts w:hint="default" w:ascii="Times New Roman" w:hAnsi="Times New Roman" w:eastAsia="宋体" w:cs="Times New Roman"/>
                <w:sz w:val="24"/>
                <w:szCs w:val="24"/>
              </w:rPr>
              <w:t>前提下，项目外排污染物可实现达标排放，</w:t>
            </w:r>
            <w:r>
              <w:rPr>
                <w:rFonts w:hint="default" w:ascii="Times New Roman" w:hAnsi="Times New Roman" w:cs="Times New Roman"/>
                <w:sz w:val="24"/>
                <w:szCs w:val="24"/>
                <w:lang w:eastAsia="zh-CN"/>
              </w:rPr>
              <w:t>环境风险基本可控，</w:t>
            </w:r>
            <w:r>
              <w:rPr>
                <w:rFonts w:hint="default" w:ascii="Times New Roman" w:hAnsi="Times New Roman" w:eastAsia="宋体" w:cs="Times New Roman"/>
                <w:sz w:val="24"/>
                <w:szCs w:val="24"/>
                <w:lang w:eastAsia="zh-CN"/>
              </w:rPr>
              <w:t>从</w:t>
            </w:r>
            <w:r>
              <w:rPr>
                <w:rFonts w:hint="default" w:ascii="Times New Roman" w:hAnsi="Times New Roman" w:eastAsia="宋体" w:cs="Times New Roman"/>
                <w:sz w:val="24"/>
                <w:szCs w:val="24"/>
              </w:rPr>
              <w:t>环境保护方面</w:t>
            </w:r>
            <w:r>
              <w:rPr>
                <w:rFonts w:hint="default" w:ascii="Times New Roman" w:hAnsi="Times New Roman" w:eastAsia="宋体" w:cs="Times New Roman"/>
                <w:sz w:val="24"/>
                <w:szCs w:val="24"/>
                <w:lang w:eastAsia="zh-CN"/>
              </w:rPr>
              <w:t>，项目建设</w:t>
            </w:r>
            <w:r>
              <w:rPr>
                <w:rFonts w:hint="default" w:ascii="Times New Roman" w:hAnsi="Times New Roman" w:eastAsia="宋体" w:cs="Times New Roman"/>
                <w:sz w:val="24"/>
                <w:szCs w:val="24"/>
              </w:rPr>
              <w:t>可行</w:t>
            </w:r>
            <w:r>
              <w:rPr>
                <w:rFonts w:hint="default" w:ascii="Times New Roman" w:hAnsi="Times New Roman" w:eastAsia="宋体" w:cs="Times New Roman"/>
                <w:b w:val="0"/>
                <w:bCs w:val="0"/>
                <w:color w:val="auto"/>
                <w:spacing w:val="0"/>
                <w:kern w:val="2"/>
                <w:sz w:val="24"/>
                <w:szCs w:val="22"/>
                <w:u w:val="none" w:color="auto"/>
                <w:lang w:val="en-US" w:eastAsia="zh-CN" w:bidi="ar-SA"/>
              </w:rPr>
              <w:t>。</w:t>
            </w:r>
          </w:p>
          <w:p w14:paraId="7B89CD24">
            <w:pPr>
              <w:spacing w:line="360" w:lineRule="auto"/>
            </w:pPr>
          </w:p>
        </w:tc>
      </w:tr>
    </w:tbl>
    <w:p w14:paraId="53B77687">
      <w:pPr>
        <w:sectPr>
          <w:pgSz w:w="11906" w:h="16838"/>
          <w:pgMar w:top="1701" w:right="1531" w:bottom="1701" w:left="1531" w:header="851" w:footer="851" w:gutter="0"/>
          <w:cols w:space="720" w:num="1"/>
          <w:docGrid w:linePitch="312" w:charSpace="0"/>
        </w:sectPr>
      </w:pPr>
    </w:p>
    <w:p w14:paraId="5CB4941C">
      <w:pPr>
        <w:pStyle w:val="26"/>
        <w:adjustRightInd w:val="0"/>
        <w:snapToGrid w:val="0"/>
        <w:spacing w:before="0" w:beforeAutospacing="0" w:after="0" w:afterAutospacing="0"/>
        <w:outlineLvl w:val="0"/>
        <w:rPr>
          <w:rFonts w:ascii="Times New Roman" w:hAnsi="Times New Roman" w:eastAsia="黑体"/>
          <w:snapToGrid w:val="0"/>
          <w:sz w:val="32"/>
          <w:szCs w:val="32"/>
        </w:rPr>
      </w:pPr>
      <w:bookmarkStart w:id="34" w:name="_Toc71631409"/>
      <w:r>
        <w:rPr>
          <w:rFonts w:ascii="Times New Roman" w:hAnsi="Times New Roman" w:eastAsia="黑体"/>
          <w:snapToGrid w:val="0"/>
          <w:sz w:val="32"/>
          <w:szCs w:val="32"/>
        </w:rPr>
        <w:t>附表</w:t>
      </w:r>
      <w:bookmarkEnd w:id="34"/>
    </w:p>
    <w:p w14:paraId="71478DF0">
      <w:pPr>
        <w:pStyle w:val="26"/>
        <w:adjustRightInd w:val="0"/>
        <w:snapToGrid w:val="0"/>
        <w:spacing w:before="0" w:beforeAutospacing="0" w:after="0" w:afterAutospacing="0"/>
        <w:jc w:val="center"/>
        <w:outlineLvl w:val="0"/>
        <w:rPr>
          <w:rFonts w:ascii="Times New Roman" w:hAnsi="Times New Roman" w:eastAsia="方正小标宋_GBK"/>
          <w:snapToGrid w:val="0"/>
          <w:sz w:val="38"/>
          <w:szCs w:val="38"/>
        </w:rPr>
      </w:pPr>
      <w:bookmarkStart w:id="35" w:name="_Toc71631410"/>
      <w:r>
        <w:rPr>
          <w:rFonts w:ascii="Times New Roman" w:hAnsi="Times New Roman" w:eastAsia="方正小标宋_GBK"/>
          <w:snapToGrid w:val="0"/>
          <w:sz w:val="38"/>
          <w:szCs w:val="38"/>
        </w:rPr>
        <w:t>建设项目污染物排放量汇总表</w:t>
      </w:r>
      <w:bookmarkEnd w:id="35"/>
    </w:p>
    <w:tbl>
      <w:tblPr>
        <w:tblStyle w:val="31"/>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300"/>
        <w:gridCol w:w="1346"/>
        <w:gridCol w:w="1276"/>
        <w:gridCol w:w="1701"/>
        <w:gridCol w:w="1559"/>
        <w:gridCol w:w="1761"/>
        <w:gridCol w:w="1566"/>
        <w:gridCol w:w="1219"/>
      </w:tblGrid>
      <w:tr w14:paraId="7DCF1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0" w:type="dxa"/>
            <w:tcBorders>
              <w:tl2br w:val="single" w:color="auto" w:sz="4" w:space="0"/>
            </w:tcBorders>
            <w:tcMar>
              <w:left w:w="28" w:type="dxa"/>
              <w:right w:w="28" w:type="dxa"/>
            </w:tcMar>
            <w:vAlign w:val="center"/>
          </w:tcPr>
          <w:p w14:paraId="2D406B31">
            <w:pPr>
              <w:pStyle w:val="60"/>
              <w:spacing w:beforeLines="0" w:afterLines="0" w:line="240" w:lineRule="auto"/>
              <w:ind w:firstLine="0" w:firstLineChars="0"/>
              <w:rPr>
                <w:rFonts w:ascii="Times New Roman" w:hAnsi="Times New Roman"/>
                <w:snapToGrid w:val="0"/>
                <w:spacing w:val="-6"/>
                <w:kern w:val="21"/>
                <w:sz w:val="21"/>
                <w:szCs w:val="21"/>
              </w:rPr>
            </w:pPr>
            <w:r>
              <w:rPr>
                <w:rFonts w:ascii="Times New Roman" w:hAnsi="Times New Roman"/>
                <w:snapToGrid w:val="0"/>
                <w:spacing w:val="-6"/>
                <w:kern w:val="21"/>
                <w:sz w:val="21"/>
                <w:szCs w:val="21"/>
              </w:rPr>
              <w:t>项目</w:t>
            </w:r>
          </w:p>
          <w:p w14:paraId="563AC308">
            <w:pPr>
              <w:pStyle w:val="60"/>
              <w:spacing w:beforeLines="0" w:afterLines="0" w:line="240" w:lineRule="auto"/>
              <w:ind w:firstLine="0" w:firstLineChars="0"/>
              <w:rPr>
                <w:rFonts w:ascii="Times New Roman" w:hAnsi="Times New Roman"/>
                <w:snapToGrid w:val="0"/>
                <w:spacing w:val="-6"/>
                <w:kern w:val="21"/>
                <w:sz w:val="21"/>
                <w:szCs w:val="21"/>
              </w:rPr>
            </w:pPr>
            <w:r>
              <w:rPr>
                <w:rFonts w:ascii="Times New Roman" w:hAnsi="Times New Roman"/>
                <w:snapToGrid w:val="0"/>
                <w:spacing w:val="-6"/>
                <w:kern w:val="21"/>
                <w:sz w:val="21"/>
                <w:szCs w:val="21"/>
              </w:rPr>
              <w:t>分类</w:t>
            </w:r>
          </w:p>
        </w:tc>
        <w:tc>
          <w:tcPr>
            <w:tcW w:w="2300" w:type="dxa"/>
            <w:tcMar>
              <w:left w:w="28" w:type="dxa"/>
              <w:right w:w="28" w:type="dxa"/>
            </w:tcMar>
            <w:vAlign w:val="center"/>
          </w:tcPr>
          <w:p w14:paraId="451863F6">
            <w:pPr>
              <w:pStyle w:val="60"/>
              <w:spacing w:beforeLines="0" w:afterLines="0" w:line="240" w:lineRule="auto"/>
              <w:ind w:firstLine="0" w:firstLineChars="0"/>
              <w:rPr>
                <w:rFonts w:ascii="Times New Roman" w:hAnsi="Times New Roman"/>
                <w:snapToGrid w:val="0"/>
                <w:spacing w:val="-6"/>
                <w:kern w:val="21"/>
                <w:sz w:val="21"/>
                <w:szCs w:val="21"/>
              </w:rPr>
            </w:pPr>
            <w:r>
              <w:rPr>
                <w:rFonts w:ascii="Times New Roman" w:hAnsi="Times New Roman"/>
                <w:snapToGrid w:val="0"/>
                <w:spacing w:val="-6"/>
                <w:kern w:val="21"/>
                <w:sz w:val="21"/>
                <w:szCs w:val="21"/>
              </w:rPr>
              <w:t>污染物名称</w:t>
            </w:r>
          </w:p>
        </w:tc>
        <w:tc>
          <w:tcPr>
            <w:tcW w:w="1346" w:type="dxa"/>
            <w:tcMar>
              <w:left w:w="28" w:type="dxa"/>
              <w:right w:w="28" w:type="dxa"/>
            </w:tcMar>
            <w:vAlign w:val="center"/>
          </w:tcPr>
          <w:p w14:paraId="62C929A4">
            <w:pPr>
              <w:pStyle w:val="60"/>
              <w:spacing w:beforeLines="0" w:afterLines="0" w:line="240" w:lineRule="auto"/>
              <w:ind w:firstLine="0" w:firstLineChars="0"/>
              <w:rPr>
                <w:rFonts w:ascii="Times New Roman" w:hAnsi="Times New Roman"/>
                <w:snapToGrid w:val="0"/>
                <w:spacing w:val="-6"/>
                <w:kern w:val="21"/>
                <w:sz w:val="21"/>
                <w:szCs w:val="21"/>
              </w:rPr>
            </w:pPr>
            <w:r>
              <w:rPr>
                <w:rFonts w:ascii="Times New Roman" w:hAnsi="Times New Roman"/>
                <w:snapToGrid w:val="0"/>
                <w:spacing w:val="-6"/>
                <w:kern w:val="21"/>
                <w:sz w:val="21"/>
                <w:szCs w:val="21"/>
              </w:rPr>
              <w:t>现有工程</w:t>
            </w:r>
          </w:p>
          <w:p w14:paraId="03BC7569">
            <w:pPr>
              <w:pStyle w:val="60"/>
              <w:spacing w:beforeLines="0" w:afterLines="0" w:line="240" w:lineRule="auto"/>
              <w:ind w:firstLine="0" w:firstLineChars="0"/>
              <w:rPr>
                <w:rFonts w:ascii="Times New Roman" w:hAnsi="Times New Roman"/>
                <w:snapToGrid w:val="0"/>
                <w:spacing w:val="-6"/>
                <w:kern w:val="21"/>
                <w:sz w:val="21"/>
                <w:szCs w:val="21"/>
              </w:rPr>
            </w:pPr>
            <w:r>
              <w:rPr>
                <w:rFonts w:ascii="Times New Roman" w:hAnsi="Times New Roman"/>
                <w:snapToGrid w:val="0"/>
                <w:spacing w:val="-6"/>
                <w:kern w:val="21"/>
                <w:sz w:val="21"/>
                <w:szCs w:val="21"/>
              </w:rPr>
              <w:t>排放量（固体废物产生量）</w:t>
            </w:r>
            <w:r>
              <w:rPr>
                <w:rFonts w:ascii="Times New Roman" w:hAnsi="Times New Roman"/>
                <w:snapToGrid w:val="0"/>
                <w:spacing w:val="-6"/>
                <w:kern w:val="21"/>
                <w:sz w:val="21"/>
                <w:szCs w:val="21"/>
              </w:rPr>
              <w:fldChar w:fldCharType="begin"/>
            </w:r>
            <w:r>
              <w:rPr>
                <w:rFonts w:ascii="Times New Roman" w:hAnsi="Times New Roman"/>
                <w:snapToGrid w:val="0"/>
                <w:spacing w:val="-6"/>
                <w:kern w:val="21"/>
                <w:sz w:val="21"/>
                <w:szCs w:val="21"/>
              </w:rPr>
              <w:instrText xml:space="preserve"> = 1 \* GB3 \* MERGEFORMAT </w:instrText>
            </w:r>
            <w:r>
              <w:rPr>
                <w:rFonts w:ascii="Times New Roman" w:hAnsi="Times New Roman"/>
                <w:snapToGrid w:val="0"/>
                <w:spacing w:val="-6"/>
                <w:kern w:val="21"/>
                <w:sz w:val="21"/>
                <w:szCs w:val="21"/>
              </w:rPr>
              <w:fldChar w:fldCharType="separate"/>
            </w:r>
            <w:r>
              <w:rPr>
                <w:rFonts w:ascii="Times New Roman" w:hAnsi="Times New Roman"/>
                <w:kern w:val="2"/>
                <w:sz w:val="21"/>
                <w:szCs w:val="21"/>
              </w:rPr>
              <w:t>①</w:t>
            </w:r>
            <w:r>
              <w:rPr>
                <w:rFonts w:ascii="Times New Roman" w:hAnsi="Times New Roman"/>
                <w:snapToGrid w:val="0"/>
                <w:spacing w:val="-6"/>
                <w:kern w:val="21"/>
                <w:sz w:val="21"/>
                <w:szCs w:val="21"/>
              </w:rPr>
              <w:fldChar w:fldCharType="end"/>
            </w:r>
          </w:p>
        </w:tc>
        <w:tc>
          <w:tcPr>
            <w:tcW w:w="1276" w:type="dxa"/>
            <w:tcMar>
              <w:left w:w="28" w:type="dxa"/>
              <w:right w:w="28" w:type="dxa"/>
            </w:tcMar>
            <w:vAlign w:val="center"/>
          </w:tcPr>
          <w:p w14:paraId="401CA48B">
            <w:pPr>
              <w:pStyle w:val="60"/>
              <w:spacing w:beforeLines="0" w:afterLines="0" w:line="240" w:lineRule="auto"/>
              <w:ind w:firstLine="0" w:firstLineChars="0"/>
              <w:rPr>
                <w:rFonts w:ascii="Times New Roman" w:hAnsi="Times New Roman"/>
                <w:snapToGrid w:val="0"/>
                <w:spacing w:val="-6"/>
                <w:kern w:val="21"/>
                <w:sz w:val="21"/>
                <w:szCs w:val="21"/>
              </w:rPr>
            </w:pPr>
            <w:r>
              <w:rPr>
                <w:rFonts w:ascii="Times New Roman" w:hAnsi="Times New Roman"/>
                <w:snapToGrid w:val="0"/>
                <w:spacing w:val="-6"/>
                <w:kern w:val="21"/>
                <w:sz w:val="21"/>
                <w:szCs w:val="21"/>
              </w:rPr>
              <w:t>现有工程</w:t>
            </w:r>
          </w:p>
          <w:p w14:paraId="4AB9CE10">
            <w:pPr>
              <w:pStyle w:val="60"/>
              <w:spacing w:beforeLines="0" w:afterLines="0" w:line="240" w:lineRule="auto"/>
              <w:ind w:firstLine="0" w:firstLineChars="0"/>
              <w:rPr>
                <w:rFonts w:ascii="Times New Roman" w:hAnsi="Times New Roman"/>
                <w:snapToGrid w:val="0"/>
                <w:spacing w:val="-6"/>
                <w:kern w:val="21"/>
                <w:sz w:val="21"/>
                <w:szCs w:val="21"/>
              </w:rPr>
            </w:pPr>
            <w:r>
              <w:rPr>
                <w:rFonts w:ascii="Times New Roman" w:hAnsi="Times New Roman"/>
                <w:snapToGrid w:val="0"/>
                <w:spacing w:val="-6"/>
                <w:kern w:val="21"/>
                <w:sz w:val="21"/>
                <w:szCs w:val="21"/>
              </w:rPr>
              <w:t>许可排放量</w:t>
            </w:r>
          </w:p>
          <w:p w14:paraId="743A1612">
            <w:pPr>
              <w:pStyle w:val="60"/>
              <w:spacing w:beforeLines="0" w:afterLines="0" w:line="240" w:lineRule="auto"/>
              <w:ind w:firstLine="0" w:firstLineChars="0"/>
              <w:rPr>
                <w:rFonts w:ascii="Times New Roman" w:hAnsi="Times New Roman"/>
                <w:snapToGrid w:val="0"/>
                <w:spacing w:val="-6"/>
                <w:kern w:val="21"/>
                <w:sz w:val="21"/>
                <w:szCs w:val="21"/>
              </w:rPr>
            </w:pPr>
            <w:r>
              <w:rPr>
                <w:rFonts w:ascii="Times New Roman" w:hAnsi="Times New Roman"/>
                <w:snapToGrid w:val="0"/>
                <w:spacing w:val="-6"/>
                <w:kern w:val="21"/>
                <w:sz w:val="21"/>
                <w:szCs w:val="21"/>
              </w:rPr>
              <w:fldChar w:fldCharType="begin"/>
            </w:r>
            <w:r>
              <w:rPr>
                <w:rFonts w:ascii="Times New Roman" w:hAnsi="Times New Roman"/>
                <w:snapToGrid w:val="0"/>
                <w:spacing w:val="-6"/>
                <w:kern w:val="21"/>
                <w:sz w:val="21"/>
                <w:szCs w:val="21"/>
              </w:rPr>
              <w:instrText xml:space="preserve"> = 2 \* GB3 \* MERGEFORMAT </w:instrText>
            </w:r>
            <w:r>
              <w:rPr>
                <w:rFonts w:ascii="Times New Roman" w:hAnsi="Times New Roman"/>
                <w:snapToGrid w:val="0"/>
                <w:spacing w:val="-6"/>
                <w:kern w:val="21"/>
                <w:sz w:val="21"/>
                <w:szCs w:val="21"/>
              </w:rPr>
              <w:fldChar w:fldCharType="separate"/>
            </w:r>
            <w:r>
              <w:rPr>
                <w:rFonts w:ascii="Times New Roman" w:hAnsi="Times New Roman"/>
                <w:snapToGrid w:val="0"/>
                <w:spacing w:val="-6"/>
                <w:kern w:val="21"/>
                <w:sz w:val="21"/>
                <w:szCs w:val="21"/>
              </w:rPr>
              <w:t>②</w:t>
            </w:r>
            <w:r>
              <w:rPr>
                <w:rFonts w:ascii="Times New Roman" w:hAnsi="Times New Roman"/>
                <w:snapToGrid w:val="0"/>
                <w:spacing w:val="-6"/>
                <w:kern w:val="21"/>
                <w:sz w:val="21"/>
                <w:szCs w:val="21"/>
              </w:rPr>
              <w:fldChar w:fldCharType="end"/>
            </w:r>
          </w:p>
        </w:tc>
        <w:tc>
          <w:tcPr>
            <w:tcW w:w="1701" w:type="dxa"/>
            <w:tcMar>
              <w:left w:w="28" w:type="dxa"/>
              <w:right w:w="28" w:type="dxa"/>
            </w:tcMar>
            <w:vAlign w:val="center"/>
          </w:tcPr>
          <w:p w14:paraId="53C3551D">
            <w:pPr>
              <w:pStyle w:val="60"/>
              <w:spacing w:beforeLines="0" w:afterLines="0" w:line="240" w:lineRule="auto"/>
              <w:ind w:firstLine="0" w:firstLineChars="0"/>
              <w:rPr>
                <w:rFonts w:ascii="Times New Roman" w:hAnsi="Times New Roman"/>
                <w:snapToGrid w:val="0"/>
                <w:spacing w:val="-6"/>
                <w:kern w:val="21"/>
                <w:sz w:val="21"/>
                <w:szCs w:val="21"/>
              </w:rPr>
            </w:pPr>
            <w:r>
              <w:rPr>
                <w:rFonts w:ascii="Times New Roman" w:hAnsi="Times New Roman"/>
                <w:snapToGrid w:val="0"/>
                <w:spacing w:val="-6"/>
                <w:kern w:val="21"/>
                <w:sz w:val="21"/>
                <w:szCs w:val="21"/>
              </w:rPr>
              <w:t>在建工程</w:t>
            </w:r>
          </w:p>
          <w:p w14:paraId="18A6E983">
            <w:pPr>
              <w:pStyle w:val="60"/>
              <w:spacing w:beforeLines="0" w:afterLines="0" w:line="240" w:lineRule="auto"/>
              <w:ind w:firstLine="0" w:firstLineChars="0"/>
              <w:rPr>
                <w:rFonts w:ascii="Times New Roman" w:hAnsi="Times New Roman"/>
                <w:snapToGrid w:val="0"/>
                <w:spacing w:val="-6"/>
                <w:kern w:val="21"/>
                <w:sz w:val="21"/>
                <w:szCs w:val="21"/>
              </w:rPr>
            </w:pPr>
            <w:r>
              <w:rPr>
                <w:rFonts w:ascii="Times New Roman" w:hAnsi="Times New Roman"/>
                <w:snapToGrid w:val="0"/>
                <w:spacing w:val="-6"/>
                <w:kern w:val="21"/>
                <w:sz w:val="21"/>
                <w:szCs w:val="21"/>
              </w:rPr>
              <w:t>排放量（固体废物产生量）</w:t>
            </w:r>
            <w:r>
              <w:rPr>
                <w:rFonts w:ascii="Times New Roman" w:hAnsi="Times New Roman"/>
                <w:snapToGrid w:val="0"/>
                <w:spacing w:val="-6"/>
                <w:kern w:val="21"/>
                <w:sz w:val="21"/>
                <w:szCs w:val="21"/>
              </w:rPr>
              <w:fldChar w:fldCharType="begin"/>
            </w:r>
            <w:r>
              <w:rPr>
                <w:rFonts w:ascii="Times New Roman" w:hAnsi="Times New Roman"/>
                <w:snapToGrid w:val="0"/>
                <w:spacing w:val="-6"/>
                <w:kern w:val="21"/>
                <w:sz w:val="21"/>
                <w:szCs w:val="21"/>
              </w:rPr>
              <w:instrText xml:space="preserve"> = 3 \* GB3 \* MERGEFORMAT </w:instrText>
            </w:r>
            <w:r>
              <w:rPr>
                <w:rFonts w:ascii="Times New Roman" w:hAnsi="Times New Roman"/>
                <w:snapToGrid w:val="0"/>
                <w:spacing w:val="-6"/>
                <w:kern w:val="21"/>
                <w:sz w:val="21"/>
                <w:szCs w:val="21"/>
              </w:rPr>
              <w:fldChar w:fldCharType="separate"/>
            </w:r>
            <w:r>
              <w:rPr>
                <w:rFonts w:ascii="Times New Roman" w:hAnsi="Times New Roman"/>
                <w:kern w:val="2"/>
                <w:sz w:val="21"/>
                <w:szCs w:val="21"/>
              </w:rPr>
              <w:t>③</w:t>
            </w:r>
            <w:r>
              <w:rPr>
                <w:rFonts w:ascii="Times New Roman" w:hAnsi="Times New Roman"/>
                <w:snapToGrid w:val="0"/>
                <w:spacing w:val="-6"/>
                <w:kern w:val="21"/>
                <w:sz w:val="21"/>
                <w:szCs w:val="21"/>
              </w:rPr>
              <w:fldChar w:fldCharType="end"/>
            </w:r>
          </w:p>
        </w:tc>
        <w:tc>
          <w:tcPr>
            <w:tcW w:w="1559" w:type="dxa"/>
            <w:tcMar>
              <w:left w:w="28" w:type="dxa"/>
              <w:right w:w="28" w:type="dxa"/>
            </w:tcMar>
            <w:vAlign w:val="center"/>
          </w:tcPr>
          <w:p w14:paraId="6C980C56">
            <w:pPr>
              <w:pStyle w:val="60"/>
              <w:spacing w:beforeLines="0" w:afterLines="0" w:line="240" w:lineRule="auto"/>
              <w:ind w:firstLine="0" w:firstLineChars="0"/>
              <w:rPr>
                <w:rFonts w:ascii="Times New Roman" w:hAnsi="Times New Roman"/>
                <w:snapToGrid w:val="0"/>
                <w:spacing w:val="-6"/>
                <w:kern w:val="21"/>
                <w:sz w:val="21"/>
                <w:szCs w:val="21"/>
              </w:rPr>
            </w:pPr>
            <w:r>
              <w:rPr>
                <w:rFonts w:ascii="Times New Roman" w:hAnsi="Times New Roman"/>
                <w:snapToGrid w:val="0"/>
                <w:spacing w:val="-6"/>
                <w:kern w:val="21"/>
                <w:sz w:val="21"/>
                <w:szCs w:val="21"/>
              </w:rPr>
              <w:t>本项目</w:t>
            </w:r>
          </w:p>
          <w:p w14:paraId="472298BB">
            <w:pPr>
              <w:pStyle w:val="60"/>
              <w:spacing w:beforeLines="0" w:afterLines="0" w:line="240" w:lineRule="auto"/>
              <w:ind w:firstLine="0" w:firstLineChars="0"/>
              <w:rPr>
                <w:rFonts w:ascii="Times New Roman" w:hAnsi="Times New Roman"/>
                <w:snapToGrid w:val="0"/>
                <w:spacing w:val="-6"/>
                <w:kern w:val="21"/>
                <w:sz w:val="21"/>
                <w:szCs w:val="21"/>
              </w:rPr>
            </w:pPr>
            <w:r>
              <w:rPr>
                <w:rFonts w:ascii="Times New Roman" w:hAnsi="Times New Roman"/>
                <w:snapToGrid w:val="0"/>
                <w:spacing w:val="-6"/>
                <w:kern w:val="21"/>
                <w:sz w:val="21"/>
                <w:szCs w:val="21"/>
              </w:rPr>
              <w:t>排放量（固体废物产生量）</w:t>
            </w:r>
            <w:r>
              <w:rPr>
                <w:rFonts w:ascii="Times New Roman" w:hAnsi="Times New Roman"/>
                <w:snapToGrid w:val="0"/>
                <w:spacing w:val="-6"/>
                <w:kern w:val="21"/>
                <w:sz w:val="21"/>
                <w:szCs w:val="21"/>
              </w:rPr>
              <w:fldChar w:fldCharType="begin"/>
            </w:r>
            <w:r>
              <w:rPr>
                <w:rFonts w:ascii="Times New Roman" w:hAnsi="Times New Roman"/>
                <w:snapToGrid w:val="0"/>
                <w:spacing w:val="-6"/>
                <w:kern w:val="21"/>
                <w:sz w:val="21"/>
                <w:szCs w:val="21"/>
              </w:rPr>
              <w:instrText xml:space="preserve"> = 4 \* GB3 \* MERGEFORMAT </w:instrText>
            </w:r>
            <w:r>
              <w:rPr>
                <w:rFonts w:ascii="Times New Roman" w:hAnsi="Times New Roman"/>
                <w:snapToGrid w:val="0"/>
                <w:spacing w:val="-6"/>
                <w:kern w:val="21"/>
                <w:sz w:val="21"/>
                <w:szCs w:val="21"/>
              </w:rPr>
              <w:fldChar w:fldCharType="separate"/>
            </w:r>
            <w:r>
              <w:rPr>
                <w:rFonts w:ascii="Times New Roman" w:hAnsi="Times New Roman"/>
                <w:kern w:val="2"/>
                <w:sz w:val="21"/>
                <w:szCs w:val="21"/>
              </w:rPr>
              <w:t>④</w:t>
            </w:r>
            <w:r>
              <w:rPr>
                <w:rFonts w:ascii="Times New Roman" w:hAnsi="Times New Roman"/>
                <w:snapToGrid w:val="0"/>
                <w:spacing w:val="-6"/>
                <w:kern w:val="21"/>
                <w:sz w:val="21"/>
                <w:szCs w:val="21"/>
              </w:rPr>
              <w:fldChar w:fldCharType="end"/>
            </w:r>
          </w:p>
        </w:tc>
        <w:tc>
          <w:tcPr>
            <w:tcW w:w="1761" w:type="dxa"/>
            <w:tcMar>
              <w:left w:w="28" w:type="dxa"/>
              <w:right w:w="28" w:type="dxa"/>
            </w:tcMar>
            <w:vAlign w:val="center"/>
          </w:tcPr>
          <w:p w14:paraId="7B186936">
            <w:pPr>
              <w:pStyle w:val="60"/>
              <w:spacing w:beforeLines="0" w:afterLines="0" w:line="240" w:lineRule="auto"/>
              <w:ind w:firstLine="0" w:firstLineChars="0"/>
              <w:rPr>
                <w:rFonts w:ascii="Times New Roman" w:hAnsi="Times New Roman"/>
                <w:snapToGrid w:val="0"/>
                <w:spacing w:val="-16"/>
                <w:kern w:val="21"/>
                <w:sz w:val="21"/>
                <w:szCs w:val="21"/>
              </w:rPr>
            </w:pPr>
            <w:r>
              <w:rPr>
                <w:rFonts w:ascii="Times New Roman" w:hAnsi="Times New Roman"/>
                <w:snapToGrid w:val="0"/>
                <w:spacing w:val="-16"/>
                <w:kern w:val="21"/>
                <w:sz w:val="21"/>
                <w:szCs w:val="21"/>
              </w:rPr>
              <w:t>以新带老削减量</w:t>
            </w:r>
          </w:p>
          <w:p w14:paraId="6D0A8FD7">
            <w:pPr>
              <w:pStyle w:val="60"/>
              <w:spacing w:beforeLines="0" w:afterLines="0" w:line="240" w:lineRule="auto"/>
              <w:ind w:firstLine="0" w:firstLineChars="0"/>
              <w:rPr>
                <w:rFonts w:ascii="Times New Roman" w:hAnsi="Times New Roman"/>
                <w:snapToGrid w:val="0"/>
                <w:spacing w:val="-16"/>
                <w:kern w:val="21"/>
                <w:sz w:val="21"/>
                <w:szCs w:val="21"/>
              </w:rPr>
            </w:pPr>
            <w:r>
              <w:rPr>
                <w:rFonts w:ascii="Times New Roman" w:hAnsi="Times New Roman"/>
                <w:snapToGrid w:val="0"/>
                <w:spacing w:val="-16"/>
                <w:kern w:val="21"/>
                <w:sz w:val="21"/>
                <w:szCs w:val="21"/>
              </w:rPr>
              <w:t>（新建项目不填）</w:t>
            </w:r>
            <w:r>
              <w:rPr>
                <w:rFonts w:ascii="Times New Roman" w:hAnsi="Times New Roman"/>
                <w:snapToGrid w:val="0"/>
                <w:spacing w:val="-16"/>
                <w:kern w:val="21"/>
                <w:sz w:val="21"/>
                <w:szCs w:val="21"/>
              </w:rPr>
              <w:fldChar w:fldCharType="begin"/>
            </w:r>
            <w:r>
              <w:rPr>
                <w:rFonts w:ascii="Times New Roman" w:hAnsi="Times New Roman"/>
                <w:snapToGrid w:val="0"/>
                <w:spacing w:val="-16"/>
                <w:kern w:val="21"/>
                <w:sz w:val="21"/>
                <w:szCs w:val="21"/>
              </w:rPr>
              <w:instrText xml:space="preserve"> = 5 \* GB3 \* MERGEFORMAT </w:instrText>
            </w:r>
            <w:r>
              <w:rPr>
                <w:rFonts w:ascii="Times New Roman" w:hAnsi="Times New Roman"/>
                <w:snapToGrid w:val="0"/>
                <w:spacing w:val="-16"/>
                <w:kern w:val="21"/>
                <w:sz w:val="21"/>
                <w:szCs w:val="21"/>
              </w:rPr>
              <w:fldChar w:fldCharType="separate"/>
            </w:r>
            <w:r>
              <w:rPr>
                <w:rFonts w:ascii="Times New Roman" w:hAnsi="Times New Roman"/>
                <w:kern w:val="2"/>
                <w:sz w:val="21"/>
                <w:szCs w:val="21"/>
              </w:rPr>
              <w:t>⑤</w:t>
            </w:r>
            <w:r>
              <w:rPr>
                <w:rFonts w:ascii="Times New Roman" w:hAnsi="Times New Roman"/>
                <w:snapToGrid w:val="0"/>
                <w:spacing w:val="-16"/>
                <w:kern w:val="21"/>
                <w:sz w:val="21"/>
                <w:szCs w:val="21"/>
              </w:rPr>
              <w:fldChar w:fldCharType="end"/>
            </w:r>
          </w:p>
        </w:tc>
        <w:tc>
          <w:tcPr>
            <w:tcW w:w="1566" w:type="dxa"/>
            <w:tcMar>
              <w:left w:w="28" w:type="dxa"/>
              <w:right w:w="28" w:type="dxa"/>
            </w:tcMar>
            <w:vAlign w:val="center"/>
          </w:tcPr>
          <w:p w14:paraId="1591AEF2">
            <w:pPr>
              <w:pStyle w:val="60"/>
              <w:spacing w:beforeLines="0" w:afterLines="0" w:line="240" w:lineRule="auto"/>
              <w:ind w:firstLine="0" w:firstLineChars="0"/>
              <w:rPr>
                <w:rFonts w:ascii="Times New Roman" w:hAnsi="Times New Roman"/>
                <w:snapToGrid w:val="0"/>
                <w:spacing w:val="-16"/>
                <w:kern w:val="21"/>
                <w:sz w:val="21"/>
                <w:szCs w:val="21"/>
              </w:rPr>
            </w:pPr>
            <w:r>
              <w:rPr>
                <w:rFonts w:ascii="Times New Roman" w:hAnsi="Times New Roman"/>
                <w:snapToGrid w:val="0"/>
                <w:spacing w:val="-16"/>
                <w:kern w:val="21"/>
                <w:sz w:val="21"/>
                <w:szCs w:val="21"/>
              </w:rPr>
              <w:t>本项目建成后</w:t>
            </w:r>
          </w:p>
          <w:p w14:paraId="3216FE74">
            <w:pPr>
              <w:pStyle w:val="60"/>
              <w:spacing w:beforeLines="0" w:afterLines="0" w:line="240" w:lineRule="auto"/>
              <w:ind w:firstLine="0" w:firstLineChars="0"/>
              <w:rPr>
                <w:rFonts w:ascii="Times New Roman" w:hAnsi="Times New Roman"/>
                <w:snapToGrid w:val="0"/>
                <w:spacing w:val="-16"/>
                <w:kern w:val="21"/>
                <w:sz w:val="21"/>
                <w:szCs w:val="21"/>
              </w:rPr>
            </w:pPr>
            <w:r>
              <w:rPr>
                <w:rFonts w:ascii="Times New Roman" w:hAnsi="Times New Roman"/>
                <w:snapToGrid w:val="0"/>
                <w:spacing w:val="-16"/>
                <w:kern w:val="21"/>
                <w:sz w:val="21"/>
                <w:szCs w:val="21"/>
              </w:rPr>
              <w:t>全厂排放量（固体废物产生量）</w:t>
            </w:r>
            <w:r>
              <w:rPr>
                <w:rFonts w:ascii="Times New Roman" w:hAnsi="Times New Roman"/>
                <w:snapToGrid w:val="0"/>
                <w:spacing w:val="-16"/>
                <w:kern w:val="21"/>
                <w:sz w:val="21"/>
                <w:szCs w:val="21"/>
              </w:rPr>
              <w:fldChar w:fldCharType="begin"/>
            </w:r>
            <w:r>
              <w:rPr>
                <w:rFonts w:ascii="Times New Roman" w:hAnsi="Times New Roman"/>
                <w:snapToGrid w:val="0"/>
                <w:spacing w:val="-16"/>
                <w:kern w:val="21"/>
                <w:sz w:val="21"/>
                <w:szCs w:val="21"/>
              </w:rPr>
              <w:instrText xml:space="preserve"> = 6 \* GB3 \* MERGEFORMAT </w:instrText>
            </w:r>
            <w:r>
              <w:rPr>
                <w:rFonts w:ascii="Times New Roman" w:hAnsi="Times New Roman"/>
                <w:snapToGrid w:val="0"/>
                <w:spacing w:val="-16"/>
                <w:kern w:val="21"/>
                <w:sz w:val="21"/>
                <w:szCs w:val="21"/>
              </w:rPr>
              <w:fldChar w:fldCharType="separate"/>
            </w:r>
            <w:r>
              <w:rPr>
                <w:rFonts w:ascii="Times New Roman" w:hAnsi="Times New Roman"/>
                <w:kern w:val="2"/>
                <w:sz w:val="21"/>
                <w:szCs w:val="21"/>
              </w:rPr>
              <w:t>⑥</w:t>
            </w:r>
            <w:r>
              <w:rPr>
                <w:rFonts w:ascii="Times New Roman" w:hAnsi="Times New Roman"/>
                <w:snapToGrid w:val="0"/>
                <w:spacing w:val="-16"/>
                <w:kern w:val="21"/>
                <w:sz w:val="21"/>
                <w:szCs w:val="21"/>
              </w:rPr>
              <w:fldChar w:fldCharType="end"/>
            </w:r>
          </w:p>
        </w:tc>
        <w:tc>
          <w:tcPr>
            <w:tcW w:w="1219" w:type="dxa"/>
            <w:tcMar>
              <w:left w:w="28" w:type="dxa"/>
              <w:right w:w="28" w:type="dxa"/>
            </w:tcMar>
            <w:vAlign w:val="center"/>
          </w:tcPr>
          <w:p w14:paraId="31FA52DE">
            <w:pPr>
              <w:pStyle w:val="60"/>
              <w:spacing w:beforeLines="0" w:afterLines="0" w:line="240" w:lineRule="auto"/>
              <w:ind w:firstLine="0" w:firstLineChars="0"/>
              <w:rPr>
                <w:rFonts w:ascii="Times New Roman" w:hAnsi="Times New Roman"/>
                <w:snapToGrid w:val="0"/>
                <w:spacing w:val="-6"/>
                <w:kern w:val="21"/>
                <w:sz w:val="21"/>
                <w:szCs w:val="21"/>
              </w:rPr>
            </w:pPr>
            <w:r>
              <w:rPr>
                <w:rFonts w:ascii="Times New Roman" w:hAnsi="Times New Roman"/>
                <w:snapToGrid w:val="0"/>
                <w:spacing w:val="-6"/>
                <w:kern w:val="21"/>
                <w:sz w:val="21"/>
                <w:szCs w:val="21"/>
              </w:rPr>
              <w:t>变化量</w:t>
            </w:r>
          </w:p>
          <w:p w14:paraId="25278E60">
            <w:pPr>
              <w:pStyle w:val="60"/>
              <w:spacing w:beforeLines="0" w:afterLines="0" w:line="240" w:lineRule="auto"/>
              <w:ind w:firstLine="0" w:firstLineChars="0"/>
              <w:rPr>
                <w:rFonts w:ascii="Times New Roman" w:hAnsi="Times New Roman"/>
                <w:snapToGrid w:val="0"/>
                <w:spacing w:val="-6"/>
                <w:kern w:val="21"/>
                <w:sz w:val="21"/>
                <w:szCs w:val="21"/>
              </w:rPr>
            </w:pPr>
            <w:r>
              <w:rPr>
                <w:rFonts w:ascii="Times New Roman" w:hAnsi="Times New Roman"/>
                <w:snapToGrid w:val="0"/>
                <w:spacing w:val="-6"/>
                <w:kern w:val="21"/>
                <w:sz w:val="21"/>
                <w:szCs w:val="21"/>
              </w:rPr>
              <w:fldChar w:fldCharType="begin"/>
            </w:r>
            <w:r>
              <w:rPr>
                <w:rFonts w:ascii="Times New Roman" w:hAnsi="Times New Roman"/>
                <w:snapToGrid w:val="0"/>
                <w:spacing w:val="-6"/>
                <w:kern w:val="21"/>
                <w:sz w:val="21"/>
                <w:szCs w:val="21"/>
              </w:rPr>
              <w:instrText xml:space="preserve"> = 7 \* GB3 \* MERGEFORMAT </w:instrText>
            </w:r>
            <w:r>
              <w:rPr>
                <w:rFonts w:ascii="Times New Roman" w:hAnsi="Times New Roman"/>
                <w:snapToGrid w:val="0"/>
                <w:spacing w:val="-6"/>
                <w:kern w:val="21"/>
                <w:sz w:val="21"/>
                <w:szCs w:val="21"/>
              </w:rPr>
              <w:fldChar w:fldCharType="separate"/>
            </w:r>
            <w:r>
              <w:rPr>
                <w:rFonts w:ascii="Times New Roman" w:hAnsi="Times New Roman"/>
                <w:kern w:val="2"/>
                <w:sz w:val="21"/>
                <w:szCs w:val="21"/>
              </w:rPr>
              <w:t>⑦</w:t>
            </w:r>
            <w:r>
              <w:rPr>
                <w:rFonts w:ascii="Times New Roman" w:hAnsi="Times New Roman"/>
                <w:snapToGrid w:val="0"/>
                <w:spacing w:val="-6"/>
                <w:kern w:val="21"/>
                <w:sz w:val="21"/>
                <w:szCs w:val="21"/>
              </w:rPr>
              <w:fldChar w:fldCharType="end"/>
            </w:r>
          </w:p>
        </w:tc>
      </w:tr>
      <w:tr w14:paraId="262D08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0" w:type="dxa"/>
            <w:vMerge w:val="restart"/>
            <w:vAlign w:val="center"/>
          </w:tcPr>
          <w:p w14:paraId="544FDC35">
            <w:pPr>
              <w:pStyle w:val="60"/>
              <w:spacing w:beforeLines="0" w:afterLines="0" w:line="240" w:lineRule="auto"/>
              <w:ind w:firstLine="0" w:firstLineChars="0"/>
              <w:rPr>
                <w:rFonts w:ascii="Times New Roman" w:hAnsi="Times New Roman"/>
                <w:snapToGrid w:val="0"/>
                <w:kern w:val="21"/>
                <w:sz w:val="21"/>
                <w:szCs w:val="21"/>
              </w:rPr>
            </w:pPr>
            <w:r>
              <w:rPr>
                <w:rFonts w:ascii="Times New Roman" w:hAnsi="Times New Roman"/>
                <w:snapToGrid w:val="0"/>
                <w:kern w:val="21"/>
                <w:sz w:val="21"/>
                <w:szCs w:val="21"/>
              </w:rPr>
              <w:t>废气</w:t>
            </w:r>
          </w:p>
        </w:tc>
        <w:tc>
          <w:tcPr>
            <w:tcW w:w="2300" w:type="dxa"/>
            <w:vAlign w:val="center"/>
          </w:tcPr>
          <w:p w14:paraId="152AE98F">
            <w:pPr>
              <w:tabs>
                <w:tab w:val="left" w:pos="3225"/>
              </w:tabs>
              <w:adjustRightInd w:val="0"/>
              <w:snapToGrid w:val="0"/>
              <w:spacing w:beforeLines="0" w:afterLines="0"/>
              <w:jc w:val="center"/>
              <w:rPr>
                <w:sz w:val="21"/>
                <w:szCs w:val="21"/>
              </w:rPr>
            </w:pPr>
            <w:r>
              <w:rPr>
                <w:rFonts w:hint="eastAsia"/>
                <w:sz w:val="21"/>
                <w:szCs w:val="21"/>
                <w:lang w:val="en-US" w:eastAsia="zh-CN"/>
              </w:rPr>
              <w:t>VOCs</w:t>
            </w:r>
          </w:p>
        </w:tc>
        <w:tc>
          <w:tcPr>
            <w:tcW w:w="1346" w:type="dxa"/>
            <w:vAlign w:val="center"/>
          </w:tcPr>
          <w:p w14:paraId="36E2681D">
            <w:pPr>
              <w:tabs>
                <w:tab w:val="left" w:pos="3225"/>
              </w:tabs>
              <w:adjustRightInd w:val="0"/>
              <w:snapToGrid w:val="0"/>
              <w:spacing w:beforeLines="0" w:afterLines="0"/>
              <w:jc w:val="center"/>
              <w:rPr>
                <w:sz w:val="21"/>
                <w:szCs w:val="21"/>
              </w:rPr>
            </w:pPr>
            <w:r>
              <w:rPr>
                <w:rFonts w:hint="eastAsia"/>
                <w:snapToGrid w:val="0"/>
                <w:kern w:val="21"/>
                <w:sz w:val="21"/>
                <w:szCs w:val="21"/>
              </w:rPr>
              <w:t>/</w:t>
            </w:r>
          </w:p>
        </w:tc>
        <w:tc>
          <w:tcPr>
            <w:tcW w:w="1276" w:type="dxa"/>
            <w:vAlign w:val="center"/>
          </w:tcPr>
          <w:p w14:paraId="3F22E785">
            <w:pPr>
              <w:adjustRightInd w:val="0"/>
              <w:snapToGrid w:val="0"/>
              <w:spacing w:beforeLines="0" w:afterLines="0"/>
              <w:jc w:val="center"/>
              <w:rPr>
                <w:sz w:val="21"/>
                <w:szCs w:val="21"/>
              </w:rPr>
            </w:pPr>
            <w:r>
              <w:rPr>
                <w:rFonts w:hint="eastAsia"/>
                <w:snapToGrid w:val="0"/>
                <w:kern w:val="21"/>
                <w:sz w:val="21"/>
                <w:szCs w:val="21"/>
              </w:rPr>
              <w:t>/</w:t>
            </w:r>
          </w:p>
        </w:tc>
        <w:tc>
          <w:tcPr>
            <w:tcW w:w="1701" w:type="dxa"/>
            <w:vAlign w:val="center"/>
          </w:tcPr>
          <w:p w14:paraId="53E61B15">
            <w:pPr>
              <w:adjustRightInd w:val="0"/>
              <w:snapToGrid w:val="0"/>
              <w:spacing w:beforeLines="0" w:afterLines="0"/>
              <w:jc w:val="center"/>
              <w:rPr>
                <w:sz w:val="21"/>
                <w:szCs w:val="21"/>
              </w:rPr>
            </w:pPr>
            <w:r>
              <w:rPr>
                <w:rFonts w:hint="eastAsia"/>
                <w:snapToGrid w:val="0"/>
                <w:kern w:val="21"/>
                <w:sz w:val="21"/>
                <w:szCs w:val="21"/>
              </w:rPr>
              <w:t>/</w:t>
            </w:r>
          </w:p>
        </w:tc>
        <w:tc>
          <w:tcPr>
            <w:tcW w:w="1559" w:type="dxa"/>
            <w:vAlign w:val="center"/>
          </w:tcPr>
          <w:p w14:paraId="3179D59D">
            <w:pPr>
              <w:adjustRightInd w:val="0"/>
              <w:snapToGrid w:val="0"/>
              <w:spacing w:beforeLines="0" w:afterLines="0" w:line="240" w:lineRule="auto"/>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0.4233</w:t>
            </w:r>
            <w:r>
              <w:rPr>
                <w:rFonts w:hint="eastAsia"/>
                <w:snapToGrid w:val="0"/>
                <w:kern w:val="21"/>
                <w:sz w:val="21"/>
                <w:szCs w:val="21"/>
              </w:rPr>
              <w:t>t/a</w:t>
            </w:r>
          </w:p>
        </w:tc>
        <w:tc>
          <w:tcPr>
            <w:tcW w:w="1761" w:type="dxa"/>
            <w:vAlign w:val="center"/>
          </w:tcPr>
          <w:p w14:paraId="22D28794">
            <w:pPr>
              <w:adjustRightInd w:val="0"/>
              <w:snapToGrid w:val="0"/>
              <w:spacing w:beforeLines="0" w:afterLines="0"/>
              <w:jc w:val="center"/>
              <w:rPr>
                <w:sz w:val="21"/>
                <w:szCs w:val="21"/>
              </w:rPr>
            </w:pPr>
            <w:r>
              <w:rPr>
                <w:rFonts w:hint="eastAsia"/>
                <w:snapToGrid w:val="0"/>
                <w:kern w:val="21"/>
                <w:sz w:val="21"/>
                <w:szCs w:val="21"/>
              </w:rPr>
              <w:t>/</w:t>
            </w:r>
          </w:p>
        </w:tc>
        <w:tc>
          <w:tcPr>
            <w:tcW w:w="1566" w:type="dxa"/>
            <w:vAlign w:val="center"/>
          </w:tcPr>
          <w:p w14:paraId="127BF130">
            <w:pPr>
              <w:tabs>
                <w:tab w:val="left" w:pos="3225"/>
              </w:tabs>
              <w:adjustRightInd w:val="0"/>
              <w:snapToGrid w:val="0"/>
              <w:spacing w:beforeLines="0" w:afterLines="0" w:line="240" w:lineRule="auto"/>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0.4233</w:t>
            </w:r>
            <w:r>
              <w:rPr>
                <w:rFonts w:hint="eastAsia"/>
                <w:snapToGrid w:val="0"/>
                <w:kern w:val="21"/>
                <w:sz w:val="21"/>
                <w:szCs w:val="21"/>
              </w:rPr>
              <w:t>t/a</w:t>
            </w:r>
          </w:p>
        </w:tc>
        <w:tc>
          <w:tcPr>
            <w:tcW w:w="1219" w:type="dxa"/>
            <w:vAlign w:val="center"/>
          </w:tcPr>
          <w:p w14:paraId="40F84619">
            <w:pPr>
              <w:adjustRightInd w:val="0"/>
              <w:snapToGrid w:val="0"/>
              <w:spacing w:beforeLines="0" w:afterLines="0" w:line="240" w:lineRule="auto"/>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+0.4233</w:t>
            </w:r>
            <w:r>
              <w:rPr>
                <w:rFonts w:hint="eastAsia"/>
                <w:snapToGrid w:val="0"/>
                <w:kern w:val="21"/>
                <w:sz w:val="21"/>
                <w:szCs w:val="21"/>
              </w:rPr>
              <w:t>t/a</w:t>
            </w:r>
          </w:p>
        </w:tc>
      </w:tr>
      <w:tr w14:paraId="689EC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0" w:type="dxa"/>
            <w:vMerge w:val="restart"/>
            <w:vAlign w:val="center"/>
          </w:tcPr>
          <w:p w14:paraId="57275A80">
            <w:pPr>
              <w:pStyle w:val="60"/>
              <w:spacing w:beforeLines="0" w:afterLines="0" w:line="240" w:lineRule="auto"/>
              <w:ind w:firstLine="0" w:firstLineChars="0"/>
              <w:rPr>
                <w:rFonts w:ascii="Times New Roman" w:hAnsi="Times New Roman"/>
                <w:snapToGrid w:val="0"/>
                <w:kern w:val="21"/>
                <w:sz w:val="21"/>
                <w:szCs w:val="21"/>
              </w:rPr>
            </w:pPr>
            <w:r>
              <w:rPr>
                <w:rFonts w:ascii="Times New Roman" w:hAnsi="Times New Roman"/>
                <w:snapToGrid w:val="0"/>
                <w:kern w:val="21"/>
                <w:sz w:val="21"/>
                <w:szCs w:val="21"/>
              </w:rPr>
              <w:t>废水</w:t>
            </w:r>
          </w:p>
        </w:tc>
        <w:tc>
          <w:tcPr>
            <w:tcW w:w="2300" w:type="dxa"/>
            <w:vAlign w:val="center"/>
          </w:tcPr>
          <w:p w14:paraId="2E365A60">
            <w:pPr>
              <w:spacing w:beforeLines="0" w:afterLines="0"/>
              <w:jc w:val="center"/>
              <w:rPr>
                <w:rFonts w:hint="eastAsia" w:eastAsia="宋体"/>
                <w:snapToGrid w:val="0"/>
                <w:kern w:val="21"/>
                <w:sz w:val="21"/>
                <w:szCs w:val="21"/>
                <w:lang w:val="en-US" w:eastAsia="zh-CN"/>
              </w:rPr>
            </w:pPr>
            <w:r>
              <w:rPr>
                <w:rFonts w:hint="eastAsia"/>
                <w:snapToGrid w:val="0"/>
                <w:kern w:val="21"/>
                <w:sz w:val="21"/>
                <w:szCs w:val="21"/>
                <w:lang w:val="en-US" w:eastAsia="zh-CN"/>
              </w:rPr>
              <w:t>COD</w:t>
            </w:r>
          </w:p>
        </w:tc>
        <w:tc>
          <w:tcPr>
            <w:tcW w:w="1346" w:type="dxa"/>
            <w:vAlign w:val="center"/>
          </w:tcPr>
          <w:p w14:paraId="64CC1087">
            <w:pPr>
              <w:spacing w:beforeLines="0" w:afterLines="0"/>
              <w:jc w:val="center"/>
              <w:rPr>
                <w:rFonts w:hint="default" w:ascii="Times New Roman" w:hAnsi="Times New Roman" w:eastAsia="宋体" w:cs="Times New Roman"/>
                <w:kern w:val="2"/>
                <w:sz w:val="21"/>
                <w:szCs w:val="21"/>
                <w:lang w:val="en-US" w:eastAsia="zh-CN" w:bidi="ar-SA"/>
              </w:rPr>
            </w:pPr>
            <w:r>
              <w:rPr>
                <w:rFonts w:hint="eastAsia"/>
                <w:snapToGrid w:val="0"/>
                <w:kern w:val="21"/>
                <w:sz w:val="21"/>
                <w:szCs w:val="21"/>
              </w:rPr>
              <w:t>/</w:t>
            </w:r>
          </w:p>
        </w:tc>
        <w:tc>
          <w:tcPr>
            <w:tcW w:w="1276" w:type="dxa"/>
            <w:vAlign w:val="center"/>
          </w:tcPr>
          <w:p w14:paraId="0C802C22">
            <w:pPr>
              <w:spacing w:beforeLines="0" w:afterLines="0"/>
              <w:jc w:val="center"/>
              <w:rPr>
                <w:rFonts w:hint="default" w:ascii="Times New Roman" w:hAnsi="Times New Roman" w:eastAsia="宋体" w:cs="Times New Roman"/>
                <w:kern w:val="2"/>
                <w:sz w:val="21"/>
                <w:szCs w:val="21"/>
                <w:lang w:val="en-US" w:eastAsia="zh-CN" w:bidi="ar-SA"/>
              </w:rPr>
            </w:pPr>
            <w:r>
              <w:rPr>
                <w:rFonts w:hint="eastAsia"/>
                <w:snapToGrid w:val="0"/>
                <w:kern w:val="21"/>
                <w:sz w:val="21"/>
                <w:szCs w:val="21"/>
              </w:rPr>
              <w:t>/</w:t>
            </w:r>
          </w:p>
        </w:tc>
        <w:tc>
          <w:tcPr>
            <w:tcW w:w="1701" w:type="dxa"/>
            <w:vAlign w:val="center"/>
          </w:tcPr>
          <w:p w14:paraId="30F5C63C">
            <w:pPr>
              <w:spacing w:beforeLines="0" w:afterLines="0"/>
              <w:jc w:val="center"/>
              <w:rPr>
                <w:rFonts w:hint="default" w:ascii="Times New Roman" w:hAnsi="Times New Roman" w:eastAsia="宋体" w:cs="Times New Roman"/>
                <w:kern w:val="2"/>
                <w:sz w:val="21"/>
                <w:szCs w:val="21"/>
                <w:lang w:val="en-US" w:eastAsia="zh-CN" w:bidi="ar-SA"/>
              </w:rPr>
            </w:pPr>
            <w:r>
              <w:rPr>
                <w:rFonts w:hint="eastAsia"/>
                <w:snapToGrid w:val="0"/>
                <w:kern w:val="21"/>
                <w:sz w:val="21"/>
                <w:szCs w:val="21"/>
              </w:rPr>
              <w:t>/</w:t>
            </w:r>
          </w:p>
        </w:tc>
        <w:tc>
          <w:tcPr>
            <w:tcW w:w="1559" w:type="dxa"/>
            <w:vAlign w:val="center"/>
          </w:tcPr>
          <w:p w14:paraId="07B31C70">
            <w:pPr>
              <w:spacing w:beforeLines="0" w:afterLines="0"/>
              <w:jc w:val="center"/>
              <w:rPr>
                <w:rFonts w:hint="default" w:ascii="Times New Roman" w:hAnsi="Times New Roman" w:eastAsia="宋体" w:cs="Times New Roman"/>
                <w:kern w:val="2"/>
                <w:sz w:val="21"/>
                <w:szCs w:val="21"/>
                <w:lang w:val="en-US" w:eastAsia="zh-CN" w:bidi="ar-SA"/>
              </w:rPr>
            </w:pPr>
            <w:r>
              <w:rPr>
                <w:rFonts w:hint="eastAsia"/>
                <w:snapToGrid w:val="0"/>
                <w:kern w:val="21"/>
                <w:sz w:val="21"/>
                <w:szCs w:val="21"/>
                <w:lang w:val="en-US" w:eastAsia="zh-CN"/>
              </w:rPr>
              <w:t>0.046</w:t>
            </w:r>
            <w:r>
              <w:rPr>
                <w:rFonts w:hint="eastAsia"/>
                <w:snapToGrid w:val="0"/>
                <w:kern w:val="21"/>
                <w:sz w:val="21"/>
                <w:szCs w:val="21"/>
              </w:rPr>
              <w:t>t/a</w:t>
            </w:r>
          </w:p>
        </w:tc>
        <w:tc>
          <w:tcPr>
            <w:tcW w:w="1761" w:type="dxa"/>
            <w:vAlign w:val="center"/>
          </w:tcPr>
          <w:p w14:paraId="44AC7286">
            <w:pPr>
              <w:spacing w:beforeLines="0" w:afterLines="0"/>
              <w:jc w:val="center"/>
              <w:rPr>
                <w:rFonts w:hint="default" w:ascii="Times New Roman" w:hAnsi="Times New Roman" w:eastAsia="宋体" w:cs="Times New Roman"/>
                <w:kern w:val="2"/>
                <w:sz w:val="21"/>
                <w:szCs w:val="21"/>
                <w:lang w:val="en-US" w:eastAsia="zh-CN" w:bidi="ar-SA"/>
              </w:rPr>
            </w:pPr>
            <w:r>
              <w:rPr>
                <w:rFonts w:hint="eastAsia"/>
                <w:snapToGrid w:val="0"/>
                <w:kern w:val="21"/>
                <w:sz w:val="21"/>
                <w:szCs w:val="21"/>
              </w:rPr>
              <w:t>/</w:t>
            </w:r>
          </w:p>
        </w:tc>
        <w:tc>
          <w:tcPr>
            <w:tcW w:w="1566" w:type="dxa"/>
            <w:vAlign w:val="center"/>
          </w:tcPr>
          <w:p w14:paraId="7E714CCB">
            <w:pPr>
              <w:spacing w:beforeLines="0" w:afterLines="0"/>
              <w:jc w:val="center"/>
              <w:rPr>
                <w:rFonts w:hint="default" w:ascii="Times New Roman" w:hAnsi="Times New Roman" w:eastAsia="宋体" w:cs="Times New Roman"/>
                <w:kern w:val="2"/>
                <w:sz w:val="21"/>
                <w:szCs w:val="21"/>
                <w:lang w:val="en-US" w:eastAsia="zh-CN" w:bidi="ar-SA"/>
              </w:rPr>
            </w:pPr>
            <w:r>
              <w:rPr>
                <w:rFonts w:hint="eastAsia"/>
                <w:snapToGrid w:val="0"/>
                <w:kern w:val="21"/>
                <w:sz w:val="21"/>
                <w:szCs w:val="21"/>
                <w:lang w:val="en-US" w:eastAsia="zh-CN"/>
              </w:rPr>
              <w:t>0.046</w:t>
            </w:r>
            <w:r>
              <w:rPr>
                <w:rFonts w:hint="eastAsia"/>
                <w:snapToGrid w:val="0"/>
                <w:kern w:val="21"/>
                <w:sz w:val="21"/>
                <w:szCs w:val="21"/>
              </w:rPr>
              <w:t>t/a</w:t>
            </w:r>
          </w:p>
        </w:tc>
        <w:tc>
          <w:tcPr>
            <w:tcW w:w="1219" w:type="dxa"/>
            <w:vAlign w:val="center"/>
          </w:tcPr>
          <w:p w14:paraId="3D6263C8">
            <w:pPr>
              <w:spacing w:beforeLines="0" w:afterLine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w:t>
            </w:r>
            <w:r>
              <w:rPr>
                <w:rFonts w:hint="eastAsia"/>
                <w:snapToGrid w:val="0"/>
                <w:kern w:val="21"/>
                <w:sz w:val="21"/>
                <w:szCs w:val="21"/>
                <w:lang w:val="en-US" w:eastAsia="zh-CN"/>
              </w:rPr>
              <w:t>0.046</w:t>
            </w:r>
            <w:r>
              <w:rPr>
                <w:rFonts w:hint="eastAsia"/>
                <w:snapToGrid w:val="0"/>
                <w:kern w:val="21"/>
                <w:sz w:val="21"/>
                <w:szCs w:val="21"/>
              </w:rPr>
              <w:t>t/a</w:t>
            </w:r>
          </w:p>
        </w:tc>
      </w:tr>
      <w:tr w14:paraId="553C0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0" w:type="dxa"/>
            <w:vMerge w:val="continue"/>
            <w:vAlign w:val="center"/>
          </w:tcPr>
          <w:p w14:paraId="282C8E5D">
            <w:pPr>
              <w:pStyle w:val="60"/>
              <w:spacing w:beforeLines="0" w:afterLines="0" w:line="240" w:lineRule="auto"/>
              <w:ind w:firstLine="0" w:firstLineChars="0"/>
              <w:rPr>
                <w:rFonts w:ascii="Times New Roman" w:hAnsi="Times New Roman"/>
                <w:snapToGrid w:val="0"/>
                <w:kern w:val="21"/>
                <w:sz w:val="21"/>
                <w:szCs w:val="21"/>
              </w:rPr>
            </w:pPr>
          </w:p>
        </w:tc>
        <w:tc>
          <w:tcPr>
            <w:tcW w:w="2300" w:type="dxa"/>
            <w:vAlign w:val="center"/>
          </w:tcPr>
          <w:p w14:paraId="13C8A0A9">
            <w:pPr>
              <w:spacing w:beforeLines="0" w:afterLines="0"/>
              <w:jc w:val="center"/>
              <w:rPr>
                <w:rFonts w:hint="eastAsia" w:eastAsia="宋体"/>
                <w:snapToGrid w:val="0"/>
                <w:kern w:val="21"/>
                <w:sz w:val="21"/>
                <w:szCs w:val="21"/>
                <w:lang w:val="en-US" w:eastAsia="zh-CN"/>
              </w:rPr>
            </w:pPr>
            <w:r>
              <w:rPr>
                <w:rFonts w:hint="eastAsia"/>
                <w:snapToGrid w:val="0"/>
                <w:kern w:val="21"/>
                <w:sz w:val="21"/>
                <w:szCs w:val="21"/>
                <w:lang w:val="en-US" w:eastAsia="zh-CN"/>
              </w:rPr>
              <w:t>氨氮</w:t>
            </w:r>
          </w:p>
        </w:tc>
        <w:tc>
          <w:tcPr>
            <w:tcW w:w="1346" w:type="dxa"/>
            <w:vAlign w:val="center"/>
          </w:tcPr>
          <w:p w14:paraId="0D651E0F">
            <w:pPr>
              <w:spacing w:beforeLines="0" w:afterLines="0"/>
              <w:jc w:val="center"/>
              <w:rPr>
                <w:rFonts w:hint="eastAsia"/>
                <w:snapToGrid w:val="0"/>
                <w:kern w:val="21"/>
                <w:sz w:val="21"/>
                <w:szCs w:val="21"/>
              </w:rPr>
            </w:pPr>
            <w:r>
              <w:rPr>
                <w:rFonts w:hint="eastAsia"/>
                <w:snapToGrid w:val="0"/>
                <w:kern w:val="21"/>
                <w:sz w:val="21"/>
                <w:szCs w:val="21"/>
              </w:rPr>
              <w:t>/</w:t>
            </w:r>
          </w:p>
        </w:tc>
        <w:tc>
          <w:tcPr>
            <w:tcW w:w="1276" w:type="dxa"/>
            <w:vAlign w:val="center"/>
          </w:tcPr>
          <w:p w14:paraId="78E821DA">
            <w:pPr>
              <w:spacing w:beforeLines="0" w:afterLines="0"/>
              <w:jc w:val="center"/>
              <w:rPr>
                <w:rFonts w:hint="eastAsia"/>
                <w:snapToGrid w:val="0"/>
                <w:kern w:val="21"/>
                <w:sz w:val="21"/>
                <w:szCs w:val="21"/>
              </w:rPr>
            </w:pPr>
            <w:r>
              <w:rPr>
                <w:rFonts w:hint="eastAsia"/>
                <w:snapToGrid w:val="0"/>
                <w:kern w:val="21"/>
                <w:sz w:val="21"/>
                <w:szCs w:val="21"/>
              </w:rPr>
              <w:t>/</w:t>
            </w:r>
          </w:p>
        </w:tc>
        <w:tc>
          <w:tcPr>
            <w:tcW w:w="1701" w:type="dxa"/>
            <w:vAlign w:val="center"/>
          </w:tcPr>
          <w:p w14:paraId="0F3BA6A4">
            <w:pPr>
              <w:spacing w:beforeLines="0" w:afterLines="0"/>
              <w:jc w:val="center"/>
              <w:rPr>
                <w:rFonts w:hint="eastAsia"/>
                <w:snapToGrid w:val="0"/>
                <w:kern w:val="21"/>
                <w:sz w:val="21"/>
                <w:szCs w:val="21"/>
              </w:rPr>
            </w:pPr>
            <w:r>
              <w:rPr>
                <w:rFonts w:hint="eastAsia"/>
                <w:snapToGrid w:val="0"/>
                <w:kern w:val="21"/>
                <w:sz w:val="21"/>
                <w:szCs w:val="21"/>
              </w:rPr>
              <w:t>/</w:t>
            </w:r>
          </w:p>
        </w:tc>
        <w:tc>
          <w:tcPr>
            <w:tcW w:w="1559" w:type="dxa"/>
            <w:vAlign w:val="center"/>
          </w:tcPr>
          <w:p w14:paraId="4C0970DE">
            <w:pPr>
              <w:spacing w:beforeLines="0" w:afterLines="0"/>
              <w:jc w:val="center"/>
              <w:rPr>
                <w:rFonts w:hint="default" w:eastAsia="宋体"/>
                <w:snapToGrid w:val="0"/>
                <w:kern w:val="21"/>
                <w:sz w:val="21"/>
                <w:szCs w:val="21"/>
                <w:lang w:val="en-US" w:eastAsia="zh-CN"/>
              </w:rPr>
            </w:pPr>
            <w:r>
              <w:rPr>
                <w:rFonts w:hint="eastAsia"/>
                <w:snapToGrid w:val="0"/>
                <w:kern w:val="21"/>
                <w:sz w:val="21"/>
                <w:szCs w:val="21"/>
                <w:lang w:val="en-US" w:eastAsia="zh-CN"/>
              </w:rPr>
              <w:t>0.005</w:t>
            </w:r>
            <w:r>
              <w:rPr>
                <w:rFonts w:hint="eastAsia"/>
                <w:snapToGrid w:val="0"/>
                <w:kern w:val="21"/>
                <w:sz w:val="21"/>
                <w:szCs w:val="21"/>
              </w:rPr>
              <w:t>t/a</w:t>
            </w:r>
          </w:p>
        </w:tc>
        <w:tc>
          <w:tcPr>
            <w:tcW w:w="1761" w:type="dxa"/>
            <w:vAlign w:val="center"/>
          </w:tcPr>
          <w:p w14:paraId="667703C0">
            <w:pPr>
              <w:spacing w:beforeLines="0" w:afterLines="0"/>
              <w:jc w:val="center"/>
              <w:rPr>
                <w:rFonts w:hint="eastAsia"/>
                <w:snapToGrid w:val="0"/>
                <w:kern w:val="21"/>
                <w:sz w:val="21"/>
                <w:szCs w:val="21"/>
              </w:rPr>
            </w:pPr>
            <w:r>
              <w:rPr>
                <w:rFonts w:hint="eastAsia"/>
                <w:snapToGrid w:val="0"/>
                <w:kern w:val="21"/>
                <w:sz w:val="21"/>
                <w:szCs w:val="21"/>
              </w:rPr>
              <w:t>/</w:t>
            </w:r>
          </w:p>
        </w:tc>
        <w:tc>
          <w:tcPr>
            <w:tcW w:w="1566" w:type="dxa"/>
            <w:vAlign w:val="center"/>
          </w:tcPr>
          <w:p w14:paraId="0DA52402">
            <w:pPr>
              <w:spacing w:beforeLines="0" w:afterLines="0"/>
              <w:jc w:val="center"/>
              <w:rPr>
                <w:rFonts w:hint="eastAsia"/>
                <w:snapToGrid w:val="0"/>
                <w:kern w:val="21"/>
                <w:sz w:val="21"/>
                <w:szCs w:val="21"/>
              </w:rPr>
            </w:pPr>
            <w:r>
              <w:rPr>
                <w:rFonts w:hint="eastAsia"/>
                <w:snapToGrid w:val="0"/>
                <w:kern w:val="21"/>
                <w:sz w:val="21"/>
                <w:szCs w:val="21"/>
                <w:lang w:val="en-US" w:eastAsia="zh-CN"/>
              </w:rPr>
              <w:t>0.005</w:t>
            </w:r>
            <w:r>
              <w:rPr>
                <w:rFonts w:hint="eastAsia"/>
                <w:snapToGrid w:val="0"/>
                <w:kern w:val="21"/>
                <w:sz w:val="21"/>
                <w:szCs w:val="21"/>
              </w:rPr>
              <w:t>t/a</w:t>
            </w:r>
          </w:p>
        </w:tc>
        <w:tc>
          <w:tcPr>
            <w:tcW w:w="1219" w:type="dxa"/>
            <w:vAlign w:val="center"/>
          </w:tcPr>
          <w:p w14:paraId="2C4E9BCA">
            <w:pPr>
              <w:spacing w:beforeLines="0" w:afterLines="0"/>
              <w:jc w:val="center"/>
              <w:rPr>
                <w:rFonts w:hint="eastAsia"/>
                <w:snapToGrid w:val="0"/>
                <w:kern w:val="21"/>
                <w:sz w:val="21"/>
                <w:szCs w:val="21"/>
              </w:rPr>
            </w:pPr>
            <w:r>
              <w:rPr>
                <w:rFonts w:hint="eastAsia"/>
                <w:sz w:val="21"/>
                <w:szCs w:val="21"/>
                <w:lang w:val="en-US" w:eastAsia="zh-CN"/>
              </w:rPr>
              <w:t>+</w:t>
            </w:r>
            <w:r>
              <w:rPr>
                <w:rFonts w:hint="eastAsia"/>
                <w:snapToGrid w:val="0"/>
                <w:kern w:val="21"/>
                <w:sz w:val="21"/>
                <w:szCs w:val="21"/>
                <w:lang w:val="en-US" w:eastAsia="zh-CN"/>
              </w:rPr>
              <w:t>0.005</w:t>
            </w:r>
            <w:r>
              <w:rPr>
                <w:rFonts w:hint="eastAsia"/>
                <w:snapToGrid w:val="0"/>
                <w:kern w:val="21"/>
                <w:sz w:val="21"/>
                <w:szCs w:val="21"/>
              </w:rPr>
              <w:t>t/a</w:t>
            </w:r>
          </w:p>
        </w:tc>
      </w:tr>
      <w:tr w14:paraId="55EE2D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0" w:type="dxa"/>
            <w:vMerge w:val="continue"/>
            <w:vAlign w:val="center"/>
          </w:tcPr>
          <w:p w14:paraId="644DDCC1">
            <w:pPr>
              <w:pStyle w:val="60"/>
              <w:spacing w:beforeLines="0" w:afterLines="0" w:line="240" w:lineRule="auto"/>
              <w:ind w:firstLine="0" w:firstLineChars="0"/>
              <w:rPr>
                <w:rFonts w:ascii="Times New Roman" w:hAnsi="Times New Roman"/>
                <w:snapToGrid w:val="0"/>
                <w:kern w:val="21"/>
                <w:sz w:val="21"/>
                <w:szCs w:val="21"/>
              </w:rPr>
            </w:pPr>
          </w:p>
        </w:tc>
        <w:tc>
          <w:tcPr>
            <w:tcW w:w="2300" w:type="dxa"/>
            <w:vAlign w:val="center"/>
          </w:tcPr>
          <w:p w14:paraId="0E09D573">
            <w:pPr>
              <w:spacing w:beforeLines="0" w:afterLines="0"/>
              <w:jc w:val="center"/>
              <w:rPr>
                <w:rFonts w:hint="eastAsia" w:eastAsia="宋体"/>
                <w:snapToGrid w:val="0"/>
                <w:kern w:val="21"/>
                <w:sz w:val="21"/>
                <w:szCs w:val="21"/>
                <w:lang w:val="en-US" w:eastAsia="zh-CN"/>
              </w:rPr>
            </w:pPr>
            <w:r>
              <w:rPr>
                <w:rFonts w:hint="eastAsia"/>
                <w:snapToGrid w:val="0"/>
                <w:kern w:val="21"/>
                <w:sz w:val="21"/>
                <w:szCs w:val="21"/>
                <w:lang w:val="en-US" w:eastAsia="zh-CN"/>
              </w:rPr>
              <w:t>总磷</w:t>
            </w:r>
          </w:p>
        </w:tc>
        <w:tc>
          <w:tcPr>
            <w:tcW w:w="1346" w:type="dxa"/>
            <w:vAlign w:val="center"/>
          </w:tcPr>
          <w:p w14:paraId="2AF01C34">
            <w:pPr>
              <w:spacing w:beforeLines="0" w:afterLines="0"/>
              <w:jc w:val="center"/>
              <w:rPr>
                <w:rFonts w:hint="eastAsia"/>
                <w:snapToGrid w:val="0"/>
                <w:kern w:val="21"/>
                <w:sz w:val="21"/>
                <w:szCs w:val="21"/>
              </w:rPr>
            </w:pPr>
            <w:r>
              <w:rPr>
                <w:rFonts w:hint="eastAsia"/>
                <w:snapToGrid w:val="0"/>
                <w:kern w:val="21"/>
                <w:sz w:val="21"/>
                <w:szCs w:val="21"/>
              </w:rPr>
              <w:t>/</w:t>
            </w:r>
          </w:p>
        </w:tc>
        <w:tc>
          <w:tcPr>
            <w:tcW w:w="1276" w:type="dxa"/>
            <w:vAlign w:val="center"/>
          </w:tcPr>
          <w:p w14:paraId="5B039175">
            <w:pPr>
              <w:spacing w:beforeLines="0" w:afterLines="0"/>
              <w:jc w:val="center"/>
              <w:rPr>
                <w:rFonts w:hint="eastAsia"/>
                <w:snapToGrid w:val="0"/>
                <w:kern w:val="21"/>
                <w:sz w:val="21"/>
                <w:szCs w:val="21"/>
              </w:rPr>
            </w:pPr>
            <w:r>
              <w:rPr>
                <w:rFonts w:hint="eastAsia"/>
                <w:snapToGrid w:val="0"/>
                <w:kern w:val="21"/>
                <w:sz w:val="21"/>
                <w:szCs w:val="21"/>
              </w:rPr>
              <w:t>/</w:t>
            </w:r>
          </w:p>
        </w:tc>
        <w:tc>
          <w:tcPr>
            <w:tcW w:w="1701" w:type="dxa"/>
            <w:vAlign w:val="center"/>
          </w:tcPr>
          <w:p w14:paraId="0248E09F">
            <w:pPr>
              <w:spacing w:beforeLines="0" w:afterLines="0"/>
              <w:jc w:val="center"/>
              <w:rPr>
                <w:rFonts w:hint="eastAsia"/>
                <w:snapToGrid w:val="0"/>
                <w:kern w:val="21"/>
                <w:sz w:val="21"/>
                <w:szCs w:val="21"/>
              </w:rPr>
            </w:pPr>
            <w:r>
              <w:rPr>
                <w:rFonts w:hint="eastAsia"/>
                <w:snapToGrid w:val="0"/>
                <w:kern w:val="21"/>
                <w:sz w:val="21"/>
                <w:szCs w:val="21"/>
              </w:rPr>
              <w:t>/</w:t>
            </w:r>
          </w:p>
        </w:tc>
        <w:tc>
          <w:tcPr>
            <w:tcW w:w="1559" w:type="dxa"/>
            <w:vAlign w:val="center"/>
          </w:tcPr>
          <w:p w14:paraId="19C0A76A">
            <w:pPr>
              <w:spacing w:beforeLines="0" w:afterLines="0"/>
              <w:jc w:val="center"/>
              <w:rPr>
                <w:rFonts w:hint="default"/>
                <w:snapToGrid w:val="0"/>
                <w:kern w:val="21"/>
                <w:sz w:val="21"/>
                <w:szCs w:val="21"/>
                <w:lang w:val="en-US" w:eastAsia="zh-CN"/>
              </w:rPr>
            </w:pPr>
            <w:r>
              <w:rPr>
                <w:rFonts w:hint="eastAsia"/>
                <w:snapToGrid w:val="0"/>
                <w:kern w:val="21"/>
                <w:sz w:val="21"/>
                <w:szCs w:val="21"/>
                <w:lang w:val="en-US" w:eastAsia="zh-CN"/>
              </w:rPr>
              <w:t>0.0005</w:t>
            </w:r>
            <w:r>
              <w:rPr>
                <w:rFonts w:hint="eastAsia"/>
                <w:snapToGrid w:val="0"/>
                <w:kern w:val="21"/>
                <w:sz w:val="21"/>
                <w:szCs w:val="21"/>
              </w:rPr>
              <w:t>t/a</w:t>
            </w:r>
          </w:p>
        </w:tc>
        <w:tc>
          <w:tcPr>
            <w:tcW w:w="1761" w:type="dxa"/>
            <w:vAlign w:val="center"/>
          </w:tcPr>
          <w:p w14:paraId="6D65B77A">
            <w:pPr>
              <w:spacing w:beforeLines="0" w:afterLines="0"/>
              <w:jc w:val="center"/>
              <w:rPr>
                <w:rFonts w:hint="eastAsia"/>
                <w:snapToGrid w:val="0"/>
                <w:kern w:val="21"/>
                <w:sz w:val="21"/>
                <w:szCs w:val="21"/>
              </w:rPr>
            </w:pPr>
            <w:r>
              <w:rPr>
                <w:rFonts w:hint="eastAsia"/>
                <w:snapToGrid w:val="0"/>
                <w:kern w:val="21"/>
                <w:sz w:val="21"/>
                <w:szCs w:val="21"/>
              </w:rPr>
              <w:t>/</w:t>
            </w:r>
          </w:p>
        </w:tc>
        <w:tc>
          <w:tcPr>
            <w:tcW w:w="1566" w:type="dxa"/>
            <w:vAlign w:val="center"/>
          </w:tcPr>
          <w:p w14:paraId="370591FD">
            <w:pPr>
              <w:spacing w:beforeLines="0" w:afterLines="0"/>
              <w:jc w:val="center"/>
              <w:rPr>
                <w:rFonts w:hint="eastAsia"/>
                <w:snapToGrid w:val="0"/>
                <w:kern w:val="21"/>
                <w:sz w:val="21"/>
                <w:szCs w:val="21"/>
              </w:rPr>
            </w:pPr>
            <w:r>
              <w:rPr>
                <w:rFonts w:hint="eastAsia"/>
                <w:snapToGrid w:val="0"/>
                <w:kern w:val="21"/>
                <w:sz w:val="21"/>
                <w:szCs w:val="21"/>
                <w:lang w:val="en-US" w:eastAsia="zh-CN"/>
              </w:rPr>
              <w:t>0.0005</w:t>
            </w:r>
            <w:r>
              <w:rPr>
                <w:rFonts w:hint="eastAsia"/>
                <w:snapToGrid w:val="0"/>
                <w:kern w:val="21"/>
                <w:sz w:val="21"/>
                <w:szCs w:val="21"/>
              </w:rPr>
              <w:t>t/a</w:t>
            </w:r>
          </w:p>
        </w:tc>
        <w:tc>
          <w:tcPr>
            <w:tcW w:w="1219" w:type="dxa"/>
            <w:vAlign w:val="center"/>
          </w:tcPr>
          <w:p w14:paraId="6765D3DE">
            <w:pPr>
              <w:spacing w:beforeLines="0" w:afterLines="0"/>
              <w:jc w:val="center"/>
              <w:rPr>
                <w:rFonts w:hint="eastAsia"/>
                <w:snapToGrid w:val="0"/>
                <w:kern w:val="21"/>
                <w:sz w:val="21"/>
                <w:szCs w:val="21"/>
              </w:rPr>
            </w:pPr>
            <w:r>
              <w:rPr>
                <w:rFonts w:hint="eastAsia"/>
                <w:sz w:val="21"/>
                <w:szCs w:val="21"/>
                <w:lang w:val="en-US" w:eastAsia="zh-CN"/>
              </w:rPr>
              <w:t>+</w:t>
            </w:r>
            <w:r>
              <w:rPr>
                <w:rFonts w:hint="eastAsia"/>
                <w:snapToGrid w:val="0"/>
                <w:kern w:val="21"/>
                <w:sz w:val="21"/>
                <w:szCs w:val="21"/>
                <w:lang w:val="en-US" w:eastAsia="zh-CN"/>
              </w:rPr>
              <w:t>0.0005</w:t>
            </w:r>
            <w:r>
              <w:rPr>
                <w:rFonts w:hint="eastAsia"/>
                <w:snapToGrid w:val="0"/>
                <w:kern w:val="21"/>
                <w:sz w:val="21"/>
                <w:szCs w:val="21"/>
              </w:rPr>
              <w:t>t/a</w:t>
            </w:r>
          </w:p>
        </w:tc>
      </w:tr>
      <w:tr w14:paraId="2FA73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0" w:type="dxa"/>
            <w:vMerge w:val="restart"/>
            <w:vAlign w:val="center"/>
          </w:tcPr>
          <w:p w14:paraId="2B1804D2">
            <w:pPr>
              <w:pStyle w:val="60"/>
              <w:spacing w:beforeLines="0" w:afterLines="0" w:line="240" w:lineRule="auto"/>
              <w:ind w:firstLine="0" w:firstLineChars="0"/>
              <w:rPr>
                <w:rFonts w:ascii="Times New Roman" w:hAnsi="Times New Roman"/>
                <w:snapToGrid w:val="0"/>
                <w:kern w:val="21"/>
                <w:sz w:val="21"/>
                <w:szCs w:val="21"/>
              </w:rPr>
            </w:pPr>
            <w:r>
              <w:rPr>
                <w:rFonts w:ascii="Times New Roman" w:hAnsi="Times New Roman"/>
                <w:snapToGrid w:val="0"/>
                <w:kern w:val="21"/>
                <w:sz w:val="21"/>
                <w:szCs w:val="21"/>
              </w:rPr>
              <w:t>一般工业</w:t>
            </w:r>
          </w:p>
          <w:p w14:paraId="39F2822B">
            <w:pPr>
              <w:pStyle w:val="60"/>
              <w:spacing w:beforeLines="0" w:afterLines="0" w:line="240" w:lineRule="auto"/>
              <w:ind w:firstLine="0" w:firstLineChars="0"/>
              <w:rPr>
                <w:rFonts w:ascii="Times New Roman" w:hAnsi="Times New Roman"/>
                <w:snapToGrid w:val="0"/>
                <w:kern w:val="21"/>
                <w:sz w:val="21"/>
                <w:szCs w:val="21"/>
              </w:rPr>
            </w:pPr>
            <w:r>
              <w:rPr>
                <w:rFonts w:ascii="Times New Roman" w:hAnsi="Times New Roman"/>
                <w:snapToGrid w:val="0"/>
                <w:kern w:val="21"/>
                <w:sz w:val="21"/>
                <w:szCs w:val="21"/>
              </w:rPr>
              <w:t>固体废物</w:t>
            </w:r>
          </w:p>
        </w:tc>
        <w:tc>
          <w:tcPr>
            <w:tcW w:w="2300" w:type="dxa"/>
            <w:shd w:val="clear" w:color="auto" w:fill="auto"/>
            <w:vAlign w:val="center"/>
          </w:tcPr>
          <w:p w14:paraId="3D645AE5">
            <w:pPr>
              <w:pStyle w:val="77"/>
              <w:autoSpaceDE/>
              <w:autoSpaceDN/>
              <w:adjustRightInd/>
              <w:spacing w:beforeLines="0" w:afterLines="0"/>
              <w:jc w:val="center"/>
              <w:rPr>
                <w:rFonts w:hint="default" w:ascii="Times New Roman" w:hAnsi="Times New Roman" w:eastAsia="宋体" w:cs="Times New Roman"/>
                <w:kern w:val="2"/>
                <w:sz w:val="21"/>
                <w:szCs w:val="21"/>
                <w:u w:val="none"/>
                <w:lang w:val="en-US" w:eastAsia="zh-CN" w:bidi="zh-CN"/>
              </w:rPr>
            </w:pPr>
            <w:r>
              <w:rPr>
                <w:rFonts w:hint="eastAsia"/>
                <w:sz w:val="21"/>
                <w:szCs w:val="21"/>
                <w:u w:val="none"/>
                <w:lang w:val="en-US" w:eastAsia="zh-CN"/>
              </w:rPr>
              <w:t>回收固废</w:t>
            </w:r>
          </w:p>
        </w:tc>
        <w:tc>
          <w:tcPr>
            <w:tcW w:w="1346" w:type="dxa"/>
            <w:vAlign w:val="center"/>
          </w:tcPr>
          <w:p w14:paraId="70758405">
            <w:pPr>
              <w:pStyle w:val="77"/>
              <w:autoSpaceDE/>
              <w:autoSpaceDN/>
              <w:adjustRightInd/>
              <w:spacing w:beforeLines="0" w:afterLines="0"/>
              <w:jc w:val="center"/>
              <w:rPr>
                <w:rFonts w:hint="default" w:ascii="Times New Roman" w:hAnsi="Times New Roman" w:eastAsia="宋体" w:cs="Times New Roman"/>
                <w:kern w:val="0"/>
                <w:sz w:val="21"/>
                <w:szCs w:val="21"/>
                <w:lang w:val="en-US" w:eastAsia="zh-CN" w:bidi="ar-SA"/>
              </w:rPr>
            </w:pPr>
            <w:r>
              <w:rPr>
                <w:rFonts w:hint="eastAsia"/>
                <w:snapToGrid w:val="0"/>
                <w:kern w:val="21"/>
                <w:sz w:val="21"/>
                <w:szCs w:val="21"/>
              </w:rPr>
              <w:t>/</w:t>
            </w:r>
          </w:p>
        </w:tc>
        <w:tc>
          <w:tcPr>
            <w:tcW w:w="1276" w:type="dxa"/>
            <w:vAlign w:val="center"/>
          </w:tcPr>
          <w:p w14:paraId="4E6B7091">
            <w:pPr>
              <w:spacing w:beforeLines="0" w:afterLines="0"/>
              <w:jc w:val="center"/>
              <w:rPr>
                <w:snapToGrid w:val="0"/>
                <w:kern w:val="21"/>
                <w:sz w:val="21"/>
                <w:szCs w:val="21"/>
              </w:rPr>
            </w:pPr>
            <w:r>
              <w:rPr>
                <w:rFonts w:hint="eastAsia"/>
                <w:snapToGrid w:val="0"/>
                <w:kern w:val="21"/>
                <w:sz w:val="21"/>
                <w:szCs w:val="21"/>
              </w:rPr>
              <w:t>/</w:t>
            </w:r>
          </w:p>
        </w:tc>
        <w:tc>
          <w:tcPr>
            <w:tcW w:w="1701" w:type="dxa"/>
            <w:vAlign w:val="center"/>
          </w:tcPr>
          <w:p w14:paraId="0D204BC0">
            <w:pPr>
              <w:spacing w:beforeLines="0" w:afterLines="0"/>
              <w:jc w:val="center"/>
              <w:rPr>
                <w:snapToGrid w:val="0"/>
                <w:kern w:val="21"/>
                <w:sz w:val="21"/>
                <w:szCs w:val="21"/>
              </w:rPr>
            </w:pPr>
            <w:r>
              <w:rPr>
                <w:rFonts w:hint="eastAsia"/>
                <w:snapToGrid w:val="0"/>
                <w:kern w:val="21"/>
                <w:sz w:val="21"/>
                <w:szCs w:val="21"/>
              </w:rPr>
              <w:t>/</w:t>
            </w:r>
          </w:p>
        </w:tc>
        <w:tc>
          <w:tcPr>
            <w:tcW w:w="1559" w:type="dxa"/>
            <w:shd w:val="clear" w:color="auto" w:fill="auto"/>
            <w:vAlign w:val="center"/>
          </w:tcPr>
          <w:p w14:paraId="53655873">
            <w:pPr>
              <w:pStyle w:val="77"/>
              <w:autoSpaceDE/>
              <w:autoSpaceDN/>
              <w:adjustRightInd/>
              <w:spacing w:beforeLines="0" w:afterLines="0"/>
              <w:jc w:val="center"/>
              <w:rPr>
                <w:rFonts w:hint="default" w:ascii="Times New Roman" w:hAnsi="Times New Roman" w:eastAsia="宋体" w:cs="Times New Roman"/>
                <w:kern w:val="0"/>
                <w:sz w:val="21"/>
                <w:szCs w:val="21"/>
                <w:u w:val="none"/>
                <w:lang w:val="en-US" w:eastAsia="zh-CN" w:bidi="ar-SA"/>
              </w:rPr>
            </w:pPr>
            <w:r>
              <w:rPr>
                <w:rFonts w:hint="eastAsia"/>
                <w:sz w:val="21"/>
                <w:szCs w:val="21"/>
                <w:u w:val="none"/>
                <w:lang w:val="en-US" w:eastAsia="zh-CN"/>
              </w:rPr>
              <w:t>1000</w:t>
            </w:r>
            <w:r>
              <w:rPr>
                <w:rFonts w:hint="eastAsia"/>
                <w:snapToGrid w:val="0"/>
                <w:kern w:val="21"/>
                <w:sz w:val="21"/>
                <w:szCs w:val="21"/>
              </w:rPr>
              <w:t>t/a</w:t>
            </w:r>
          </w:p>
        </w:tc>
        <w:tc>
          <w:tcPr>
            <w:tcW w:w="1761" w:type="dxa"/>
            <w:vAlign w:val="center"/>
          </w:tcPr>
          <w:p w14:paraId="74EC249A">
            <w:pPr>
              <w:adjustRightInd w:val="0"/>
              <w:snapToGrid w:val="0"/>
              <w:spacing w:beforeLines="0" w:afterLines="0"/>
              <w:jc w:val="center"/>
              <w:rPr>
                <w:sz w:val="21"/>
                <w:szCs w:val="21"/>
              </w:rPr>
            </w:pPr>
            <w:r>
              <w:rPr>
                <w:rFonts w:hint="eastAsia"/>
                <w:snapToGrid w:val="0"/>
                <w:kern w:val="21"/>
                <w:sz w:val="21"/>
                <w:szCs w:val="21"/>
              </w:rPr>
              <w:t>/</w:t>
            </w:r>
          </w:p>
        </w:tc>
        <w:tc>
          <w:tcPr>
            <w:tcW w:w="1566" w:type="dxa"/>
            <w:vAlign w:val="center"/>
          </w:tcPr>
          <w:p w14:paraId="6969E70B">
            <w:pPr>
              <w:pStyle w:val="77"/>
              <w:autoSpaceDE/>
              <w:autoSpaceDN/>
              <w:adjustRightInd/>
              <w:spacing w:beforeLines="0" w:afterLines="0"/>
              <w:jc w:val="center"/>
              <w:rPr>
                <w:rFonts w:hint="default" w:ascii="Times New Roman" w:hAnsi="Times New Roman" w:eastAsia="宋体" w:cs="Times New Roman"/>
                <w:kern w:val="0"/>
                <w:sz w:val="21"/>
                <w:szCs w:val="21"/>
                <w:lang w:val="en-US" w:eastAsia="zh-CN" w:bidi="ar-SA"/>
              </w:rPr>
            </w:pPr>
            <w:r>
              <w:rPr>
                <w:rFonts w:hint="eastAsia"/>
                <w:sz w:val="21"/>
                <w:szCs w:val="21"/>
                <w:u w:val="none"/>
                <w:lang w:val="en-US" w:eastAsia="zh-CN"/>
              </w:rPr>
              <w:t>1000</w:t>
            </w:r>
            <w:r>
              <w:rPr>
                <w:rFonts w:hint="eastAsia"/>
                <w:snapToGrid w:val="0"/>
                <w:kern w:val="21"/>
                <w:sz w:val="21"/>
                <w:szCs w:val="21"/>
              </w:rPr>
              <w:t>t/a</w:t>
            </w:r>
          </w:p>
        </w:tc>
        <w:tc>
          <w:tcPr>
            <w:tcW w:w="1219" w:type="dxa"/>
            <w:vAlign w:val="center"/>
          </w:tcPr>
          <w:p w14:paraId="335057E3">
            <w:pPr>
              <w:pStyle w:val="77"/>
              <w:autoSpaceDE/>
              <w:autoSpaceDN/>
              <w:adjustRightInd/>
              <w:spacing w:beforeLines="0" w:afterLines="0"/>
              <w:jc w:val="center"/>
              <w:rPr>
                <w:rFonts w:hint="default" w:ascii="Times New Roman" w:hAnsi="Times New Roman" w:eastAsia="宋体" w:cs="Times New Roman"/>
                <w:kern w:val="0"/>
                <w:sz w:val="21"/>
                <w:szCs w:val="21"/>
                <w:lang w:val="en-US" w:eastAsia="zh-CN" w:bidi="ar-SA"/>
              </w:rPr>
            </w:pPr>
            <w:r>
              <w:rPr>
                <w:rFonts w:hint="eastAsia"/>
                <w:sz w:val="21"/>
                <w:szCs w:val="21"/>
                <w:lang w:val="en-US" w:eastAsia="zh-CN"/>
              </w:rPr>
              <w:t>+</w:t>
            </w:r>
            <w:r>
              <w:rPr>
                <w:rFonts w:hint="eastAsia"/>
                <w:sz w:val="21"/>
                <w:szCs w:val="21"/>
                <w:u w:val="none"/>
                <w:lang w:val="en-US" w:eastAsia="zh-CN"/>
              </w:rPr>
              <w:t>1000</w:t>
            </w:r>
            <w:r>
              <w:rPr>
                <w:rFonts w:hint="eastAsia"/>
                <w:snapToGrid w:val="0"/>
                <w:kern w:val="21"/>
                <w:sz w:val="21"/>
                <w:szCs w:val="21"/>
              </w:rPr>
              <w:t>t/a</w:t>
            </w:r>
          </w:p>
        </w:tc>
      </w:tr>
      <w:tr w14:paraId="49AEB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0" w:type="dxa"/>
            <w:vMerge w:val="continue"/>
            <w:vAlign w:val="center"/>
          </w:tcPr>
          <w:p w14:paraId="20F76B9B">
            <w:pPr>
              <w:pStyle w:val="60"/>
              <w:spacing w:beforeLines="0" w:afterLines="0" w:line="240" w:lineRule="auto"/>
              <w:ind w:firstLine="0" w:firstLineChars="0"/>
              <w:rPr>
                <w:rFonts w:ascii="Times New Roman" w:hAnsi="Times New Roman"/>
                <w:snapToGrid w:val="0"/>
                <w:kern w:val="21"/>
                <w:sz w:val="21"/>
                <w:szCs w:val="21"/>
              </w:rPr>
            </w:pPr>
          </w:p>
        </w:tc>
        <w:tc>
          <w:tcPr>
            <w:tcW w:w="2300" w:type="dxa"/>
            <w:shd w:val="clear" w:color="auto" w:fill="auto"/>
            <w:vAlign w:val="center"/>
          </w:tcPr>
          <w:p w14:paraId="17D47825">
            <w:pPr>
              <w:pStyle w:val="77"/>
              <w:autoSpaceDE/>
              <w:autoSpaceDN/>
              <w:adjustRightInd/>
              <w:spacing w:beforeLines="0" w:afterLines="0"/>
              <w:jc w:val="center"/>
              <w:rPr>
                <w:rFonts w:hint="default"/>
                <w:sz w:val="21"/>
                <w:szCs w:val="21"/>
                <w:u w:val="none"/>
                <w:lang w:val="en-US" w:eastAsia="zh-CN"/>
              </w:rPr>
            </w:pPr>
            <w:r>
              <w:rPr>
                <w:rFonts w:hint="eastAsia"/>
                <w:sz w:val="21"/>
                <w:szCs w:val="21"/>
                <w:u w:val="none"/>
                <w:lang w:val="en-US" w:eastAsia="zh-CN"/>
              </w:rPr>
              <w:t>废原料包装桶</w:t>
            </w:r>
          </w:p>
        </w:tc>
        <w:tc>
          <w:tcPr>
            <w:tcW w:w="1346" w:type="dxa"/>
            <w:vAlign w:val="center"/>
          </w:tcPr>
          <w:p w14:paraId="64DF8E3B">
            <w:pPr>
              <w:pStyle w:val="77"/>
              <w:autoSpaceDE/>
              <w:autoSpaceDN/>
              <w:adjustRightInd/>
              <w:spacing w:beforeLines="0" w:afterLines="0"/>
              <w:jc w:val="center"/>
              <w:rPr>
                <w:rFonts w:hint="eastAsia"/>
                <w:snapToGrid w:val="0"/>
                <w:kern w:val="21"/>
                <w:sz w:val="21"/>
                <w:szCs w:val="21"/>
              </w:rPr>
            </w:pPr>
          </w:p>
        </w:tc>
        <w:tc>
          <w:tcPr>
            <w:tcW w:w="1276" w:type="dxa"/>
            <w:vAlign w:val="center"/>
          </w:tcPr>
          <w:p w14:paraId="0E228696">
            <w:pPr>
              <w:spacing w:beforeLines="0" w:afterLines="0"/>
              <w:jc w:val="center"/>
              <w:rPr>
                <w:rFonts w:hint="eastAsia"/>
                <w:snapToGrid w:val="0"/>
                <w:kern w:val="21"/>
                <w:sz w:val="21"/>
                <w:szCs w:val="21"/>
              </w:rPr>
            </w:pPr>
          </w:p>
        </w:tc>
        <w:tc>
          <w:tcPr>
            <w:tcW w:w="1701" w:type="dxa"/>
            <w:vAlign w:val="center"/>
          </w:tcPr>
          <w:p w14:paraId="1E8F4BAA">
            <w:pPr>
              <w:spacing w:beforeLines="0" w:afterLines="0"/>
              <w:jc w:val="center"/>
              <w:rPr>
                <w:rFonts w:hint="eastAsia"/>
                <w:snapToGrid w:val="0"/>
                <w:kern w:val="21"/>
                <w:sz w:val="21"/>
                <w:szCs w:val="21"/>
              </w:rPr>
            </w:pPr>
          </w:p>
        </w:tc>
        <w:tc>
          <w:tcPr>
            <w:tcW w:w="1559" w:type="dxa"/>
            <w:shd w:val="clear" w:color="auto" w:fill="auto"/>
            <w:vAlign w:val="center"/>
          </w:tcPr>
          <w:p w14:paraId="14F38C9B">
            <w:pPr>
              <w:pStyle w:val="77"/>
              <w:autoSpaceDE/>
              <w:autoSpaceDN/>
              <w:adjustRightInd/>
              <w:spacing w:beforeLines="0" w:afterLines="0"/>
              <w:jc w:val="center"/>
              <w:rPr>
                <w:rFonts w:hint="default"/>
                <w:sz w:val="21"/>
                <w:szCs w:val="21"/>
                <w:u w:val="none"/>
                <w:lang w:val="en-US" w:eastAsia="zh-CN"/>
              </w:rPr>
            </w:pPr>
            <w:r>
              <w:rPr>
                <w:rFonts w:hint="eastAsia"/>
                <w:sz w:val="21"/>
                <w:szCs w:val="21"/>
                <w:u w:val="none"/>
                <w:lang w:val="en-US" w:eastAsia="zh-CN"/>
              </w:rPr>
              <w:t>600</w:t>
            </w:r>
            <w:r>
              <w:rPr>
                <w:rFonts w:hint="eastAsia"/>
                <w:snapToGrid w:val="0"/>
                <w:kern w:val="21"/>
                <w:sz w:val="21"/>
                <w:szCs w:val="21"/>
              </w:rPr>
              <w:t>t/a</w:t>
            </w:r>
          </w:p>
        </w:tc>
        <w:tc>
          <w:tcPr>
            <w:tcW w:w="1761" w:type="dxa"/>
            <w:vAlign w:val="center"/>
          </w:tcPr>
          <w:p w14:paraId="01863A8F">
            <w:pPr>
              <w:adjustRightInd w:val="0"/>
              <w:snapToGrid w:val="0"/>
              <w:spacing w:beforeLines="0" w:afterLines="0"/>
              <w:jc w:val="center"/>
              <w:rPr>
                <w:rFonts w:hint="eastAsia"/>
                <w:snapToGrid w:val="0"/>
                <w:kern w:val="21"/>
                <w:sz w:val="21"/>
                <w:szCs w:val="21"/>
              </w:rPr>
            </w:pPr>
          </w:p>
        </w:tc>
        <w:tc>
          <w:tcPr>
            <w:tcW w:w="1566" w:type="dxa"/>
            <w:vAlign w:val="center"/>
          </w:tcPr>
          <w:p w14:paraId="107C6200">
            <w:pPr>
              <w:pStyle w:val="77"/>
              <w:autoSpaceDE/>
              <w:autoSpaceDN/>
              <w:adjustRightInd/>
              <w:spacing w:beforeLines="0" w:afterLines="0"/>
              <w:jc w:val="center"/>
              <w:rPr>
                <w:rFonts w:hint="eastAsia"/>
                <w:sz w:val="21"/>
                <w:szCs w:val="21"/>
                <w:u w:val="none"/>
                <w:lang w:val="en-US" w:eastAsia="zh-CN"/>
              </w:rPr>
            </w:pPr>
            <w:r>
              <w:rPr>
                <w:rFonts w:hint="eastAsia"/>
                <w:sz w:val="21"/>
                <w:szCs w:val="21"/>
                <w:u w:val="none"/>
                <w:lang w:val="en-US" w:eastAsia="zh-CN"/>
              </w:rPr>
              <w:t>600</w:t>
            </w:r>
            <w:r>
              <w:rPr>
                <w:rFonts w:hint="eastAsia"/>
                <w:snapToGrid w:val="0"/>
                <w:kern w:val="21"/>
                <w:sz w:val="21"/>
                <w:szCs w:val="21"/>
              </w:rPr>
              <w:t>t/a</w:t>
            </w:r>
          </w:p>
        </w:tc>
        <w:tc>
          <w:tcPr>
            <w:tcW w:w="1219" w:type="dxa"/>
            <w:vAlign w:val="center"/>
          </w:tcPr>
          <w:p w14:paraId="3803F63F">
            <w:pPr>
              <w:pStyle w:val="77"/>
              <w:autoSpaceDE/>
              <w:autoSpaceDN/>
              <w:adjustRightInd/>
              <w:spacing w:beforeLines="0" w:afterLines="0"/>
              <w:jc w:val="center"/>
              <w:rPr>
                <w:rFonts w:hint="eastAsia"/>
                <w:sz w:val="21"/>
                <w:szCs w:val="21"/>
                <w:lang w:val="en-US" w:eastAsia="zh-CN"/>
              </w:rPr>
            </w:pPr>
            <w:r>
              <w:rPr>
                <w:rFonts w:hint="eastAsia"/>
                <w:sz w:val="21"/>
                <w:szCs w:val="21"/>
                <w:u w:val="none"/>
                <w:lang w:val="en-US" w:eastAsia="zh-CN"/>
              </w:rPr>
              <w:t>+600</w:t>
            </w:r>
            <w:r>
              <w:rPr>
                <w:rFonts w:hint="eastAsia"/>
                <w:snapToGrid w:val="0"/>
                <w:kern w:val="21"/>
                <w:sz w:val="21"/>
                <w:szCs w:val="21"/>
              </w:rPr>
              <w:t>t/a</w:t>
            </w:r>
          </w:p>
        </w:tc>
      </w:tr>
      <w:tr w14:paraId="27D3B0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0" w:type="dxa"/>
            <w:vMerge w:val="continue"/>
            <w:vAlign w:val="center"/>
          </w:tcPr>
          <w:p w14:paraId="5FADD16D">
            <w:pPr>
              <w:pStyle w:val="60"/>
              <w:spacing w:beforeLines="0" w:afterLines="0" w:line="240" w:lineRule="auto"/>
              <w:ind w:firstLine="0" w:firstLineChars="0"/>
              <w:rPr>
                <w:rFonts w:ascii="Times New Roman" w:hAnsi="Times New Roman"/>
                <w:snapToGrid w:val="0"/>
                <w:kern w:val="21"/>
                <w:sz w:val="21"/>
                <w:szCs w:val="21"/>
              </w:rPr>
            </w:pPr>
          </w:p>
        </w:tc>
        <w:tc>
          <w:tcPr>
            <w:tcW w:w="2300" w:type="dxa"/>
            <w:shd w:val="clear" w:color="auto" w:fill="auto"/>
            <w:vAlign w:val="center"/>
          </w:tcPr>
          <w:p w14:paraId="7F2DC1B9">
            <w:pPr>
              <w:pStyle w:val="77"/>
              <w:autoSpaceDE/>
              <w:autoSpaceDN/>
              <w:adjustRightInd/>
              <w:spacing w:beforeLines="0" w:afterLines="0"/>
              <w:jc w:val="center"/>
              <w:rPr>
                <w:rFonts w:hint="eastAsia" w:ascii="Times New Roman" w:hAnsi="Times New Roman" w:eastAsia="宋体" w:cs="Times New Roman"/>
                <w:kern w:val="2"/>
                <w:sz w:val="21"/>
                <w:szCs w:val="21"/>
                <w:u w:val="none"/>
                <w:lang w:val="en-US" w:eastAsia="zh-CN" w:bidi="zh-CN"/>
              </w:rPr>
            </w:pPr>
            <w:r>
              <w:rPr>
                <w:rFonts w:hint="eastAsia"/>
                <w:sz w:val="21"/>
                <w:szCs w:val="21"/>
                <w:u w:val="none"/>
                <w:lang w:eastAsia="zh-CN"/>
              </w:rPr>
              <w:t>生活垃圾</w:t>
            </w:r>
          </w:p>
        </w:tc>
        <w:tc>
          <w:tcPr>
            <w:tcW w:w="1346" w:type="dxa"/>
            <w:vAlign w:val="center"/>
          </w:tcPr>
          <w:p w14:paraId="3889DCE9">
            <w:pPr>
              <w:pStyle w:val="77"/>
              <w:autoSpaceDE/>
              <w:autoSpaceDN/>
              <w:adjustRightInd/>
              <w:spacing w:beforeLines="0" w:afterLines="0"/>
              <w:jc w:val="center"/>
              <w:rPr>
                <w:rFonts w:hint="default" w:ascii="Times New Roman" w:hAnsi="Times New Roman" w:eastAsia="宋体" w:cs="Times New Roman"/>
                <w:kern w:val="0"/>
                <w:sz w:val="21"/>
                <w:szCs w:val="21"/>
                <w:lang w:val="en-US" w:eastAsia="zh-CN" w:bidi="ar-SA"/>
              </w:rPr>
            </w:pPr>
            <w:r>
              <w:rPr>
                <w:rFonts w:hint="eastAsia"/>
                <w:snapToGrid w:val="0"/>
                <w:kern w:val="21"/>
                <w:sz w:val="21"/>
                <w:szCs w:val="21"/>
              </w:rPr>
              <w:t>/</w:t>
            </w:r>
          </w:p>
        </w:tc>
        <w:tc>
          <w:tcPr>
            <w:tcW w:w="1276" w:type="dxa"/>
            <w:vAlign w:val="center"/>
          </w:tcPr>
          <w:p w14:paraId="3682C947">
            <w:pPr>
              <w:spacing w:beforeLines="0" w:afterLines="0"/>
              <w:jc w:val="center"/>
              <w:rPr>
                <w:snapToGrid w:val="0"/>
                <w:kern w:val="21"/>
                <w:sz w:val="21"/>
                <w:szCs w:val="21"/>
              </w:rPr>
            </w:pPr>
            <w:r>
              <w:rPr>
                <w:rFonts w:hint="eastAsia"/>
                <w:snapToGrid w:val="0"/>
                <w:kern w:val="21"/>
                <w:sz w:val="21"/>
                <w:szCs w:val="21"/>
              </w:rPr>
              <w:t>/</w:t>
            </w:r>
          </w:p>
        </w:tc>
        <w:tc>
          <w:tcPr>
            <w:tcW w:w="1701" w:type="dxa"/>
            <w:vAlign w:val="center"/>
          </w:tcPr>
          <w:p w14:paraId="63BF8CF4">
            <w:pPr>
              <w:spacing w:beforeLines="0" w:afterLines="0"/>
              <w:jc w:val="center"/>
              <w:rPr>
                <w:snapToGrid w:val="0"/>
                <w:kern w:val="21"/>
                <w:sz w:val="21"/>
                <w:szCs w:val="21"/>
              </w:rPr>
            </w:pPr>
            <w:r>
              <w:rPr>
                <w:rFonts w:hint="eastAsia"/>
                <w:snapToGrid w:val="0"/>
                <w:kern w:val="21"/>
                <w:sz w:val="21"/>
                <w:szCs w:val="21"/>
              </w:rPr>
              <w:t>/</w:t>
            </w:r>
          </w:p>
        </w:tc>
        <w:tc>
          <w:tcPr>
            <w:tcW w:w="1559" w:type="dxa"/>
            <w:shd w:val="clear" w:color="auto" w:fill="auto"/>
            <w:vAlign w:val="center"/>
          </w:tcPr>
          <w:p w14:paraId="36688E2C">
            <w:pPr>
              <w:pStyle w:val="77"/>
              <w:autoSpaceDE/>
              <w:autoSpaceDN/>
              <w:adjustRightInd/>
              <w:spacing w:beforeLines="0" w:afterLines="0"/>
              <w:jc w:val="center"/>
              <w:rPr>
                <w:rFonts w:hint="default" w:ascii="Times New Roman" w:hAnsi="Times New Roman" w:eastAsia="宋体" w:cs="Times New Roman"/>
                <w:kern w:val="0"/>
                <w:sz w:val="21"/>
                <w:szCs w:val="21"/>
                <w:u w:val="none"/>
                <w:lang w:val="en-US" w:eastAsia="zh-CN" w:bidi="ar-SA"/>
              </w:rPr>
            </w:pPr>
            <w:r>
              <w:rPr>
                <w:rFonts w:hint="eastAsia"/>
                <w:sz w:val="21"/>
                <w:szCs w:val="21"/>
                <w:u w:val="none"/>
                <w:lang w:val="en-US" w:eastAsia="zh-CN"/>
              </w:rPr>
              <w:t>1.35</w:t>
            </w:r>
            <w:r>
              <w:rPr>
                <w:rFonts w:hint="eastAsia"/>
                <w:snapToGrid w:val="0"/>
                <w:kern w:val="21"/>
                <w:sz w:val="21"/>
                <w:szCs w:val="21"/>
              </w:rPr>
              <w:t>t/a</w:t>
            </w:r>
          </w:p>
        </w:tc>
        <w:tc>
          <w:tcPr>
            <w:tcW w:w="1761" w:type="dxa"/>
            <w:vAlign w:val="center"/>
          </w:tcPr>
          <w:p w14:paraId="149C94DC">
            <w:pPr>
              <w:adjustRightInd w:val="0"/>
              <w:snapToGrid w:val="0"/>
              <w:spacing w:beforeLines="0" w:afterLines="0"/>
              <w:jc w:val="center"/>
              <w:rPr>
                <w:sz w:val="21"/>
                <w:szCs w:val="21"/>
              </w:rPr>
            </w:pPr>
            <w:r>
              <w:rPr>
                <w:rFonts w:hint="eastAsia"/>
                <w:snapToGrid w:val="0"/>
                <w:kern w:val="21"/>
                <w:sz w:val="21"/>
                <w:szCs w:val="21"/>
              </w:rPr>
              <w:t>/</w:t>
            </w:r>
          </w:p>
        </w:tc>
        <w:tc>
          <w:tcPr>
            <w:tcW w:w="1566" w:type="dxa"/>
            <w:vAlign w:val="center"/>
          </w:tcPr>
          <w:p w14:paraId="594E2027">
            <w:pPr>
              <w:pStyle w:val="77"/>
              <w:autoSpaceDE/>
              <w:autoSpaceDN/>
              <w:adjustRightInd/>
              <w:spacing w:beforeLines="0" w:afterLines="0"/>
              <w:jc w:val="center"/>
              <w:rPr>
                <w:rFonts w:hint="default" w:ascii="Times New Roman" w:hAnsi="Times New Roman" w:eastAsia="宋体" w:cs="Times New Roman"/>
                <w:kern w:val="0"/>
                <w:sz w:val="21"/>
                <w:szCs w:val="21"/>
                <w:lang w:val="en-US" w:eastAsia="zh-CN" w:bidi="ar-SA"/>
              </w:rPr>
            </w:pPr>
            <w:r>
              <w:rPr>
                <w:rFonts w:hint="eastAsia"/>
                <w:sz w:val="21"/>
                <w:szCs w:val="21"/>
                <w:u w:val="none"/>
                <w:lang w:val="en-US" w:eastAsia="zh-CN"/>
              </w:rPr>
              <w:t>1.35</w:t>
            </w:r>
            <w:r>
              <w:rPr>
                <w:rFonts w:hint="eastAsia"/>
                <w:snapToGrid w:val="0"/>
                <w:kern w:val="21"/>
                <w:sz w:val="21"/>
                <w:szCs w:val="21"/>
              </w:rPr>
              <w:t>t/a</w:t>
            </w:r>
          </w:p>
        </w:tc>
        <w:tc>
          <w:tcPr>
            <w:tcW w:w="1219" w:type="dxa"/>
            <w:vAlign w:val="center"/>
          </w:tcPr>
          <w:p w14:paraId="1CD78AE4">
            <w:pPr>
              <w:pStyle w:val="77"/>
              <w:autoSpaceDE/>
              <w:autoSpaceDN/>
              <w:adjustRightInd/>
              <w:spacing w:beforeLines="0" w:afterLines="0"/>
              <w:jc w:val="center"/>
              <w:rPr>
                <w:rFonts w:hint="default" w:ascii="Times New Roman" w:hAnsi="Times New Roman" w:eastAsia="宋体" w:cs="Times New Roman"/>
                <w:kern w:val="0"/>
                <w:sz w:val="21"/>
                <w:szCs w:val="21"/>
                <w:lang w:val="en-US" w:eastAsia="zh-CN" w:bidi="ar-SA"/>
              </w:rPr>
            </w:pPr>
            <w:r>
              <w:rPr>
                <w:rFonts w:hint="eastAsia"/>
                <w:sz w:val="21"/>
                <w:szCs w:val="21"/>
                <w:lang w:val="en-US" w:eastAsia="zh-CN"/>
              </w:rPr>
              <w:t>+</w:t>
            </w:r>
            <w:r>
              <w:rPr>
                <w:rFonts w:hint="eastAsia"/>
                <w:sz w:val="21"/>
                <w:szCs w:val="21"/>
                <w:u w:val="none"/>
                <w:lang w:val="en-US" w:eastAsia="zh-CN"/>
              </w:rPr>
              <w:t>1.35</w:t>
            </w:r>
            <w:r>
              <w:rPr>
                <w:rFonts w:hint="eastAsia"/>
                <w:snapToGrid w:val="0"/>
                <w:kern w:val="21"/>
                <w:sz w:val="21"/>
                <w:szCs w:val="21"/>
              </w:rPr>
              <w:t>t/a</w:t>
            </w:r>
          </w:p>
        </w:tc>
      </w:tr>
      <w:tr w14:paraId="0806E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0" w:type="dxa"/>
            <w:vMerge w:val="restart"/>
            <w:vAlign w:val="center"/>
          </w:tcPr>
          <w:p w14:paraId="7E456A1A">
            <w:pPr>
              <w:pStyle w:val="60"/>
              <w:spacing w:beforeLines="0" w:afterLines="0" w:line="240" w:lineRule="auto"/>
              <w:ind w:firstLine="0" w:firstLineChars="0"/>
              <w:rPr>
                <w:rFonts w:ascii="Times New Roman" w:hAnsi="Times New Roman"/>
                <w:snapToGrid w:val="0"/>
                <w:kern w:val="21"/>
                <w:sz w:val="21"/>
                <w:szCs w:val="21"/>
              </w:rPr>
            </w:pPr>
            <w:r>
              <w:rPr>
                <w:rFonts w:hint="eastAsia" w:ascii="Times New Roman" w:hAnsi="Times New Roman"/>
                <w:snapToGrid w:val="0"/>
                <w:kern w:val="21"/>
                <w:sz w:val="21"/>
                <w:szCs w:val="21"/>
              </w:rPr>
              <w:t>危废固体废物</w:t>
            </w:r>
          </w:p>
        </w:tc>
        <w:tc>
          <w:tcPr>
            <w:tcW w:w="2300" w:type="dxa"/>
            <w:shd w:val="clear" w:color="auto" w:fill="auto"/>
            <w:vAlign w:val="center"/>
          </w:tcPr>
          <w:p w14:paraId="3C7D191B">
            <w:pPr>
              <w:pStyle w:val="77"/>
              <w:autoSpaceDE/>
              <w:autoSpaceDN/>
              <w:adjustRightInd/>
              <w:spacing w:beforeLines="0" w:afterLines="0"/>
              <w:jc w:val="center"/>
              <w:rPr>
                <w:rFonts w:hint="default" w:ascii="Times New Roman" w:hAnsi="Times New Roman" w:eastAsia="宋体" w:cs="Times New Roman"/>
                <w:kern w:val="0"/>
                <w:sz w:val="21"/>
                <w:szCs w:val="21"/>
                <w:u w:val="none"/>
                <w:lang w:val="en-US" w:eastAsia="zh-CN" w:bidi="ar-SA"/>
              </w:rPr>
            </w:pPr>
            <w:r>
              <w:rPr>
                <w:rFonts w:hint="eastAsia"/>
                <w:sz w:val="21"/>
                <w:szCs w:val="21"/>
                <w:u w:val="none"/>
              </w:rPr>
              <w:t>废</w:t>
            </w:r>
            <w:r>
              <w:rPr>
                <w:rFonts w:hint="eastAsia"/>
                <w:sz w:val="21"/>
                <w:szCs w:val="21"/>
                <w:u w:val="none"/>
                <w:lang w:eastAsia="zh-CN"/>
              </w:rPr>
              <w:t>矿物油</w:t>
            </w:r>
            <w:r>
              <w:rPr>
                <w:rFonts w:hint="eastAsia"/>
                <w:sz w:val="21"/>
                <w:szCs w:val="21"/>
                <w:u w:val="none"/>
              </w:rPr>
              <w:t>、废</w:t>
            </w:r>
            <w:r>
              <w:rPr>
                <w:rFonts w:hint="eastAsia"/>
                <w:sz w:val="21"/>
                <w:szCs w:val="21"/>
                <w:u w:val="none"/>
                <w:lang w:eastAsia="zh-CN"/>
              </w:rPr>
              <w:t>矿物油</w:t>
            </w:r>
            <w:r>
              <w:rPr>
                <w:rFonts w:hint="eastAsia"/>
                <w:sz w:val="21"/>
                <w:szCs w:val="21"/>
                <w:u w:val="none"/>
              </w:rPr>
              <w:t>桶</w:t>
            </w:r>
            <w:r>
              <w:rPr>
                <w:rFonts w:hint="eastAsia"/>
                <w:sz w:val="21"/>
                <w:szCs w:val="21"/>
                <w:u w:val="none"/>
                <w:lang w:eastAsia="zh-CN"/>
              </w:rPr>
              <w:t>、</w:t>
            </w:r>
            <w:r>
              <w:rPr>
                <w:rFonts w:hint="eastAsia"/>
                <w:sz w:val="21"/>
                <w:szCs w:val="21"/>
                <w:u w:val="none"/>
                <w:lang w:val="en-US" w:eastAsia="zh-CN"/>
              </w:rPr>
              <w:t>含油抹布及手套</w:t>
            </w:r>
          </w:p>
        </w:tc>
        <w:tc>
          <w:tcPr>
            <w:tcW w:w="1346" w:type="dxa"/>
            <w:shd w:val="clear" w:color="auto" w:fill="auto"/>
            <w:vAlign w:val="center"/>
          </w:tcPr>
          <w:p w14:paraId="74C1EF4E">
            <w:pPr>
              <w:pStyle w:val="77"/>
              <w:autoSpaceDE/>
              <w:autoSpaceDN/>
              <w:adjustRightInd/>
              <w:spacing w:beforeLines="0" w:afterLines="0"/>
              <w:jc w:val="center"/>
              <w:rPr>
                <w:rFonts w:hint="default" w:ascii="Times New Roman" w:hAnsi="Times New Roman" w:eastAsia="宋体" w:cs="Times New Roman"/>
                <w:kern w:val="0"/>
                <w:sz w:val="21"/>
                <w:szCs w:val="21"/>
                <w:u w:val="none"/>
                <w:lang w:val="en-US" w:eastAsia="zh-CN" w:bidi="ar-SA"/>
              </w:rPr>
            </w:pPr>
            <w:r>
              <w:rPr>
                <w:rFonts w:hint="eastAsia"/>
                <w:snapToGrid w:val="0"/>
                <w:kern w:val="21"/>
                <w:sz w:val="21"/>
                <w:szCs w:val="21"/>
              </w:rPr>
              <w:t>/</w:t>
            </w:r>
          </w:p>
        </w:tc>
        <w:tc>
          <w:tcPr>
            <w:tcW w:w="1276" w:type="dxa"/>
            <w:shd w:val="clear" w:color="auto" w:fill="auto"/>
            <w:vAlign w:val="center"/>
          </w:tcPr>
          <w:p w14:paraId="0E40DB75">
            <w:pPr>
              <w:spacing w:beforeLines="0" w:afterLines="0"/>
              <w:jc w:val="center"/>
              <w:rPr>
                <w:rFonts w:hint="eastAsia" w:ascii="Times New Roman" w:hAnsi="Times New Roman" w:eastAsia="宋体" w:cs="Times New Roman"/>
                <w:snapToGrid w:val="0"/>
                <w:kern w:val="21"/>
                <w:sz w:val="21"/>
                <w:szCs w:val="21"/>
                <w:lang w:val="en-US" w:eastAsia="zh-CN" w:bidi="ar-SA"/>
              </w:rPr>
            </w:pPr>
            <w:r>
              <w:rPr>
                <w:rFonts w:hint="eastAsia"/>
                <w:snapToGrid w:val="0"/>
                <w:kern w:val="21"/>
                <w:sz w:val="21"/>
                <w:szCs w:val="21"/>
              </w:rPr>
              <w:t>/</w:t>
            </w:r>
          </w:p>
        </w:tc>
        <w:tc>
          <w:tcPr>
            <w:tcW w:w="1701" w:type="dxa"/>
            <w:shd w:val="clear" w:color="auto" w:fill="auto"/>
            <w:vAlign w:val="center"/>
          </w:tcPr>
          <w:p w14:paraId="18309B7D">
            <w:pPr>
              <w:spacing w:beforeLines="0" w:afterLines="0"/>
              <w:jc w:val="center"/>
              <w:rPr>
                <w:rFonts w:hint="eastAsia" w:ascii="Times New Roman" w:hAnsi="Times New Roman" w:eastAsia="宋体" w:cs="Times New Roman"/>
                <w:snapToGrid w:val="0"/>
                <w:kern w:val="21"/>
                <w:sz w:val="21"/>
                <w:szCs w:val="21"/>
                <w:lang w:val="en-US" w:eastAsia="zh-CN" w:bidi="ar-SA"/>
              </w:rPr>
            </w:pPr>
            <w:r>
              <w:rPr>
                <w:rFonts w:hint="eastAsia"/>
                <w:snapToGrid w:val="0"/>
                <w:kern w:val="21"/>
                <w:sz w:val="21"/>
                <w:szCs w:val="21"/>
              </w:rPr>
              <w:t>/</w:t>
            </w:r>
          </w:p>
        </w:tc>
        <w:tc>
          <w:tcPr>
            <w:tcW w:w="1559" w:type="dxa"/>
            <w:shd w:val="clear" w:color="auto" w:fill="auto"/>
            <w:vAlign w:val="center"/>
          </w:tcPr>
          <w:p w14:paraId="36F12CDA">
            <w:pPr>
              <w:spacing w:beforeLines="0" w:afterLines="0"/>
              <w:jc w:val="center"/>
              <w:rPr>
                <w:rFonts w:hint="default" w:ascii="Times New Roman" w:hAnsi="Times New Roman" w:eastAsia="宋体" w:cs="Times New Roman"/>
                <w:kern w:val="2"/>
                <w:sz w:val="21"/>
                <w:szCs w:val="21"/>
                <w:u w:val="none"/>
                <w:lang w:val="en-US" w:eastAsia="zh-CN" w:bidi="zh-CN"/>
              </w:rPr>
            </w:pPr>
            <w:r>
              <w:rPr>
                <w:rFonts w:hint="eastAsia"/>
                <w:sz w:val="21"/>
                <w:szCs w:val="21"/>
                <w:u w:val="none"/>
                <w:lang w:val="en-US" w:eastAsia="zh-CN"/>
              </w:rPr>
              <w:t>0.002</w:t>
            </w:r>
            <w:r>
              <w:rPr>
                <w:rFonts w:hint="eastAsia"/>
                <w:snapToGrid w:val="0"/>
                <w:kern w:val="21"/>
                <w:sz w:val="21"/>
                <w:szCs w:val="21"/>
              </w:rPr>
              <w:t>t/a</w:t>
            </w:r>
          </w:p>
        </w:tc>
        <w:tc>
          <w:tcPr>
            <w:tcW w:w="1761" w:type="dxa"/>
            <w:shd w:val="clear" w:color="auto" w:fill="auto"/>
            <w:vAlign w:val="center"/>
          </w:tcPr>
          <w:p w14:paraId="7235FCB9">
            <w:pPr>
              <w:adjustRightInd w:val="0"/>
              <w:snapToGrid w:val="0"/>
              <w:spacing w:beforeLines="0" w:afterLines="0"/>
              <w:jc w:val="center"/>
              <w:rPr>
                <w:rFonts w:hint="eastAsia" w:ascii="Times New Roman" w:hAnsi="Times New Roman" w:eastAsia="宋体" w:cs="Times New Roman"/>
                <w:kern w:val="2"/>
                <w:sz w:val="21"/>
                <w:szCs w:val="21"/>
                <w:lang w:val="en-US" w:eastAsia="zh-CN" w:bidi="ar-SA"/>
              </w:rPr>
            </w:pPr>
            <w:r>
              <w:rPr>
                <w:rFonts w:hint="eastAsia"/>
                <w:snapToGrid w:val="0"/>
                <w:kern w:val="21"/>
                <w:sz w:val="21"/>
                <w:szCs w:val="21"/>
              </w:rPr>
              <w:t>/</w:t>
            </w:r>
          </w:p>
        </w:tc>
        <w:tc>
          <w:tcPr>
            <w:tcW w:w="1566" w:type="dxa"/>
            <w:shd w:val="clear" w:color="auto" w:fill="auto"/>
            <w:vAlign w:val="center"/>
          </w:tcPr>
          <w:p w14:paraId="7F37B1E0">
            <w:pPr>
              <w:spacing w:beforeLines="0" w:afterLines="0"/>
              <w:jc w:val="center"/>
              <w:rPr>
                <w:rFonts w:hint="default" w:ascii="Times New Roman" w:hAnsi="Times New Roman" w:eastAsia="宋体" w:cs="Times New Roman"/>
                <w:kern w:val="0"/>
                <w:sz w:val="21"/>
                <w:szCs w:val="21"/>
                <w:u w:val="none"/>
                <w:lang w:val="en-US" w:eastAsia="zh-CN" w:bidi="ar-SA"/>
              </w:rPr>
            </w:pPr>
            <w:r>
              <w:rPr>
                <w:rFonts w:hint="eastAsia"/>
                <w:sz w:val="21"/>
                <w:szCs w:val="21"/>
                <w:u w:val="none"/>
                <w:lang w:val="en-US" w:eastAsia="zh-CN"/>
              </w:rPr>
              <w:t>0.002</w:t>
            </w:r>
            <w:r>
              <w:rPr>
                <w:rFonts w:hint="eastAsia"/>
                <w:snapToGrid w:val="0"/>
                <w:kern w:val="21"/>
                <w:sz w:val="21"/>
                <w:szCs w:val="21"/>
              </w:rPr>
              <w:t>t/a</w:t>
            </w:r>
          </w:p>
        </w:tc>
        <w:tc>
          <w:tcPr>
            <w:tcW w:w="1219" w:type="dxa"/>
            <w:shd w:val="clear" w:color="auto" w:fill="auto"/>
            <w:vAlign w:val="center"/>
          </w:tcPr>
          <w:p w14:paraId="31D74AF8">
            <w:pPr>
              <w:spacing w:beforeLines="0" w:afterLines="0"/>
              <w:jc w:val="center"/>
              <w:rPr>
                <w:rFonts w:hint="default" w:ascii="Times New Roman" w:hAnsi="Times New Roman" w:eastAsia="宋体" w:cs="Times New Roman"/>
                <w:kern w:val="2"/>
                <w:sz w:val="21"/>
                <w:szCs w:val="21"/>
                <w:u w:val="none"/>
                <w:lang w:val="en-US" w:eastAsia="zh-CN" w:bidi="ar-SA"/>
              </w:rPr>
            </w:pPr>
            <w:r>
              <w:rPr>
                <w:rFonts w:hint="eastAsia"/>
                <w:sz w:val="21"/>
                <w:szCs w:val="21"/>
                <w:lang w:val="en-US" w:eastAsia="zh-CN"/>
              </w:rPr>
              <w:t>+</w:t>
            </w:r>
            <w:r>
              <w:rPr>
                <w:rFonts w:hint="eastAsia"/>
                <w:sz w:val="21"/>
                <w:szCs w:val="21"/>
                <w:u w:val="none"/>
                <w:lang w:val="en-US" w:eastAsia="zh-CN"/>
              </w:rPr>
              <w:t>0.002</w:t>
            </w:r>
            <w:r>
              <w:rPr>
                <w:rFonts w:hint="eastAsia"/>
                <w:snapToGrid w:val="0"/>
                <w:kern w:val="21"/>
                <w:sz w:val="21"/>
                <w:szCs w:val="21"/>
              </w:rPr>
              <w:t>t/a</w:t>
            </w:r>
          </w:p>
        </w:tc>
      </w:tr>
      <w:tr w14:paraId="0C093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0" w:type="dxa"/>
            <w:vMerge w:val="continue"/>
            <w:vAlign w:val="center"/>
          </w:tcPr>
          <w:p w14:paraId="705DD021">
            <w:pPr>
              <w:pStyle w:val="60"/>
              <w:spacing w:beforeLines="0" w:afterLines="0" w:line="240" w:lineRule="auto"/>
              <w:ind w:firstLine="0" w:firstLineChars="0"/>
              <w:rPr>
                <w:rFonts w:hint="eastAsia" w:ascii="Times New Roman" w:hAnsi="Times New Roman"/>
                <w:snapToGrid w:val="0"/>
                <w:kern w:val="21"/>
                <w:sz w:val="21"/>
                <w:szCs w:val="21"/>
              </w:rPr>
            </w:pPr>
          </w:p>
        </w:tc>
        <w:tc>
          <w:tcPr>
            <w:tcW w:w="2300" w:type="dxa"/>
            <w:shd w:val="clear" w:color="auto" w:fill="auto"/>
            <w:vAlign w:val="center"/>
          </w:tcPr>
          <w:p w14:paraId="22109EA4">
            <w:pPr>
              <w:pStyle w:val="77"/>
              <w:autoSpaceDE/>
              <w:autoSpaceDN/>
              <w:adjustRightInd/>
              <w:spacing w:beforeLines="0" w:afterLines="0"/>
              <w:jc w:val="center"/>
              <w:rPr>
                <w:rFonts w:hint="default" w:eastAsia="宋体"/>
                <w:sz w:val="21"/>
                <w:szCs w:val="21"/>
                <w:u w:val="none"/>
                <w:lang w:val="en-US" w:eastAsia="zh-CN"/>
              </w:rPr>
            </w:pPr>
            <w:r>
              <w:rPr>
                <w:rFonts w:hint="eastAsia"/>
                <w:sz w:val="21"/>
                <w:szCs w:val="21"/>
                <w:u w:val="none"/>
                <w:lang w:val="en-US" w:eastAsia="zh-CN"/>
              </w:rPr>
              <w:t>废活性炭</w:t>
            </w:r>
          </w:p>
        </w:tc>
        <w:tc>
          <w:tcPr>
            <w:tcW w:w="1346" w:type="dxa"/>
            <w:shd w:val="clear" w:color="auto" w:fill="auto"/>
            <w:vAlign w:val="center"/>
          </w:tcPr>
          <w:p w14:paraId="2560FA07">
            <w:pPr>
              <w:pStyle w:val="77"/>
              <w:autoSpaceDE/>
              <w:autoSpaceDN/>
              <w:adjustRightInd/>
              <w:spacing w:beforeLines="0" w:afterLines="0"/>
              <w:jc w:val="center"/>
              <w:rPr>
                <w:rFonts w:hint="eastAsia"/>
                <w:snapToGrid w:val="0"/>
                <w:kern w:val="21"/>
                <w:sz w:val="21"/>
                <w:szCs w:val="21"/>
              </w:rPr>
            </w:pPr>
            <w:r>
              <w:rPr>
                <w:rFonts w:hint="eastAsia"/>
                <w:snapToGrid w:val="0"/>
                <w:kern w:val="21"/>
                <w:sz w:val="21"/>
                <w:szCs w:val="21"/>
              </w:rPr>
              <w:t>/</w:t>
            </w:r>
          </w:p>
        </w:tc>
        <w:tc>
          <w:tcPr>
            <w:tcW w:w="1276" w:type="dxa"/>
            <w:shd w:val="clear" w:color="auto" w:fill="auto"/>
            <w:vAlign w:val="center"/>
          </w:tcPr>
          <w:p w14:paraId="451B6BE0">
            <w:pPr>
              <w:spacing w:beforeLines="0" w:afterLines="0"/>
              <w:jc w:val="center"/>
              <w:rPr>
                <w:rFonts w:hint="eastAsia"/>
                <w:snapToGrid w:val="0"/>
                <w:kern w:val="21"/>
                <w:sz w:val="21"/>
                <w:szCs w:val="21"/>
              </w:rPr>
            </w:pPr>
            <w:r>
              <w:rPr>
                <w:rFonts w:hint="eastAsia"/>
                <w:snapToGrid w:val="0"/>
                <w:kern w:val="21"/>
                <w:sz w:val="21"/>
                <w:szCs w:val="21"/>
              </w:rPr>
              <w:t>/</w:t>
            </w:r>
          </w:p>
        </w:tc>
        <w:tc>
          <w:tcPr>
            <w:tcW w:w="1701" w:type="dxa"/>
            <w:shd w:val="clear" w:color="auto" w:fill="auto"/>
            <w:vAlign w:val="center"/>
          </w:tcPr>
          <w:p w14:paraId="43A31488">
            <w:pPr>
              <w:spacing w:beforeLines="0" w:afterLines="0"/>
              <w:jc w:val="center"/>
              <w:rPr>
                <w:rFonts w:hint="eastAsia"/>
                <w:snapToGrid w:val="0"/>
                <w:kern w:val="21"/>
                <w:sz w:val="21"/>
                <w:szCs w:val="21"/>
              </w:rPr>
            </w:pPr>
            <w:r>
              <w:rPr>
                <w:rFonts w:hint="eastAsia"/>
                <w:snapToGrid w:val="0"/>
                <w:kern w:val="21"/>
                <w:sz w:val="21"/>
                <w:szCs w:val="21"/>
              </w:rPr>
              <w:t>/</w:t>
            </w:r>
          </w:p>
        </w:tc>
        <w:tc>
          <w:tcPr>
            <w:tcW w:w="1559" w:type="dxa"/>
            <w:shd w:val="clear" w:color="auto" w:fill="auto"/>
            <w:vAlign w:val="center"/>
          </w:tcPr>
          <w:p w14:paraId="523DE64A">
            <w:pPr>
              <w:spacing w:beforeLines="0" w:afterLines="0"/>
              <w:jc w:val="center"/>
              <w:rPr>
                <w:rFonts w:hint="eastAsia"/>
                <w:sz w:val="21"/>
                <w:szCs w:val="21"/>
                <w:u w:val="none"/>
                <w:lang w:val="en-US" w:eastAsia="zh-CN"/>
              </w:rPr>
            </w:pPr>
            <w:r>
              <w:rPr>
                <w:rFonts w:hint="eastAsia"/>
                <w:sz w:val="21"/>
                <w:szCs w:val="21"/>
                <w:u w:val="none"/>
                <w:lang w:val="en-US" w:eastAsia="zh-CN"/>
              </w:rPr>
              <w:t>8.55</w:t>
            </w:r>
            <w:r>
              <w:rPr>
                <w:rFonts w:hint="eastAsia"/>
                <w:snapToGrid w:val="0"/>
                <w:kern w:val="21"/>
                <w:sz w:val="21"/>
                <w:szCs w:val="21"/>
              </w:rPr>
              <w:t>t/a</w:t>
            </w:r>
          </w:p>
        </w:tc>
        <w:tc>
          <w:tcPr>
            <w:tcW w:w="1761" w:type="dxa"/>
            <w:shd w:val="clear" w:color="auto" w:fill="auto"/>
            <w:vAlign w:val="center"/>
          </w:tcPr>
          <w:p w14:paraId="6FC91090">
            <w:pPr>
              <w:adjustRightInd w:val="0"/>
              <w:snapToGrid w:val="0"/>
              <w:spacing w:beforeLines="0" w:afterLines="0"/>
              <w:jc w:val="center"/>
              <w:rPr>
                <w:rFonts w:hint="eastAsia"/>
                <w:snapToGrid w:val="0"/>
                <w:kern w:val="21"/>
                <w:sz w:val="21"/>
                <w:szCs w:val="21"/>
              </w:rPr>
            </w:pPr>
            <w:r>
              <w:rPr>
                <w:rFonts w:hint="eastAsia"/>
                <w:snapToGrid w:val="0"/>
                <w:kern w:val="21"/>
                <w:sz w:val="21"/>
                <w:szCs w:val="21"/>
              </w:rPr>
              <w:t>/</w:t>
            </w:r>
          </w:p>
        </w:tc>
        <w:tc>
          <w:tcPr>
            <w:tcW w:w="1566" w:type="dxa"/>
            <w:shd w:val="clear" w:color="auto" w:fill="auto"/>
            <w:vAlign w:val="center"/>
          </w:tcPr>
          <w:p w14:paraId="40E2991B">
            <w:pPr>
              <w:spacing w:beforeLines="0" w:afterLines="0"/>
              <w:jc w:val="center"/>
              <w:rPr>
                <w:rFonts w:hint="eastAsia"/>
                <w:sz w:val="21"/>
                <w:szCs w:val="21"/>
                <w:u w:val="none"/>
                <w:lang w:val="en-US" w:eastAsia="zh-CN"/>
              </w:rPr>
            </w:pPr>
            <w:r>
              <w:rPr>
                <w:rFonts w:hint="eastAsia"/>
                <w:sz w:val="21"/>
                <w:szCs w:val="21"/>
                <w:u w:val="none"/>
                <w:lang w:val="en-US" w:eastAsia="zh-CN"/>
              </w:rPr>
              <w:t>8.55</w:t>
            </w:r>
            <w:r>
              <w:rPr>
                <w:rFonts w:hint="eastAsia"/>
                <w:snapToGrid w:val="0"/>
                <w:kern w:val="21"/>
                <w:sz w:val="21"/>
                <w:szCs w:val="21"/>
              </w:rPr>
              <w:t>t/a</w:t>
            </w:r>
          </w:p>
        </w:tc>
        <w:tc>
          <w:tcPr>
            <w:tcW w:w="1219" w:type="dxa"/>
            <w:shd w:val="clear" w:color="auto" w:fill="auto"/>
            <w:vAlign w:val="center"/>
          </w:tcPr>
          <w:p w14:paraId="21D53263">
            <w:pPr>
              <w:spacing w:beforeLines="0" w:afterLines="0"/>
              <w:jc w:val="center"/>
              <w:rPr>
                <w:rFonts w:hint="eastAsia"/>
                <w:sz w:val="21"/>
                <w:szCs w:val="21"/>
                <w:lang w:val="en-US" w:eastAsia="zh-CN"/>
              </w:rPr>
            </w:pPr>
            <w:r>
              <w:rPr>
                <w:rFonts w:hint="eastAsia"/>
                <w:sz w:val="21"/>
                <w:szCs w:val="21"/>
                <w:lang w:val="en-US" w:eastAsia="zh-CN"/>
              </w:rPr>
              <w:t>+</w:t>
            </w:r>
            <w:r>
              <w:rPr>
                <w:rFonts w:hint="eastAsia"/>
                <w:sz w:val="21"/>
                <w:szCs w:val="21"/>
                <w:u w:val="none"/>
                <w:lang w:val="en-US" w:eastAsia="zh-CN"/>
              </w:rPr>
              <w:t>8.55</w:t>
            </w:r>
            <w:r>
              <w:rPr>
                <w:rFonts w:hint="eastAsia"/>
                <w:snapToGrid w:val="0"/>
                <w:kern w:val="21"/>
                <w:sz w:val="21"/>
                <w:szCs w:val="21"/>
              </w:rPr>
              <w:t>t/a</w:t>
            </w:r>
          </w:p>
        </w:tc>
      </w:tr>
    </w:tbl>
    <w:p w14:paraId="1D4C0336">
      <w:pPr>
        <w:pStyle w:val="60"/>
        <w:spacing w:before="192" w:beforeLines="80" w:after="24"/>
        <w:jc w:val="left"/>
      </w:pPr>
      <w:r>
        <w:rPr>
          <w:rFonts w:ascii="Times New Roman" w:hAnsi="Times New Roman"/>
          <w:snapToGrid w:val="0"/>
          <w:kern w:val="21"/>
          <w:szCs w:val="21"/>
        </w:rPr>
        <w:t>注：</w:t>
      </w:r>
      <w:r>
        <w:rPr>
          <w:rFonts w:ascii="Times New Roman" w:hAnsi="Times New Roman"/>
          <w:snapToGrid w:val="0"/>
          <w:spacing w:val="-16"/>
          <w:kern w:val="21"/>
          <w:szCs w:val="21"/>
        </w:rPr>
        <w:fldChar w:fldCharType="begin"/>
      </w:r>
      <w:r>
        <w:rPr>
          <w:rFonts w:ascii="Times New Roman" w:hAnsi="Times New Roman"/>
          <w:snapToGrid w:val="0"/>
          <w:spacing w:val="-16"/>
          <w:kern w:val="21"/>
          <w:szCs w:val="21"/>
        </w:rPr>
        <w:instrText xml:space="preserve"> = 6 \* GB3 \* MERGEFORMAT </w:instrText>
      </w:r>
      <w:r>
        <w:rPr>
          <w:rFonts w:ascii="Times New Roman" w:hAnsi="Times New Roman"/>
          <w:snapToGrid w:val="0"/>
          <w:spacing w:val="-16"/>
          <w:kern w:val="21"/>
          <w:szCs w:val="21"/>
        </w:rPr>
        <w:fldChar w:fldCharType="separate"/>
      </w:r>
      <w:r>
        <w:rPr>
          <w:rFonts w:ascii="Times New Roman" w:hAnsi="Times New Roman"/>
          <w:szCs w:val="21"/>
        </w:rPr>
        <w:t>⑥</w:t>
      </w:r>
      <w:r>
        <w:rPr>
          <w:rFonts w:ascii="Times New Roman" w:hAnsi="Times New Roman"/>
          <w:snapToGrid w:val="0"/>
          <w:spacing w:val="-16"/>
          <w:kern w:val="21"/>
          <w:szCs w:val="21"/>
        </w:rPr>
        <w:fldChar w:fldCharType="end"/>
      </w:r>
      <w:r>
        <w:rPr>
          <w:rFonts w:ascii="Times New Roman" w:hAnsi="Times New Roman"/>
          <w:snapToGrid w:val="0"/>
          <w:spacing w:val="-1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1 \* GB3 \* MERGEFORMAT </w:instrText>
      </w:r>
      <w:r>
        <w:rPr>
          <w:rFonts w:ascii="Times New Roman" w:hAnsi="Times New Roman"/>
          <w:snapToGrid w:val="0"/>
          <w:spacing w:val="-6"/>
          <w:kern w:val="21"/>
          <w:szCs w:val="21"/>
        </w:rPr>
        <w:fldChar w:fldCharType="separate"/>
      </w:r>
      <w:r>
        <w:rPr>
          <w:rFonts w:ascii="Times New Roman" w:hAnsi="Times New Roman"/>
          <w:szCs w:val="21"/>
        </w:rPr>
        <w:t>①</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3 \* GB3 \* MERGEFORMAT </w:instrText>
      </w:r>
      <w:r>
        <w:rPr>
          <w:rFonts w:ascii="Times New Roman" w:hAnsi="Times New Roman"/>
          <w:snapToGrid w:val="0"/>
          <w:spacing w:val="-6"/>
          <w:kern w:val="21"/>
          <w:szCs w:val="21"/>
        </w:rPr>
        <w:fldChar w:fldCharType="separate"/>
      </w:r>
      <w:r>
        <w:rPr>
          <w:rFonts w:ascii="Times New Roman" w:hAnsi="Times New Roman"/>
          <w:szCs w:val="21"/>
        </w:rPr>
        <w:t>③</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4 \* GB3 \* MERGEFORMAT </w:instrText>
      </w:r>
      <w:r>
        <w:rPr>
          <w:rFonts w:ascii="Times New Roman" w:hAnsi="Times New Roman"/>
          <w:snapToGrid w:val="0"/>
          <w:spacing w:val="-6"/>
          <w:kern w:val="21"/>
          <w:szCs w:val="21"/>
        </w:rPr>
        <w:fldChar w:fldCharType="separate"/>
      </w:r>
      <w:r>
        <w:rPr>
          <w:rFonts w:ascii="Times New Roman" w:hAnsi="Times New Roman"/>
          <w:szCs w:val="21"/>
        </w:rPr>
        <w:t>④</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16"/>
          <w:kern w:val="21"/>
          <w:szCs w:val="21"/>
        </w:rPr>
        <w:fldChar w:fldCharType="begin"/>
      </w:r>
      <w:r>
        <w:rPr>
          <w:rFonts w:ascii="Times New Roman" w:hAnsi="Times New Roman"/>
          <w:snapToGrid w:val="0"/>
          <w:spacing w:val="-16"/>
          <w:kern w:val="21"/>
          <w:szCs w:val="21"/>
        </w:rPr>
        <w:instrText xml:space="preserve"> = 5 \* GB3 \* MERGEFORMAT </w:instrText>
      </w:r>
      <w:r>
        <w:rPr>
          <w:rFonts w:ascii="Times New Roman" w:hAnsi="Times New Roman"/>
          <w:snapToGrid w:val="0"/>
          <w:spacing w:val="-16"/>
          <w:kern w:val="21"/>
          <w:szCs w:val="21"/>
        </w:rPr>
        <w:fldChar w:fldCharType="separate"/>
      </w:r>
      <w:r>
        <w:rPr>
          <w:rFonts w:ascii="Times New Roman" w:hAnsi="Times New Roman"/>
          <w:szCs w:val="21"/>
        </w:rPr>
        <w:t>⑤</w:t>
      </w:r>
      <w:r>
        <w:rPr>
          <w:rFonts w:ascii="Times New Roman" w:hAnsi="Times New Roman"/>
          <w:snapToGrid w:val="0"/>
          <w:spacing w:val="-16"/>
          <w:kern w:val="21"/>
          <w:szCs w:val="21"/>
        </w:rPr>
        <w:fldChar w:fldCharType="end"/>
      </w:r>
      <w:r>
        <w:rPr>
          <w:rFonts w:ascii="Times New Roman" w:hAnsi="Times New Roman"/>
          <w:snapToGrid w:val="0"/>
          <w:spacing w:val="-1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7 \* GB3 \* MERGEFORMAT </w:instrText>
      </w:r>
      <w:r>
        <w:rPr>
          <w:rFonts w:ascii="Times New Roman" w:hAnsi="Times New Roman"/>
          <w:snapToGrid w:val="0"/>
          <w:spacing w:val="-6"/>
          <w:kern w:val="21"/>
          <w:szCs w:val="21"/>
        </w:rPr>
        <w:fldChar w:fldCharType="separate"/>
      </w:r>
      <w:r>
        <w:rPr>
          <w:rFonts w:ascii="Times New Roman" w:hAnsi="Times New Roman"/>
          <w:szCs w:val="21"/>
        </w:rPr>
        <w:t>⑦</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16"/>
          <w:kern w:val="21"/>
          <w:szCs w:val="21"/>
        </w:rPr>
        <w:fldChar w:fldCharType="begin"/>
      </w:r>
      <w:r>
        <w:rPr>
          <w:rFonts w:ascii="Times New Roman" w:hAnsi="Times New Roman"/>
          <w:snapToGrid w:val="0"/>
          <w:spacing w:val="-16"/>
          <w:kern w:val="21"/>
          <w:szCs w:val="21"/>
        </w:rPr>
        <w:instrText xml:space="preserve"> = 6 \* GB3 \* MERGEFORMAT </w:instrText>
      </w:r>
      <w:r>
        <w:rPr>
          <w:rFonts w:ascii="Times New Roman" w:hAnsi="Times New Roman"/>
          <w:snapToGrid w:val="0"/>
          <w:spacing w:val="-16"/>
          <w:kern w:val="21"/>
          <w:szCs w:val="21"/>
        </w:rPr>
        <w:fldChar w:fldCharType="separate"/>
      </w:r>
      <w:r>
        <w:rPr>
          <w:rFonts w:ascii="Times New Roman" w:hAnsi="Times New Roman"/>
          <w:szCs w:val="21"/>
        </w:rPr>
        <w:t>⑥</w:t>
      </w:r>
      <w:r>
        <w:rPr>
          <w:rFonts w:ascii="Times New Roman" w:hAnsi="Times New Roman"/>
          <w:snapToGrid w:val="0"/>
          <w:spacing w:val="-16"/>
          <w:kern w:val="21"/>
          <w:szCs w:val="21"/>
        </w:rPr>
        <w:fldChar w:fldCharType="end"/>
      </w:r>
      <w:r>
        <w:rPr>
          <w:rFonts w:ascii="Times New Roman" w:hAnsi="Times New Roman"/>
          <w:snapToGrid w:val="0"/>
          <w:spacing w:val="-1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1 \* GB3 \* MERGEFORMAT </w:instrText>
      </w:r>
      <w:r>
        <w:rPr>
          <w:rFonts w:ascii="Times New Roman" w:hAnsi="Times New Roman"/>
          <w:snapToGrid w:val="0"/>
          <w:spacing w:val="-6"/>
          <w:kern w:val="21"/>
          <w:szCs w:val="21"/>
        </w:rPr>
        <w:fldChar w:fldCharType="separate"/>
      </w:r>
      <w:r>
        <w:rPr>
          <w:rFonts w:ascii="Times New Roman" w:hAnsi="Times New Roman"/>
          <w:szCs w:val="21"/>
        </w:rPr>
        <w:t>①</w:t>
      </w:r>
      <w:r>
        <w:rPr>
          <w:rFonts w:ascii="Times New Roman" w:hAnsi="Times New Roman"/>
          <w:snapToGrid w:val="0"/>
          <w:spacing w:val="-6"/>
          <w:kern w:val="21"/>
          <w:szCs w:val="21"/>
        </w:rPr>
        <w:fldChar w:fldCharType="end"/>
      </w:r>
    </w:p>
    <w:p w14:paraId="60809594"/>
    <w:p w14:paraId="35CDDD10"/>
    <w:p w14:paraId="316F2FAE"/>
    <w:p w14:paraId="2BE3A1F0"/>
    <w:sectPr>
      <w:headerReference r:id="rId5" w:type="default"/>
      <w:footerReference r:id="rId6" w:type="default"/>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2DBD6">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2553958"/>
    </w:sdtPr>
    <w:sdtContent>
      <w:p w14:paraId="59CB6F77">
        <w:pPr>
          <w:pStyle w:val="21"/>
          <w:jc w:val="center"/>
        </w:pPr>
        <w:r>
          <w:fldChar w:fldCharType="begin"/>
        </w:r>
        <w:r>
          <w:instrText xml:space="preserve">PAGE   \* MERGEFORMAT</w:instrText>
        </w:r>
        <w:r>
          <w:fldChar w:fldCharType="separate"/>
        </w:r>
        <w:r>
          <w:rPr>
            <w:lang w:val="zh-CN"/>
          </w:rPr>
          <w:t>45</w:t>
        </w:r>
        <w:r>
          <w:fldChar w:fldCharType="end"/>
        </w:r>
      </w:p>
    </w:sdtContent>
  </w:sdt>
  <w:p w14:paraId="0644EC5C">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F2D80">
    <w:pPr>
      <w:pStyle w:val="21"/>
      <w:ind w:firstLine="4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B84E1">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6CC11"/>
    <w:multiLevelType w:val="singleLevel"/>
    <w:tmpl w:val="9A06CC11"/>
    <w:lvl w:ilvl="0" w:tentative="0">
      <w:start w:val="3"/>
      <w:numFmt w:val="decimal"/>
      <w:suff w:val="nothing"/>
      <w:lvlText w:val="%1、"/>
      <w:lvlJc w:val="left"/>
    </w:lvl>
  </w:abstractNum>
  <w:abstractNum w:abstractNumId="1">
    <w:nsid w:val="B5258676"/>
    <w:multiLevelType w:val="singleLevel"/>
    <w:tmpl w:val="B5258676"/>
    <w:lvl w:ilvl="0" w:tentative="0">
      <w:start w:val="1"/>
      <w:numFmt w:val="decimal"/>
      <w:suff w:val="nothing"/>
      <w:lvlText w:val="%1、"/>
      <w:lvlJc w:val="left"/>
    </w:lvl>
  </w:abstractNum>
  <w:abstractNum w:abstractNumId="2">
    <w:nsid w:val="E8713FFC"/>
    <w:multiLevelType w:val="singleLevel"/>
    <w:tmpl w:val="E8713FFC"/>
    <w:lvl w:ilvl="0" w:tentative="0">
      <w:start w:val="3"/>
      <w:numFmt w:val="decimal"/>
      <w:suff w:val="nothing"/>
      <w:lvlText w:val="%1、"/>
      <w:lvlJc w:val="left"/>
    </w:lvl>
  </w:abstractNum>
  <w:abstractNum w:abstractNumId="3">
    <w:nsid w:val="EA042326"/>
    <w:multiLevelType w:val="singleLevel"/>
    <w:tmpl w:val="EA042326"/>
    <w:lvl w:ilvl="0" w:tentative="0">
      <w:start w:val="2"/>
      <w:numFmt w:val="decimal"/>
      <w:suff w:val="nothing"/>
      <w:lvlText w:val="（%1）"/>
      <w:lvlJc w:val="left"/>
    </w:lvl>
  </w:abstractNum>
  <w:abstractNum w:abstractNumId="4">
    <w:nsid w:val="33700111"/>
    <w:multiLevelType w:val="multilevel"/>
    <w:tmpl w:val="33700111"/>
    <w:lvl w:ilvl="0" w:tentative="0">
      <w:start w:val="1"/>
      <w:numFmt w:val="decimal"/>
      <w:lvlText w:val="%1"/>
      <w:lvlJc w:val="left"/>
      <w:pPr>
        <w:ind w:left="425" w:hanging="425"/>
      </w:pPr>
      <w:rPr>
        <w:rFonts w:hint="default" w:ascii="Times New Roman" w:hAnsi="Times New Roman" w:eastAsia="华文中宋"/>
        <w:b/>
        <w:sz w:val="36"/>
      </w:rPr>
    </w:lvl>
    <w:lvl w:ilvl="1" w:tentative="0">
      <w:start w:val="1"/>
      <w:numFmt w:val="decimal"/>
      <w:lvlText w:val="%1.%2"/>
      <w:lvlJc w:val="left"/>
      <w:pPr>
        <w:ind w:left="425" w:hanging="425"/>
      </w:pPr>
      <w:rPr>
        <w:rFonts w:hint="eastAsia"/>
      </w:rPr>
    </w:lvl>
    <w:lvl w:ilvl="2" w:tentative="0">
      <w:start w:val="1"/>
      <w:numFmt w:val="decimal"/>
      <w:lvlText w:val="%1.%2.%3"/>
      <w:lvlJc w:val="left"/>
      <w:pPr>
        <w:ind w:left="425" w:hanging="425"/>
      </w:pPr>
      <w:rPr>
        <w:rFonts w:hint="eastAsia"/>
      </w:rPr>
    </w:lvl>
    <w:lvl w:ilvl="3" w:tentative="0">
      <w:start w:val="1"/>
      <w:numFmt w:val="decimal"/>
      <w:pStyle w:val="72"/>
      <w:lvlText w:val="%1.%2.%3.%4"/>
      <w:lvlJc w:val="left"/>
      <w:pPr>
        <w:ind w:left="425" w:hanging="425"/>
      </w:pPr>
      <w:rPr>
        <w:rFonts w:hint="eastAsia"/>
      </w:rPr>
    </w:lvl>
    <w:lvl w:ilvl="4" w:tentative="0">
      <w:start w:val="1"/>
      <w:numFmt w:val="decimal"/>
      <w:lvlText w:val="%1.%2.%3.%4.%5"/>
      <w:lvlJc w:val="left"/>
      <w:pPr>
        <w:ind w:left="425" w:hanging="425"/>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trackRevisions w:val="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ZGNiYWU3NDIxYzRhOGZmMDMyMTAxMDYwNjg4MGMifQ=="/>
  </w:docVars>
  <w:rsids>
    <w:rsidRoot w:val="00172A27"/>
    <w:rsid w:val="00002FCE"/>
    <w:rsid w:val="00005C4C"/>
    <w:rsid w:val="000060B3"/>
    <w:rsid w:val="000060BC"/>
    <w:rsid w:val="0001026D"/>
    <w:rsid w:val="000262D6"/>
    <w:rsid w:val="00033470"/>
    <w:rsid w:val="00033CD5"/>
    <w:rsid w:val="000372AC"/>
    <w:rsid w:val="0004364B"/>
    <w:rsid w:val="000501D5"/>
    <w:rsid w:val="00061B1F"/>
    <w:rsid w:val="00064B69"/>
    <w:rsid w:val="000733C4"/>
    <w:rsid w:val="00074783"/>
    <w:rsid w:val="0008070B"/>
    <w:rsid w:val="000810AC"/>
    <w:rsid w:val="00081A02"/>
    <w:rsid w:val="00082231"/>
    <w:rsid w:val="00090B6D"/>
    <w:rsid w:val="00092D38"/>
    <w:rsid w:val="0009377B"/>
    <w:rsid w:val="00097136"/>
    <w:rsid w:val="00097DF4"/>
    <w:rsid w:val="000A20C9"/>
    <w:rsid w:val="000A4193"/>
    <w:rsid w:val="000A5113"/>
    <w:rsid w:val="000B058F"/>
    <w:rsid w:val="000B4467"/>
    <w:rsid w:val="000B4DB9"/>
    <w:rsid w:val="000C09AC"/>
    <w:rsid w:val="000C0DBD"/>
    <w:rsid w:val="000C65FA"/>
    <w:rsid w:val="000C767F"/>
    <w:rsid w:val="000D0303"/>
    <w:rsid w:val="000D5A44"/>
    <w:rsid w:val="000E3ED2"/>
    <w:rsid w:val="000E5B5B"/>
    <w:rsid w:val="000E6D64"/>
    <w:rsid w:val="000E72D6"/>
    <w:rsid w:val="000F4038"/>
    <w:rsid w:val="00113DAD"/>
    <w:rsid w:val="00120308"/>
    <w:rsid w:val="00122B86"/>
    <w:rsid w:val="00131F42"/>
    <w:rsid w:val="001357F1"/>
    <w:rsid w:val="00140FA8"/>
    <w:rsid w:val="00142FEB"/>
    <w:rsid w:val="00143A2D"/>
    <w:rsid w:val="00143C8F"/>
    <w:rsid w:val="00144ABC"/>
    <w:rsid w:val="00145A41"/>
    <w:rsid w:val="00150592"/>
    <w:rsid w:val="00151675"/>
    <w:rsid w:val="00157435"/>
    <w:rsid w:val="00172A27"/>
    <w:rsid w:val="0017504D"/>
    <w:rsid w:val="0017671A"/>
    <w:rsid w:val="00177422"/>
    <w:rsid w:val="00184590"/>
    <w:rsid w:val="001870D1"/>
    <w:rsid w:val="0018781E"/>
    <w:rsid w:val="0019262D"/>
    <w:rsid w:val="001A1B35"/>
    <w:rsid w:val="001A48A2"/>
    <w:rsid w:val="001A6F61"/>
    <w:rsid w:val="001B72B8"/>
    <w:rsid w:val="001C2F9A"/>
    <w:rsid w:val="001C69B3"/>
    <w:rsid w:val="001D4275"/>
    <w:rsid w:val="001D5595"/>
    <w:rsid w:val="001D7874"/>
    <w:rsid w:val="001D7F22"/>
    <w:rsid w:val="001E3AF0"/>
    <w:rsid w:val="001F0F17"/>
    <w:rsid w:val="001F3347"/>
    <w:rsid w:val="001F69E4"/>
    <w:rsid w:val="00200204"/>
    <w:rsid w:val="00205320"/>
    <w:rsid w:val="0020749D"/>
    <w:rsid w:val="00210957"/>
    <w:rsid w:val="00211B64"/>
    <w:rsid w:val="002125B4"/>
    <w:rsid w:val="002155B8"/>
    <w:rsid w:val="00221B9E"/>
    <w:rsid w:val="00224839"/>
    <w:rsid w:val="002249B2"/>
    <w:rsid w:val="00226574"/>
    <w:rsid w:val="00226C2A"/>
    <w:rsid w:val="002278EC"/>
    <w:rsid w:val="0023280E"/>
    <w:rsid w:val="002377D1"/>
    <w:rsid w:val="002506BC"/>
    <w:rsid w:val="00254345"/>
    <w:rsid w:val="00264557"/>
    <w:rsid w:val="002713B6"/>
    <w:rsid w:val="002805AB"/>
    <w:rsid w:val="00284204"/>
    <w:rsid w:val="00291773"/>
    <w:rsid w:val="0029740D"/>
    <w:rsid w:val="002A168C"/>
    <w:rsid w:val="002A3DC7"/>
    <w:rsid w:val="002A401D"/>
    <w:rsid w:val="002B49E2"/>
    <w:rsid w:val="002B7B00"/>
    <w:rsid w:val="002B7C44"/>
    <w:rsid w:val="002C2B17"/>
    <w:rsid w:val="002D3DD0"/>
    <w:rsid w:val="002D5D5A"/>
    <w:rsid w:val="002E1F3A"/>
    <w:rsid w:val="002E298A"/>
    <w:rsid w:val="002F14C5"/>
    <w:rsid w:val="002F3233"/>
    <w:rsid w:val="002F57B3"/>
    <w:rsid w:val="00301978"/>
    <w:rsid w:val="0030332C"/>
    <w:rsid w:val="00304C1B"/>
    <w:rsid w:val="003051C2"/>
    <w:rsid w:val="003121A1"/>
    <w:rsid w:val="00312296"/>
    <w:rsid w:val="00314F0E"/>
    <w:rsid w:val="00321D8E"/>
    <w:rsid w:val="00325928"/>
    <w:rsid w:val="00332863"/>
    <w:rsid w:val="0033522F"/>
    <w:rsid w:val="0033684D"/>
    <w:rsid w:val="00337B42"/>
    <w:rsid w:val="003409DC"/>
    <w:rsid w:val="00341B42"/>
    <w:rsid w:val="0034348F"/>
    <w:rsid w:val="003434EA"/>
    <w:rsid w:val="00356653"/>
    <w:rsid w:val="0035743F"/>
    <w:rsid w:val="00357BE2"/>
    <w:rsid w:val="0036170C"/>
    <w:rsid w:val="00366E0F"/>
    <w:rsid w:val="003714B4"/>
    <w:rsid w:val="00381A72"/>
    <w:rsid w:val="00384676"/>
    <w:rsid w:val="003862A4"/>
    <w:rsid w:val="00386EA4"/>
    <w:rsid w:val="00390857"/>
    <w:rsid w:val="00391E5E"/>
    <w:rsid w:val="00397B30"/>
    <w:rsid w:val="003A4BF3"/>
    <w:rsid w:val="003B2487"/>
    <w:rsid w:val="003B420D"/>
    <w:rsid w:val="003B764C"/>
    <w:rsid w:val="003C6C16"/>
    <w:rsid w:val="003D735B"/>
    <w:rsid w:val="003D794D"/>
    <w:rsid w:val="003E3058"/>
    <w:rsid w:val="003E76A9"/>
    <w:rsid w:val="003F0809"/>
    <w:rsid w:val="003F2B5B"/>
    <w:rsid w:val="003F6A8C"/>
    <w:rsid w:val="003F755C"/>
    <w:rsid w:val="00406F01"/>
    <w:rsid w:val="00416D50"/>
    <w:rsid w:val="00416FD5"/>
    <w:rsid w:val="00417772"/>
    <w:rsid w:val="00420E6A"/>
    <w:rsid w:val="00425A9E"/>
    <w:rsid w:val="00426D6B"/>
    <w:rsid w:val="00427E13"/>
    <w:rsid w:val="00430A1E"/>
    <w:rsid w:val="00431E6C"/>
    <w:rsid w:val="00432343"/>
    <w:rsid w:val="00432C75"/>
    <w:rsid w:val="00433CE7"/>
    <w:rsid w:val="004515CC"/>
    <w:rsid w:val="00452738"/>
    <w:rsid w:val="004543E9"/>
    <w:rsid w:val="00456091"/>
    <w:rsid w:val="00466321"/>
    <w:rsid w:val="00466D3E"/>
    <w:rsid w:val="004773FE"/>
    <w:rsid w:val="00484B9B"/>
    <w:rsid w:val="004855F6"/>
    <w:rsid w:val="0048661E"/>
    <w:rsid w:val="004922FF"/>
    <w:rsid w:val="00494670"/>
    <w:rsid w:val="004955E0"/>
    <w:rsid w:val="004A3823"/>
    <w:rsid w:val="004B41B3"/>
    <w:rsid w:val="004E6946"/>
    <w:rsid w:val="004F1AD8"/>
    <w:rsid w:val="00501A69"/>
    <w:rsid w:val="005039CB"/>
    <w:rsid w:val="0050558F"/>
    <w:rsid w:val="00506286"/>
    <w:rsid w:val="00510813"/>
    <w:rsid w:val="00511234"/>
    <w:rsid w:val="00511990"/>
    <w:rsid w:val="00511DE0"/>
    <w:rsid w:val="00514870"/>
    <w:rsid w:val="00514B9B"/>
    <w:rsid w:val="00517F02"/>
    <w:rsid w:val="00524303"/>
    <w:rsid w:val="005258A2"/>
    <w:rsid w:val="00526A5B"/>
    <w:rsid w:val="005401AE"/>
    <w:rsid w:val="00542E07"/>
    <w:rsid w:val="00545424"/>
    <w:rsid w:val="005505E5"/>
    <w:rsid w:val="00554A7B"/>
    <w:rsid w:val="0055572C"/>
    <w:rsid w:val="0056106A"/>
    <w:rsid w:val="00565852"/>
    <w:rsid w:val="00571EB7"/>
    <w:rsid w:val="005720AE"/>
    <w:rsid w:val="00586050"/>
    <w:rsid w:val="00593CCE"/>
    <w:rsid w:val="00594D77"/>
    <w:rsid w:val="005969E4"/>
    <w:rsid w:val="005A06B7"/>
    <w:rsid w:val="005A1759"/>
    <w:rsid w:val="005A592F"/>
    <w:rsid w:val="005A68A7"/>
    <w:rsid w:val="005A6D2E"/>
    <w:rsid w:val="005A74C7"/>
    <w:rsid w:val="005C0302"/>
    <w:rsid w:val="005C252F"/>
    <w:rsid w:val="005C3F51"/>
    <w:rsid w:val="005D36AB"/>
    <w:rsid w:val="005D4603"/>
    <w:rsid w:val="005E39CD"/>
    <w:rsid w:val="00603999"/>
    <w:rsid w:val="00606F83"/>
    <w:rsid w:val="00610CC1"/>
    <w:rsid w:val="00613188"/>
    <w:rsid w:val="00617CC3"/>
    <w:rsid w:val="00631FDE"/>
    <w:rsid w:val="00633B44"/>
    <w:rsid w:val="00636396"/>
    <w:rsid w:val="006377A6"/>
    <w:rsid w:val="00637A3D"/>
    <w:rsid w:val="006411EF"/>
    <w:rsid w:val="00650128"/>
    <w:rsid w:val="0066635B"/>
    <w:rsid w:val="006748B8"/>
    <w:rsid w:val="006775C3"/>
    <w:rsid w:val="00682010"/>
    <w:rsid w:val="00682CE8"/>
    <w:rsid w:val="0069290A"/>
    <w:rsid w:val="0069775A"/>
    <w:rsid w:val="00697813"/>
    <w:rsid w:val="006A1C9C"/>
    <w:rsid w:val="006A3EE8"/>
    <w:rsid w:val="006A72BF"/>
    <w:rsid w:val="006B03F2"/>
    <w:rsid w:val="006B37DC"/>
    <w:rsid w:val="006B4F68"/>
    <w:rsid w:val="006C0592"/>
    <w:rsid w:val="006C1080"/>
    <w:rsid w:val="006C272E"/>
    <w:rsid w:val="006C5479"/>
    <w:rsid w:val="006D13B5"/>
    <w:rsid w:val="006D2668"/>
    <w:rsid w:val="006E0022"/>
    <w:rsid w:val="006E12FF"/>
    <w:rsid w:val="006E607E"/>
    <w:rsid w:val="006F1863"/>
    <w:rsid w:val="006F3994"/>
    <w:rsid w:val="00705847"/>
    <w:rsid w:val="00706C5D"/>
    <w:rsid w:val="00732922"/>
    <w:rsid w:val="00741AA3"/>
    <w:rsid w:val="0075162E"/>
    <w:rsid w:val="00754034"/>
    <w:rsid w:val="00756556"/>
    <w:rsid w:val="007618C4"/>
    <w:rsid w:val="00767980"/>
    <w:rsid w:val="00770B19"/>
    <w:rsid w:val="00774053"/>
    <w:rsid w:val="0077463F"/>
    <w:rsid w:val="0077582A"/>
    <w:rsid w:val="007836EA"/>
    <w:rsid w:val="00784CDA"/>
    <w:rsid w:val="007906C4"/>
    <w:rsid w:val="007940EA"/>
    <w:rsid w:val="007967E8"/>
    <w:rsid w:val="007A2170"/>
    <w:rsid w:val="007A22BF"/>
    <w:rsid w:val="007A29E8"/>
    <w:rsid w:val="007A3323"/>
    <w:rsid w:val="007A6B11"/>
    <w:rsid w:val="007A6F74"/>
    <w:rsid w:val="007B72B8"/>
    <w:rsid w:val="007B7A58"/>
    <w:rsid w:val="007C1952"/>
    <w:rsid w:val="007C21B5"/>
    <w:rsid w:val="007D1716"/>
    <w:rsid w:val="007D1926"/>
    <w:rsid w:val="007E4BD2"/>
    <w:rsid w:val="00800769"/>
    <w:rsid w:val="00801393"/>
    <w:rsid w:val="00802F88"/>
    <w:rsid w:val="0081293E"/>
    <w:rsid w:val="00815465"/>
    <w:rsid w:val="00817E9A"/>
    <w:rsid w:val="00825E08"/>
    <w:rsid w:val="008306BD"/>
    <w:rsid w:val="00831A80"/>
    <w:rsid w:val="00833743"/>
    <w:rsid w:val="008340A4"/>
    <w:rsid w:val="00866888"/>
    <w:rsid w:val="0087135F"/>
    <w:rsid w:val="00871755"/>
    <w:rsid w:val="00872D94"/>
    <w:rsid w:val="00874398"/>
    <w:rsid w:val="00880364"/>
    <w:rsid w:val="00891592"/>
    <w:rsid w:val="00891E9E"/>
    <w:rsid w:val="008948EA"/>
    <w:rsid w:val="008A2F68"/>
    <w:rsid w:val="008B4FA6"/>
    <w:rsid w:val="008B5282"/>
    <w:rsid w:val="008B7C17"/>
    <w:rsid w:val="008C2D01"/>
    <w:rsid w:val="008C40E6"/>
    <w:rsid w:val="008C49F4"/>
    <w:rsid w:val="008D0F7A"/>
    <w:rsid w:val="008D4038"/>
    <w:rsid w:val="008D68E4"/>
    <w:rsid w:val="008E0506"/>
    <w:rsid w:val="008E0CFF"/>
    <w:rsid w:val="008E2AE7"/>
    <w:rsid w:val="008E5D6B"/>
    <w:rsid w:val="008E76F0"/>
    <w:rsid w:val="008F15FE"/>
    <w:rsid w:val="008F2D29"/>
    <w:rsid w:val="008F30D9"/>
    <w:rsid w:val="008F5187"/>
    <w:rsid w:val="008F60D8"/>
    <w:rsid w:val="00901DFA"/>
    <w:rsid w:val="00902727"/>
    <w:rsid w:val="0090312B"/>
    <w:rsid w:val="00913F01"/>
    <w:rsid w:val="00916925"/>
    <w:rsid w:val="0091736D"/>
    <w:rsid w:val="00927603"/>
    <w:rsid w:val="0093037A"/>
    <w:rsid w:val="0093786C"/>
    <w:rsid w:val="0094154D"/>
    <w:rsid w:val="00947246"/>
    <w:rsid w:val="0095155F"/>
    <w:rsid w:val="00954429"/>
    <w:rsid w:val="009563CE"/>
    <w:rsid w:val="00966894"/>
    <w:rsid w:val="0097180B"/>
    <w:rsid w:val="00976328"/>
    <w:rsid w:val="0097680D"/>
    <w:rsid w:val="00982438"/>
    <w:rsid w:val="0098404C"/>
    <w:rsid w:val="00985283"/>
    <w:rsid w:val="00986455"/>
    <w:rsid w:val="00992449"/>
    <w:rsid w:val="00995992"/>
    <w:rsid w:val="009A03E5"/>
    <w:rsid w:val="009A0F3B"/>
    <w:rsid w:val="009A1BB4"/>
    <w:rsid w:val="009A2628"/>
    <w:rsid w:val="009A3200"/>
    <w:rsid w:val="009B0897"/>
    <w:rsid w:val="009B42B1"/>
    <w:rsid w:val="009B60FE"/>
    <w:rsid w:val="009B7BD9"/>
    <w:rsid w:val="009C7DD5"/>
    <w:rsid w:val="009D0557"/>
    <w:rsid w:val="009D4410"/>
    <w:rsid w:val="009D6B49"/>
    <w:rsid w:val="009E227D"/>
    <w:rsid w:val="009E5019"/>
    <w:rsid w:val="009E692D"/>
    <w:rsid w:val="00A04F1B"/>
    <w:rsid w:val="00A0501B"/>
    <w:rsid w:val="00A14947"/>
    <w:rsid w:val="00A32A83"/>
    <w:rsid w:val="00A33DB0"/>
    <w:rsid w:val="00A368DB"/>
    <w:rsid w:val="00A423AA"/>
    <w:rsid w:val="00A53EC6"/>
    <w:rsid w:val="00A55C0F"/>
    <w:rsid w:val="00A80ACE"/>
    <w:rsid w:val="00A8713F"/>
    <w:rsid w:val="00A90BA1"/>
    <w:rsid w:val="00A92465"/>
    <w:rsid w:val="00A97A9A"/>
    <w:rsid w:val="00AA0671"/>
    <w:rsid w:val="00AA2531"/>
    <w:rsid w:val="00AA50E8"/>
    <w:rsid w:val="00AB1E09"/>
    <w:rsid w:val="00AB2C5E"/>
    <w:rsid w:val="00AB5330"/>
    <w:rsid w:val="00AB7747"/>
    <w:rsid w:val="00AC14CE"/>
    <w:rsid w:val="00AC2A56"/>
    <w:rsid w:val="00AD055E"/>
    <w:rsid w:val="00AD0A21"/>
    <w:rsid w:val="00AD47A7"/>
    <w:rsid w:val="00AD4BF5"/>
    <w:rsid w:val="00AE0044"/>
    <w:rsid w:val="00AE28E4"/>
    <w:rsid w:val="00AF0CBF"/>
    <w:rsid w:val="00AF257F"/>
    <w:rsid w:val="00AF33CF"/>
    <w:rsid w:val="00AF4D50"/>
    <w:rsid w:val="00AF6179"/>
    <w:rsid w:val="00B1295A"/>
    <w:rsid w:val="00B138E2"/>
    <w:rsid w:val="00B20A45"/>
    <w:rsid w:val="00B212A5"/>
    <w:rsid w:val="00B22C5C"/>
    <w:rsid w:val="00B24F30"/>
    <w:rsid w:val="00B3085C"/>
    <w:rsid w:val="00B31ABF"/>
    <w:rsid w:val="00B31C24"/>
    <w:rsid w:val="00B33BE3"/>
    <w:rsid w:val="00B35E75"/>
    <w:rsid w:val="00B37F03"/>
    <w:rsid w:val="00B37FEE"/>
    <w:rsid w:val="00B53B5D"/>
    <w:rsid w:val="00B6055E"/>
    <w:rsid w:val="00B6317D"/>
    <w:rsid w:val="00B7723F"/>
    <w:rsid w:val="00B80534"/>
    <w:rsid w:val="00B8433C"/>
    <w:rsid w:val="00B87491"/>
    <w:rsid w:val="00BA29E9"/>
    <w:rsid w:val="00BA7142"/>
    <w:rsid w:val="00BB237C"/>
    <w:rsid w:val="00BB41A3"/>
    <w:rsid w:val="00BB477E"/>
    <w:rsid w:val="00BC32DC"/>
    <w:rsid w:val="00BC35B6"/>
    <w:rsid w:val="00BC65A9"/>
    <w:rsid w:val="00BD1B51"/>
    <w:rsid w:val="00BD4596"/>
    <w:rsid w:val="00BD54DC"/>
    <w:rsid w:val="00BD5F42"/>
    <w:rsid w:val="00BE120E"/>
    <w:rsid w:val="00BE1405"/>
    <w:rsid w:val="00BE312D"/>
    <w:rsid w:val="00BE61BE"/>
    <w:rsid w:val="00BF1C20"/>
    <w:rsid w:val="00BF2F45"/>
    <w:rsid w:val="00BF532E"/>
    <w:rsid w:val="00BF69D5"/>
    <w:rsid w:val="00C10578"/>
    <w:rsid w:val="00C135BC"/>
    <w:rsid w:val="00C15C95"/>
    <w:rsid w:val="00C17442"/>
    <w:rsid w:val="00C2596A"/>
    <w:rsid w:val="00C27537"/>
    <w:rsid w:val="00C328FE"/>
    <w:rsid w:val="00C33507"/>
    <w:rsid w:val="00C4409D"/>
    <w:rsid w:val="00C44E72"/>
    <w:rsid w:val="00C45A06"/>
    <w:rsid w:val="00C47E5B"/>
    <w:rsid w:val="00C5693C"/>
    <w:rsid w:val="00C576E5"/>
    <w:rsid w:val="00C61E4B"/>
    <w:rsid w:val="00C64BFF"/>
    <w:rsid w:val="00C704E9"/>
    <w:rsid w:val="00C763C9"/>
    <w:rsid w:val="00C76727"/>
    <w:rsid w:val="00C7725F"/>
    <w:rsid w:val="00C80057"/>
    <w:rsid w:val="00C82232"/>
    <w:rsid w:val="00C82913"/>
    <w:rsid w:val="00C87036"/>
    <w:rsid w:val="00C91E2D"/>
    <w:rsid w:val="00C9415F"/>
    <w:rsid w:val="00C972B1"/>
    <w:rsid w:val="00CA2CCE"/>
    <w:rsid w:val="00CA43FD"/>
    <w:rsid w:val="00CA7EF8"/>
    <w:rsid w:val="00CB796F"/>
    <w:rsid w:val="00CC489B"/>
    <w:rsid w:val="00CD2BCD"/>
    <w:rsid w:val="00CD3A4C"/>
    <w:rsid w:val="00CD6BB1"/>
    <w:rsid w:val="00CE10E9"/>
    <w:rsid w:val="00CE2910"/>
    <w:rsid w:val="00CE5393"/>
    <w:rsid w:val="00CF0710"/>
    <w:rsid w:val="00CF36BE"/>
    <w:rsid w:val="00CF6000"/>
    <w:rsid w:val="00D003F3"/>
    <w:rsid w:val="00D0364F"/>
    <w:rsid w:val="00D06834"/>
    <w:rsid w:val="00D173D8"/>
    <w:rsid w:val="00D27EB9"/>
    <w:rsid w:val="00D308ED"/>
    <w:rsid w:val="00D340F8"/>
    <w:rsid w:val="00D36D86"/>
    <w:rsid w:val="00D428AA"/>
    <w:rsid w:val="00D50A34"/>
    <w:rsid w:val="00D53EFA"/>
    <w:rsid w:val="00D576D2"/>
    <w:rsid w:val="00D66AED"/>
    <w:rsid w:val="00D70DD8"/>
    <w:rsid w:val="00D741D6"/>
    <w:rsid w:val="00D94A7C"/>
    <w:rsid w:val="00D95896"/>
    <w:rsid w:val="00DB1475"/>
    <w:rsid w:val="00DB2983"/>
    <w:rsid w:val="00DC1257"/>
    <w:rsid w:val="00DC3DC0"/>
    <w:rsid w:val="00DC5B2B"/>
    <w:rsid w:val="00DC7748"/>
    <w:rsid w:val="00DD23E2"/>
    <w:rsid w:val="00DD318D"/>
    <w:rsid w:val="00DD5CB7"/>
    <w:rsid w:val="00DF1384"/>
    <w:rsid w:val="00DF2E12"/>
    <w:rsid w:val="00DF514A"/>
    <w:rsid w:val="00DF6690"/>
    <w:rsid w:val="00DF6804"/>
    <w:rsid w:val="00E0358D"/>
    <w:rsid w:val="00E04323"/>
    <w:rsid w:val="00E070A2"/>
    <w:rsid w:val="00E10B92"/>
    <w:rsid w:val="00E123D4"/>
    <w:rsid w:val="00E2656A"/>
    <w:rsid w:val="00E3152D"/>
    <w:rsid w:val="00E36BD9"/>
    <w:rsid w:val="00E412D0"/>
    <w:rsid w:val="00E421D7"/>
    <w:rsid w:val="00E5467F"/>
    <w:rsid w:val="00E54940"/>
    <w:rsid w:val="00E56322"/>
    <w:rsid w:val="00E60982"/>
    <w:rsid w:val="00E62C62"/>
    <w:rsid w:val="00E654C1"/>
    <w:rsid w:val="00E65D97"/>
    <w:rsid w:val="00E6616A"/>
    <w:rsid w:val="00E72A5A"/>
    <w:rsid w:val="00E73354"/>
    <w:rsid w:val="00E73676"/>
    <w:rsid w:val="00E83370"/>
    <w:rsid w:val="00E8652D"/>
    <w:rsid w:val="00E9242D"/>
    <w:rsid w:val="00E96D8D"/>
    <w:rsid w:val="00EA4474"/>
    <w:rsid w:val="00EB5255"/>
    <w:rsid w:val="00EB5C47"/>
    <w:rsid w:val="00EC0C2C"/>
    <w:rsid w:val="00EC59AF"/>
    <w:rsid w:val="00EC6F92"/>
    <w:rsid w:val="00ED0639"/>
    <w:rsid w:val="00ED4FB2"/>
    <w:rsid w:val="00EF4755"/>
    <w:rsid w:val="00EF5B81"/>
    <w:rsid w:val="00EF7135"/>
    <w:rsid w:val="00F027DB"/>
    <w:rsid w:val="00F0369F"/>
    <w:rsid w:val="00F077C7"/>
    <w:rsid w:val="00F10CD3"/>
    <w:rsid w:val="00F141A4"/>
    <w:rsid w:val="00F14531"/>
    <w:rsid w:val="00F14A7A"/>
    <w:rsid w:val="00F22985"/>
    <w:rsid w:val="00F32C5A"/>
    <w:rsid w:val="00F3383E"/>
    <w:rsid w:val="00F35A4B"/>
    <w:rsid w:val="00F427D7"/>
    <w:rsid w:val="00F465A7"/>
    <w:rsid w:val="00F50B7C"/>
    <w:rsid w:val="00F51967"/>
    <w:rsid w:val="00F550E6"/>
    <w:rsid w:val="00F65E1C"/>
    <w:rsid w:val="00F71AD7"/>
    <w:rsid w:val="00F74272"/>
    <w:rsid w:val="00F74345"/>
    <w:rsid w:val="00F80A0A"/>
    <w:rsid w:val="00F82B19"/>
    <w:rsid w:val="00F876CA"/>
    <w:rsid w:val="00F9212D"/>
    <w:rsid w:val="00F94FAD"/>
    <w:rsid w:val="00F965DA"/>
    <w:rsid w:val="00FA406A"/>
    <w:rsid w:val="00FB503A"/>
    <w:rsid w:val="00FB516C"/>
    <w:rsid w:val="00FC3130"/>
    <w:rsid w:val="00FD0236"/>
    <w:rsid w:val="00FD18F4"/>
    <w:rsid w:val="00FD54DB"/>
    <w:rsid w:val="00FD619F"/>
    <w:rsid w:val="00FD6967"/>
    <w:rsid w:val="00FF1891"/>
    <w:rsid w:val="01015368"/>
    <w:rsid w:val="01033192"/>
    <w:rsid w:val="0105533E"/>
    <w:rsid w:val="01085400"/>
    <w:rsid w:val="01103365"/>
    <w:rsid w:val="01104941"/>
    <w:rsid w:val="01105A94"/>
    <w:rsid w:val="0111768A"/>
    <w:rsid w:val="0112363F"/>
    <w:rsid w:val="011354ED"/>
    <w:rsid w:val="01137C69"/>
    <w:rsid w:val="01176E30"/>
    <w:rsid w:val="012748E4"/>
    <w:rsid w:val="01290F7E"/>
    <w:rsid w:val="012C2655"/>
    <w:rsid w:val="0135550E"/>
    <w:rsid w:val="013578B2"/>
    <w:rsid w:val="013748ED"/>
    <w:rsid w:val="013776A0"/>
    <w:rsid w:val="0138552D"/>
    <w:rsid w:val="013C020E"/>
    <w:rsid w:val="01431A52"/>
    <w:rsid w:val="014C5129"/>
    <w:rsid w:val="014F132C"/>
    <w:rsid w:val="01531503"/>
    <w:rsid w:val="01532619"/>
    <w:rsid w:val="0157332E"/>
    <w:rsid w:val="015A62EC"/>
    <w:rsid w:val="015B6FC7"/>
    <w:rsid w:val="015D1E09"/>
    <w:rsid w:val="015D50B6"/>
    <w:rsid w:val="016402B4"/>
    <w:rsid w:val="01642E39"/>
    <w:rsid w:val="016F37C7"/>
    <w:rsid w:val="01700939"/>
    <w:rsid w:val="01762CCF"/>
    <w:rsid w:val="01771648"/>
    <w:rsid w:val="01797440"/>
    <w:rsid w:val="017C0447"/>
    <w:rsid w:val="017D0A7A"/>
    <w:rsid w:val="0182535A"/>
    <w:rsid w:val="018E34A5"/>
    <w:rsid w:val="0197275E"/>
    <w:rsid w:val="019F0889"/>
    <w:rsid w:val="01A2370B"/>
    <w:rsid w:val="01A630F6"/>
    <w:rsid w:val="01A66EAE"/>
    <w:rsid w:val="01AA498B"/>
    <w:rsid w:val="01B4686F"/>
    <w:rsid w:val="01BA1D28"/>
    <w:rsid w:val="01C01294"/>
    <w:rsid w:val="01C60EB7"/>
    <w:rsid w:val="01C857BF"/>
    <w:rsid w:val="01DA117A"/>
    <w:rsid w:val="01DD2049"/>
    <w:rsid w:val="01DE00E2"/>
    <w:rsid w:val="01DE5838"/>
    <w:rsid w:val="01E77744"/>
    <w:rsid w:val="01E964D5"/>
    <w:rsid w:val="01EF6053"/>
    <w:rsid w:val="01F85232"/>
    <w:rsid w:val="01FF581E"/>
    <w:rsid w:val="020231E0"/>
    <w:rsid w:val="02054A69"/>
    <w:rsid w:val="02094DEB"/>
    <w:rsid w:val="020C3D88"/>
    <w:rsid w:val="020D0322"/>
    <w:rsid w:val="02162261"/>
    <w:rsid w:val="021E541C"/>
    <w:rsid w:val="021E6880"/>
    <w:rsid w:val="0220372A"/>
    <w:rsid w:val="02275933"/>
    <w:rsid w:val="02287764"/>
    <w:rsid w:val="02334221"/>
    <w:rsid w:val="02370569"/>
    <w:rsid w:val="023A325D"/>
    <w:rsid w:val="023B5D0F"/>
    <w:rsid w:val="023D4FBA"/>
    <w:rsid w:val="024C3C06"/>
    <w:rsid w:val="024D3469"/>
    <w:rsid w:val="02536139"/>
    <w:rsid w:val="025B234A"/>
    <w:rsid w:val="025B7189"/>
    <w:rsid w:val="02614B7F"/>
    <w:rsid w:val="02625206"/>
    <w:rsid w:val="02697903"/>
    <w:rsid w:val="026F0852"/>
    <w:rsid w:val="028211E7"/>
    <w:rsid w:val="02851BD8"/>
    <w:rsid w:val="02873946"/>
    <w:rsid w:val="028C589C"/>
    <w:rsid w:val="029B3A6C"/>
    <w:rsid w:val="02A23447"/>
    <w:rsid w:val="02AE368D"/>
    <w:rsid w:val="02AE42CA"/>
    <w:rsid w:val="02B172B3"/>
    <w:rsid w:val="02B50D4B"/>
    <w:rsid w:val="02B91CFF"/>
    <w:rsid w:val="02BB147E"/>
    <w:rsid w:val="02BE4C75"/>
    <w:rsid w:val="02BF15A4"/>
    <w:rsid w:val="02C05EF6"/>
    <w:rsid w:val="02C646E1"/>
    <w:rsid w:val="02D47050"/>
    <w:rsid w:val="02DD462A"/>
    <w:rsid w:val="02DE1D83"/>
    <w:rsid w:val="02DE4BCB"/>
    <w:rsid w:val="02E4082A"/>
    <w:rsid w:val="02F764E6"/>
    <w:rsid w:val="02F96569"/>
    <w:rsid w:val="02FB1843"/>
    <w:rsid w:val="02FB57B9"/>
    <w:rsid w:val="030748D7"/>
    <w:rsid w:val="030D7054"/>
    <w:rsid w:val="031B37F9"/>
    <w:rsid w:val="031F2A9B"/>
    <w:rsid w:val="03246AC5"/>
    <w:rsid w:val="03255AA0"/>
    <w:rsid w:val="032761E5"/>
    <w:rsid w:val="032764B0"/>
    <w:rsid w:val="03374F36"/>
    <w:rsid w:val="033F1745"/>
    <w:rsid w:val="03401CF9"/>
    <w:rsid w:val="0348200F"/>
    <w:rsid w:val="0352418C"/>
    <w:rsid w:val="03526967"/>
    <w:rsid w:val="03546191"/>
    <w:rsid w:val="035651A5"/>
    <w:rsid w:val="03604A01"/>
    <w:rsid w:val="03652D90"/>
    <w:rsid w:val="03661086"/>
    <w:rsid w:val="0366443E"/>
    <w:rsid w:val="036843AE"/>
    <w:rsid w:val="036E39DC"/>
    <w:rsid w:val="03706BB4"/>
    <w:rsid w:val="03795BF7"/>
    <w:rsid w:val="03885EBA"/>
    <w:rsid w:val="038A5D11"/>
    <w:rsid w:val="038D16A3"/>
    <w:rsid w:val="038E07C0"/>
    <w:rsid w:val="03925627"/>
    <w:rsid w:val="03975DC4"/>
    <w:rsid w:val="039D7B38"/>
    <w:rsid w:val="03A37CC1"/>
    <w:rsid w:val="03B613D9"/>
    <w:rsid w:val="03B63FDD"/>
    <w:rsid w:val="03C350C4"/>
    <w:rsid w:val="03C53FD2"/>
    <w:rsid w:val="03C6232F"/>
    <w:rsid w:val="03D1333D"/>
    <w:rsid w:val="03D25749"/>
    <w:rsid w:val="03D709D5"/>
    <w:rsid w:val="03E16808"/>
    <w:rsid w:val="03E33674"/>
    <w:rsid w:val="03E5488D"/>
    <w:rsid w:val="03EA7B21"/>
    <w:rsid w:val="03F05B99"/>
    <w:rsid w:val="03F74723"/>
    <w:rsid w:val="040D32DE"/>
    <w:rsid w:val="04143A0E"/>
    <w:rsid w:val="04195533"/>
    <w:rsid w:val="041C2EA9"/>
    <w:rsid w:val="041E02B4"/>
    <w:rsid w:val="041F6A07"/>
    <w:rsid w:val="042C570F"/>
    <w:rsid w:val="04302BB6"/>
    <w:rsid w:val="043132ED"/>
    <w:rsid w:val="043C0BA2"/>
    <w:rsid w:val="043F5BAD"/>
    <w:rsid w:val="04401C5D"/>
    <w:rsid w:val="04421D8B"/>
    <w:rsid w:val="04450781"/>
    <w:rsid w:val="04483023"/>
    <w:rsid w:val="044B4A9B"/>
    <w:rsid w:val="044C08C6"/>
    <w:rsid w:val="045107EA"/>
    <w:rsid w:val="045E7177"/>
    <w:rsid w:val="046A7FBE"/>
    <w:rsid w:val="04715F23"/>
    <w:rsid w:val="04796B0A"/>
    <w:rsid w:val="047B213D"/>
    <w:rsid w:val="048020CE"/>
    <w:rsid w:val="04823669"/>
    <w:rsid w:val="04864E29"/>
    <w:rsid w:val="0489058D"/>
    <w:rsid w:val="048E3ABF"/>
    <w:rsid w:val="048E3DFD"/>
    <w:rsid w:val="04901F9E"/>
    <w:rsid w:val="04944C13"/>
    <w:rsid w:val="0495080F"/>
    <w:rsid w:val="049535C8"/>
    <w:rsid w:val="049D3B67"/>
    <w:rsid w:val="049D7F44"/>
    <w:rsid w:val="04A44261"/>
    <w:rsid w:val="04A93EC9"/>
    <w:rsid w:val="04AD7E5C"/>
    <w:rsid w:val="04B465B1"/>
    <w:rsid w:val="04BA1E76"/>
    <w:rsid w:val="04C37DD9"/>
    <w:rsid w:val="04C84286"/>
    <w:rsid w:val="04D504D0"/>
    <w:rsid w:val="04DF711F"/>
    <w:rsid w:val="04EC386C"/>
    <w:rsid w:val="04EC646A"/>
    <w:rsid w:val="04EF4962"/>
    <w:rsid w:val="04F45773"/>
    <w:rsid w:val="050B66B8"/>
    <w:rsid w:val="050C4D36"/>
    <w:rsid w:val="050E7063"/>
    <w:rsid w:val="05131E01"/>
    <w:rsid w:val="05136ECF"/>
    <w:rsid w:val="05142FA8"/>
    <w:rsid w:val="051D373A"/>
    <w:rsid w:val="05234149"/>
    <w:rsid w:val="0523574F"/>
    <w:rsid w:val="053146EB"/>
    <w:rsid w:val="05350397"/>
    <w:rsid w:val="05351486"/>
    <w:rsid w:val="0539688F"/>
    <w:rsid w:val="053B1311"/>
    <w:rsid w:val="054D0309"/>
    <w:rsid w:val="054E0778"/>
    <w:rsid w:val="05582F6B"/>
    <w:rsid w:val="05605A49"/>
    <w:rsid w:val="0561453D"/>
    <w:rsid w:val="05645862"/>
    <w:rsid w:val="05660A6B"/>
    <w:rsid w:val="056E52FF"/>
    <w:rsid w:val="05767FDC"/>
    <w:rsid w:val="05770CE7"/>
    <w:rsid w:val="05776EED"/>
    <w:rsid w:val="05790466"/>
    <w:rsid w:val="057C377D"/>
    <w:rsid w:val="058773D4"/>
    <w:rsid w:val="058B111D"/>
    <w:rsid w:val="058C4574"/>
    <w:rsid w:val="05923050"/>
    <w:rsid w:val="059948FC"/>
    <w:rsid w:val="05AF11E1"/>
    <w:rsid w:val="05B3407D"/>
    <w:rsid w:val="05B947B0"/>
    <w:rsid w:val="05BD43D6"/>
    <w:rsid w:val="05C13BE9"/>
    <w:rsid w:val="05C34D67"/>
    <w:rsid w:val="05C84F21"/>
    <w:rsid w:val="05C917EC"/>
    <w:rsid w:val="05CF0740"/>
    <w:rsid w:val="05D05F53"/>
    <w:rsid w:val="05D13F9D"/>
    <w:rsid w:val="05D23CA7"/>
    <w:rsid w:val="05D56539"/>
    <w:rsid w:val="05D728EA"/>
    <w:rsid w:val="05DC5FDF"/>
    <w:rsid w:val="05E260A7"/>
    <w:rsid w:val="05E70007"/>
    <w:rsid w:val="05F6364B"/>
    <w:rsid w:val="05F83EAE"/>
    <w:rsid w:val="05FC4EDD"/>
    <w:rsid w:val="06052AED"/>
    <w:rsid w:val="060870F6"/>
    <w:rsid w:val="061040DC"/>
    <w:rsid w:val="06184BAD"/>
    <w:rsid w:val="0619141B"/>
    <w:rsid w:val="061B3E89"/>
    <w:rsid w:val="06220096"/>
    <w:rsid w:val="06290AFB"/>
    <w:rsid w:val="062A4F87"/>
    <w:rsid w:val="062A6909"/>
    <w:rsid w:val="06312E23"/>
    <w:rsid w:val="063D75E1"/>
    <w:rsid w:val="063E7D85"/>
    <w:rsid w:val="06405A11"/>
    <w:rsid w:val="064771B1"/>
    <w:rsid w:val="064A208E"/>
    <w:rsid w:val="064A5DA7"/>
    <w:rsid w:val="064D0996"/>
    <w:rsid w:val="064F1E2F"/>
    <w:rsid w:val="06504448"/>
    <w:rsid w:val="06633A6C"/>
    <w:rsid w:val="06703609"/>
    <w:rsid w:val="067116DF"/>
    <w:rsid w:val="06737199"/>
    <w:rsid w:val="06787270"/>
    <w:rsid w:val="067D703F"/>
    <w:rsid w:val="0682130E"/>
    <w:rsid w:val="06844B90"/>
    <w:rsid w:val="068818A5"/>
    <w:rsid w:val="0692577C"/>
    <w:rsid w:val="06964EDF"/>
    <w:rsid w:val="069B2BD1"/>
    <w:rsid w:val="06A32A1C"/>
    <w:rsid w:val="06A93595"/>
    <w:rsid w:val="06AD20FB"/>
    <w:rsid w:val="06AF161B"/>
    <w:rsid w:val="06B9078C"/>
    <w:rsid w:val="06BC2B18"/>
    <w:rsid w:val="06C6337C"/>
    <w:rsid w:val="06C86C9A"/>
    <w:rsid w:val="06D73AE5"/>
    <w:rsid w:val="06D96BBB"/>
    <w:rsid w:val="06EC23E6"/>
    <w:rsid w:val="06ED2960"/>
    <w:rsid w:val="06F02E1E"/>
    <w:rsid w:val="06F316D8"/>
    <w:rsid w:val="06FD65A2"/>
    <w:rsid w:val="070453F8"/>
    <w:rsid w:val="070976E7"/>
    <w:rsid w:val="070A4A80"/>
    <w:rsid w:val="070E3C0F"/>
    <w:rsid w:val="07147833"/>
    <w:rsid w:val="07185BF4"/>
    <w:rsid w:val="071B6159"/>
    <w:rsid w:val="071C6D8E"/>
    <w:rsid w:val="072147A2"/>
    <w:rsid w:val="07293586"/>
    <w:rsid w:val="07295285"/>
    <w:rsid w:val="072E6E8C"/>
    <w:rsid w:val="07320DFA"/>
    <w:rsid w:val="07432D16"/>
    <w:rsid w:val="074616CE"/>
    <w:rsid w:val="07470D62"/>
    <w:rsid w:val="07472447"/>
    <w:rsid w:val="0748646E"/>
    <w:rsid w:val="074B20D5"/>
    <w:rsid w:val="074B4535"/>
    <w:rsid w:val="074D6BE3"/>
    <w:rsid w:val="074F3562"/>
    <w:rsid w:val="07522934"/>
    <w:rsid w:val="07566D4A"/>
    <w:rsid w:val="07596E81"/>
    <w:rsid w:val="07636392"/>
    <w:rsid w:val="0766070C"/>
    <w:rsid w:val="076C6485"/>
    <w:rsid w:val="076E33FD"/>
    <w:rsid w:val="077624E6"/>
    <w:rsid w:val="07770C56"/>
    <w:rsid w:val="077B0FC4"/>
    <w:rsid w:val="077C3CE0"/>
    <w:rsid w:val="077E1657"/>
    <w:rsid w:val="077E7301"/>
    <w:rsid w:val="078139FF"/>
    <w:rsid w:val="078D7EC3"/>
    <w:rsid w:val="079047DF"/>
    <w:rsid w:val="07932100"/>
    <w:rsid w:val="07936150"/>
    <w:rsid w:val="079569ED"/>
    <w:rsid w:val="079601D3"/>
    <w:rsid w:val="07972870"/>
    <w:rsid w:val="079D4AAA"/>
    <w:rsid w:val="07A46635"/>
    <w:rsid w:val="07A76608"/>
    <w:rsid w:val="07AA4601"/>
    <w:rsid w:val="07AF18F8"/>
    <w:rsid w:val="07B0440B"/>
    <w:rsid w:val="07BA7178"/>
    <w:rsid w:val="07BB4B39"/>
    <w:rsid w:val="07BB6D15"/>
    <w:rsid w:val="07BD4FF6"/>
    <w:rsid w:val="07C7023A"/>
    <w:rsid w:val="07C85F21"/>
    <w:rsid w:val="07CD661E"/>
    <w:rsid w:val="07DE1A66"/>
    <w:rsid w:val="07E319A8"/>
    <w:rsid w:val="07E40A26"/>
    <w:rsid w:val="07EA0989"/>
    <w:rsid w:val="07EB129C"/>
    <w:rsid w:val="07F41447"/>
    <w:rsid w:val="07F869B2"/>
    <w:rsid w:val="08002443"/>
    <w:rsid w:val="08055CAB"/>
    <w:rsid w:val="08122BAA"/>
    <w:rsid w:val="08147E25"/>
    <w:rsid w:val="081D2ACE"/>
    <w:rsid w:val="08210B42"/>
    <w:rsid w:val="08252135"/>
    <w:rsid w:val="08290BEF"/>
    <w:rsid w:val="08306B20"/>
    <w:rsid w:val="083D65AA"/>
    <w:rsid w:val="08416D5A"/>
    <w:rsid w:val="08520108"/>
    <w:rsid w:val="0852083E"/>
    <w:rsid w:val="08550599"/>
    <w:rsid w:val="085812F5"/>
    <w:rsid w:val="08662693"/>
    <w:rsid w:val="086A245D"/>
    <w:rsid w:val="086D27D4"/>
    <w:rsid w:val="086E0F0F"/>
    <w:rsid w:val="086F018D"/>
    <w:rsid w:val="0870641B"/>
    <w:rsid w:val="08745CAF"/>
    <w:rsid w:val="087B1D91"/>
    <w:rsid w:val="08816101"/>
    <w:rsid w:val="08980D87"/>
    <w:rsid w:val="08985BD2"/>
    <w:rsid w:val="08993C3E"/>
    <w:rsid w:val="089E0960"/>
    <w:rsid w:val="08A14BBC"/>
    <w:rsid w:val="08A94889"/>
    <w:rsid w:val="08AD44CC"/>
    <w:rsid w:val="08B1348C"/>
    <w:rsid w:val="08BA016E"/>
    <w:rsid w:val="08BA6DE4"/>
    <w:rsid w:val="08BD288A"/>
    <w:rsid w:val="08BF1655"/>
    <w:rsid w:val="08C23299"/>
    <w:rsid w:val="08C4174F"/>
    <w:rsid w:val="08C97561"/>
    <w:rsid w:val="08CA679B"/>
    <w:rsid w:val="08CB57E4"/>
    <w:rsid w:val="08D519CD"/>
    <w:rsid w:val="08D70298"/>
    <w:rsid w:val="08D80370"/>
    <w:rsid w:val="08E106CA"/>
    <w:rsid w:val="08E567F0"/>
    <w:rsid w:val="08E62252"/>
    <w:rsid w:val="08ED3A94"/>
    <w:rsid w:val="08EF0AF2"/>
    <w:rsid w:val="08F17900"/>
    <w:rsid w:val="08F43E20"/>
    <w:rsid w:val="08F61C41"/>
    <w:rsid w:val="08FC7713"/>
    <w:rsid w:val="090634DC"/>
    <w:rsid w:val="09065886"/>
    <w:rsid w:val="090E1D94"/>
    <w:rsid w:val="090F4190"/>
    <w:rsid w:val="090F4CF9"/>
    <w:rsid w:val="091259B7"/>
    <w:rsid w:val="091D503B"/>
    <w:rsid w:val="092217DD"/>
    <w:rsid w:val="09282D7B"/>
    <w:rsid w:val="09290E98"/>
    <w:rsid w:val="093A7294"/>
    <w:rsid w:val="093E52DA"/>
    <w:rsid w:val="094909DD"/>
    <w:rsid w:val="09501D40"/>
    <w:rsid w:val="09554A11"/>
    <w:rsid w:val="09586453"/>
    <w:rsid w:val="095E2288"/>
    <w:rsid w:val="09655450"/>
    <w:rsid w:val="09727863"/>
    <w:rsid w:val="09755B60"/>
    <w:rsid w:val="09764D3C"/>
    <w:rsid w:val="097E3F67"/>
    <w:rsid w:val="0981681B"/>
    <w:rsid w:val="098C760D"/>
    <w:rsid w:val="098D79DE"/>
    <w:rsid w:val="09945938"/>
    <w:rsid w:val="099B737D"/>
    <w:rsid w:val="099E1F14"/>
    <w:rsid w:val="09A42779"/>
    <w:rsid w:val="09A54E2A"/>
    <w:rsid w:val="09A55662"/>
    <w:rsid w:val="09AF4121"/>
    <w:rsid w:val="09B53104"/>
    <w:rsid w:val="09B5590A"/>
    <w:rsid w:val="09B63E4B"/>
    <w:rsid w:val="09BB1440"/>
    <w:rsid w:val="09BF22CB"/>
    <w:rsid w:val="09C01ECA"/>
    <w:rsid w:val="09C13DAF"/>
    <w:rsid w:val="09C262A0"/>
    <w:rsid w:val="09DB3878"/>
    <w:rsid w:val="09E240A4"/>
    <w:rsid w:val="09EA0DE4"/>
    <w:rsid w:val="09EC1733"/>
    <w:rsid w:val="09EC23D5"/>
    <w:rsid w:val="09EE2E1B"/>
    <w:rsid w:val="09EE3789"/>
    <w:rsid w:val="09F00252"/>
    <w:rsid w:val="09F042E4"/>
    <w:rsid w:val="09FB015D"/>
    <w:rsid w:val="0A067E4E"/>
    <w:rsid w:val="0A0C1093"/>
    <w:rsid w:val="0A0D242E"/>
    <w:rsid w:val="0A150A1E"/>
    <w:rsid w:val="0A1667A6"/>
    <w:rsid w:val="0A1B0D80"/>
    <w:rsid w:val="0A263993"/>
    <w:rsid w:val="0A291750"/>
    <w:rsid w:val="0A2A4A06"/>
    <w:rsid w:val="0A2D3AC2"/>
    <w:rsid w:val="0A304AAF"/>
    <w:rsid w:val="0A310EF2"/>
    <w:rsid w:val="0A3A6BD8"/>
    <w:rsid w:val="0A3B13A2"/>
    <w:rsid w:val="0A3D0E2A"/>
    <w:rsid w:val="0A47085C"/>
    <w:rsid w:val="0A514062"/>
    <w:rsid w:val="0A554F13"/>
    <w:rsid w:val="0A5D5225"/>
    <w:rsid w:val="0A615B13"/>
    <w:rsid w:val="0A68643E"/>
    <w:rsid w:val="0A6D557E"/>
    <w:rsid w:val="0A6E2AD9"/>
    <w:rsid w:val="0A6F0769"/>
    <w:rsid w:val="0A704ABF"/>
    <w:rsid w:val="0A754F30"/>
    <w:rsid w:val="0A762CBF"/>
    <w:rsid w:val="0A79295E"/>
    <w:rsid w:val="0A7F418A"/>
    <w:rsid w:val="0A86687A"/>
    <w:rsid w:val="0A9E0A94"/>
    <w:rsid w:val="0AA46EE8"/>
    <w:rsid w:val="0AA73804"/>
    <w:rsid w:val="0AA755DF"/>
    <w:rsid w:val="0AA81837"/>
    <w:rsid w:val="0AA82EB3"/>
    <w:rsid w:val="0AB10546"/>
    <w:rsid w:val="0AB21A16"/>
    <w:rsid w:val="0AB26E58"/>
    <w:rsid w:val="0AC043E2"/>
    <w:rsid w:val="0AC143C5"/>
    <w:rsid w:val="0AC5079E"/>
    <w:rsid w:val="0AC9511F"/>
    <w:rsid w:val="0ACD43E8"/>
    <w:rsid w:val="0ACE34A9"/>
    <w:rsid w:val="0ADD081A"/>
    <w:rsid w:val="0ADF4592"/>
    <w:rsid w:val="0AE329CD"/>
    <w:rsid w:val="0AE7322D"/>
    <w:rsid w:val="0AED5A58"/>
    <w:rsid w:val="0AEE773B"/>
    <w:rsid w:val="0AEF732F"/>
    <w:rsid w:val="0AF04CA8"/>
    <w:rsid w:val="0AF646A7"/>
    <w:rsid w:val="0AF7109E"/>
    <w:rsid w:val="0AFA5870"/>
    <w:rsid w:val="0AFC278C"/>
    <w:rsid w:val="0AFF50A2"/>
    <w:rsid w:val="0B00715F"/>
    <w:rsid w:val="0B025AF2"/>
    <w:rsid w:val="0B051648"/>
    <w:rsid w:val="0B103C02"/>
    <w:rsid w:val="0B120D44"/>
    <w:rsid w:val="0B187B0D"/>
    <w:rsid w:val="0B350134"/>
    <w:rsid w:val="0B362C1B"/>
    <w:rsid w:val="0B4243C3"/>
    <w:rsid w:val="0B461923"/>
    <w:rsid w:val="0B4D4367"/>
    <w:rsid w:val="0B4F3554"/>
    <w:rsid w:val="0B4F3826"/>
    <w:rsid w:val="0B6146E8"/>
    <w:rsid w:val="0B672866"/>
    <w:rsid w:val="0B6F5436"/>
    <w:rsid w:val="0B6F7F34"/>
    <w:rsid w:val="0B740D2C"/>
    <w:rsid w:val="0B8D0272"/>
    <w:rsid w:val="0B910C34"/>
    <w:rsid w:val="0B937051"/>
    <w:rsid w:val="0B947433"/>
    <w:rsid w:val="0BA453E9"/>
    <w:rsid w:val="0BA8509D"/>
    <w:rsid w:val="0BAB2FEB"/>
    <w:rsid w:val="0BB66088"/>
    <w:rsid w:val="0BB84DE3"/>
    <w:rsid w:val="0BBC1554"/>
    <w:rsid w:val="0BBD0942"/>
    <w:rsid w:val="0BBE48C4"/>
    <w:rsid w:val="0BBE57E7"/>
    <w:rsid w:val="0BC91616"/>
    <w:rsid w:val="0BD022DB"/>
    <w:rsid w:val="0BD236E8"/>
    <w:rsid w:val="0BD27BF6"/>
    <w:rsid w:val="0BD87766"/>
    <w:rsid w:val="0BE62047"/>
    <w:rsid w:val="0BE65DF4"/>
    <w:rsid w:val="0BEA1DB8"/>
    <w:rsid w:val="0BEE24D0"/>
    <w:rsid w:val="0BF044B1"/>
    <w:rsid w:val="0C04583F"/>
    <w:rsid w:val="0C2304BC"/>
    <w:rsid w:val="0C244635"/>
    <w:rsid w:val="0C2F0BF3"/>
    <w:rsid w:val="0C397C0A"/>
    <w:rsid w:val="0C3B3C7D"/>
    <w:rsid w:val="0C407A56"/>
    <w:rsid w:val="0C41513A"/>
    <w:rsid w:val="0C452BB4"/>
    <w:rsid w:val="0C462A89"/>
    <w:rsid w:val="0C475927"/>
    <w:rsid w:val="0C5C05C2"/>
    <w:rsid w:val="0C621E43"/>
    <w:rsid w:val="0C632FA1"/>
    <w:rsid w:val="0C665099"/>
    <w:rsid w:val="0C694B1A"/>
    <w:rsid w:val="0C7053BE"/>
    <w:rsid w:val="0C707BBF"/>
    <w:rsid w:val="0C735423"/>
    <w:rsid w:val="0C744A9E"/>
    <w:rsid w:val="0C766008"/>
    <w:rsid w:val="0C76739A"/>
    <w:rsid w:val="0C776A4C"/>
    <w:rsid w:val="0C813F94"/>
    <w:rsid w:val="0C816873"/>
    <w:rsid w:val="0C877CF9"/>
    <w:rsid w:val="0C89563F"/>
    <w:rsid w:val="0C8F0F5D"/>
    <w:rsid w:val="0C922F74"/>
    <w:rsid w:val="0C957BBA"/>
    <w:rsid w:val="0C9910B8"/>
    <w:rsid w:val="0CA0395D"/>
    <w:rsid w:val="0CA16CF8"/>
    <w:rsid w:val="0CA328A8"/>
    <w:rsid w:val="0CA804E5"/>
    <w:rsid w:val="0CAB2EAE"/>
    <w:rsid w:val="0CC8768B"/>
    <w:rsid w:val="0CCE1D02"/>
    <w:rsid w:val="0CD1281C"/>
    <w:rsid w:val="0CD204B9"/>
    <w:rsid w:val="0CD35397"/>
    <w:rsid w:val="0CE045F1"/>
    <w:rsid w:val="0CE06091"/>
    <w:rsid w:val="0CE23B7B"/>
    <w:rsid w:val="0CE3051E"/>
    <w:rsid w:val="0CE426D0"/>
    <w:rsid w:val="0CE7442C"/>
    <w:rsid w:val="0CF530DC"/>
    <w:rsid w:val="0CF54541"/>
    <w:rsid w:val="0CF74635"/>
    <w:rsid w:val="0CFB514F"/>
    <w:rsid w:val="0D014F54"/>
    <w:rsid w:val="0D02335B"/>
    <w:rsid w:val="0D031452"/>
    <w:rsid w:val="0D0458C0"/>
    <w:rsid w:val="0D135879"/>
    <w:rsid w:val="0D166031"/>
    <w:rsid w:val="0D1A60B3"/>
    <w:rsid w:val="0D1E1110"/>
    <w:rsid w:val="0D231335"/>
    <w:rsid w:val="0D240982"/>
    <w:rsid w:val="0D2567F3"/>
    <w:rsid w:val="0D262AAC"/>
    <w:rsid w:val="0D340C0D"/>
    <w:rsid w:val="0D344206"/>
    <w:rsid w:val="0D35183F"/>
    <w:rsid w:val="0D354D97"/>
    <w:rsid w:val="0D3B7BAE"/>
    <w:rsid w:val="0D3F53E9"/>
    <w:rsid w:val="0D4C7ED9"/>
    <w:rsid w:val="0D58062B"/>
    <w:rsid w:val="0D586B0A"/>
    <w:rsid w:val="0D5A1E5E"/>
    <w:rsid w:val="0D5A6F47"/>
    <w:rsid w:val="0D621ACA"/>
    <w:rsid w:val="0D621C7D"/>
    <w:rsid w:val="0D690A8B"/>
    <w:rsid w:val="0D6C2329"/>
    <w:rsid w:val="0D7337A0"/>
    <w:rsid w:val="0D7F13F6"/>
    <w:rsid w:val="0D841BC8"/>
    <w:rsid w:val="0D8515CD"/>
    <w:rsid w:val="0D8A1300"/>
    <w:rsid w:val="0D8B01EB"/>
    <w:rsid w:val="0D8B2713"/>
    <w:rsid w:val="0D8F2CAE"/>
    <w:rsid w:val="0D91712E"/>
    <w:rsid w:val="0D9E22F8"/>
    <w:rsid w:val="0DA259CC"/>
    <w:rsid w:val="0DA6512F"/>
    <w:rsid w:val="0DA66037"/>
    <w:rsid w:val="0DA923F5"/>
    <w:rsid w:val="0DAF1ED7"/>
    <w:rsid w:val="0DB31D06"/>
    <w:rsid w:val="0DB512B5"/>
    <w:rsid w:val="0DBC0BE1"/>
    <w:rsid w:val="0DBE5170"/>
    <w:rsid w:val="0DBE5D43"/>
    <w:rsid w:val="0DC37C2D"/>
    <w:rsid w:val="0DD235BB"/>
    <w:rsid w:val="0DD560DC"/>
    <w:rsid w:val="0DDC0B5D"/>
    <w:rsid w:val="0DF114B4"/>
    <w:rsid w:val="0DF711C2"/>
    <w:rsid w:val="0DFD245E"/>
    <w:rsid w:val="0E012E7C"/>
    <w:rsid w:val="0E046337"/>
    <w:rsid w:val="0E097C36"/>
    <w:rsid w:val="0E0B2B80"/>
    <w:rsid w:val="0E0B48D0"/>
    <w:rsid w:val="0E0D259E"/>
    <w:rsid w:val="0E176E67"/>
    <w:rsid w:val="0E1A7C9F"/>
    <w:rsid w:val="0E22392A"/>
    <w:rsid w:val="0E252C04"/>
    <w:rsid w:val="0E2C23ED"/>
    <w:rsid w:val="0E2D232A"/>
    <w:rsid w:val="0E323572"/>
    <w:rsid w:val="0E34673F"/>
    <w:rsid w:val="0E394432"/>
    <w:rsid w:val="0E457ADE"/>
    <w:rsid w:val="0E462A73"/>
    <w:rsid w:val="0E476DBB"/>
    <w:rsid w:val="0E484B44"/>
    <w:rsid w:val="0E4C695B"/>
    <w:rsid w:val="0E50137D"/>
    <w:rsid w:val="0E5A03D3"/>
    <w:rsid w:val="0E5C4B60"/>
    <w:rsid w:val="0E5E03FD"/>
    <w:rsid w:val="0E62693A"/>
    <w:rsid w:val="0E6656E2"/>
    <w:rsid w:val="0E675955"/>
    <w:rsid w:val="0E711C4E"/>
    <w:rsid w:val="0E73034D"/>
    <w:rsid w:val="0E74112A"/>
    <w:rsid w:val="0E75312F"/>
    <w:rsid w:val="0E7755D6"/>
    <w:rsid w:val="0E792D8D"/>
    <w:rsid w:val="0E7C4DA5"/>
    <w:rsid w:val="0E804750"/>
    <w:rsid w:val="0E832B92"/>
    <w:rsid w:val="0E880FBB"/>
    <w:rsid w:val="0E8A740A"/>
    <w:rsid w:val="0E8B3E9A"/>
    <w:rsid w:val="0E8F3759"/>
    <w:rsid w:val="0E947A72"/>
    <w:rsid w:val="0EA35740"/>
    <w:rsid w:val="0EB92892"/>
    <w:rsid w:val="0ECA4A2A"/>
    <w:rsid w:val="0ECA513F"/>
    <w:rsid w:val="0ED77B89"/>
    <w:rsid w:val="0EDB666C"/>
    <w:rsid w:val="0EDE1EA9"/>
    <w:rsid w:val="0EE53E81"/>
    <w:rsid w:val="0EE62B8D"/>
    <w:rsid w:val="0EE663A2"/>
    <w:rsid w:val="0EEE1B3A"/>
    <w:rsid w:val="0EEE291F"/>
    <w:rsid w:val="0EEE65D1"/>
    <w:rsid w:val="0F092F34"/>
    <w:rsid w:val="0F0A16BF"/>
    <w:rsid w:val="0F0B008D"/>
    <w:rsid w:val="0F0F0B6E"/>
    <w:rsid w:val="0F13611F"/>
    <w:rsid w:val="0F13775A"/>
    <w:rsid w:val="0F1814A2"/>
    <w:rsid w:val="0F2515AC"/>
    <w:rsid w:val="0F274554"/>
    <w:rsid w:val="0F350736"/>
    <w:rsid w:val="0F3B6FA1"/>
    <w:rsid w:val="0F3E26EF"/>
    <w:rsid w:val="0F4E618A"/>
    <w:rsid w:val="0F562252"/>
    <w:rsid w:val="0F5777A7"/>
    <w:rsid w:val="0F5F45FE"/>
    <w:rsid w:val="0F6634D4"/>
    <w:rsid w:val="0F681F62"/>
    <w:rsid w:val="0F6B4F5B"/>
    <w:rsid w:val="0F6B5442"/>
    <w:rsid w:val="0F6D0022"/>
    <w:rsid w:val="0F785573"/>
    <w:rsid w:val="0F7E3F06"/>
    <w:rsid w:val="0F7F0611"/>
    <w:rsid w:val="0F800564"/>
    <w:rsid w:val="0F84154D"/>
    <w:rsid w:val="0F86286B"/>
    <w:rsid w:val="0F8822ED"/>
    <w:rsid w:val="0F917478"/>
    <w:rsid w:val="0F99123B"/>
    <w:rsid w:val="0F9A112B"/>
    <w:rsid w:val="0F9B6FFB"/>
    <w:rsid w:val="0F9C42FF"/>
    <w:rsid w:val="0FA34C09"/>
    <w:rsid w:val="0FA87A47"/>
    <w:rsid w:val="0FAC6EB2"/>
    <w:rsid w:val="0FB27CEF"/>
    <w:rsid w:val="0FB7050F"/>
    <w:rsid w:val="0FBB46C6"/>
    <w:rsid w:val="0FC70C1C"/>
    <w:rsid w:val="0FCC0826"/>
    <w:rsid w:val="0FD542EE"/>
    <w:rsid w:val="0FDC3796"/>
    <w:rsid w:val="0FDC3AB9"/>
    <w:rsid w:val="0FDE64D0"/>
    <w:rsid w:val="0FED0424"/>
    <w:rsid w:val="0FED7E9D"/>
    <w:rsid w:val="0FF612FA"/>
    <w:rsid w:val="0FFC77C1"/>
    <w:rsid w:val="10005C5A"/>
    <w:rsid w:val="100971BB"/>
    <w:rsid w:val="100E60EB"/>
    <w:rsid w:val="101C5030"/>
    <w:rsid w:val="102063EC"/>
    <w:rsid w:val="10217E7A"/>
    <w:rsid w:val="10286979"/>
    <w:rsid w:val="10327B05"/>
    <w:rsid w:val="10376492"/>
    <w:rsid w:val="103E112D"/>
    <w:rsid w:val="10437371"/>
    <w:rsid w:val="104650B3"/>
    <w:rsid w:val="1047346F"/>
    <w:rsid w:val="104878DF"/>
    <w:rsid w:val="104B2014"/>
    <w:rsid w:val="105C29C8"/>
    <w:rsid w:val="105E1622"/>
    <w:rsid w:val="105E7D29"/>
    <w:rsid w:val="106144DC"/>
    <w:rsid w:val="10640022"/>
    <w:rsid w:val="106813D6"/>
    <w:rsid w:val="106D2F64"/>
    <w:rsid w:val="106F481F"/>
    <w:rsid w:val="10725EA8"/>
    <w:rsid w:val="10872F43"/>
    <w:rsid w:val="1087300A"/>
    <w:rsid w:val="10896C2E"/>
    <w:rsid w:val="108E092B"/>
    <w:rsid w:val="10963273"/>
    <w:rsid w:val="10980054"/>
    <w:rsid w:val="109841C6"/>
    <w:rsid w:val="109B53FF"/>
    <w:rsid w:val="109B74C8"/>
    <w:rsid w:val="109F7408"/>
    <w:rsid w:val="10A032FB"/>
    <w:rsid w:val="10A235FC"/>
    <w:rsid w:val="10A75AA5"/>
    <w:rsid w:val="10AC42D1"/>
    <w:rsid w:val="10AD2C4D"/>
    <w:rsid w:val="10B222FA"/>
    <w:rsid w:val="10B251C0"/>
    <w:rsid w:val="10B63710"/>
    <w:rsid w:val="10B71946"/>
    <w:rsid w:val="10C0430C"/>
    <w:rsid w:val="10CA706C"/>
    <w:rsid w:val="10CB3188"/>
    <w:rsid w:val="10D34332"/>
    <w:rsid w:val="10D67BD6"/>
    <w:rsid w:val="10D87E2C"/>
    <w:rsid w:val="10DB6A5E"/>
    <w:rsid w:val="10DC4F4B"/>
    <w:rsid w:val="10E10DEB"/>
    <w:rsid w:val="10F10820"/>
    <w:rsid w:val="10F13D5F"/>
    <w:rsid w:val="10F8456A"/>
    <w:rsid w:val="11086FA5"/>
    <w:rsid w:val="110B1F80"/>
    <w:rsid w:val="11130C98"/>
    <w:rsid w:val="11137C70"/>
    <w:rsid w:val="111B3CCC"/>
    <w:rsid w:val="111C2F7A"/>
    <w:rsid w:val="11286D73"/>
    <w:rsid w:val="113061BD"/>
    <w:rsid w:val="113B5AF2"/>
    <w:rsid w:val="114A1E92"/>
    <w:rsid w:val="11512669"/>
    <w:rsid w:val="11555202"/>
    <w:rsid w:val="115B4B8E"/>
    <w:rsid w:val="11632973"/>
    <w:rsid w:val="11665CA1"/>
    <w:rsid w:val="11685986"/>
    <w:rsid w:val="116E0688"/>
    <w:rsid w:val="116F6C37"/>
    <w:rsid w:val="11780D18"/>
    <w:rsid w:val="11793797"/>
    <w:rsid w:val="117E0328"/>
    <w:rsid w:val="11881550"/>
    <w:rsid w:val="118C7C02"/>
    <w:rsid w:val="11A54207"/>
    <w:rsid w:val="11A6211D"/>
    <w:rsid w:val="11A71676"/>
    <w:rsid w:val="11AA6E28"/>
    <w:rsid w:val="11B101D7"/>
    <w:rsid w:val="11BC2E83"/>
    <w:rsid w:val="11BF757E"/>
    <w:rsid w:val="11C3320D"/>
    <w:rsid w:val="11C36C8B"/>
    <w:rsid w:val="11CA0B96"/>
    <w:rsid w:val="11CD38A7"/>
    <w:rsid w:val="11D96B6A"/>
    <w:rsid w:val="11DD05A6"/>
    <w:rsid w:val="11DD4363"/>
    <w:rsid w:val="11DF3777"/>
    <w:rsid w:val="11E146E6"/>
    <w:rsid w:val="11E21C31"/>
    <w:rsid w:val="11E535B2"/>
    <w:rsid w:val="11E60A2E"/>
    <w:rsid w:val="11E9219A"/>
    <w:rsid w:val="11EF61A6"/>
    <w:rsid w:val="11F3659B"/>
    <w:rsid w:val="11F501DD"/>
    <w:rsid w:val="11F57279"/>
    <w:rsid w:val="11F80765"/>
    <w:rsid w:val="11FE0C4A"/>
    <w:rsid w:val="12024E68"/>
    <w:rsid w:val="12050EDB"/>
    <w:rsid w:val="12114A0E"/>
    <w:rsid w:val="12147BCF"/>
    <w:rsid w:val="12165182"/>
    <w:rsid w:val="12187DEF"/>
    <w:rsid w:val="122E0DF0"/>
    <w:rsid w:val="1230070B"/>
    <w:rsid w:val="12313DCF"/>
    <w:rsid w:val="1233783F"/>
    <w:rsid w:val="123E6565"/>
    <w:rsid w:val="12403850"/>
    <w:rsid w:val="124725DD"/>
    <w:rsid w:val="124C6D81"/>
    <w:rsid w:val="125910CE"/>
    <w:rsid w:val="125A32B3"/>
    <w:rsid w:val="126B3023"/>
    <w:rsid w:val="12720089"/>
    <w:rsid w:val="127717D4"/>
    <w:rsid w:val="127740BA"/>
    <w:rsid w:val="12825666"/>
    <w:rsid w:val="12840A4C"/>
    <w:rsid w:val="128A341A"/>
    <w:rsid w:val="128D7F54"/>
    <w:rsid w:val="12951BF0"/>
    <w:rsid w:val="12992D30"/>
    <w:rsid w:val="129C7A07"/>
    <w:rsid w:val="12A44C9E"/>
    <w:rsid w:val="12A470E3"/>
    <w:rsid w:val="12AD296B"/>
    <w:rsid w:val="12B21D79"/>
    <w:rsid w:val="12B80C61"/>
    <w:rsid w:val="12BC2320"/>
    <w:rsid w:val="12BD40D5"/>
    <w:rsid w:val="12C25864"/>
    <w:rsid w:val="12C35319"/>
    <w:rsid w:val="12C444A5"/>
    <w:rsid w:val="12D4406A"/>
    <w:rsid w:val="12D7148B"/>
    <w:rsid w:val="12D92491"/>
    <w:rsid w:val="12DE3FFF"/>
    <w:rsid w:val="12E016E7"/>
    <w:rsid w:val="12E558F2"/>
    <w:rsid w:val="12EE4983"/>
    <w:rsid w:val="12F85A9B"/>
    <w:rsid w:val="130303F4"/>
    <w:rsid w:val="13060840"/>
    <w:rsid w:val="1306158E"/>
    <w:rsid w:val="1307412A"/>
    <w:rsid w:val="130A63E1"/>
    <w:rsid w:val="130B7EEE"/>
    <w:rsid w:val="130F3E82"/>
    <w:rsid w:val="13116EE4"/>
    <w:rsid w:val="13145B62"/>
    <w:rsid w:val="131479B0"/>
    <w:rsid w:val="13242ADE"/>
    <w:rsid w:val="132D007C"/>
    <w:rsid w:val="133559AB"/>
    <w:rsid w:val="13376489"/>
    <w:rsid w:val="133864A2"/>
    <w:rsid w:val="13404AE5"/>
    <w:rsid w:val="13411EEC"/>
    <w:rsid w:val="134173EF"/>
    <w:rsid w:val="13466646"/>
    <w:rsid w:val="135172F3"/>
    <w:rsid w:val="13564D6E"/>
    <w:rsid w:val="13567904"/>
    <w:rsid w:val="13580BCE"/>
    <w:rsid w:val="13624BC8"/>
    <w:rsid w:val="13702641"/>
    <w:rsid w:val="1374485D"/>
    <w:rsid w:val="137B23F3"/>
    <w:rsid w:val="137E41E2"/>
    <w:rsid w:val="137F3DEE"/>
    <w:rsid w:val="13815793"/>
    <w:rsid w:val="138168C9"/>
    <w:rsid w:val="1382607E"/>
    <w:rsid w:val="13835F19"/>
    <w:rsid w:val="13854144"/>
    <w:rsid w:val="13896923"/>
    <w:rsid w:val="138E3C19"/>
    <w:rsid w:val="13910E76"/>
    <w:rsid w:val="13930C98"/>
    <w:rsid w:val="13930D58"/>
    <w:rsid w:val="139347E4"/>
    <w:rsid w:val="13944F96"/>
    <w:rsid w:val="13951726"/>
    <w:rsid w:val="13961FEB"/>
    <w:rsid w:val="13992B16"/>
    <w:rsid w:val="139C7980"/>
    <w:rsid w:val="13A340EA"/>
    <w:rsid w:val="13A52826"/>
    <w:rsid w:val="13A70F4A"/>
    <w:rsid w:val="13B12B9D"/>
    <w:rsid w:val="13B50EFD"/>
    <w:rsid w:val="13B84573"/>
    <w:rsid w:val="13BF0A50"/>
    <w:rsid w:val="13BF7814"/>
    <w:rsid w:val="13C1041D"/>
    <w:rsid w:val="13C60E07"/>
    <w:rsid w:val="13CB1562"/>
    <w:rsid w:val="13CB3911"/>
    <w:rsid w:val="13CD13F7"/>
    <w:rsid w:val="13D44784"/>
    <w:rsid w:val="13D65D10"/>
    <w:rsid w:val="13DD7ADC"/>
    <w:rsid w:val="13E76BAD"/>
    <w:rsid w:val="13E93E27"/>
    <w:rsid w:val="13EB4C3E"/>
    <w:rsid w:val="13F83926"/>
    <w:rsid w:val="14026DC9"/>
    <w:rsid w:val="140B54E5"/>
    <w:rsid w:val="140E05A4"/>
    <w:rsid w:val="14100329"/>
    <w:rsid w:val="1414727D"/>
    <w:rsid w:val="14205BC6"/>
    <w:rsid w:val="14281871"/>
    <w:rsid w:val="142851FC"/>
    <w:rsid w:val="142A768D"/>
    <w:rsid w:val="143636EB"/>
    <w:rsid w:val="14381006"/>
    <w:rsid w:val="14396509"/>
    <w:rsid w:val="144A37AD"/>
    <w:rsid w:val="144B45B8"/>
    <w:rsid w:val="144D546B"/>
    <w:rsid w:val="144F780E"/>
    <w:rsid w:val="144F7D42"/>
    <w:rsid w:val="14501FC4"/>
    <w:rsid w:val="145204CA"/>
    <w:rsid w:val="14546E50"/>
    <w:rsid w:val="146523C4"/>
    <w:rsid w:val="14690D20"/>
    <w:rsid w:val="147118B3"/>
    <w:rsid w:val="147A6F4C"/>
    <w:rsid w:val="147D6AD9"/>
    <w:rsid w:val="14801713"/>
    <w:rsid w:val="148770D3"/>
    <w:rsid w:val="14896321"/>
    <w:rsid w:val="14976355"/>
    <w:rsid w:val="1498747E"/>
    <w:rsid w:val="14994548"/>
    <w:rsid w:val="149C7998"/>
    <w:rsid w:val="14A07AB6"/>
    <w:rsid w:val="14A5006C"/>
    <w:rsid w:val="14AB1224"/>
    <w:rsid w:val="14B04E16"/>
    <w:rsid w:val="14B662CD"/>
    <w:rsid w:val="14C474D3"/>
    <w:rsid w:val="14C5353F"/>
    <w:rsid w:val="14CA0061"/>
    <w:rsid w:val="14CF1B1B"/>
    <w:rsid w:val="14D35F6D"/>
    <w:rsid w:val="14D966DB"/>
    <w:rsid w:val="14DC4D5D"/>
    <w:rsid w:val="14DD2C3C"/>
    <w:rsid w:val="14E228EA"/>
    <w:rsid w:val="14E46170"/>
    <w:rsid w:val="14E772B0"/>
    <w:rsid w:val="14F00199"/>
    <w:rsid w:val="14F96310"/>
    <w:rsid w:val="14FF0BA8"/>
    <w:rsid w:val="15023B22"/>
    <w:rsid w:val="15060374"/>
    <w:rsid w:val="150C36EA"/>
    <w:rsid w:val="150D2643"/>
    <w:rsid w:val="15155645"/>
    <w:rsid w:val="1517574D"/>
    <w:rsid w:val="151D146F"/>
    <w:rsid w:val="15216920"/>
    <w:rsid w:val="152543B4"/>
    <w:rsid w:val="15260B17"/>
    <w:rsid w:val="15295C6A"/>
    <w:rsid w:val="15322DFA"/>
    <w:rsid w:val="15366941"/>
    <w:rsid w:val="153F0AE0"/>
    <w:rsid w:val="15401E88"/>
    <w:rsid w:val="15495DE5"/>
    <w:rsid w:val="154D1EF6"/>
    <w:rsid w:val="155516D9"/>
    <w:rsid w:val="15596485"/>
    <w:rsid w:val="155A55A8"/>
    <w:rsid w:val="155C4FF5"/>
    <w:rsid w:val="155C713F"/>
    <w:rsid w:val="155E684D"/>
    <w:rsid w:val="1561649E"/>
    <w:rsid w:val="15632462"/>
    <w:rsid w:val="1569643B"/>
    <w:rsid w:val="156A4139"/>
    <w:rsid w:val="15750BB6"/>
    <w:rsid w:val="15755586"/>
    <w:rsid w:val="157707B1"/>
    <w:rsid w:val="15895F3E"/>
    <w:rsid w:val="158E58C1"/>
    <w:rsid w:val="15900E7A"/>
    <w:rsid w:val="15980AB1"/>
    <w:rsid w:val="15985102"/>
    <w:rsid w:val="159851F9"/>
    <w:rsid w:val="15997A33"/>
    <w:rsid w:val="159E76D5"/>
    <w:rsid w:val="15A2249F"/>
    <w:rsid w:val="15A47596"/>
    <w:rsid w:val="15A77268"/>
    <w:rsid w:val="15B00AE5"/>
    <w:rsid w:val="15B02658"/>
    <w:rsid w:val="15B80AE4"/>
    <w:rsid w:val="15BE7433"/>
    <w:rsid w:val="15CA14E2"/>
    <w:rsid w:val="15CB6B0A"/>
    <w:rsid w:val="15CD77D3"/>
    <w:rsid w:val="15D45A83"/>
    <w:rsid w:val="15D53D40"/>
    <w:rsid w:val="15DD2016"/>
    <w:rsid w:val="15DE69E2"/>
    <w:rsid w:val="15E05662"/>
    <w:rsid w:val="15E9548D"/>
    <w:rsid w:val="15ED543C"/>
    <w:rsid w:val="15F50E00"/>
    <w:rsid w:val="15F75240"/>
    <w:rsid w:val="15F93F0A"/>
    <w:rsid w:val="15FD6CDA"/>
    <w:rsid w:val="15FE6059"/>
    <w:rsid w:val="16012553"/>
    <w:rsid w:val="160178D5"/>
    <w:rsid w:val="16033967"/>
    <w:rsid w:val="16062AC6"/>
    <w:rsid w:val="16087E1D"/>
    <w:rsid w:val="16135D94"/>
    <w:rsid w:val="161C0DB9"/>
    <w:rsid w:val="161D0E90"/>
    <w:rsid w:val="161D611C"/>
    <w:rsid w:val="161E5DAB"/>
    <w:rsid w:val="16204625"/>
    <w:rsid w:val="162716C3"/>
    <w:rsid w:val="16283ABA"/>
    <w:rsid w:val="163037C2"/>
    <w:rsid w:val="16304480"/>
    <w:rsid w:val="16327204"/>
    <w:rsid w:val="16360EC7"/>
    <w:rsid w:val="16362253"/>
    <w:rsid w:val="1641625E"/>
    <w:rsid w:val="165035AB"/>
    <w:rsid w:val="165E2AC2"/>
    <w:rsid w:val="1672329C"/>
    <w:rsid w:val="16764E5D"/>
    <w:rsid w:val="167A2AA7"/>
    <w:rsid w:val="167C07E9"/>
    <w:rsid w:val="167C6CFB"/>
    <w:rsid w:val="167E6DC4"/>
    <w:rsid w:val="16806CF3"/>
    <w:rsid w:val="16827290"/>
    <w:rsid w:val="16834689"/>
    <w:rsid w:val="16874F3C"/>
    <w:rsid w:val="168A0B6A"/>
    <w:rsid w:val="168F4FC6"/>
    <w:rsid w:val="16902BF3"/>
    <w:rsid w:val="16903EC7"/>
    <w:rsid w:val="169040FC"/>
    <w:rsid w:val="169058A8"/>
    <w:rsid w:val="169C3756"/>
    <w:rsid w:val="16A064EA"/>
    <w:rsid w:val="16A06DE7"/>
    <w:rsid w:val="16A2215D"/>
    <w:rsid w:val="16A36B8B"/>
    <w:rsid w:val="16A9014A"/>
    <w:rsid w:val="16A9130C"/>
    <w:rsid w:val="16AA2F6E"/>
    <w:rsid w:val="16B066AB"/>
    <w:rsid w:val="16BC3C96"/>
    <w:rsid w:val="16C81358"/>
    <w:rsid w:val="16C81B8C"/>
    <w:rsid w:val="16D21EC3"/>
    <w:rsid w:val="16D424A8"/>
    <w:rsid w:val="16D431CA"/>
    <w:rsid w:val="16D66363"/>
    <w:rsid w:val="16DE1BA1"/>
    <w:rsid w:val="16DF2544"/>
    <w:rsid w:val="16E16394"/>
    <w:rsid w:val="16F05D79"/>
    <w:rsid w:val="16F06F6C"/>
    <w:rsid w:val="16F719C5"/>
    <w:rsid w:val="16F869F9"/>
    <w:rsid w:val="16FA51F0"/>
    <w:rsid w:val="16FB5385"/>
    <w:rsid w:val="17057DAB"/>
    <w:rsid w:val="170A2A05"/>
    <w:rsid w:val="171310E4"/>
    <w:rsid w:val="1713284A"/>
    <w:rsid w:val="171B1AA9"/>
    <w:rsid w:val="171E188B"/>
    <w:rsid w:val="17231CAA"/>
    <w:rsid w:val="1729078F"/>
    <w:rsid w:val="172E0A4B"/>
    <w:rsid w:val="1731373A"/>
    <w:rsid w:val="173A52B0"/>
    <w:rsid w:val="173E6AE4"/>
    <w:rsid w:val="17437EA4"/>
    <w:rsid w:val="17474610"/>
    <w:rsid w:val="174D5A93"/>
    <w:rsid w:val="174F08C3"/>
    <w:rsid w:val="17580B07"/>
    <w:rsid w:val="175868CD"/>
    <w:rsid w:val="1759734C"/>
    <w:rsid w:val="175E5886"/>
    <w:rsid w:val="176A6B8C"/>
    <w:rsid w:val="176B60B4"/>
    <w:rsid w:val="176B64FB"/>
    <w:rsid w:val="17701D14"/>
    <w:rsid w:val="17723C15"/>
    <w:rsid w:val="17735226"/>
    <w:rsid w:val="17740758"/>
    <w:rsid w:val="177C0784"/>
    <w:rsid w:val="17832749"/>
    <w:rsid w:val="17884C82"/>
    <w:rsid w:val="178F24BA"/>
    <w:rsid w:val="1794440C"/>
    <w:rsid w:val="17954610"/>
    <w:rsid w:val="179C0B6F"/>
    <w:rsid w:val="179C49C1"/>
    <w:rsid w:val="179E3AB1"/>
    <w:rsid w:val="17A56B63"/>
    <w:rsid w:val="17B17E8E"/>
    <w:rsid w:val="17BA0B20"/>
    <w:rsid w:val="17BA733C"/>
    <w:rsid w:val="17BC319C"/>
    <w:rsid w:val="17C6259A"/>
    <w:rsid w:val="17CD348C"/>
    <w:rsid w:val="17D40AAF"/>
    <w:rsid w:val="17D44091"/>
    <w:rsid w:val="17D660AB"/>
    <w:rsid w:val="17D97FBC"/>
    <w:rsid w:val="17DF3A83"/>
    <w:rsid w:val="17E25DBF"/>
    <w:rsid w:val="17E47156"/>
    <w:rsid w:val="17E841AD"/>
    <w:rsid w:val="17EF67A5"/>
    <w:rsid w:val="17F33BCF"/>
    <w:rsid w:val="17F62AE1"/>
    <w:rsid w:val="17FC25E9"/>
    <w:rsid w:val="17FF734C"/>
    <w:rsid w:val="18025FB9"/>
    <w:rsid w:val="180428EC"/>
    <w:rsid w:val="18045DCA"/>
    <w:rsid w:val="180A0D7A"/>
    <w:rsid w:val="180F417F"/>
    <w:rsid w:val="180F46A9"/>
    <w:rsid w:val="1811244B"/>
    <w:rsid w:val="18262714"/>
    <w:rsid w:val="18267CA4"/>
    <w:rsid w:val="182D138A"/>
    <w:rsid w:val="18311CA6"/>
    <w:rsid w:val="18331198"/>
    <w:rsid w:val="1840451E"/>
    <w:rsid w:val="185031EA"/>
    <w:rsid w:val="185248EB"/>
    <w:rsid w:val="1852590F"/>
    <w:rsid w:val="185D1C5F"/>
    <w:rsid w:val="187576F6"/>
    <w:rsid w:val="187C1837"/>
    <w:rsid w:val="188327A1"/>
    <w:rsid w:val="188D1AD1"/>
    <w:rsid w:val="18946D9B"/>
    <w:rsid w:val="189C2FE9"/>
    <w:rsid w:val="189F624C"/>
    <w:rsid w:val="189F7AD2"/>
    <w:rsid w:val="18A76896"/>
    <w:rsid w:val="18AD06AA"/>
    <w:rsid w:val="18AD747B"/>
    <w:rsid w:val="18B54290"/>
    <w:rsid w:val="18B851E2"/>
    <w:rsid w:val="18C013BF"/>
    <w:rsid w:val="18C1380B"/>
    <w:rsid w:val="18CA7323"/>
    <w:rsid w:val="18CB1570"/>
    <w:rsid w:val="18CD3B8D"/>
    <w:rsid w:val="18DA283C"/>
    <w:rsid w:val="18DA7A5B"/>
    <w:rsid w:val="18E54002"/>
    <w:rsid w:val="18E85BFC"/>
    <w:rsid w:val="18EB46DF"/>
    <w:rsid w:val="18F075F0"/>
    <w:rsid w:val="18F46799"/>
    <w:rsid w:val="18FC2805"/>
    <w:rsid w:val="18FD02E8"/>
    <w:rsid w:val="19017E7F"/>
    <w:rsid w:val="190749B7"/>
    <w:rsid w:val="190D67B4"/>
    <w:rsid w:val="190F470D"/>
    <w:rsid w:val="191915B7"/>
    <w:rsid w:val="19261AF3"/>
    <w:rsid w:val="1927352B"/>
    <w:rsid w:val="1930275E"/>
    <w:rsid w:val="193A0341"/>
    <w:rsid w:val="194160A8"/>
    <w:rsid w:val="1946783D"/>
    <w:rsid w:val="194960BC"/>
    <w:rsid w:val="194D07CD"/>
    <w:rsid w:val="195D63ED"/>
    <w:rsid w:val="19601E93"/>
    <w:rsid w:val="19616ABA"/>
    <w:rsid w:val="19762565"/>
    <w:rsid w:val="19783129"/>
    <w:rsid w:val="19793B2B"/>
    <w:rsid w:val="19977261"/>
    <w:rsid w:val="19AB5200"/>
    <w:rsid w:val="19B25957"/>
    <w:rsid w:val="19BB22F8"/>
    <w:rsid w:val="19C04C03"/>
    <w:rsid w:val="19C95E82"/>
    <w:rsid w:val="19CB140A"/>
    <w:rsid w:val="19CB24F2"/>
    <w:rsid w:val="19D0486B"/>
    <w:rsid w:val="19D761CE"/>
    <w:rsid w:val="19DD0E67"/>
    <w:rsid w:val="19DE7E05"/>
    <w:rsid w:val="19E06CA3"/>
    <w:rsid w:val="19E42BC5"/>
    <w:rsid w:val="19ED5133"/>
    <w:rsid w:val="19EF2779"/>
    <w:rsid w:val="19FE2110"/>
    <w:rsid w:val="1A011017"/>
    <w:rsid w:val="1A032819"/>
    <w:rsid w:val="1A0348EE"/>
    <w:rsid w:val="1A1670E6"/>
    <w:rsid w:val="1A1B0A06"/>
    <w:rsid w:val="1A1C66C0"/>
    <w:rsid w:val="1A22498A"/>
    <w:rsid w:val="1A2877F8"/>
    <w:rsid w:val="1A2937C2"/>
    <w:rsid w:val="1A3345AB"/>
    <w:rsid w:val="1A3D4858"/>
    <w:rsid w:val="1A3E0B70"/>
    <w:rsid w:val="1A3E514B"/>
    <w:rsid w:val="1A400CB2"/>
    <w:rsid w:val="1A410359"/>
    <w:rsid w:val="1A42393B"/>
    <w:rsid w:val="1A433B22"/>
    <w:rsid w:val="1A513653"/>
    <w:rsid w:val="1A574E81"/>
    <w:rsid w:val="1A5C641B"/>
    <w:rsid w:val="1A615CBD"/>
    <w:rsid w:val="1A6A2D33"/>
    <w:rsid w:val="1A6B7679"/>
    <w:rsid w:val="1A700C76"/>
    <w:rsid w:val="1A732425"/>
    <w:rsid w:val="1A7563FC"/>
    <w:rsid w:val="1A7B6496"/>
    <w:rsid w:val="1A85626F"/>
    <w:rsid w:val="1A861EE1"/>
    <w:rsid w:val="1A8B5B34"/>
    <w:rsid w:val="1A8B6110"/>
    <w:rsid w:val="1A8E4080"/>
    <w:rsid w:val="1A960E3C"/>
    <w:rsid w:val="1A9D4EA7"/>
    <w:rsid w:val="1A9D7606"/>
    <w:rsid w:val="1AA63A91"/>
    <w:rsid w:val="1AAD45DE"/>
    <w:rsid w:val="1AB02B31"/>
    <w:rsid w:val="1ACC3A43"/>
    <w:rsid w:val="1AD03B47"/>
    <w:rsid w:val="1AD44D0C"/>
    <w:rsid w:val="1AD51E33"/>
    <w:rsid w:val="1AD83591"/>
    <w:rsid w:val="1ADA4D76"/>
    <w:rsid w:val="1AEA141F"/>
    <w:rsid w:val="1AEB1D63"/>
    <w:rsid w:val="1AEB1FD2"/>
    <w:rsid w:val="1AED60B6"/>
    <w:rsid w:val="1AEE4050"/>
    <w:rsid w:val="1AF003A5"/>
    <w:rsid w:val="1B015740"/>
    <w:rsid w:val="1B046F80"/>
    <w:rsid w:val="1B076ECB"/>
    <w:rsid w:val="1B1821A3"/>
    <w:rsid w:val="1B1C0EEA"/>
    <w:rsid w:val="1B1D1E34"/>
    <w:rsid w:val="1B1D46EC"/>
    <w:rsid w:val="1B1F1CB4"/>
    <w:rsid w:val="1B221C9F"/>
    <w:rsid w:val="1B2747E3"/>
    <w:rsid w:val="1B297ED6"/>
    <w:rsid w:val="1B2E0674"/>
    <w:rsid w:val="1B305C40"/>
    <w:rsid w:val="1B3267B5"/>
    <w:rsid w:val="1B3554B2"/>
    <w:rsid w:val="1B363BEA"/>
    <w:rsid w:val="1B40161D"/>
    <w:rsid w:val="1B424F09"/>
    <w:rsid w:val="1B430B80"/>
    <w:rsid w:val="1B441859"/>
    <w:rsid w:val="1B59184B"/>
    <w:rsid w:val="1B6606B1"/>
    <w:rsid w:val="1B6607E6"/>
    <w:rsid w:val="1B761BB8"/>
    <w:rsid w:val="1B7626CE"/>
    <w:rsid w:val="1B7A3E63"/>
    <w:rsid w:val="1B7E160A"/>
    <w:rsid w:val="1B8B6070"/>
    <w:rsid w:val="1B8C79E3"/>
    <w:rsid w:val="1B8D108D"/>
    <w:rsid w:val="1B8D4C89"/>
    <w:rsid w:val="1B945762"/>
    <w:rsid w:val="1BA36622"/>
    <w:rsid w:val="1BA62EAA"/>
    <w:rsid w:val="1BA90D39"/>
    <w:rsid w:val="1BAB41C7"/>
    <w:rsid w:val="1BAD2CC2"/>
    <w:rsid w:val="1BAD58A1"/>
    <w:rsid w:val="1BAE0E4D"/>
    <w:rsid w:val="1BB33257"/>
    <w:rsid w:val="1BBE5379"/>
    <w:rsid w:val="1BC01517"/>
    <w:rsid w:val="1BCA112B"/>
    <w:rsid w:val="1BCD50DF"/>
    <w:rsid w:val="1BCE2D72"/>
    <w:rsid w:val="1BD313CC"/>
    <w:rsid w:val="1BDD58CF"/>
    <w:rsid w:val="1BE4767F"/>
    <w:rsid w:val="1BE757F0"/>
    <w:rsid w:val="1BE8536A"/>
    <w:rsid w:val="1BF14125"/>
    <w:rsid w:val="1BFF57C5"/>
    <w:rsid w:val="1C0C3C4A"/>
    <w:rsid w:val="1C127CD4"/>
    <w:rsid w:val="1C127D7C"/>
    <w:rsid w:val="1C146A72"/>
    <w:rsid w:val="1C171E2F"/>
    <w:rsid w:val="1C3212A1"/>
    <w:rsid w:val="1C3627ED"/>
    <w:rsid w:val="1C3944B6"/>
    <w:rsid w:val="1C3F0C7D"/>
    <w:rsid w:val="1C422E87"/>
    <w:rsid w:val="1C42341D"/>
    <w:rsid w:val="1C424981"/>
    <w:rsid w:val="1C44189B"/>
    <w:rsid w:val="1C4611B7"/>
    <w:rsid w:val="1C466032"/>
    <w:rsid w:val="1C466BE8"/>
    <w:rsid w:val="1C4B38A6"/>
    <w:rsid w:val="1C51122C"/>
    <w:rsid w:val="1C52613B"/>
    <w:rsid w:val="1C546D57"/>
    <w:rsid w:val="1C5A55B5"/>
    <w:rsid w:val="1C5E7925"/>
    <w:rsid w:val="1C6005E9"/>
    <w:rsid w:val="1C606CB6"/>
    <w:rsid w:val="1C640D9B"/>
    <w:rsid w:val="1C6A3D23"/>
    <w:rsid w:val="1C6C4820"/>
    <w:rsid w:val="1C74726C"/>
    <w:rsid w:val="1C782A63"/>
    <w:rsid w:val="1C790E08"/>
    <w:rsid w:val="1C794C2E"/>
    <w:rsid w:val="1C802D15"/>
    <w:rsid w:val="1C8037B0"/>
    <w:rsid w:val="1C8054A9"/>
    <w:rsid w:val="1C8925AF"/>
    <w:rsid w:val="1C8F4147"/>
    <w:rsid w:val="1C8F7B9A"/>
    <w:rsid w:val="1C902603"/>
    <w:rsid w:val="1C905A93"/>
    <w:rsid w:val="1C9F1965"/>
    <w:rsid w:val="1CB24F45"/>
    <w:rsid w:val="1CB2746B"/>
    <w:rsid w:val="1CB86F6A"/>
    <w:rsid w:val="1CB961DF"/>
    <w:rsid w:val="1CBA37A2"/>
    <w:rsid w:val="1CBB6D9C"/>
    <w:rsid w:val="1CC731BA"/>
    <w:rsid w:val="1CD1005C"/>
    <w:rsid w:val="1CD676F7"/>
    <w:rsid w:val="1CDD6DDD"/>
    <w:rsid w:val="1CE135D7"/>
    <w:rsid w:val="1CE3199E"/>
    <w:rsid w:val="1CE840C4"/>
    <w:rsid w:val="1CE974F2"/>
    <w:rsid w:val="1CF55700"/>
    <w:rsid w:val="1CF739BD"/>
    <w:rsid w:val="1CF923EA"/>
    <w:rsid w:val="1CFD070F"/>
    <w:rsid w:val="1CFE2A48"/>
    <w:rsid w:val="1CFE6F9A"/>
    <w:rsid w:val="1CFF58D7"/>
    <w:rsid w:val="1D037861"/>
    <w:rsid w:val="1D0419DC"/>
    <w:rsid w:val="1D0640F7"/>
    <w:rsid w:val="1D091AC0"/>
    <w:rsid w:val="1D0C45AE"/>
    <w:rsid w:val="1D0C4EF2"/>
    <w:rsid w:val="1D11438A"/>
    <w:rsid w:val="1D1524D4"/>
    <w:rsid w:val="1D1560FE"/>
    <w:rsid w:val="1D225CCC"/>
    <w:rsid w:val="1D2F35F9"/>
    <w:rsid w:val="1D411862"/>
    <w:rsid w:val="1D4665DA"/>
    <w:rsid w:val="1D493E36"/>
    <w:rsid w:val="1D5277E1"/>
    <w:rsid w:val="1D55655D"/>
    <w:rsid w:val="1D5714D2"/>
    <w:rsid w:val="1D592E3F"/>
    <w:rsid w:val="1D5F6196"/>
    <w:rsid w:val="1D6132A5"/>
    <w:rsid w:val="1D711B9B"/>
    <w:rsid w:val="1D770EC6"/>
    <w:rsid w:val="1D7B5625"/>
    <w:rsid w:val="1D7C668E"/>
    <w:rsid w:val="1D84208E"/>
    <w:rsid w:val="1D853F03"/>
    <w:rsid w:val="1D8E56D5"/>
    <w:rsid w:val="1D910FFE"/>
    <w:rsid w:val="1DA46D0D"/>
    <w:rsid w:val="1DA712C4"/>
    <w:rsid w:val="1DA768DB"/>
    <w:rsid w:val="1DAA2B2D"/>
    <w:rsid w:val="1DAB3010"/>
    <w:rsid w:val="1DAB5C41"/>
    <w:rsid w:val="1DB35A13"/>
    <w:rsid w:val="1DC22CDA"/>
    <w:rsid w:val="1DCB145F"/>
    <w:rsid w:val="1DCD1B4E"/>
    <w:rsid w:val="1DCD6634"/>
    <w:rsid w:val="1DCF493A"/>
    <w:rsid w:val="1DD40AA7"/>
    <w:rsid w:val="1DD85EF7"/>
    <w:rsid w:val="1DDE4C5B"/>
    <w:rsid w:val="1DE26170"/>
    <w:rsid w:val="1DE37F5C"/>
    <w:rsid w:val="1DE45F95"/>
    <w:rsid w:val="1DE54D71"/>
    <w:rsid w:val="1DEA41D2"/>
    <w:rsid w:val="1DEA6AF5"/>
    <w:rsid w:val="1DF44852"/>
    <w:rsid w:val="1DFB2B17"/>
    <w:rsid w:val="1DFC0453"/>
    <w:rsid w:val="1E024511"/>
    <w:rsid w:val="1E084057"/>
    <w:rsid w:val="1E09158A"/>
    <w:rsid w:val="1E0C793C"/>
    <w:rsid w:val="1E0E486F"/>
    <w:rsid w:val="1E0F2F88"/>
    <w:rsid w:val="1E0F3A59"/>
    <w:rsid w:val="1E101FEC"/>
    <w:rsid w:val="1E14059F"/>
    <w:rsid w:val="1E19315B"/>
    <w:rsid w:val="1E2031A7"/>
    <w:rsid w:val="1E3523FD"/>
    <w:rsid w:val="1E3A1357"/>
    <w:rsid w:val="1E3A3EE8"/>
    <w:rsid w:val="1E3C6E79"/>
    <w:rsid w:val="1E3D019D"/>
    <w:rsid w:val="1E430E84"/>
    <w:rsid w:val="1E5605CF"/>
    <w:rsid w:val="1E563EE3"/>
    <w:rsid w:val="1E586E04"/>
    <w:rsid w:val="1E5B441F"/>
    <w:rsid w:val="1E6104C0"/>
    <w:rsid w:val="1E67646F"/>
    <w:rsid w:val="1E6D33C6"/>
    <w:rsid w:val="1E6E0A74"/>
    <w:rsid w:val="1E7104C8"/>
    <w:rsid w:val="1E746F69"/>
    <w:rsid w:val="1E762254"/>
    <w:rsid w:val="1E7937D7"/>
    <w:rsid w:val="1E7A43DA"/>
    <w:rsid w:val="1E82197D"/>
    <w:rsid w:val="1E836366"/>
    <w:rsid w:val="1E85043A"/>
    <w:rsid w:val="1E892FA3"/>
    <w:rsid w:val="1E9F22A4"/>
    <w:rsid w:val="1EA336D1"/>
    <w:rsid w:val="1EA37C74"/>
    <w:rsid w:val="1EA46851"/>
    <w:rsid w:val="1EA6790D"/>
    <w:rsid w:val="1EB318D6"/>
    <w:rsid w:val="1EB35B42"/>
    <w:rsid w:val="1EBD0F7E"/>
    <w:rsid w:val="1EBD54DD"/>
    <w:rsid w:val="1EC424AF"/>
    <w:rsid w:val="1EC4543C"/>
    <w:rsid w:val="1EC65D3D"/>
    <w:rsid w:val="1EC9341E"/>
    <w:rsid w:val="1ED06303"/>
    <w:rsid w:val="1ED52BAC"/>
    <w:rsid w:val="1ED85A70"/>
    <w:rsid w:val="1EDD16DA"/>
    <w:rsid w:val="1EDE08FF"/>
    <w:rsid w:val="1EEA12FF"/>
    <w:rsid w:val="1EEF7986"/>
    <w:rsid w:val="1EF46704"/>
    <w:rsid w:val="1F020394"/>
    <w:rsid w:val="1F0256EF"/>
    <w:rsid w:val="1F0D5085"/>
    <w:rsid w:val="1F106089"/>
    <w:rsid w:val="1F1A7A1E"/>
    <w:rsid w:val="1F1F1F44"/>
    <w:rsid w:val="1F2625C6"/>
    <w:rsid w:val="1F284AA6"/>
    <w:rsid w:val="1F284EE4"/>
    <w:rsid w:val="1F291E28"/>
    <w:rsid w:val="1F2B58DD"/>
    <w:rsid w:val="1F325180"/>
    <w:rsid w:val="1F3A2287"/>
    <w:rsid w:val="1F3A325E"/>
    <w:rsid w:val="1F3B30B8"/>
    <w:rsid w:val="1F413E8F"/>
    <w:rsid w:val="1F425E6E"/>
    <w:rsid w:val="1F45467D"/>
    <w:rsid w:val="1F4963CC"/>
    <w:rsid w:val="1F5B5210"/>
    <w:rsid w:val="1F5F2824"/>
    <w:rsid w:val="1F651171"/>
    <w:rsid w:val="1F671C42"/>
    <w:rsid w:val="1F677E3D"/>
    <w:rsid w:val="1F6D7F66"/>
    <w:rsid w:val="1F7532BF"/>
    <w:rsid w:val="1F772C82"/>
    <w:rsid w:val="1F782980"/>
    <w:rsid w:val="1F7D0601"/>
    <w:rsid w:val="1F880B3B"/>
    <w:rsid w:val="1F8B285D"/>
    <w:rsid w:val="1F91168C"/>
    <w:rsid w:val="1F937263"/>
    <w:rsid w:val="1F9674D7"/>
    <w:rsid w:val="1F9C7114"/>
    <w:rsid w:val="1FA8776E"/>
    <w:rsid w:val="1FAD6873"/>
    <w:rsid w:val="1FAE678D"/>
    <w:rsid w:val="1FB12058"/>
    <w:rsid w:val="1FBB33C8"/>
    <w:rsid w:val="1FCD760D"/>
    <w:rsid w:val="1FD16090"/>
    <w:rsid w:val="1FD47A20"/>
    <w:rsid w:val="1FD90DA1"/>
    <w:rsid w:val="1FDC4EA8"/>
    <w:rsid w:val="1FDE6948"/>
    <w:rsid w:val="1FE17624"/>
    <w:rsid w:val="1FE3538A"/>
    <w:rsid w:val="1FE7539E"/>
    <w:rsid w:val="1FED11A4"/>
    <w:rsid w:val="1FF13C50"/>
    <w:rsid w:val="1FF47F1D"/>
    <w:rsid w:val="1FFA41DF"/>
    <w:rsid w:val="20016504"/>
    <w:rsid w:val="20060B18"/>
    <w:rsid w:val="200801D8"/>
    <w:rsid w:val="200D1BDD"/>
    <w:rsid w:val="200D67F4"/>
    <w:rsid w:val="200E0C86"/>
    <w:rsid w:val="20165393"/>
    <w:rsid w:val="201F6892"/>
    <w:rsid w:val="2026336E"/>
    <w:rsid w:val="20271AC4"/>
    <w:rsid w:val="20281F4F"/>
    <w:rsid w:val="202D7F78"/>
    <w:rsid w:val="202F3AAC"/>
    <w:rsid w:val="20300B66"/>
    <w:rsid w:val="20370041"/>
    <w:rsid w:val="203A7969"/>
    <w:rsid w:val="203B62B7"/>
    <w:rsid w:val="20473584"/>
    <w:rsid w:val="20500C50"/>
    <w:rsid w:val="20525F1D"/>
    <w:rsid w:val="20577B78"/>
    <w:rsid w:val="20593511"/>
    <w:rsid w:val="205F04C5"/>
    <w:rsid w:val="206017C6"/>
    <w:rsid w:val="2061698B"/>
    <w:rsid w:val="20651585"/>
    <w:rsid w:val="206668D3"/>
    <w:rsid w:val="20671BE0"/>
    <w:rsid w:val="206B603D"/>
    <w:rsid w:val="207016CA"/>
    <w:rsid w:val="207A5ACF"/>
    <w:rsid w:val="207F650F"/>
    <w:rsid w:val="207F7433"/>
    <w:rsid w:val="20873AE4"/>
    <w:rsid w:val="209026D9"/>
    <w:rsid w:val="209433EE"/>
    <w:rsid w:val="20963CB8"/>
    <w:rsid w:val="209B3AB8"/>
    <w:rsid w:val="209F1E63"/>
    <w:rsid w:val="20A076BF"/>
    <w:rsid w:val="20A81A1B"/>
    <w:rsid w:val="20B07FB6"/>
    <w:rsid w:val="20B125D3"/>
    <w:rsid w:val="20B35CEE"/>
    <w:rsid w:val="20B646FB"/>
    <w:rsid w:val="20B96978"/>
    <w:rsid w:val="20BF110E"/>
    <w:rsid w:val="20C31FBC"/>
    <w:rsid w:val="20C32F5E"/>
    <w:rsid w:val="20C4440D"/>
    <w:rsid w:val="20C52165"/>
    <w:rsid w:val="20C63D12"/>
    <w:rsid w:val="20CB6D45"/>
    <w:rsid w:val="20CD4876"/>
    <w:rsid w:val="20D12CE9"/>
    <w:rsid w:val="20D21372"/>
    <w:rsid w:val="20D34D09"/>
    <w:rsid w:val="20DA00F0"/>
    <w:rsid w:val="20DE2DB2"/>
    <w:rsid w:val="20DE38EC"/>
    <w:rsid w:val="20E43BA2"/>
    <w:rsid w:val="20E7362F"/>
    <w:rsid w:val="20F51C50"/>
    <w:rsid w:val="20FE0678"/>
    <w:rsid w:val="210070F3"/>
    <w:rsid w:val="21063949"/>
    <w:rsid w:val="21163520"/>
    <w:rsid w:val="21183D16"/>
    <w:rsid w:val="211A6056"/>
    <w:rsid w:val="211E6AE7"/>
    <w:rsid w:val="21220108"/>
    <w:rsid w:val="21225EEB"/>
    <w:rsid w:val="2123103F"/>
    <w:rsid w:val="21343D65"/>
    <w:rsid w:val="21363641"/>
    <w:rsid w:val="213956CB"/>
    <w:rsid w:val="213A394F"/>
    <w:rsid w:val="213B74B1"/>
    <w:rsid w:val="213D4F54"/>
    <w:rsid w:val="214005BB"/>
    <w:rsid w:val="21470D04"/>
    <w:rsid w:val="215A2310"/>
    <w:rsid w:val="215C584D"/>
    <w:rsid w:val="215C7BFB"/>
    <w:rsid w:val="215F081C"/>
    <w:rsid w:val="215F7D83"/>
    <w:rsid w:val="21656310"/>
    <w:rsid w:val="21667021"/>
    <w:rsid w:val="21713385"/>
    <w:rsid w:val="21724DDD"/>
    <w:rsid w:val="21743B95"/>
    <w:rsid w:val="21753704"/>
    <w:rsid w:val="217D5728"/>
    <w:rsid w:val="217F5C49"/>
    <w:rsid w:val="21823082"/>
    <w:rsid w:val="21847625"/>
    <w:rsid w:val="21884E0F"/>
    <w:rsid w:val="218B7CDA"/>
    <w:rsid w:val="219205F6"/>
    <w:rsid w:val="219B6985"/>
    <w:rsid w:val="21A848CF"/>
    <w:rsid w:val="21B2322D"/>
    <w:rsid w:val="21B93937"/>
    <w:rsid w:val="21BD3A87"/>
    <w:rsid w:val="21C209B5"/>
    <w:rsid w:val="21C84ADA"/>
    <w:rsid w:val="21C94D89"/>
    <w:rsid w:val="21C94E00"/>
    <w:rsid w:val="21D31A5C"/>
    <w:rsid w:val="21D5451D"/>
    <w:rsid w:val="21D9702F"/>
    <w:rsid w:val="21DE318A"/>
    <w:rsid w:val="21DF7624"/>
    <w:rsid w:val="21E116E9"/>
    <w:rsid w:val="21E210F9"/>
    <w:rsid w:val="21E2756B"/>
    <w:rsid w:val="21E40271"/>
    <w:rsid w:val="21E85946"/>
    <w:rsid w:val="21EF1B3D"/>
    <w:rsid w:val="21EF3D24"/>
    <w:rsid w:val="21EF5B80"/>
    <w:rsid w:val="21EF64E6"/>
    <w:rsid w:val="21F61248"/>
    <w:rsid w:val="21F7445F"/>
    <w:rsid w:val="21FC600F"/>
    <w:rsid w:val="21FD46B4"/>
    <w:rsid w:val="22026C30"/>
    <w:rsid w:val="2209080D"/>
    <w:rsid w:val="220B2BF8"/>
    <w:rsid w:val="220F7F4E"/>
    <w:rsid w:val="22102B1A"/>
    <w:rsid w:val="22154A8F"/>
    <w:rsid w:val="22256281"/>
    <w:rsid w:val="222B1658"/>
    <w:rsid w:val="222C6F8E"/>
    <w:rsid w:val="222F3BF9"/>
    <w:rsid w:val="22323FDB"/>
    <w:rsid w:val="223E353A"/>
    <w:rsid w:val="22477648"/>
    <w:rsid w:val="22480700"/>
    <w:rsid w:val="22481FBD"/>
    <w:rsid w:val="22576990"/>
    <w:rsid w:val="22581A5D"/>
    <w:rsid w:val="225D79C4"/>
    <w:rsid w:val="226465C1"/>
    <w:rsid w:val="22703D3B"/>
    <w:rsid w:val="22711482"/>
    <w:rsid w:val="22786EBB"/>
    <w:rsid w:val="228722B8"/>
    <w:rsid w:val="2289482D"/>
    <w:rsid w:val="229359EF"/>
    <w:rsid w:val="22945A1C"/>
    <w:rsid w:val="2295742F"/>
    <w:rsid w:val="22A068A5"/>
    <w:rsid w:val="22A6359C"/>
    <w:rsid w:val="22A71C97"/>
    <w:rsid w:val="22AA38AE"/>
    <w:rsid w:val="22AD1F5F"/>
    <w:rsid w:val="22B0228E"/>
    <w:rsid w:val="22B81E40"/>
    <w:rsid w:val="22B941C5"/>
    <w:rsid w:val="22CB247E"/>
    <w:rsid w:val="22CC617F"/>
    <w:rsid w:val="22CE241A"/>
    <w:rsid w:val="22CE4F8B"/>
    <w:rsid w:val="22CF75B4"/>
    <w:rsid w:val="22D219B2"/>
    <w:rsid w:val="22D255DB"/>
    <w:rsid w:val="22D855ED"/>
    <w:rsid w:val="22DF2757"/>
    <w:rsid w:val="22E457FB"/>
    <w:rsid w:val="22E77B4E"/>
    <w:rsid w:val="22E94692"/>
    <w:rsid w:val="22EA26BB"/>
    <w:rsid w:val="22ED7E98"/>
    <w:rsid w:val="22F47480"/>
    <w:rsid w:val="22FA30FD"/>
    <w:rsid w:val="22FE5379"/>
    <w:rsid w:val="230760C1"/>
    <w:rsid w:val="230C5CE8"/>
    <w:rsid w:val="2316176A"/>
    <w:rsid w:val="23192879"/>
    <w:rsid w:val="23202D02"/>
    <w:rsid w:val="232535F1"/>
    <w:rsid w:val="232B285F"/>
    <w:rsid w:val="23342F96"/>
    <w:rsid w:val="23462437"/>
    <w:rsid w:val="234D41DF"/>
    <w:rsid w:val="234E1DEF"/>
    <w:rsid w:val="235657DB"/>
    <w:rsid w:val="23600522"/>
    <w:rsid w:val="23735D43"/>
    <w:rsid w:val="23743548"/>
    <w:rsid w:val="2377414D"/>
    <w:rsid w:val="23890486"/>
    <w:rsid w:val="23906087"/>
    <w:rsid w:val="23936D42"/>
    <w:rsid w:val="239857CE"/>
    <w:rsid w:val="23985FD7"/>
    <w:rsid w:val="239A6894"/>
    <w:rsid w:val="23A8789C"/>
    <w:rsid w:val="23A94BDE"/>
    <w:rsid w:val="23AD717B"/>
    <w:rsid w:val="23AE7537"/>
    <w:rsid w:val="23BD652F"/>
    <w:rsid w:val="23CC0D19"/>
    <w:rsid w:val="23D1119D"/>
    <w:rsid w:val="23D763C1"/>
    <w:rsid w:val="23DE1C48"/>
    <w:rsid w:val="23E83E95"/>
    <w:rsid w:val="23EC6673"/>
    <w:rsid w:val="23F21B76"/>
    <w:rsid w:val="23FC63FF"/>
    <w:rsid w:val="240210CD"/>
    <w:rsid w:val="2407152E"/>
    <w:rsid w:val="2411634A"/>
    <w:rsid w:val="24186818"/>
    <w:rsid w:val="241A6D5F"/>
    <w:rsid w:val="241F2342"/>
    <w:rsid w:val="24287A17"/>
    <w:rsid w:val="242906CC"/>
    <w:rsid w:val="24297D82"/>
    <w:rsid w:val="243E6375"/>
    <w:rsid w:val="244109FA"/>
    <w:rsid w:val="24424544"/>
    <w:rsid w:val="24431F3A"/>
    <w:rsid w:val="244861A0"/>
    <w:rsid w:val="244A4A8C"/>
    <w:rsid w:val="244F7901"/>
    <w:rsid w:val="244F7BF3"/>
    <w:rsid w:val="24521ABD"/>
    <w:rsid w:val="24576324"/>
    <w:rsid w:val="245B560E"/>
    <w:rsid w:val="24605548"/>
    <w:rsid w:val="246102DC"/>
    <w:rsid w:val="24615F0F"/>
    <w:rsid w:val="246822BE"/>
    <w:rsid w:val="246E25C9"/>
    <w:rsid w:val="2472534C"/>
    <w:rsid w:val="24741173"/>
    <w:rsid w:val="24795714"/>
    <w:rsid w:val="248B078C"/>
    <w:rsid w:val="248B3147"/>
    <w:rsid w:val="24920136"/>
    <w:rsid w:val="24A11200"/>
    <w:rsid w:val="24A7283B"/>
    <w:rsid w:val="24A94340"/>
    <w:rsid w:val="24B11C96"/>
    <w:rsid w:val="24B30033"/>
    <w:rsid w:val="24B44B2B"/>
    <w:rsid w:val="24B546AA"/>
    <w:rsid w:val="24B67988"/>
    <w:rsid w:val="24B814B6"/>
    <w:rsid w:val="24BF09F7"/>
    <w:rsid w:val="24C80402"/>
    <w:rsid w:val="24C8469D"/>
    <w:rsid w:val="24CC71DD"/>
    <w:rsid w:val="24D179CE"/>
    <w:rsid w:val="24D72587"/>
    <w:rsid w:val="24D91046"/>
    <w:rsid w:val="24DB2AAA"/>
    <w:rsid w:val="24E06B57"/>
    <w:rsid w:val="24E51125"/>
    <w:rsid w:val="24E85608"/>
    <w:rsid w:val="24F2021D"/>
    <w:rsid w:val="24F335D4"/>
    <w:rsid w:val="24FA2E3D"/>
    <w:rsid w:val="24FE5B05"/>
    <w:rsid w:val="25002B3B"/>
    <w:rsid w:val="25015C0C"/>
    <w:rsid w:val="25087FA4"/>
    <w:rsid w:val="250960CA"/>
    <w:rsid w:val="25096983"/>
    <w:rsid w:val="250977CE"/>
    <w:rsid w:val="250D48D4"/>
    <w:rsid w:val="250E0000"/>
    <w:rsid w:val="2511301C"/>
    <w:rsid w:val="251F1C9C"/>
    <w:rsid w:val="252257E6"/>
    <w:rsid w:val="252A26AF"/>
    <w:rsid w:val="252D53FE"/>
    <w:rsid w:val="25305A92"/>
    <w:rsid w:val="25324170"/>
    <w:rsid w:val="2536006A"/>
    <w:rsid w:val="25450795"/>
    <w:rsid w:val="2545415A"/>
    <w:rsid w:val="2551032A"/>
    <w:rsid w:val="25513BEA"/>
    <w:rsid w:val="25521F11"/>
    <w:rsid w:val="25557538"/>
    <w:rsid w:val="255A6191"/>
    <w:rsid w:val="256120E9"/>
    <w:rsid w:val="25642D0A"/>
    <w:rsid w:val="256A0653"/>
    <w:rsid w:val="25706245"/>
    <w:rsid w:val="257E6F17"/>
    <w:rsid w:val="2580152D"/>
    <w:rsid w:val="258453FD"/>
    <w:rsid w:val="25867EF4"/>
    <w:rsid w:val="25964180"/>
    <w:rsid w:val="25A83AB0"/>
    <w:rsid w:val="25AD7338"/>
    <w:rsid w:val="25B82157"/>
    <w:rsid w:val="25C202D7"/>
    <w:rsid w:val="25C632AB"/>
    <w:rsid w:val="25CC57C3"/>
    <w:rsid w:val="25CD039A"/>
    <w:rsid w:val="25CD2A3F"/>
    <w:rsid w:val="25D018E5"/>
    <w:rsid w:val="25DF0866"/>
    <w:rsid w:val="25DF0E57"/>
    <w:rsid w:val="25E17CAF"/>
    <w:rsid w:val="25E662FF"/>
    <w:rsid w:val="25E7073B"/>
    <w:rsid w:val="25EC2D81"/>
    <w:rsid w:val="25F64656"/>
    <w:rsid w:val="25FB1453"/>
    <w:rsid w:val="25FB5190"/>
    <w:rsid w:val="25FD6844"/>
    <w:rsid w:val="25FF02DF"/>
    <w:rsid w:val="26001160"/>
    <w:rsid w:val="260A701A"/>
    <w:rsid w:val="261015E3"/>
    <w:rsid w:val="26104F44"/>
    <w:rsid w:val="26150154"/>
    <w:rsid w:val="26190E48"/>
    <w:rsid w:val="261948BD"/>
    <w:rsid w:val="261A071C"/>
    <w:rsid w:val="26215F4F"/>
    <w:rsid w:val="262319FB"/>
    <w:rsid w:val="26265313"/>
    <w:rsid w:val="262A0E3B"/>
    <w:rsid w:val="262B0076"/>
    <w:rsid w:val="263118CB"/>
    <w:rsid w:val="26347330"/>
    <w:rsid w:val="2635766E"/>
    <w:rsid w:val="26396513"/>
    <w:rsid w:val="263F0DCE"/>
    <w:rsid w:val="264B5A0D"/>
    <w:rsid w:val="264E03C6"/>
    <w:rsid w:val="264E6244"/>
    <w:rsid w:val="26525570"/>
    <w:rsid w:val="265309FE"/>
    <w:rsid w:val="26552118"/>
    <w:rsid w:val="266327CF"/>
    <w:rsid w:val="26660C66"/>
    <w:rsid w:val="266C1097"/>
    <w:rsid w:val="266C39C0"/>
    <w:rsid w:val="266E628B"/>
    <w:rsid w:val="2678577E"/>
    <w:rsid w:val="267F67D1"/>
    <w:rsid w:val="26816A24"/>
    <w:rsid w:val="26852DD0"/>
    <w:rsid w:val="26853E51"/>
    <w:rsid w:val="26887064"/>
    <w:rsid w:val="26960DC2"/>
    <w:rsid w:val="26985E35"/>
    <w:rsid w:val="26A01DFA"/>
    <w:rsid w:val="26A307AA"/>
    <w:rsid w:val="26B558B7"/>
    <w:rsid w:val="26B84568"/>
    <w:rsid w:val="26C04235"/>
    <w:rsid w:val="26C11CE8"/>
    <w:rsid w:val="26C206E3"/>
    <w:rsid w:val="26C25A8E"/>
    <w:rsid w:val="26C27AA9"/>
    <w:rsid w:val="26CA3648"/>
    <w:rsid w:val="26D05DBA"/>
    <w:rsid w:val="26D16C36"/>
    <w:rsid w:val="26D703A7"/>
    <w:rsid w:val="26D81621"/>
    <w:rsid w:val="26DA0672"/>
    <w:rsid w:val="26DA0FC9"/>
    <w:rsid w:val="26E30D4E"/>
    <w:rsid w:val="26E4023C"/>
    <w:rsid w:val="26EF086A"/>
    <w:rsid w:val="26F01BF8"/>
    <w:rsid w:val="26F80AE1"/>
    <w:rsid w:val="26FA27E4"/>
    <w:rsid w:val="26FA2FDD"/>
    <w:rsid w:val="26FF43D5"/>
    <w:rsid w:val="270119C3"/>
    <w:rsid w:val="270378B6"/>
    <w:rsid w:val="27060115"/>
    <w:rsid w:val="271415F0"/>
    <w:rsid w:val="27172B32"/>
    <w:rsid w:val="27191B86"/>
    <w:rsid w:val="2727432F"/>
    <w:rsid w:val="272B104C"/>
    <w:rsid w:val="2732366D"/>
    <w:rsid w:val="27335D1B"/>
    <w:rsid w:val="273519E9"/>
    <w:rsid w:val="273712C3"/>
    <w:rsid w:val="273B7762"/>
    <w:rsid w:val="273C4CC4"/>
    <w:rsid w:val="27411D21"/>
    <w:rsid w:val="274243CE"/>
    <w:rsid w:val="27433CA3"/>
    <w:rsid w:val="27495526"/>
    <w:rsid w:val="274C2B57"/>
    <w:rsid w:val="27502222"/>
    <w:rsid w:val="27525904"/>
    <w:rsid w:val="275A7954"/>
    <w:rsid w:val="275E5F11"/>
    <w:rsid w:val="27611F57"/>
    <w:rsid w:val="27612E04"/>
    <w:rsid w:val="276300E9"/>
    <w:rsid w:val="27702CEA"/>
    <w:rsid w:val="277057A2"/>
    <w:rsid w:val="277D5D0F"/>
    <w:rsid w:val="277F13CF"/>
    <w:rsid w:val="27817AA5"/>
    <w:rsid w:val="278D4871"/>
    <w:rsid w:val="27943E1B"/>
    <w:rsid w:val="279918D8"/>
    <w:rsid w:val="27AC3146"/>
    <w:rsid w:val="27B202C5"/>
    <w:rsid w:val="27BC5653"/>
    <w:rsid w:val="27BE199C"/>
    <w:rsid w:val="27BE7572"/>
    <w:rsid w:val="27C45C18"/>
    <w:rsid w:val="27C8350C"/>
    <w:rsid w:val="27C923FA"/>
    <w:rsid w:val="27CF2B3A"/>
    <w:rsid w:val="27D40A7F"/>
    <w:rsid w:val="27D86145"/>
    <w:rsid w:val="27DF28A8"/>
    <w:rsid w:val="27E648BD"/>
    <w:rsid w:val="27E72880"/>
    <w:rsid w:val="27EB1568"/>
    <w:rsid w:val="27EE4C34"/>
    <w:rsid w:val="27F27F4F"/>
    <w:rsid w:val="27F93513"/>
    <w:rsid w:val="27FC452E"/>
    <w:rsid w:val="27FE2C63"/>
    <w:rsid w:val="28023CBB"/>
    <w:rsid w:val="280276BA"/>
    <w:rsid w:val="2805142F"/>
    <w:rsid w:val="28085B5F"/>
    <w:rsid w:val="28100CC6"/>
    <w:rsid w:val="2810737D"/>
    <w:rsid w:val="2814356F"/>
    <w:rsid w:val="28175240"/>
    <w:rsid w:val="281E3043"/>
    <w:rsid w:val="281F2B8A"/>
    <w:rsid w:val="28256D4C"/>
    <w:rsid w:val="283221E5"/>
    <w:rsid w:val="283360D7"/>
    <w:rsid w:val="28375380"/>
    <w:rsid w:val="283F7312"/>
    <w:rsid w:val="28510D17"/>
    <w:rsid w:val="28550131"/>
    <w:rsid w:val="286006D1"/>
    <w:rsid w:val="28605173"/>
    <w:rsid w:val="28605258"/>
    <w:rsid w:val="28666C3A"/>
    <w:rsid w:val="28671046"/>
    <w:rsid w:val="28695806"/>
    <w:rsid w:val="286C0ADF"/>
    <w:rsid w:val="28733BCE"/>
    <w:rsid w:val="28736A47"/>
    <w:rsid w:val="28743209"/>
    <w:rsid w:val="28886271"/>
    <w:rsid w:val="28887140"/>
    <w:rsid w:val="289357A5"/>
    <w:rsid w:val="28A01084"/>
    <w:rsid w:val="28AC6F1D"/>
    <w:rsid w:val="28AF1650"/>
    <w:rsid w:val="28B4261C"/>
    <w:rsid w:val="28BD0E81"/>
    <w:rsid w:val="28BD7C51"/>
    <w:rsid w:val="28BF566D"/>
    <w:rsid w:val="28C01DC0"/>
    <w:rsid w:val="28C171E4"/>
    <w:rsid w:val="28D74A8E"/>
    <w:rsid w:val="28D840F3"/>
    <w:rsid w:val="28DB2135"/>
    <w:rsid w:val="28DB3321"/>
    <w:rsid w:val="28DC0553"/>
    <w:rsid w:val="28E31299"/>
    <w:rsid w:val="28F24E84"/>
    <w:rsid w:val="28F44687"/>
    <w:rsid w:val="28F61E82"/>
    <w:rsid w:val="290421A1"/>
    <w:rsid w:val="29063309"/>
    <w:rsid w:val="29096D87"/>
    <w:rsid w:val="2910099B"/>
    <w:rsid w:val="29161288"/>
    <w:rsid w:val="29164A4C"/>
    <w:rsid w:val="291F5619"/>
    <w:rsid w:val="29204DE9"/>
    <w:rsid w:val="29206EB8"/>
    <w:rsid w:val="29282D6F"/>
    <w:rsid w:val="29294A4A"/>
    <w:rsid w:val="292A6EC8"/>
    <w:rsid w:val="292B7549"/>
    <w:rsid w:val="2933308F"/>
    <w:rsid w:val="29383D8E"/>
    <w:rsid w:val="2939327D"/>
    <w:rsid w:val="293A7CF8"/>
    <w:rsid w:val="293C46B4"/>
    <w:rsid w:val="293D309F"/>
    <w:rsid w:val="29464A50"/>
    <w:rsid w:val="294E5373"/>
    <w:rsid w:val="294F2E17"/>
    <w:rsid w:val="29514B0F"/>
    <w:rsid w:val="295760B8"/>
    <w:rsid w:val="29595666"/>
    <w:rsid w:val="295A73B1"/>
    <w:rsid w:val="295C42FC"/>
    <w:rsid w:val="29600B7D"/>
    <w:rsid w:val="29606C84"/>
    <w:rsid w:val="296829D0"/>
    <w:rsid w:val="29714AF7"/>
    <w:rsid w:val="29746395"/>
    <w:rsid w:val="2976468E"/>
    <w:rsid w:val="29765BA7"/>
    <w:rsid w:val="29775566"/>
    <w:rsid w:val="297C1274"/>
    <w:rsid w:val="298625FD"/>
    <w:rsid w:val="29874881"/>
    <w:rsid w:val="298828C5"/>
    <w:rsid w:val="298B4856"/>
    <w:rsid w:val="2997437B"/>
    <w:rsid w:val="299827C9"/>
    <w:rsid w:val="29987347"/>
    <w:rsid w:val="299A2385"/>
    <w:rsid w:val="299A668F"/>
    <w:rsid w:val="29A56F92"/>
    <w:rsid w:val="29BA028F"/>
    <w:rsid w:val="29BB62EB"/>
    <w:rsid w:val="29C6067A"/>
    <w:rsid w:val="29C74898"/>
    <w:rsid w:val="29C756FC"/>
    <w:rsid w:val="29C76606"/>
    <w:rsid w:val="29CB205F"/>
    <w:rsid w:val="29D37BE8"/>
    <w:rsid w:val="29DA5475"/>
    <w:rsid w:val="29DB2586"/>
    <w:rsid w:val="29DF34E3"/>
    <w:rsid w:val="29DF7363"/>
    <w:rsid w:val="29E325E0"/>
    <w:rsid w:val="29E451B8"/>
    <w:rsid w:val="29F56FA2"/>
    <w:rsid w:val="2A015A68"/>
    <w:rsid w:val="2A07782F"/>
    <w:rsid w:val="2A086E42"/>
    <w:rsid w:val="2A0B36CB"/>
    <w:rsid w:val="2A1225DE"/>
    <w:rsid w:val="2A185534"/>
    <w:rsid w:val="2A1F62A7"/>
    <w:rsid w:val="2A36209F"/>
    <w:rsid w:val="2A364A1E"/>
    <w:rsid w:val="2A3B43D6"/>
    <w:rsid w:val="2A3D6CC9"/>
    <w:rsid w:val="2A407998"/>
    <w:rsid w:val="2A421B62"/>
    <w:rsid w:val="2A452503"/>
    <w:rsid w:val="2A4841E3"/>
    <w:rsid w:val="2A4C0D5D"/>
    <w:rsid w:val="2A587257"/>
    <w:rsid w:val="2A5C75E9"/>
    <w:rsid w:val="2A625883"/>
    <w:rsid w:val="2A6865EB"/>
    <w:rsid w:val="2A6B2664"/>
    <w:rsid w:val="2A722B2F"/>
    <w:rsid w:val="2A7A34B0"/>
    <w:rsid w:val="2A7E3BDE"/>
    <w:rsid w:val="2A8354A3"/>
    <w:rsid w:val="2A8B1CD2"/>
    <w:rsid w:val="2A9A4BC2"/>
    <w:rsid w:val="2AAE4219"/>
    <w:rsid w:val="2AB86B62"/>
    <w:rsid w:val="2ABB176D"/>
    <w:rsid w:val="2ABE6EE2"/>
    <w:rsid w:val="2AC027AA"/>
    <w:rsid w:val="2ACB6DF0"/>
    <w:rsid w:val="2AD007EA"/>
    <w:rsid w:val="2AD93FB2"/>
    <w:rsid w:val="2ADA143E"/>
    <w:rsid w:val="2AE2201F"/>
    <w:rsid w:val="2AF13455"/>
    <w:rsid w:val="2AF50EB8"/>
    <w:rsid w:val="2AF8335D"/>
    <w:rsid w:val="2AF91996"/>
    <w:rsid w:val="2AFC0C17"/>
    <w:rsid w:val="2AFF3986"/>
    <w:rsid w:val="2B0665DF"/>
    <w:rsid w:val="2B071D80"/>
    <w:rsid w:val="2B0A3400"/>
    <w:rsid w:val="2B0E5E8F"/>
    <w:rsid w:val="2B150EE4"/>
    <w:rsid w:val="2B1750EE"/>
    <w:rsid w:val="2B1C7F59"/>
    <w:rsid w:val="2B1E6EF9"/>
    <w:rsid w:val="2B1F1B42"/>
    <w:rsid w:val="2B2160A9"/>
    <w:rsid w:val="2B251974"/>
    <w:rsid w:val="2B2C35CE"/>
    <w:rsid w:val="2B2C517A"/>
    <w:rsid w:val="2B330499"/>
    <w:rsid w:val="2B361B54"/>
    <w:rsid w:val="2B3623B5"/>
    <w:rsid w:val="2B371802"/>
    <w:rsid w:val="2B3730AF"/>
    <w:rsid w:val="2B3F1EC7"/>
    <w:rsid w:val="2B3F6625"/>
    <w:rsid w:val="2B421132"/>
    <w:rsid w:val="2B435567"/>
    <w:rsid w:val="2B5B24BA"/>
    <w:rsid w:val="2B5C577E"/>
    <w:rsid w:val="2B6F3B5D"/>
    <w:rsid w:val="2B745A41"/>
    <w:rsid w:val="2B757DDB"/>
    <w:rsid w:val="2B783B58"/>
    <w:rsid w:val="2B872F9B"/>
    <w:rsid w:val="2B87302F"/>
    <w:rsid w:val="2B88586B"/>
    <w:rsid w:val="2B893456"/>
    <w:rsid w:val="2B920319"/>
    <w:rsid w:val="2B9740A5"/>
    <w:rsid w:val="2B9C3BC7"/>
    <w:rsid w:val="2B9E19C4"/>
    <w:rsid w:val="2BA016C4"/>
    <w:rsid w:val="2BA0331C"/>
    <w:rsid w:val="2BA411B4"/>
    <w:rsid w:val="2BA936A8"/>
    <w:rsid w:val="2BAC1389"/>
    <w:rsid w:val="2BAE3D70"/>
    <w:rsid w:val="2BB140EC"/>
    <w:rsid w:val="2BB22049"/>
    <w:rsid w:val="2BB3187F"/>
    <w:rsid w:val="2BB61605"/>
    <w:rsid w:val="2BC551E4"/>
    <w:rsid w:val="2BC61A03"/>
    <w:rsid w:val="2BCF1FA9"/>
    <w:rsid w:val="2BD50531"/>
    <w:rsid w:val="2BD7086E"/>
    <w:rsid w:val="2BDC1C79"/>
    <w:rsid w:val="2BDD1223"/>
    <w:rsid w:val="2BE768FF"/>
    <w:rsid w:val="2BED375E"/>
    <w:rsid w:val="2BEE73F7"/>
    <w:rsid w:val="2BFD36BD"/>
    <w:rsid w:val="2C191268"/>
    <w:rsid w:val="2C1D4AC2"/>
    <w:rsid w:val="2C1E3C6A"/>
    <w:rsid w:val="2C24629F"/>
    <w:rsid w:val="2C260EB4"/>
    <w:rsid w:val="2C315A5A"/>
    <w:rsid w:val="2C3B10A7"/>
    <w:rsid w:val="2C3C5124"/>
    <w:rsid w:val="2C4A2CA0"/>
    <w:rsid w:val="2C4B1C25"/>
    <w:rsid w:val="2C4B1FF9"/>
    <w:rsid w:val="2C4F6AF8"/>
    <w:rsid w:val="2C504473"/>
    <w:rsid w:val="2C504DC6"/>
    <w:rsid w:val="2C55297C"/>
    <w:rsid w:val="2C5D416C"/>
    <w:rsid w:val="2C5F02EE"/>
    <w:rsid w:val="2C60239D"/>
    <w:rsid w:val="2C630D27"/>
    <w:rsid w:val="2C6749D4"/>
    <w:rsid w:val="2C7013B3"/>
    <w:rsid w:val="2C77558C"/>
    <w:rsid w:val="2C781ABD"/>
    <w:rsid w:val="2C7A6140"/>
    <w:rsid w:val="2C826279"/>
    <w:rsid w:val="2C8E0462"/>
    <w:rsid w:val="2C993B07"/>
    <w:rsid w:val="2C9C402D"/>
    <w:rsid w:val="2CA35075"/>
    <w:rsid w:val="2CA71F76"/>
    <w:rsid w:val="2CAD4098"/>
    <w:rsid w:val="2CB129AC"/>
    <w:rsid w:val="2CBF471A"/>
    <w:rsid w:val="2CC4650E"/>
    <w:rsid w:val="2CC50952"/>
    <w:rsid w:val="2CC52789"/>
    <w:rsid w:val="2CC87181"/>
    <w:rsid w:val="2CCB6656"/>
    <w:rsid w:val="2CD379ED"/>
    <w:rsid w:val="2CD94E8D"/>
    <w:rsid w:val="2CDA1D74"/>
    <w:rsid w:val="2CEA1242"/>
    <w:rsid w:val="2CEF3A24"/>
    <w:rsid w:val="2CF021D7"/>
    <w:rsid w:val="2CFF066C"/>
    <w:rsid w:val="2D005C52"/>
    <w:rsid w:val="2D016C6B"/>
    <w:rsid w:val="2D03045F"/>
    <w:rsid w:val="2D0537F4"/>
    <w:rsid w:val="2D0C28EF"/>
    <w:rsid w:val="2D0D1DA6"/>
    <w:rsid w:val="2D0E168E"/>
    <w:rsid w:val="2D0E1A9F"/>
    <w:rsid w:val="2D0F33A2"/>
    <w:rsid w:val="2D101F69"/>
    <w:rsid w:val="2D143BBB"/>
    <w:rsid w:val="2D1B4734"/>
    <w:rsid w:val="2D1E099B"/>
    <w:rsid w:val="2D1E5647"/>
    <w:rsid w:val="2D2561A3"/>
    <w:rsid w:val="2D2610F8"/>
    <w:rsid w:val="2D2A55B7"/>
    <w:rsid w:val="2D2C76B3"/>
    <w:rsid w:val="2D395BD2"/>
    <w:rsid w:val="2D3B6010"/>
    <w:rsid w:val="2D3F4C1F"/>
    <w:rsid w:val="2D445D5F"/>
    <w:rsid w:val="2D4B5C20"/>
    <w:rsid w:val="2D567313"/>
    <w:rsid w:val="2D5E7202"/>
    <w:rsid w:val="2D5F09FD"/>
    <w:rsid w:val="2D64690C"/>
    <w:rsid w:val="2D6503AD"/>
    <w:rsid w:val="2D720FD4"/>
    <w:rsid w:val="2D74227E"/>
    <w:rsid w:val="2D7B23E8"/>
    <w:rsid w:val="2D7C3F11"/>
    <w:rsid w:val="2D81538E"/>
    <w:rsid w:val="2D9669D2"/>
    <w:rsid w:val="2D9E56F5"/>
    <w:rsid w:val="2D9F224E"/>
    <w:rsid w:val="2DA44080"/>
    <w:rsid w:val="2DB47354"/>
    <w:rsid w:val="2DB811C4"/>
    <w:rsid w:val="2DC0413D"/>
    <w:rsid w:val="2DC16BE6"/>
    <w:rsid w:val="2DC42F2F"/>
    <w:rsid w:val="2DC523AE"/>
    <w:rsid w:val="2DC72264"/>
    <w:rsid w:val="2DC76F0F"/>
    <w:rsid w:val="2DC8343F"/>
    <w:rsid w:val="2DCA68B6"/>
    <w:rsid w:val="2DD37AEB"/>
    <w:rsid w:val="2DD4533E"/>
    <w:rsid w:val="2DD50A00"/>
    <w:rsid w:val="2DDA050E"/>
    <w:rsid w:val="2DDC5B0B"/>
    <w:rsid w:val="2DE11D38"/>
    <w:rsid w:val="2DE60661"/>
    <w:rsid w:val="2DE637F8"/>
    <w:rsid w:val="2DEF2105"/>
    <w:rsid w:val="2DF20294"/>
    <w:rsid w:val="2DF34E18"/>
    <w:rsid w:val="2DFC1C52"/>
    <w:rsid w:val="2DFE622B"/>
    <w:rsid w:val="2DFF4735"/>
    <w:rsid w:val="2E034121"/>
    <w:rsid w:val="2E0A7559"/>
    <w:rsid w:val="2E19133F"/>
    <w:rsid w:val="2E2C44AC"/>
    <w:rsid w:val="2E314878"/>
    <w:rsid w:val="2E3202CB"/>
    <w:rsid w:val="2E344556"/>
    <w:rsid w:val="2E3529D4"/>
    <w:rsid w:val="2E372E38"/>
    <w:rsid w:val="2E4119B7"/>
    <w:rsid w:val="2E4E2618"/>
    <w:rsid w:val="2E527120"/>
    <w:rsid w:val="2E540893"/>
    <w:rsid w:val="2E5439A3"/>
    <w:rsid w:val="2E545F37"/>
    <w:rsid w:val="2E5F5064"/>
    <w:rsid w:val="2E62310B"/>
    <w:rsid w:val="2E667F96"/>
    <w:rsid w:val="2E6914F6"/>
    <w:rsid w:val="2E6949DB"/>
    <w:rsid w:val="2E7741A2"/>
    <w:rsid w:val="2E8226AB"/>
    <w:rsid w:val="2E841F7E"/>
    <w:rsid w:val="2E8525AF"/>
    <w:rsid w:val="2E887EE7"/>
    <w:rsid w:val="2E8E5539"/>
    <w:rsid w:val="2E963988"/>
    <w:rsid w:val="2E994134"/>
    <w:rsid w:val="2E996FEB"/>
    <w:rsid w:val="2E9D0F64"/>
    <w:rsid w:val="2E9F178F"/>
    <w:rsid w:val="2EA130D2"/>
    <w:rsid w:val="2EA35892"/>
    <w:rsid w:val="2EAA45CC"/>
    <w:rsid w:val="2EB0182B"/>
    <w:rsid w:val="2EB605B4"/>
    <w:rsid w:val="2EBE73A7"/>
    <w:rsid w:val="2EC129B0"/>
    <w:rsid w:val="2EC20E09"/>
    <w:rsid w:val="2ECD54CB"/>
    <w:rsid w:val="2ECE6C13"/>
    <w:rsid w:val="2ED17C60"/>
    <w:rsid w:val="2ED368C7"/>
    <w:rsid w:val="2EDE2434"/>
    <w:rsid w:val="2EE020BD"/>
    <w:rsid w:val="2EE10824"/>
    <w:rsid w:val="2EE5684A"/>
    <w:rsid w:val="2EE92862"/>
    <w:rsid w:val="2EEE50CE"/>
    <w:rsid w:val="2EF333A4"/>
    <w:rsid w:val="2F0E2170"/>
    <w:rsid w:val="2F103754"/>
    <w:rsid w:val="2F1369A1"/>
    <w:rsid w:val="2F1A3EED"/>
    <w:rsid w:val="2F1B2EB4"/>
    <w:rsid w:val="2F20623D"/>
    <w:rsid w:val="2F2355BB"/>
    <w:rsid w:val="2F270492"/>
    <w:rsid w:val="2F2A175C"/>
    <w:rsid w:val="2F306D8B"/>
    <w:rsid w:val="2F3D4701"/>
    <w:rsid w:val="2F416CC4"/>
    <w:rsid w:val="2F4C78C5"/>
    <w:rsid w:val="2F4F16F7"/>
    <w:rsid w:val="2F56001B"/>
    <w:rsid w:val="2F561AA3"/>
    <w:rsid w:val="2F5F79EF"/>
    <w:rsid w:val="2F605776"/>
    <w:rsid w:val="2F6630C9"/>
    <w:rsid w:val="2F687D33"/>
    <w:rsid w:val="2F6F2F65"/>
    <w:rsid w:val="2F6F4FA9"/>
    <w:rsid w:val="2F7514A3"/>
    <w:rsid w:val="2F7B1DB0"/>
    <w:rsid w:val="2F7E605D"/>
    <w:rsid w:val="2F8B4B46"/>
    <w:rsid w:val="2F934FC9"/>
    <w:rsid w:val="2F996B56"/>
    <w:rsid w:val="2FA033EB"/>
    <w:rsid w:val="2FA03F04"/>
    <w:rsid w:val="2FA367DD"/>
    <w:rsid w:val="2FA60E0F"/>
    <w:rsid w:val="2FB853B8"/>
    <w:rsid w:val="2FBA5573"/>
    <w:rsid w:val="2FBC7EBB"/>
    <w:rsid w:val="2FBD6B3A"/>
    <w:rsid w:val="2FCB7F9B"/>
    <w:rsid w:val="2FCE5DA8"/>
    <w:rsid w:val="2FD065E6"/>
    <w:rsid w:val="2FD859DD"/>
    <w:rsid w:val="2FD95CE5"/>
    <w:rsid w:val="2FD96870"/>
    <w:rsid w:val="2FDD1C75"/>
    <w:rsid w:val="2FDF44D8"/>
    <w:rsid w:val="300068BD"/>
    <w:rsid w:val="30035E04"/>
    <w:rsid w:val="30085B2C"/>
    <w:rsid w:val="300B485B"/>
    <w:rsid w:val="300F1DD6"/>
    <w:rsid w:val="301103D5"/>
    <w:rsid w:val="30143541"/>
    <w:rsid w:val="301A5A39"/>
    <w:rsid w:val="30252D5C"/>
    <w:rsid w:val="30275918"/>
    <w:rsid w:val="302B40A1"/>
    <w:rsid w:val="303008BA"/>
    <w:rsid w:val="303F035B"/>
    <w:rsid w:val="30423E5B"/>
    <w:rsid w:val="30427C69"/>
    <w:rsid w:val="30436D3A"/>
    <w:rsid w:val="304F54D7"/>
    <w:rsid w:val="30562C99"/>
    <w:rsid w:val="30580BC9"/>
    <w:rsid w:val="305B3E0B"/>
    <w:rsid w:val="305B474A"/>
    <w:rsid w:val="305D7173"/>
    <w:rsid w:val="30603DA3"/>
    <w:rsid w:val="30624B53"/>
    <w:rsid w:val="30666F15"/>
    <w:rsid w:val="306C2BD9"/>
    <w:rsid w:val="30717AD3"/>
    <w:rsid w:val="30741976"/>
    <w:rsid w:val="308523B4"/>
    <w:rsid w:val="30854132"/>
    <w:rsid w:val="30854422"/>
    <w:rsid w:val="30871F33"/>
    <w:rsid w:val="308A6F6A"/>
    <w:rsid w:val="308C231D"/>
    <w:rsid w:val="308D6819"/>
    <w:rsid w:val="30921059"/>
    <w:rsid w:val="309C2A9D"/>
    <w:rsid w:val="309F08D2"/>
    <w:rsid w:val="30A1026E"/>
    <w:rsid w:val="30A10B58"/>
    <w:rsid w:val="30A47041"/>
    <w:rsid w:val="30A7269E"/>
    <w:rsid w:val="30AE7E8E"/>
    <w:rsid w:val="30AF2DBC"/>
    <w:rsid w:val="30B36DD5"/>
    <w:rsid w:val="30D5450B"/>
    <w:rsid w:val="30DB0C2A"/>
    <w:rsid w:val="30E0163C"/>
    <w:rsid w:val="30F27273"/>
    <w:rsid w:val="30F63615"/>
    <w:rsid w:val="310317B1"/>
    <w:rsid w:val="310464B9"/>
    <w:rsid w:val="31093867"/>
    <w:rsid w:val="310B0766"/>
    <w:rsid w:val="310B0A43"/>
    <w:rsid w:val="310C502A"/>
    <w:rsid w:val="31195680"/>
    <w:rsid w:val="311B2D29"/>
    <w:rsid w:val="311C0372"/>
    <w:rsid w:val="311E2610"/>
    <w:rsid w:val="311E2ED7"/>
    <w:rsid w:val="3121107B"/>
    <w:rsid w:val="31243C92"/>
    <w:rsid w:val="3128117B"/>
    <w:rsid w:val="312E5808"/>
    <w:rsid w:val="312F460D"/>
    <w:rsid w:val="3130163A"/>
    <w:rsid w:val="31301A43"/>
    <w:rsid w:val="31315DA3"/>
    <w:rsid w:val="31340CBC"/>
    <w:rsid w:val="31454E2D"/>
    <w:rsid w:val="314802B2"/>
    <w:rsid w:val="31542B2D"/>
    <w:rsid w:val="315619EE"/>
    <w:rsid w:val="31575791"/>
    <w:rsid w:val="31593DCD"/>
    <w:rsid w:val="315C449C"/>
    <w:rsid w:val="31610B38"/>
    <w:rsid w:val="316B7C83"/>
    <w:rsid w:val="31703404"/>
    <w:rsid w:val="317201E1"/>
    <w:rsid w:val="31790E46"/>
    <w:rsid w:val="317E17E9"/>
    <w:rsid w:val="317E7DF2"/>
    <w:rsid w:val="31820BA5"/>
    <w:rsid w:val="31836236"/>
    <w:rsid w:val="3184123C"/>
    <w:rsid w:val="3184203F"/>
    <w:rsid w:val="31845BBD"/>
    <w:rsid w:val="318C2A62"/>
    <w:rsid w:val="318D4F78"/>
    <w:rsid w:val="31953464"/>
    <w:rsid w:val="319715CC"/>
    <w:rsid w:val="319855D1"/>
    <w:rsid w:val="31A96A6E"/>
    <w:rsid w:val="31B26644"/>
    <w:rsid w:val="31B73D76"/>
    <w:rsid w:val="31B82709"/>
    <w:rsid w:val="31BD45C7"/>
    <w:rsid w:val="31BE688D"/>
    <w:rsid w:val="31C05417"/>
    <w:rsid w:val="31C15928"/>
    <w:rsid w:val="31C644AE"/>
    <w:rsid w:val="31C73EE9"/>
    <w:rsid w:val="31C850DA"/>
    <w:rsid w:val="31C922EF"/>
    <w:rsid w:val="31CF67B3"/>
    <w:rsid w:val="31CF6853"/>
    <w:rsid w:val="31D05482"/>
    <w:rsid w:val="31D06852"/>
    <w:rsid w:val="31D6051C"/>
    <w:rsid w:val="31D66BDF"/>
    <w:rsid w:val="31E0052D"/>
    <w:rsid w:val="31E55D17"/>
    <w:rsid w:val="31F96987"/>
    <w:rsid w:val="31FC25ED"/>
    <w:rsid w:val="32057237"/>
    <w:rsid w:val="32060E11"/>
    <w:rsid w:val="32066A2B"/>
    <w:rsid w:val="32105AFF"/>
    <w:rsid w:val="32146ADF"/>
    <w:rsid w:val="3220692E"/>
    <w:rsid w:val="322578AF"/>
    <w:rsid w:val="32357214"/>
    <w:rsid w:val="323D65DF"/>
    <w:rsid w:val="323E145B"/>
    <w:rsid w:val="323E6FF6"/>
    <w:rsid w:val="32400B34"/>
    <w:rsid w:val="32466766"/>
    <w:rsid w:val="32540AD7"/>
    <w:rsid w:val="326E06BF"/>
    <w:rsid w:val="327C67A0"/>
    <w:rsid w:val="327D6B81"/>
    <w:rsid w:val="328D7E23"/>
    <w:rsid w:val="32945455"/>
    <w:rsid w:val="32965C17"/>
    <w:rsid w:val="329E6876"/>
    <w:rsid w:val="32A6358C"/>
    <w:rsid w:val="32A63E3B"/>
    <w:rsid w:val="32A80AD6"/>
    <w:rsid w:val="32A922B5"/>
    <w:rsid w:val="32AC25B1"/>
    <w:rsid w:val="32AD4611"/>
    <w:rsid w:val="32B71508"/>
    <w:rsid w:val="32B900B2"/>
    <w:rsid w:val="32C40523"/>
    <w:rsid w:val="32C95233"/>
    <w:rsid w:val="32CC503C"/>
    <w:rsid w:val="32D6765D"/>
    <w:rsid w:val="32E2318A"/>
    <w:rsid w:val="32E62D58"/>
    <w:rsid w:val="32E71211"/>
    <w:rsid w:val="32EC47B6"/>
    <w:rsid w:val="32F14609"/>
    <w:rsid w:val="32F15F89"/>
    <w:rsid w:val="32F2547E"/>
    <w:rsid w:val="32F3003A"/>
    <w:rsid w:val="32F32BE8"/>
    <w:rsid w:val="32F9421D"/>
    <w:rsid w:val="32F97D0C"/>
    <w:rsid w:val="33000EB7"/>
    <w:rsid w:val="33076886"/>
    <w:rsid w:val="3316471C"/>
    <w:rsid w:val="333015F2"/>
    <w:rsid w:val="333E0A92"/>
    <w:rsid w:val="333F428E"/>
    <w:rsid w:val="33447406"/>
    <w:rsid w:val="33472595"/>
    <w:rsid w:val="334B6229"/>
    <w:rsid w:val="334B6320"/>
    <w:rsid w:val="334C2231"/>
    <w:rsid w:val="334F2C03"/>
    <w:rsid w:val="334F3A44"/>
    <w:rsid w:val="334F3C22"/>
    <w:rsid w:val="33545B13"/>
    <w:rsid w:val="335467A6"/>
    <w:rsid w:val="3356167F"/>
    <w:rsid w:val="3356325E"/>
    <w:rsid w:val="335B7248"/>
    <w:rsid w:val="335D766F"/>
    <w:rsid w:val="335E46CD"/>
    <w:rsid w:val="33624335"/>
    <w:rsid w:val="33656694"/>
    <w:rsid w:val="33683200"/>
    <w:rsid w:val="336B00D6"/>
    <w:rsid w:val="33715079"/>
    <w:rsid w:val="33782B3B"/>
    <w:rsid w:val="337C3E6B"/>
    <w:rsid w:val="33843883"/>
    <w:rsid w:val="33927242"/>
    <w:rsid w:val="33970E34"/>
    <w:rsid w:val="339C3EE3"/>
    <w:rsid w:val="33AA671E"/>
    <w:rsid w:val="33AD7123"/>
    <w:rsid w:val="33B60F0F"/>
    <w:rsid w:val="33B64122"/>
    <w:rsid w:val="33B66E8B"/>
    <w:rsid w:val="33BB09E8"/>
    <w:rsid w:val="33BE19E9"/>
    <w:rsid w:val="33CF0769"/>
    <w:rsid w:val="33CF79BA"/>
    <w:rsid w:val="33D21C44"/>
    <w:rsid w:val="33D934D4"/>
    <w:rsid w:val="33DF3EEB"/>
    <w:rsid w:val="33E04D53"/>
    <w:rsid w:val="33E503EB"/>
    <w:rsid w:val="33E665E9"/>
    <w:rsid w:val="33E76A48"/>
    <w:rsid w:val="33EB1964"/>
    <w:rsid w:val="33F07240"/>
    <w:rsid w:val="33F36C84"/>
    <w:rsid w:val="33FA3B5D"/>
    <w:rsid w:val="33FE2387"/>
    <w:rsid w:val="33FE2F6A"/>
    <w:rsid w:val="340E07E5"/>
    <w:rsid w:val="341B39E6"/>
    <w:rsid w:val="341C7E07"/>
    <w:rsid w:val="341D04ED"/>
    <w:rsid w:val="341D5FA7"/>
    <w:rsid w:val="341F6AA1"/>
    <w:rsid w:val="3421152E"/>
    <w:rsid w:val="34235BF7"/>
    <w:rsid w:val="34256C0A"/>
    <w:rsid w:val="342B1924"/>
    <w:rsid w:val="342D4C47"/>
    <w:rsid w:val="343C5F36"/>
    <w:rsid w:val="343F4883"/>
    <w:rsid w:val="34461DD2"/>
    <w:rsid w:val="345B1D4A"/>
    <w:rsid w:val="346028F8"/>
    <w:rsid w:val="34621E3D"/>
    <w:rsid w:val="346D352F"/>
    <w:rsid w:val="346D4CE0"/>
    <w:rsid w:val="346E1C0B"/>
    <w:rsid w:val="347061AA"/>
    <w:rsid w:val="347316CD"/>
    <w:rsid w:val="34752511"/>
    <w:rsid w:val="347B0287"/>
    <w:rsid w:val="347D4810"/>
    <w:rsid w:val="348458C0"/>
    <w:rsid w:val="3488736B"/>
    <w:rsid w:val="348F3D0E"/>
    <w:rsid w:val="3491636D"/>
    <w:rsid w:val="34965966"/>
    <w:rsid w:val="34A26B0B"/>
    <w:rsid w:val="34A8735C"/>
    <w:rsid w:val="34B32468"/>
    <w:rsid w:val="34B866F6"/>
    <w:rsid w:val="34BC73B5"/>
    <w:rsid w:val="34BF0D6C"/>
    <w:rsid w:val="34C04CE7"/>
    <w:rsid w:val="34C207C6"/>
    <w:rsid w:val="34C32962"/>
    <w:rsid w:val="34DF0ED4"/>
    <w:rsid w:val="34E105BC"/>
    <w:rsid w:val="34E15E52"/>
    <w:rsid w:val="34EF079D"/>
    <w:rsid w:val="34EF13E5"/>
    <w:rsid w:val="34F4181B"/>
    <w:rsid w:val="34F73B02"/>
    <w:rsid w:val="34FD3096"/>
    <w:rsid w:val="35004E07"/>
    <w:rsid w:val="35020D73"/>
    <w:rsid w:val="35031F0E"/>
    <w:rsid w:val="350474CA"/>
    <w:rsid w:val="350E5560"/>
    <w:rsid w:val="350F4339"/>
    <w:rsid w:val="351404E6"/>
    <w:rsid w:val="351424CB"/>
    <w:rsid w:val="351919A5"/>
    <w:rsid w:val="35193263"/>
    <w:rsid w:val="351F4FC2"/>
    <w:rsid w:val="35213E7A"/>
    <w:rsid w:val="352F2ECA"/>
    <w:rsid w:val="35305D2C"/>
    <w:rsid w:val="35354A37"/>
    <w:rsid w:val="3536601C"/>
    <w:rsid w:val="353A66E5"/>
    <w:rsid w:val="35410AE6"/>
    <w:rsid w:val="354849C1"/>
    <w:rsid w:val="35491BD9"/>
    <w:rsid w:val="354A27EA"/>
    <w:rsid w:val="354B08F2"/>
    <w:rsid w:val="35525164"/>
    <w:rsid w:val="35534BE6"/>
    <w:rsid w:val="35536842"/>
    <w:rsid w:val="35550075"/>
    <w:rsid w:val="355A272E"/>
    <w:rsid w:val="35616E5D"/>
    <w:rsid w:val="35623905"/>
    <w:rsid w:val="35637EBC"/>
    <w:rsid w:val="35654F82"/>
    <w:rsid w:val="35657B2A"/>
    <w:rsid w:val="35684D55"/>
    <w:rsid w:val="356A3F23"/>
    <w:rsid w:val="356D4A76"/>
    <w:rsid w:val="35701784"/>
    <w:rsid w:val="35727C2D"/>
    <w:rsid w:val="35747AAE"/>
    <w:rsid w:val="35775D0D"/>
    <w:rsid w:val="35825281"/>
    <w:rsid w:val="35883C42"/>
    <w:rsid w:val="358B5193"/>
    <w:rsid w:val="358C5FA8"/>
    <w:rsid w:val="359976AD"/>
    <w:rsid w:val="359D06F7"/>
    <w:rsid w:val="35A6162C"/>
    <w:rsid w:val="35A712C1"/>
    <w:rsid w:val="35AD111E"/>
    <w:rsid w:val="35AF0BE7"/>
    <w:rsid w:val="35B77D36"/>
    <w:rsid w:val="35C15DF1"/>
    <w:rsid w:val="35C178B9"/>
    <w:rsid w:val="35C76110"/>
    <w:rsid w:val="35DB0ABC"/>
    <w:rsid w:val="35DF3404"/>
    <w:rsid w:val="35ED10F0"/>
    <w:rsid w:val="35EE2ADD"/>
    <w:rsid w:val="35F14A76"/>
    <w:rsid w:val="35F56DB2"/>
    <w:rsid w:val="35F60C1B"/>
    <w:rsid w:val="35F64FA8"/>
    <w:rsid w:val="35F77270"/>
    <w:rsid w:val="35F92AF9"/>
    <w:rsid w:val="35FB4416"/>
    <w:rsid w:val="35FC762E"/>
    <w:rsid w:val="35FF348B"/>
    <w:rsid w:val="36015438"/>
    <w:rsid w:val="36024896"/>
    <w:rsid w:val="36074A7F"/>
    <w:rsid w:val="36143FD0"/>
    <w:rsid w:val="361C44BC"/>
    <w:rsid w:val="361E2DF6"/>
    <w:rsid w:val="3626440E"/>
    <w:rsid w:val="362658B3"/>
    <w:rsid w:val="36266B58"/>
    <w:rsid w:val="362842EC"/>
    <w:rsid w:val="36370F4E"/>
    <w:rsid w:val="363A4674"/>
    <w:rsid w:val="363F1A1A"/>
    <w:rsid w:val="363F3A25"/>
    <w:rsid w:val="36410A93"/>
    <w:rsid w:val="364966BB"/>
    <w:rsid w:val="36507C4E"/>
    <w:rsid w:val="36516D34"/>
    <w:rsid w:val="36540362"/>
    <w:rsid w:val="365B2966"/>
    <w:rsid w:val="365C00F5"/>
    <w:rsid w:val="365C09B7"/>
    <w:rsid w:val="365C0A5A"/>
    <w:rsid w:val="365F321D"/>
    <w:rsid w:val="365F3EE0"/>
    <w:rsid w:val="36604297"/>
    <w:rsid w:val="3660710A"/>
    <w:rsid w:val="36632F99"/>
    <w:rsid w:val="367478DC"/>
    <w:rsid w:val="36755F39"/>
    <w:rsid w:val="367914B5"/>
    <w:rsid w:val="367C51E8"/>
    <w:rsid w:val="36820823"/>
    <w:rsid w:val="36923549"/>
    <w:rsid w:val="36A2741D"/>
    <w:rsid w:val="36A453B2"/>
    <w:rsid w:val="36B01EE7"/>
    <w:rsid w:val="36B07503"/>
    <w:rsid w:val="36B2101D"/>
    <w:rsid w:val="36B75FBF"/>
    <w:rsid w:val="36BD0C45"/>
    <w:rsid w:val="36C3521C"/>
    <w:rsid w:val="36CB21B3"/>
    <w:rsid w:val="36D057C6"/>
    <w:rsid w:val="36D87307"/>
    <w:rsid w:val="36D92795"/>
    <w:rsid w:val="36DE6649"/>
    <w:rsid w:val="36E6050C"/>
    <w:rsid w:val="36EE2B67"/>
    <w:rsid w:val="36EE59D9"/>
    <w:rsid w:val="36EF61BB"/>
    <w:rsid w:val="36F81570"/>
    <w:rsid w:val="37001BD7"/>
    <w:rsid w:val="37033E8B"/>
    <w:rsid w:val="37052F55"/>
    <w:rsid w:val="37082B33"/>
    <w:rsid w:val="37094D8F"/>
    <w:rsid w:val="370C723C"/>
    <w:rsid w:val="37102FD8"/>
    <w:rsid w:val="3710594F"/>
    <w:rsid w:val="371829B2"/>
    <w:rsid w:val="3721040F"/>
    <w:rsid w:val="37291EC8"/>
    <w:rsid w:val="372F597E"/>
    <w:rsid w:val="372F7379"/>
    <w:rsid w:val="37375381"/>
    <w:rsid w:val="373830F8"/>
    <w:rsid w:val="37396354"/>
    <w:rsid w:val="373D7217"/>
    <w:rsid w:val="373E5435"/>
    <w:rsid w:val="37472495"/>
    <w:rsid w:val="374A3B89"/>
    <w:rsid w:val="374B7E7B"/>
    <w:rsid w:val="374C257A"/>
    <w:rsid w:val="37605DE5"/>
    <w:rsid w:val="37647A49"/>
    <w:rsid w:val="376634FD"/>
    <w:rsid w:val="37772DE6"/>
    <w:rsid w:val="377A7029"/>
    <w:rsid w:val="37820C94"/>
    <w:rsid w:val="378465E1"/>
    <w:rsid w:val="378F7662"/>
    <w:rsid w:val="379970C9"/>
    <w:rsid w:val="379A1F42"/>
    <w:rsid w:val="379B258B"/>
    <w:rsid w:val="379C5F15"/>
    <w:rsid w:val="37A72497"/>
    <w:rsid w:val="37AC1A2A"/>
    <w:rsid w:val="37AC34EC"/>
    <w:rsid w:val="37C450C3"/>
    <w:rsid w:val="37CB6D5B"/>
    <w:rsid w:val="37D1357F"/>
    <w:rsid w:val="37D35F11"/>
    <w:rsid w:val="37DB1C60"/>
    <w:rsid w:val="37DF2223"/>
    <w:rsid w:val="37E00298"/>
    <w:rsid w:val="37E14C4F"/>
    <w:rsid w:val="37E61084"/>
    <w:rsid w:val="37E96276"/>
    <w:rsid w:val="37ED378B"/>
    <w:rsid w:val="37EE2C48"/>
    <w:rsid w:val="37F74F56"/>
    <w:rsid w:val="37F75599"/>
    <w:rsid w:val="37FB2DF6"/>
    <w:rsid w:val="380A71EC"/>
    <w:rsid w:val="380B412A"/>
    <w:rsid w:val="3820656F"/>
    <w:rsid w:val="38261405"/>
    <w:rsid w:val="382858DB"/>
    <w:rsid w:val="382B35F4"/>
    <w:rsid w:val="382D4B5D"/>
    <w:rsid w:val="382E1527"/>
    <w:rsid w:val="382F44FB"/>
    <w:rsid w:val="38307C21"/>
    <w:rsid w:val="383225E3"/>
    <w:rsid w:val="3836377A"/>
    <w:rsid w:val="38373ACA"/>
    <w:rsid w:val="38474908"/>
    <w:rsid w:val="384F6A52"/>
    <w:rsid w:val="385A639C"/>
    <w:rsid w:val="38603A2F"/>
    <w:rsid w:val="38613F71"/>
    <w:rsid w:val="3865417B"/>
    <w:rsid w:val="3865798A"/>
    <w:rsid w:val="38727005"/>
    <w:rsid w:val="3873152D"/>
    <w:rsid w:val="38794F9A"/>
    <w:rsid w:val="38803DB7"/>
    <w:rsid w:val="38825043"/>
    <w:rsid w:val="3883487E"/>
    <w:rsid w:val="38841121"/>
    <w:rsid w:val="388859B9"/>
    <w:rsid w:val="388B19BB"/>
    <w:rsid w:val="389E6F8B"/>
    <w:rsid w:val="38A04A78"/>
    <w:rsid w:val="38A216ED"/>
    <w:rsid w:val="38A821E2"/>
    <w:rsid w:val="38A91676"/>
    <w:rsid w:val="38A9284A"/>
    <w:rsid w:val="38AB1D70"/>
    <w:rsid w:val="38B14D7A"/>
    <w:rsid w:val="38B22E63"/>
    <w:rsid w:val="38B302F9"/>
    <w:rsid w:val="38C55F89"/>
    <w:rsid w:val="38CB393D"/>
    <w:rsid w:val="38CE43CB"/>
    <w:rsid w:val="38D4238A"/>
    <w:rsid w:val="38E05802"/>
    <w:rsid w:val="38EC5BDF"/>
    <w:rsid w:val="38EE0446"/>
    <w:rsid w:val="38F12CD3"/>
    <w:rsid w:val="38F7685B"/>
    <w:rsid w:val="38F82D14"/>
    <w:rsid w:val="38F94775"/>
    <w:rsid w:val="39043E56"/>
    <w:rsid w:val="390D3441"/>
    <w:rsid w:val="39163A64"/>
    <w:rsid w:val="391D1E5E"/>
    <w:rsid w:val="39237531"/>
    <w:rsid w:val="392971ED"/>
    <w:rsid w:val="392F2CDF"/>
    <w:rsid w:val="39325651"/>
    <w:rsid w:val="39392B0D"/>
    <w:rsid w:val="393A22E1"/>
    <w:rsid w:val="393A658B"/>
    <w:rsid w:val="393B4811"/>
    <w:rsid w:val="393E1148"/>
    <w:rsid w:val="393F0F3F"/>
    <w:rsid w:val="39420105"/>
    <w:rsid w:val="394A05D8"/>
    <w:rsid w:val="394B2DE5"/>
    <w:rsid w:val="394C516B"/>
    <w:rsid w:val="394C643A"/>
    <w:rsid w:val="39510DF4"/>
    <w:rsid w:val="39514D01"/>
    <w:rsid w:val="39554B5F"/>
    <w:rsid w:val="39616E06"/>
    <w:rsid w:val="39622946"/>
    <w:rsid w:val="396C2B0E"/>
    <w:rsid w:val="397414B1"/>
    <w:rsid w:val="39743FA1"/>
    <w:rsid w:val="39752534"/>
    <w:rsid w:val="39784D26"/>
    <w:rsid w:val="39821158"/>
    <w:rsid w:val="39822C77"/>
    <w:rsid w:val="39846CEC"/>
    <w:rsid w:val="398A6D90"/>
    <w:rsid w:val="398D02FA"/>
    <w:rsid w:val="39915F47"/>
    <w:rsid w:val="39967C45"/>
    <w:rsid w:val="399A3DF6"/>
    <w:rsid w:val="399B3D2A"/>
    <w:rsid w:val="399D3009"/>
    <w:rsid w:val="399F1FFB"/>
    <w:rsid w:val="399F6372"/>
    <w:rsid w:val="39A607ED"/>
    <w:rsid w:val="39B74758"/>
    <w:rsid w:val="39BA5C51"/>
    <w:rsid w:val="39BD42AF"/>
    <w:rsid w:val="39BF365D"/>
    <w:rsid w:val="39C818FF"/>
    <w:rsid w:val="39D103B5"/>
    <w:rsid w:val="39D47424"/>
    <w:rsid w:val="39D728AF"/>
    <w:rsid w:val="39DD1C62"/>
    <w:rsid w:val="39E274D6"/>
    <w:rsid w:val="39E61A20"/>
    <w:rsid w:val="39E7613B"/>
    <w:rsid w:val="39EA0ABF"/>
    <w:rsid w:val="39F14DB2"/>
    <w:rsid w:val="39F40EEF"/>
    <w:rsid w:val="39F8091D"/>
    <w:rsid w:val="39F95EAE"/>
    <w:rsid w:val="39FD2950"/>
    <w:rsid w:val="39FF016E"/>
    <w:rsid w:val="3A0840C9"/>
    <w:rsid w:val="3A0A523E"/>
    <w:rsid w:val="3A0E0140"/>
    <w:rsid w:val="3A19685F"/>
    <w:rsid w:val="3A1F180D"/>
    <w:rsid w:val="3A277C9A"/>
    <w:rsid w:val="3A2835BB"/>
    <w:rsid w:val="3A28445A"/>
    <w:rsid w:val="3A29410A"/>
    <w:rsid w:val="3A2D6818"/>
    <w:rsid w:val="3A322081"/>
    <w:rsid w:val="3A3751D7"/>
    <w:rsid w:val="3A3F02FA"/>
    <w:rsid w:val="3A485D32"/>
    <w:rsid w:val="3A4E7EB0"/>
    <w:rsid w:val="3A5426B5"/>
    <w:rsid w:val="3A586EF8"/>
    <w:rsid w:val="3A5D0BC2"/>
    <w:rsid w:val="3A5E5686"/>
    <w:rsid w:val="3A613204"/>
    <w:rsid w:val="3A624635"/>
    <w:rsid w:val="3A701E50"/>
    <w:rsid w:val="3A7527C3"/>
    <w:rsid w:val="3A7726A3"/>
    <w:rsid w:val="3A7A2B8E"/>
    <w:rsid w:val="3A7C2B1F"/>
    <w:rsid w:val="3A872856"/>
    <w:rsid w:val="3A8C0000"/>
    <w:rsid w:val="3A8D0EEB"/>
    <w:rsid w:val="3A956711"/>
    <w:rsid w:val="3A9610E1"/>
    <w:rsid w:val="3A9923DE"/>
    <w:rsid w:val="3AA338E3"/>
    <w:rsid w:val="3AAA1C17"/>
    <w:rsid w:val="3AAF722D"/>
    <w:rsid w:val="3AB76150"/>
    <w:rsid w:val="3AB90C85"/>
    <w:rsid w:val="3AB92FEC"/>
    <w:rsid w:val="3ABB72C0"/>
    <w:rsid w:val="3AC32C4B"/>
    <w:rsid w:val="3AC4360F"/>
    <w:rsid w:val="3AC83089"/>
    <w:rsid w:val="3ACA1142"/>
    <w:rsid w:val="3AD77EA7"/>
    <w:rsid w:val="3ADB0486"/>
    <w:rsid w:val="3ADC57B5"/>
    <w:rsid w:val="3ADD745E"/>
    <w:rsid w:val="3AE312E1"/>
    <w:rsid w:val="3AEA16ED"/>
    <w:rsid w:val="3AEE244B"/>
    <w:rsid w:val="3B0A37FD"/>
    <w:rsid w:val="3B0D74E4"/>
    <w:rsid w:val="3B20637D"/>
    <w:rsid w:val="3B295BF7"/>
    <w:rsid w:val="3B2B0729"/>
    <w:rsid w:val="3B311F1D"/>
    <w:rsid w:val="3B3763D1"/>
    <w:rsid w:val="3B4911B3"/>
    <w:rsid w:val="3B4A001E"/>
    <w:rsid w:val="3B514ED5"/>
    <w:rsid w:val="3B595665"/>
    <w:rsid w:val="3B5A381A"/>
    <w:rsid w:val="3B5B09CB"/>
    <w:rsid w:val="3B5B3F16"/>
    <w:rsid w:val="3B5E1547"/>
    <w:rsid w:val="3B603AB7"/>
    <w:rsid w:val="3B667592"/>
    <w:rsid w:val="3B674FB4"/>
    <w:rsid w:val="3B6A2462"/>
    <w:rsid w:val="3B6D59DF"/>
    <w:rsid w:val="3B6F61FD"/>
    <w:rsid w:val="3B7D5E80"/>
    <w:rsid w:val="3B985266"/>
    <w:rsid w:val="3B9A05F6"/>
    <w:rsid w:val="3B9B2CF0"/>
    <w:rsid w:val="3B9C4260"/>
    <w:rsid w:val="3BA51529"/>
    <w:rsid w:val="3BA74916"/>
    <w:rsid w:val="3BB03997"/>
    <w:rsid w:val="3BB908DD"/>
    <w:rsid w:val="3BBC0630"/>
    <w:rsid w:val="3BBC1E74"/>
    <w:rsid w:val="3BBD16A3"/>
    <w:rsid w:val="3BBD77FC"/>
    <w:rsid w:val="3BBE7F46"/>
    <w:rsid w:val="3BC12FA1"/>
    <w:rsid w:val="3BC35439"/>
    <w:rsid w:val="3BC417C5"/>
    <w:rsid w:val="3BC96A15"/>
    <w:rsid w:val="3BD04FDE"/>
    <w:rsid w:val="3BD22704"/>
    <w:rsid w:val="3BD40198"/>
    <w:rsid w:val="3BDA19B7"/>
    <w:rsid w:val="3BDA3FEB"/>
    <w:rsid w:val="3BE00104"/>
    <w:rsid w:val="3BE77FBF"/>
    <w:rsid w:val="3BF10863"/>
    <w:rsid w:val="3BF16770"/>
    <w:rsid w:val="3BF52D34"/>
    <w:rsid w:val="3BF6214A"/>
    <w:rsid w:val="3BF7393A"/>
    <w:rsid w:val="3BF868F0"/>
    <w:rsid w:val="3BF91819"/>
    <w:rsid w:val="3BFD046C"/>
    <w:rsid w:val="3BFE4EA3"/>
    <w:rsid w:val="3BFF2436"/>
    <w:rsid w:val="3C065573"/>
    <w:rsid w:val="3C0C7849"/>
    <w:rsid w:val="3C0F2569"/>
    <w:rsid w:val="3C184E0F"/>
    <w:rsid w:val="3C1D466B"/>
    <w:rsid w:val="3C1F43B8"/>
    <w:rsid w:val="3C27715F"/>
    <w:rsid w:val="3C2F3163"/>
    <w:rsid w:val="3C2F6E1E"/>
    <w:rsid w:val="3C314039"/>
    <w:rsid w:val="3C351C68"/>
    <w:rsid w:val="3C3D33E3"/>
    <w:rsid w:val="3C433080"/>
    <w:rsid w:val="3C4449D2"/>
    <w:rsid w:val="3C4C0C88"/>
    <w:rsid w:val="3C4F64BA"/>
    <w:rsid w:val="3C5000BD"/>
    <w:rsid w:val="3C540F75"/>
    <w:rsid w:val="3C554CC3"/>
    <w:rsid w:val="3C5630C4"/>
    <w:rsid w:val="3C5C0AA4"/>
    <w:rsid w:val="3C5E2FBA"/>
    <w:rsid w:val="3C6129C0"/>
    <w:rsid w:val="3C667B63"/>
    <w:rsid w:val="3C711316"/>
    <w:rsid w:val="3C725711"/>
    <w:rsid w:val="3C752659"/>
    <w:rsid w:val="3C77021F"/>
    <w:rsid w:val="3C77271D"/>
    <w:rsid w:val="3C797796"/>
    <w:rsid w:val="3C7A6AF7"/>
    <w:rsid w:val="3C812E4B"/>
    <w:rsid w:val="3C862A2A"/>
    <w:rsid w:val="3C8663A1"/>
    <w:rsid w:val="3C8B206C"/>
    <w:rsid w:val="3C8D2FD1"/>
    <w:rsid w:val="3C9010A1"/>
    <w:rsid w:val="3C912E79"/>
    <w:rsid w:val="3C975B5B"/>
    <w:rsid w:val="3C9A700C"/>
    <w:rsid w:val="3CA030BA"/>
    <w:rsid w:val="3CA07775"/>
    <w:rsid w:val="3CA55C21"/>
    <w:rsid w:val="3CAD584B"/>
    <w:rsid w:val="3CAE7729"/>
    <w:rsid w:val="3CB12751"/>
    <w:rsid w:val="3CB148F1"/>
    <w:rsid w:val="3CB56E7C"/>
    <w:rsid w:val="3CBD4210"/>
    <w:rsid w:val="3CBF5346"/>
    <w:rsid w:val="3CC23DE1"/>
    <w:rsid w:val="3CC312C3"/>
    <w:rsid w:val="3CCC1D36"/>
    <w:rsid w:val="3CD6009D"/>
    <w:rsid w:val="3CDA245A"/>
    <w:rsid w:val="3CDD209E"/>
    <w:rsid w:val="3CE22D0B"/>
    <w:rsid w:val="3CF06E58"/>
    <w:rsid w:val="3CFC5210"/>
    <w:rsid w:val="3D0114B0"/>
    <w:rsid w:val="3D070BB3"/>
    <w:rsid w:val="3D090C78"/>
    <w:rsid w:val="3D0957A2"/>
    <w:rsid w:val="3D1367F7"/>
    <w:rsid w:val="3D15795C"/>
    <w:rsid w:val="3D173545"/>
    <w:rsid w:val="3D184693"/>
    <w:rsid w:val="3D1E069A"/>
    <w:rsid w:val="3D1E06B7"/>
    <w:rsid w:val="3D24599D"/>
    <w:rsid w:val="3D355D97"/>
    <w:rsid w:val="3D357079"/>
    <w:rsid w:val="3D381E72"/>
    <w:rsid w:val="3D3F1B67"/>
    <w:rsid w:val="3D4B1A69"/>
    <w:rsid w:val="3D4C1A8A"/>
    <w:rsid w:val="3D513987"/>
    <w:rsid w:val="3D526705"/>
    <w:rsid w:val="3D560099"/>
    <w:rsid w:val="3D644D4B"/>
    <w:rsid w:val="3D700127"/>
    <w:rsid w:val="3D735BA4"/>
    <w:rsid w:val="3D840617"/>
    <w:rsid w:val="3D84234E"/>
    <w:rsid w:val="3D897631"/>
    <w:rsid w:val="3D9308A4"/>
    <w:rsid w:val="3D934E9E"/>
    <w:rsid w:val="3D93594F"/>
    <w:rsid w:val="3D953C1B"/>
    <w:rsid w:val="3D9C4A06"/>
    <w:rsid w:val="3DAA64A0"/>
    <w:rsid w:val="3DAB4152"/>
    <w:rsid w:val="3DB46F89"/>
    <w:rsid w:val="3DB8289D"/>
    <w:rsid w:val="3DB96A9B"/>
    <w:rsid w:val="3DBA0257"/>
    <w:rsid w:val="3DC47627"/>
    <w:rsid w:val="3DC76CF2"/>
    <w:rsid w:val="3DC877D9"/>
    <w:rsid w:val="3DC92BFD"/>
    <w:rsid w:val="3DCD7BFC"/>
    <w:rsid w:val="3DD352DB"/>
    <w:rsid w:val="3DD7565C"/>
    <w:rsid w:val="3DDB59B2"/>
    <w:rsid w:val="3DDF7B5D"/>
    <w:rsid w:val="3DE225AE"/>
    <w:rsid w:val="3DE674F0"/>
    <w:rsid w:val="3DEB6DA3"/>
    <w:rsid w:val="3DEE0FF3"/>
    <w:rsid w:val="3DEE13A1"/>
    <w:rsid w:val="3DF33A64"/>
    <w:rsid w:val="3E06573E"/>
    <w:rsid w:val="3E0C5804"/>
    <w:rsid w:val="3E112175"/>
    <w:rsid w:val="3E14613A"/>
    <w:rsid w:val="3E160F33"/>
    <w:rsid w:val="3E196510"/>
    <w:rsid w:val="3E1A21E2"/>
    <w:rsid w:val="3E1C6B1A"/>
    <w:rsid w:val="3E1D6BA4"/>
    <w:rsid w:val="3E2569F1"/>
    <w:rsid w:val="3E262758"/>
    <w:rsid w:val="3E2A6AC2"/>
    <w:rsid w:val="3E2B7513"/>
    <w:rsid w:val="3E2C7224"/>
    <w:rsid w:val="3E2E0A91"/>
    <w:rsid w:val="3E2F737D"/>
    <w:rsid w:val="3E30185E"/>
    <w:rsid w:val="3E356443"/>
    <w:rsid w:val="3E380E62"/>
    <w:rsid w:val="3E3A59A8"/>
    <w:rsid w:val="3E3C08BE"/>
    <w:rsid w:val="3E3D0082"/>
    <w:rsid w:val="3E3E6FEF"/>
    <w:rsid w:val="3E446F3D"/>
    <w:rsid w:val="3E4C4223"/>
    <w:rsid w:val="3E53582A"/>
    <w:rsid w:val="3E551CA6"/>
    <w:rsid w:val="3E56129B"/>
    <w:rsid w:val="3E561652"/>
    <w:rsid w:val="3E5A7DAF"/>
    <w:rsid w:val="3E6243BC"/>
    <w:rsid w:val="3E634CCD"/>
    <w:rsid w:val="3E6D06DC"/>
    <w:rsid w:val="3E6E56CC"/>
    <w:rsid w:val="3E742571"/>
    <w:rsid w:val="3E8142FE"/>
    <w:rsid w:val="3E842D1A"/>
    <w:rsid w:val="3E8C62FA"/>
    <w:rsid w:val="3E9275F9"/>
    <w:rsid w:val="3EA81193"/>
    <w:rsid w:val="3EAF487F"/>
    <w:rsid w:val="3EB275B9"/>
    <w:rsid w:val="3EB70A3B"/>
    <w:rsid w:val="3EB71D4E"/>
    <w:rsid w:val="3EBE3C81"/>
    <w:rsid w:val="3EC016AA"/>
    <w:rsid w:val="3EC2642A"/>
    <w:rsid w:val="3ECD3E7D"/>
    <w:rsid w:val="3ED1196C"/>
    <w:rsid w:val="3ED5341A"/>
    <w:rsid w:val="3ED90D1D"/>
    <w:rsid w:val="3EDA0523"/>
    <w:rsid w:val="3EDF2808"/>
    <w:rsid w:val="3EED20C4"/>
    <w:rsid w:val="3EEF2F6D"/>
    <w:rsid w:val="3EF93913"/>
    <w:rsid w:val="3EFC04B0"/>
    <w:rsid w:val="3EFE47EE"/>
    <w:rsid w:val="3F0345F2"/>
    <w:rsid w:val="3F0761B3"/>
    <w:rsid w:val="3F100E9F"/>
    <w:rsid w:val="3F22357A"/>
    <w:rsid w:val="3F2C6221"/>
    <w:rsid w:val="3F306DCE"/>
    <w:rsid w:val="3F3423F7"/>
    <w:rsid w:val="3F447E1D"/>
    <w:rsid w:val="3F520217"/>
    <w:rsid w:val="3F5B48B3"/>
    <w:rsid w:val="3F5F49B6"/>
    <w:rsid w:val="3F624F39"/>
    <w:rsid w:val="3F626752"/>
    <w:rsid w:val="3F626DEF"/>
    <w:rsid w:val="3F6B0C4D"/>
    <w:rsid w:val="3F6E3CB2"/>
    <w:rsid w:val="3F7100AD"/>
    <w:rsid w:val="3F7F1CC2"/>
    <w:rsid w:val="3F851CD6"/>
    <w:rsid w:val="3F852C53"/>
    <w:rsid w:val="3F8B7155"/>
    <w:rsid w:val="3F8D4479"/>
    <w:rsid w:val="3F9065BB"/>
    <w:rsid w:val="3F950EB0"/>
    <w:rsid w:val="3F961DA8"/>
    <w:rsid w:val="3F9957E9"/>
    <w:rsid w:val="3F9D0E21"/>
    <w:rsid w:val="3F9F0D3F"/>
    <w:rsid w:val="3FA972F5"/>
    <w:rsid w:val="3FAF02F5"/>
    <w:rsid w:val="3FB377C0"/>
    <w:rsid w:val="3FD44BBA"/>
    <w:rsid w:val="3FD60286"/>
    <w:rsid w:val="3FD92F90"/>
    <w:rsid w:val="3FDB52CF"/>
    <w:rsid w:val="3FE71AB6"/>
    <w:rsid w:val="3FF07EA2"/>
    <w:rsid w:val="3FF118DF"/>
    <w:rsid w:val="3FF1653A"/>
    <w:rsid w:val="3FF85F66"/>
    <w:rsid w:val="3FF94B75"/>
    <w:rsid w:val="3FFA34B9"/>
    <w:rsid w:val="3FFF6194"/>
    <w:rsid w:val="40001887"/>
    <w:rsid w:val="400351C4"/>
    <w:rsid w:val="40184E6E"/>
    <w:rsid w:val="402823B4"/>
    <w:rsid w:val="402C56A5"/>
    <w:rsid w:val="402E0170"/>
    <w:rsid w:val="402E50AD"/>
    <w:rsid w:val="4039026E"/>
    <w:rsid w:val="403A6CFB"/>
    <w:rsid w:val="403E3F00"/>
    <w:rsid w:val="403F549D"/>
    <w:rsid w:val="404540FE"/>
    <w:rsid w:val="40675118"/>
    <w:rsid w:val="406C65D0"/>
    <w:rsid w:val="406E7B8B"/>
    <w:rsid w:val="40711049"/>
    <w:rsid w:val="40751409"/>
    <w:rsid w:val="40786127"/>
    <w:rsid w:val="407A6407"/>
    <w:rsid w:val="4085193B"/>
    <w:rsid w:val="408727EE"/>
    <w:rsid w:val="408B024B"/>
    <w:rsid w:val="40946982"/>
    <w:rsid w:val="40960C63"/>
    <w:rsid w:val="40981CCD"/>
    <w:rsid w:val="409D025C"/>
    <w:rsid w:val="409F442F"/>
    <w:rsid w:val="40A138F3"/>
    <w:rsid w:val="40A43D9A"/>
    <w:rsid w:val="40AC34A3"/>
    <w:rsid w:val="40AD6E86"/>
    <w:rsid w:val="40BC2E2B"/>
    <w:rsid w:val="40C1308E"/>
    <w:rsid w:val="40C71B05"/>
    <w:rsid w:val="40CB6DA7"/>
    <w:rsid w:val="40D3536E"/>
    <w:rsid w:val="40D74157"/>
    <w:rsid w:val="40DA0D7C"/>
    <w:rsid w:val="40E228CD"/>
    <w:rsid w:val="40E92D0B"/>
    <w:rsid w:val="40E9499C"/>
    <w:rsid w:val="40EC21A4"/>
    <w:rsid w:val="40F27DB6"/>
    <w:rsid w:val="41044E87"/>
    <w:rsid w:val="41047192"/>
    <w:rsid w:val="41055155"/>
    <w:rsid w:val="410C5A2A"/>
    <w:rsid w:val="410D325B"/>
    <w:rsid w:val="411048A4"/>
    <w:rsid w:val="41135D4F"/>
    <w:rsid w:val="4114385D"/>
    <w:rsid w:val="4117008A"/>
    <w:rsid w:val="41192607"/>
    <w:rsid w:val="411B2922"/>
    <w:rsid w:val="41242E09"/>
    <w:rsid w:val="413076F5"/>
    <w:rsid w:val="4131270D"/>
    <w:rsid w:val="41317E02"/>
    <w:rsid w:val="4132486F"/>
    <w:rsid w:val="4135191A"/>
    <w:rsid w:val="413B716B"/>
    <w:rsid w:val="414508F7"/>
    <w:rsid w:val="41475C02"/>
    <w:rsid w:val="41481BA4"/>
    <w:rsid w:val="414B39DE"/>
    <w:rsid w:val="415067BD"/>
    <w:rsid w:val="415D666E"/>
    <w:rsid w:val="416E7D57"/>
    <w:rsid w:val="416F7716"/>
    <w:rsid w:val="417A4DBD"/>
    <w:rsid w:val="417E1B83"/>
    <w:rsid w:val="41874AD3"/>
    <w:rsid w:val="418868D1"/>
    <w:rsid w:val="419248B1"/>
    <w:rsid w:val="41954D57"/>
    <w:rsid w:val="419952E7"/>
    <w:rsid w:val="419B17E8"/>
    <w:rsid w:val="41A503F9"/>
    <w:rsid w:val="41B14A64"/>
    <w:rsid w:val="41BA7661"/>
    <w:rsid w:val="41C8474B"/>
    <w:rsid w:val="41D4164A"/>
    <w:rsid w:val="41D8541A"/>
    <w:rsid w:val="41E04998"/>
    <w:rsid w:val="41E550FF"/>
    <w:rsid w:val="41EB4E51"/>
    <w:rsid w:val="41EF2605"/>
    <w:rsid w:val="41F12245"/>
    <w:rsid w:val="41F30C91"/>
    <w:rsid w:val="41F94FB3"/>
    <w:rsid w:val="41FC4A74"/>
    <w:rsid w:val="41FF592E"/>
    <w:rsid w:val="4200449D"/>
    <w:rsid w:val="420107BA"/>
    <w:rsid w:val="42085E31"/>
    <w:rsid w:val="42094AAD"/>
    <w:rsid w:val="420D0C5A"/>
    <w:rsid w:val="42113415"/>
    <w:rsid w:val="42177025"/>
    <w:rsid w:val="42193722"/>
    <w:rsid w:val="4226094F"/>
    <w:rsid w:val="42264CA1"/>
    <w:rsid w:val="42294FA3"/>
    <w:rsid w:val="422B689A"/>
    <w:rsid w:val="422C3363"/>
    <w:rsid w:val="42395F66"/>
    <w:rsid w:val="423A3BCC"/>
    <w:rsid w:val="42417DA9"/>
    <w:rsid w:val="42484839"/>
    <w:rsid w:val="424952DD"/>
    <w:rsid w:val="424E1A22"/>
    <w:rsid w:val="424E57D2"/>
    <w:rsid w:val="425715E0"/>
    <w:rsid w:val="425A1609"/>
    <w:rsid w:val="427173AC"/>
    <w:rsid w:val="428A4025"/>
    <w:rsid w:val="428D0B5E"/>
    <w:rsid w:val="42941769"/>
    <w:rsid w:val="42955CED"/>
    <w:rsid w:val="429D02B3"/>
    <w:rsid w:val="42A40A33"/>
    <w:rsid w:val="42A44D37"/>
    <w:rsid w:val="42B00F46"/>
    <w:rsid w:val="42B20943"/>
    <w:rsid w:val="42B20D6A"/>
    <w:rsid w:val="42B26C49"/>
    <w:rsid w:val="42B31359"/>
    <w:rsid w:val="42B45D29"/>
    <w:rsid w:val="42B97B43"/>
    <w:rsid w:val="42BA6A4C"/>
    <w:rsid w:val="42BE58DE"/>
    <w:rsid w:val="42BF115A"/>
    <w:rsid w:val="42C06D15"/>
    <w:rsid w:val="42C62461"/>
    <w:rsid w:val="42D13265"/>
    <w:rsid w:val="42D30D72"/>
    <w:rsid w:val="42D31134"/>
    <w:rsid w:val="42D33CD5"/>
    <w:rsid w:val="42D40176"/>
    <w:rsid w:val="42D46C1B"/>
    <w:rsid w:val="42E47351"/>
    <w:rsid w:val="42F45D05"/>
    <w:rsid w:val="42F76572"/>
    <w:rsid w:val="430229ED"/>
    <w:rsid w:val="430855FE"/>
    <w:rsid w:val="43160791"/>
    <w:rsid w:val="4318606E"/>
    <w:rsid w:val="43205B8C"/>
    <w:rsid w:val="43220D86"/>
    <w:rsid w:val="43223FA9"/>
    <w:rsid w:val="432C1C95"/>
    <w:rsid w:val="432E057C"/>
    <w:rsid w:val="43342AEB"/>
    <w:rsid w:val="43395576"/>
    <w:rsid w:val="433A6FE6"/>
    <w:rsid w:val="433D4E1D"/>
    <w:rsid w:val="43480868"/>
    <w:rsid w:val="4350713C"/>
    <w:rsid w:val="43533782"/>
    <w:rsid w:val="435B65F1"/>
    <w:rsid w:val="435F6FEB"/>
    <w:rsid w:val="436052E8"/>
    <w:rsid w:val="4360757C"/>
    <w:rsid w:val="43617988"/>
    <w:rsid w:val="436653E0"/>
    <w:rsid w:val="4371523D"/>
    <w:rsid w:val="437270F3"/>
    <w:rsid w:val="43732AC3"/>
    <w:rsid w:val="437859F5"/>
    <w:rsid w:val="43823BC3"/>
    <w:rsid w:val="43884ABF"/>
    <w:rsid w:val="438A6961"/>
    <w:rsid w:val="4390356D"/>
    <w:rsid w:val="43913F81"/>
    <w:rsid w:val="439638EB"/>
    <w:rsid w:val="43993155"/>
    <w:rsid w:val="43A10CDC"/>
    <w:rsid w:val="43A959FE"/>
    <w:rsid w:val="43A97326"/>
    <w:rsid w:val="43B1690C"/>
    <w:rsid w:val="43BB707E"/>
    <w:rsid w:val="43C4431A"/>
    <w:rsid w:val="43C52C69"/>
    <w:rsid w:val="43C743E6"/>
    <w:rsid w:val="43CE3BF9"/>
    <w:rsid w:val="43DB3DB0"/>
    <w:rsid w:val="43DC73A0"/>
    <w:rsid w:val="43E81747"/>
    <w:rsid w:val="43EF0FE2"/>
    <w:rsid w:val="43F44410"/>
    <w:rsid w:val="43F515FF"/>
    <w:rsid w:val="43F82F68"/>
    <w:rsid w:val="43FE5AA1"/>
    <w:rsid w:val="440B1C16"/>
    <w:rsid w:val="440E1E3A"/>
    <w:rsid w:val="441032D4"/>
    <w:rsid w:val="44107610"/>
    <w:rsid w:val="44122F8D"/>
    <w:rsid w:val="44130012"/>
    <w:rsid w:val="44142F25"/>
    <w:rsid w:val="44164E77"/>
    <w:rsid w:val="4416635A"/>
    <w:rsid w:val="441D5105"/>
    <w:rsid w:val="44250906"/>
    <w:rsid w:val="442509DB"/>
    <w:rsid w:val="442F29DD"/>
    <w:rsid w:val="443B6CEE"/>
    <w:rsid w:val="443D4629"/>
    <w:rsid w:val="443D472F"/>
    <w:rsid w:val="443F68DF"/>
    <w:rsid w:val="44416AB6"/>
    <w:rsid w:val="444317F1"/>
    <w:rsid w:val="44470472"/>
    <w:rsid w:val="444C2D3E"/>
    <w:rsid w:val="445B6297"/>
    <w:rsid w:val="445E0042"/>
    <w:rsid w:val="44600D13"/>
    <w:rsid w:val="44632A01"/>
    <w:rsid w:val="446C5404"/>
    <w:rsid w:val="44790C4F"/>
    <w:rsid w:val="447D240D"/>
    <w:rsid w:val="44833E34"/>
    <w:rsid w:val="448C7544"/>
    <w:rsid w:val="449366E5"/>
    <w:rsid w:val="44942D60"/>
    <w:rsid w:val="449827E7"/>
    <w:rsid w:val="449A4393"/>
    <w:rsid w:val="449A7001"/>
    <w:rsid w:val="449D27EC"/>
    <w:rsid w:val="449E6492"/>
    <w:rsid w:val="449E69E6"/>
    <w:rsid w:val="44A71609"/>
    <w:rsid w:val="44AC2A30"/>
    <w:rsid w:val="44B354D9"/>
    <w:rsid w:val="44B555FB"/>
    <w:rsid w:val="44B951CC"/>
    <w:rsid w:val="44B95E39"/>
    <w:rsid w:val="44BA2741"/>
    <w:rsid w:val="44BE3157"/>
    <w:rsid w:val="44C13363"/>
    <w:rsid w:val="44C350BE"/>
    <w:rsid w:val="44C413B9"/>
    <w:rsid w:val="44C512A4"/>
    <w:rsid w:val="44C60872"/>
    <w:rsid w:val="44CD14E0"/>
    <w:rsid w:val="44CF210F"/>
    <w:rsid w:val="44D073C1"/>
    <w:rsid w:val="44D66E97"/>
    <w:rsid w:val="44DA2479"/>
    <w:rsid w:val="44DA759D"/>
    <w:rsid w:val="44E22501"/>
    <w:rsid w:val="44E65F41"/>
    <w:rsid w:val="44EB626C"/>
    <w:rsid w:val="44ED6693"/>
    <w:rsid w:val="44EE0466"/>
    <w:rsid w:val="44F20B0B"/>
    <w:rsid w:val="44F92119"/>
    <w:rsid w:val="44FA19ED"/>
    <w:rsid w:val="44FB6E36"/>
    <w:rsid w:val="44FB76DA"/>
    <w:rsid w:val="44FD1886"/>
    <w:rsid w:val="44FF1494"/>
    <w:rsid w:val="44FF5216"/>
    <w:rsid w:val="450223FE"/>
    <w:rsid w:val="450B1358"/>
    <w:rsid w:val="450D7443"/>
    <w:rsid w:val="45174A64"/>
    <w:rsid w:val="45227CA0"/>
    <w:rsid w:val="452D2F1C"/>
    <w:rsid w:val="452E5F4C"/>
    <w:rsid w:val="453046AC"/>
    <w:rsid w:val="45314252"/>
    <w:rsid w:val="45363A93"/>
    <w:rsid w:val="45421857"/>
    <w:rsid w:val="45431027"/>
    <w:rsid w:val="45463A33"/>
    <w:rsid w:val="45485EB6"/>
    <w:rsid w:val="45492F04"/>
    <w:rsid w:val="454B5BF1"/>
    <w:rsid w:val="454B6AB3"/>
    <w:rsid w:val="45610513"/>
    <w:rsid w:val="45612018"/>
    <w:rsid w:val="45717F01"/>
    <w:rsid w:val="45744C02"/>
    <w:rsid w:val="4576471C"/>
    <w:rsid w:val="45822D73"/>
    <w:rsid w:val="4585417F"/>
    <w:rsid w:val="458946E9"/>
    <w:rsid w:val="458A1B54"/>
    <w:rsid w:val="45901F42"/>
    <w:rsid w:val="45A14A3F"/>
    <w:rsid w:val="45A47C0E"/>
    <w:rsid w:val="45A55DFD"/>
    <w:rsid w:val="45A6455A"/>
    <w:rsid w:val="45A8769B"/>
    <w:rsid w:val="45AB076B"/>
    <w:rsid w:val="45AD7CBF"/>
    <w:rsid w:val="45B74470"/>
    <w:rsid w:val="45B93C1F"/>
    <w:rsid w:val="45BB7904"/>
    <w:rsid w:val="45BC2EBD"/>
    <w:rsid w:val="45C0711A"/>
    <w:rsid w:val="45C30B84"/>
    <w:rsid w:val="45CD6E4D"/>
    <w:rsid w:val="45D05572"/>
    <w:rsid w:val="45D05A51"/>
    <w:rsid w:val="45D52A18"/>
    <w:rsid w:val="45D573DA"/>
    <w:rsid w:val="45D63AFE"/>
    <w:rsid w:val="45D92BA2"/>
    <w:rsid w:val="45DC4237"/>
    <w:rsid w:val="45E5489B"/>
    <w:rsid w:val="45EA6F2C"/>
    <w:rsid w:val="45ED4C6E"/>
    <w:rsid w:val="45EF386C"/>
    <w:rsid w:val="45F35D2E"/>
    <w:rsid w:val="45F54EF3"/>
    <w:rsid w:val="45F631AF"/>
    <w:rsid w:val="45F839FF"/>
    <w:rsid w:val="45F94007"/>
    <w:rsid w:val="45FA022C"/>
    <w:rsid w:val="45FC3543"/>
    <w:rsid w:val="460268F1"/>
    <w:rsid w:val="46095B0F"/>
    <w:rsid w:val="460D4588"/>
    <w:rsid w:val="460D7447"/>
    <w:rsid w:val="46121B8A"/>
    <w:rsid w:val="461C402C"/>
    <w:rsid w:val="461C648C"/>
    <w:rsid w:val="46236D21"/>
    <w:rsid w:val="46237415"/>
    <w:rsid w:val="46237ED5"/>
    <w:rsid w:val="46277248"/>
    <w:rsid w:val="463B0106"/>
    <w:rsid w:val="463F30E9"/>
    <w:rsid w:val="46441EEC"/>
    <w:rsid w:val="464422D3"/>
    <w:rsid w:val="46454A39"/>
    <w:rsid w:val="46472A10"/>
    <w:rsid w:val="464A0CC8"/>
    <w:rsid w:val="464D6FC5"/>
    <w:rsid w:val="465246BA"/>
    <w:rsid w:val="46577FD6"/>
    <w:rsid w:val="46585C31"/>
    <w:rsid w:val="465F7A06"/>
    <w:rsid w:val="4660273E"/>
    <w:rsid w:val="46607CC2"/>
    <w:rsid w:val="4661174F"/>
    <w:rsid w:val="46650844"/>
    <w:rsid w:val="46664C95"/>
    <w:rsid w:val="466753C6"/>
    <w:rsid w:val="466B0462"/>
    <w:rsid w:val="4672029D"/>
    <w:rsid w:val="46761E79"/>
    <w:rsid w:val="467E0606"/>
    <w:rsid w:val="46821C9A"/>
    <w:rsid w:val="4684250E"/>
    <w:rsid w:val="46864A67"/>
    <w:rsid w:val="4689127A"/>
    <w:rsid w:val="468945C4"/>
    <w:rsid w:val="468C75CE"/>
    <w:rsid w:val="468F5881"/>
    <w:rsid w:val="469105B4"/>
    <w:rsid w:val="46B03AF2"/>
    <w:rsid w:val="46B27A6E"/>
    <w:rsid w:val="46B55B00"/>
    <w:rsid w:val="46BB084E"/>
    <w:rsid w:val="46C94ED1"/>
    <w:rsid w:val="46CA3300"/>
    <w:rsid w:val="46CA5589"/>
    <w:rsid w:val="46CF376E"/>
    <w:rsid w:val="46D14F2A"/>
    <w:rsid w:val="46D718D1"/>
    <w:rsid w:val="46D955A7"/>
    <w:rsid w:val="46DE321B"/>
    <w:rsid w:val="46DE5311"/>
    <w:rsid w:val="46DE67A1"/>
    <w:rsid w:val="46EA5546"/>
    <w:rsid w:val="46EC4451"/>
    <w:rsid w:val="46F06F50"/>
    <w:rsid w:val="46F13E40"/>
    <w:rsid w:val="46F85D21"/>
    <w:rsid w:val="46FD71AF"/>
    <w:rsid w:val="47110632"/>
    <w:rsid w:val="47110A51"/>
    <w:rsid w:val="47112F72"/>
    <w:rsid w:val="4711312A"/>
    <w:rsid w:val="47133957"/>
    <w:rsid w:val="4723012F"/>
    <w:rsid w:val="4723522B"/>
    <w:rsid w:val="47242FDB"/>
    <w:rsid w:val="47273B83"/>
    <w:rsid w:val="472D0BC8"/>
    <w:rsid w:val="472E243C"/>
    <w:rsid w:val="47307E1A"/>
    <w:rsid w:val="4734016B"/>
    <w:rsid w:val="473531B0"/>
    <w:rsid w:val="473567F9"/>
    <w:rsid w:val="47364996"/>
    <w:rsid w:val="473B2239"/>
    <w:rsid w:val="473C6689"/>
    <w:rsid w:val="47421715"/>
    <w:rsid w:val="474B1584"/>
    <w:rsid w:val="474D3807"/>
    <w:rsid w:val="474E0291"/>
    <w:rsid w:val="474F413C"/>
    <w:rsid w:val="47555922"/>
    <w:rsid w:val="475A2F35"/>
    <w:rsid w:val="47667A7F"/>
    <w:rsid w:val="476E302C"/>
    <w:rsid w:val="47717110"/>
    <w:rsid w:val="47721600"/>
    <w:rsid w:val="477C153B"/>
    <w:rsid w:val="47810F7B"/>
    <w:rsid w:val="4787347F"/>
    <w:rsid w:val="478B0B5D"/>
    <w:rsid w:val="4796695E"/>
    <w:rsid w:val="47A07E0C"/>
    <w:rsid w:val="47B76381"/>
    <w:rsid w:val="47BD557F"/>
    <w:rsid w:val="47D37608"/>
    <w:rsid w:val="47D81500"/>
    <w:rsid w:val="47E46AFC"/>
    <w:rsid w:val="47E60EC0"/>
    <w:rsid w:val="47EF4FC8"/>
    <w:rsid w:val="48133A7E"/>
    <w:rsid w:val="4817237A"/>
    <w:rsid w:val="48190EFD"/>
    <w:rsid w:val="481A46CF"/>
    <w:rsid w:val="48252DC4"/>
    <w:rsid w:val="4826549F"/>
    <w:rsid w:val="48286871"/>
    <w:rsid w:val="482B5853"/>
    <w:rsid w:val="482C6361"/>
    <w:rsid w:val="482E0503"/>
    <w:rsid w:val="482F76BA"/>
    <w:rsid w:val="48335654"/>
    <w:rsid w:val="483431A2"/>
    <w:rsid w:val="483829FC"/>
    <w:rsid w:val="48392CE6"/>
    <w:rsid w:val="483F0533"/>
    <w:rsid w:val="48403BBB"/>
    <w:rsid w:val="484C02BD"/>
    <w:rsid w:val="485205F0"/>
    <w:rsid w:val="48561ACF"/>
    <w:rsid w:val="485678EA"/>
    <w:rsid w:val="485B7037"/>
    <w:rsid w:val="486B315D"/>
    <w:rsid w:val="486B6F55"/>
    <w:rsid w:val="486F21F7"/>
    <w:rsid w:val="4870272E"/>
    <w:rsid w:val="48733AF6"/>
    <w:rsid w:val="487B6D8F"/>
    <w:rsid w:val="487F6479"/>
    <w:rsid w:val="48801162"/>
    <w:rsid w:val="4882248D"/>
    <w:rsid w:val="4883304F"/>
    <w:rsid w:val="488C32A4"/>
    <w:rsid w:val="4890603C"/>
    <w:rsid w:val="489243D9"/>
    <w:rsid w:val="48957AF2"/>
    <w:rsid w:val="489B47C6"/>
    <w:rsid w:val="489C79F9"/>
    <w:rsid w:val="489D100D"/>
    <w:rsid w:val="489F52C5"/>
    <w:rsid w:val="48A47510"/>
    <w:rsid w:val="48A65C1B"/>
    <w:rsid w:val="48AA59B2"/>
    <w:rsid w:val="48B77D17"/>
    <w:rsid w:val="48BE59E3"/>
    <w:rsid w:val="48BF5427"/>
    <w:rsid w:val="48C9372B"/>
    <w:rsid w:val="48CD2603"/>
    <w:rsid w:val="48CE285F"/>
    <w:rsid w:val="48CF5E2F"/>
    <w:rsid w:val="48D2584B"/>
    <w:rsid w:val="48D8031B"/>
    <w:rsid w:val="48DD3AFF"/>
    <w:rsid w:val="48E95A63"/>
    <w:rsid w:val="48F1361F"/>
    <w:rsid w:val="49032719"/>
    <w:rsid w:val="490821B4"/>
    <w:rsid w:val="490A28C1"/>
    <w:rsid w:val="490B49A0"/>
    <w:rsid w:val="490D172D"/>
    <w:rsid w:val="49101CC1"/>
    <w:rsid w:val="492603A4"/>
    <w:rsid w:val="492D5AB3"/>
    <w:rsid w:val="492E6F7B"/>
    <w:rsid w:val="49303C2F"/>
    <w:rsid w:val="49351359"/>
    <w:rsid w:val="493A685C"/>
    <w:rsid w:val="493C2ABD"/>
    <w:rsid w:val="493C6973"/>
    <w:rsid w:val="49412A2E"/>
    <w:rsid w:val="49425794"/>
    <w:rsid w:val="49490FE8"/>
    <w:rsid w:val="494B26E8"/>
    <w:rsid w:val="494C1DA5"/>
    <w:rsid w:val="494C5593"/>
    <w:rsid w:val="494D7134"/>
    <w:rsid w:val="495414A2"/>
    <w:rsid w:val="495971A2"/>
    <w:rsid w:val="495F5E9A"/>
    <w:rsid w:val="4961118F"/>
    <w:rsid w:val="49625AB1"/>
    <w:rsid w:val="496C5865"/>
    <w:rsid w:val="4970127A"/>
    <w:rsid w:val="497C34CE"/>
    <w:rsid w:val="498850C5"/>
    <w:rsid w:val="49951336"/>
    <w:rsid w:val="4995161B"/>
    <w:rsid w:val="49A21D17"/>
    <w:rsid w:val="49A35EFB"/>
    <w:rsid w:val="49A36ECC"/>
    <w:rsid w:val="49A62736"/>
    <w:rsid w:val="49A756F9"/>
    <w:rsid w:val="49A94649"/>
    <w:rsid w:val="49AE1C22"/>
    <w:rsid w:val="49AE4672"/>
    <w:rsid w:val="49B14A27"/>
    <w:rsid w:val="49B501A1"/>
    <w:rsid w:val="49B71C99"/>
    <w:rsid w:val="49BA6E16"/>
    <w:rsid w:val="49BD63BF"/>
    <w:rsid w:val="49C10C6A"/>
    <w:rsid w:val="49C8030C"/>
    <w:rsid w:val="49CB5998"/>
    <w:rsid w:val="49CC5D18"/>
    <w:rsid w:val="49CE0AD0"/>
    <w:rsid w:val="49D22F38"/>
    <w:rsid w:val="49D60039"/>
    <w:rsid w:val="49D77C95"/>
    <w:rsid w:val="49DC7715"/>
    <w:rsid w:val="49DD404B"/>
    <w:rsid w:val="49E26808"/>
    <w:rsid w:val="49E47ED1"/>
    <w:rsid w:val="49E52E47"/>
    <w:rsid w:val="49E669E4"/>
    <w:rsid w:val="49EB600C"/>
    <w:rsid w:val="49ED443D"/>
    <w:rsid w:val="49F1285C"/>
    <w:rsid w:val="49F93EBB"/>
    <w:rsid w:val="49FF6FF1"/>
    <w:rsid w:val="4A012325"/>
    <w:rsid w:val="4A023139"/>
    <w:rsid w:val="4A0A15BC"/>
    <w:rsid w:val="4A112FB2"/>
    <w:rsid w:val="4A16237D"/>
    <w:rsid w:val="4A1D68D3"/>
    <w:rsid w:val="4A1F2919"/>
    <w:rsid w:val="4A245474"/>
    <w:rsid w:val="4A3A2CEC"/>
    <w:rsid w:val="4A3C3A6F"/>
    <w:rsid w:val="4A3D51F6"/>
    <w:rsid w:val="4A3F08F2"/>
    <w:rsid w:val="4A411E05"/>
    <w:rsid w:val="4A412D24"/>
    <w:rsid w:val="4A461C5D"/>
    <w:rsid w:val="4A492CA7"/>
    <w:rsid w:val="4A4B7240"/>
    <w:rsid w:val="4A5041A0"/>
    <w:rsid w:val="4A542CC8"/>
    <w:rsid w:val="4A6A7279"/>
    <w:rsid w:val="4A6F136C"/>
    <w:rsid w:val="4A7629B7"/>
    <w:rsid w:val="4A7B576F"/>
    <w:rsid w:val="4A7D406B"/>
    <w:rsid w:val="4A8609AE"/>
    <w:rsid w:val="4A865A8E"/>
    <w:rsid w:val="4A880BF2"/>
    <w:rsid w:val="4A881517"/>
    <w:rsid w:val="4A895D2E"/>
    <w:rsid w:val="4A8E4466"/>
    <w:rsid w:val="4A987169"/>
    <w:rsid w:val="4A9E1141"/>
    <w:rsid w:val="4AA158F4"/>
    <w:rsid w:val="4AA2290B"/>
    <w:rsid w:val="4AA50119"/>
    <w:rsid w:val="4AAC4317"/>
    <w:rsid w:val="4AB30E56"/>
    <w:rsid w:val="4ABC0B66"/>
    <w:rsid w:val="4AC7411F"/>
    <w:rsid w:val="4ADC1CA0"/>
    <w:rsid w:val="4ADF3D55"/>
    <w:rsid w:val="4AE0041E"/>
    <w:rsid w:val="4AE1341B"/>
    <w:rsid w:val="4AEB7063"/>
    <w:rsid w:val="4AF32044"/>
    <w:rsid w:val="4AF561A9"/>
    <w:rsid w:val="4AFD4603"/>
    <w:rsid w:val="4B04557D"/>
    <w:rsid w:val="4B085C73"/>
    <w:rsid w:val="4B176063"/>
    <w:rsid w:val="4B1A1074"/>
    <w:rsid w:val="4B1C6652"/>
    <w:rsid w:val="4B1D2683"/>
    <w:rsid w:val="4B210706"/>
    <w:rsid w:val="4B223E38"/>
    <w:rsid w:val="4B225EDD"/>
    <w:rsid w:val="4B27036E"/>
    <w:rsid w:val="4B287E9A"/>
    <w:rsid w:val="4B2C5099"/>
    <w:rsid w:val="4B2E0112"/>
    <w:rsid w:val="4B304A4D"/>
    <w:rsid w:val="4B334C66"/>
    <w:rsid w:val="4B343D27"/>
    <w:rsid w:val="4B36089F"/>
    <w:rsid w:val="4B4340EE"/>
    <w:rsid w:val="4B4D5FFC"/>
    <w:rsid w:val="4B5765EE"/>
    <w:rsid w:val="4B5D559C"/>
    <w:rsid w:val="4B61011D"/>
    <w:rsid w:val="4B6949F7"/>
    <w:rsid w:val="4B6A5B97"/>
    <w:rsid w:val="4B6D15FE"/>
    <w:rsid w:val="4B6E0570"/>
    <w:rsid w:val="4B7214F2"/>
    <w:rsid w:val="4B73506D"/>
    <w:rsid w:val="4B735F69"/>
    <w:rsid w:val="4B754FFA"/>
    <w:rsid w:val="4B793136"/>
    <w:rsid w:val="4B7D12A7"/>
    <w:rsid w:val="4B7E5A8A"/>
    <w:rsid w:val="4B831A6A"/>
    <w:rsid w:val="4B923955"/>
    <w:rsid w:val="4B9564CC"/>
    <w:rsid w:val="4B9C7E6E"/>
    <w:rsid w:val="4BA83FA5"/>
    <w:rsid w:val="4BA84362"/>
    <w:rsid w:val="4BAA7DB8"/>
    <w:rsid w:val="4BAC4187"/>
    <w:rsid w:val="4BAE158A"/>
    <w:rsid w:val="4BB01057"/>
    <w:rsid w:val="4BB01AE9"/>
    <w:rsid w:val="4BB42D09"/>
    <w:rsid w:val="4BB75DC3"/>
    <w:rsid w:val="4BB76E74"/>
    <w:rsid w:val="4BCA6A4F"/>
    <w:rsid w:val="4BCD1F3D"/>
    <w:rsid w:val="4BCE632E"/>
    <w:rsid w:val="4BCE7C54"/>
    <w:rsid w:val="4BCF7545"/>
    <w:rsid w:val="4BD33618"/>
    <w:rsid w:val="4BD815A3"/>
    <w:rsid w:val="4BDA44BD"/>
    <w:rsid w:val="4BE355D2"/>
    <w:rsid w:val="4BEA1EEF"/>
    <w:rsid w:val="4BFE576F"/>
    <w:rsid w:val="4C03562B"/>
    <w:rsid w:val="4C0941FB"/>
    <w:rsid w:val="4C0B3A1A"/>
    <w:rsid w:val="4C0D0492"/>
    <w:rsid w:val="4C17110E"/>
    <w:rsid w:val="4C2435BE"/>
    <w:rsid w:val="4C2509A1"/>
    <w:rsid w:val="4C3C28C6"/>
    <w:rsid w:val="4C3E7647"/>
    <w:rsid w:val="4C4A0649"/>
    <w:rsid w:val="4C4A6292"/>
    <w:rsid w:val="4C5053EF"/>
    <w:rsid w:val="4C5920FA"/>
    <w:rsid w:val="4C6624B7"/>
    <w:rsid w:val="4C6C6A83"/>
    <w:rsid w:val="4C6C7D20"/>
    <w:rsid w:val="4C7612A4"/>
    <w:rsid w:val="4C7A73ED"/>
    <w:rsid w:val="4C7D2A1C"/>
    <w:rsid w:val="4C7E5ECA"/>
    <w:rsid w:val="4C8154BB"/>
    <w:rsid w:val="4C820D78"/>
    <w:rsid w:val="4C856040"/>
    <w:rsid w:val="4C875EB7"/>
    <w:rsid w:val="4C876AA5"/>
    <w:rsid w:val="4C8A0545"/>
    <w:rsid w:val="4C8A0DCD"/>
    <w:rsid w:val="4C8A3615"/>
    <w:rsid w:val="4C8F09FF"/>
    <w:rsid w:val="4C9411F9"/>
    <w:rsid w:val="4C9646F1"/>
    <w:rsid w:val="4C982217"/>
    <w:rsid w:val="4C9C1FC4"/>
    <w:rsid w:val="4C9C4377"/>
    <w:rsid w:val="4C9D4E05"/>
    <w:rsid w:val="4CA00D27"/>
    <w:rsid w:val="4CA77350"/>
    <w:rsid w:val="4CA86CE8"/>
    <w:rsid w:val="4CAC5CC3"/>
    <w:rsid w:val="4CB50D4E"/>
    <w:rsid w:val="4CB60113"/>
    <w:rsid w:val="4CBA0C3C"/>
    <w:rsid w:val="4CC2636B"/>
    <w:rsid w:val="4CC63C42"/>
    <w:rsid w:val="4CD47D4E"/>
    <w:rsid w:val="4CD93BD9"/>
    <w:rsid w:val="4CE37593"/>
    <w:rsid w:val="4CE65D96"/>
    <w:rsid w:val="4CF23801"/>
    <w:rsid w:val="4CF44EC9"/>
    <w:rsid w:val="4D041D9D"/>
    <w:rsid w:val="4D046AF6"/>
    <w:rsid w:val="4D0A7771"/>
    <w:rsid w:val="4D0E00FB"/>
    <w:rsid w:val="4D164BCA"/>
    <w:rsid w:val="4D176606"/>
    <w:rsid w:val="4D260197"/>
    <w:rsid w:val="4D2757EA"/>
    <w:rsid w:val="4D3240E8"/>
    <w:rsid w:val="4D3B56DE"/>
    <w:rsid w:val="4D436F0D"/>
    <w:rsid w:val="4D46531A"/>
    <w:rsid w:val="4D4C7318"/>
    <w:rsid w:val="4D4E5CB0"/>
    <w:rsid w:val="4D532487"/>
    <w:rsid w:val="4D643AD4"/>
    <w:rsid w:val="4D6501E7"/>
    <w:rsid w:val="4D684151"/>
    <w:rsid w:val="4D6B792C"/>
    <w:rsid w:val="4D706A97"/>
    <w:rsid w:val="4D746CD8"/>
    <w:rsid w:val="4D7E6A70"/>
    <w:rsid w:val="4D7E765F"/>
    <w:rsid w:val="4D8323B5"/>
    <w:rsid w:val="4D9265E0"/>
    <w:rsid w:val="4D981DA3"/>
    <w:rsid w:val="4D9A64DD"/>
    <w:rsid w:val="4D9C5F9D"/>
    <w:rsid w:val="4D9D4136"/>
    <w:rsid w:val="4DA01D4B"/>
    <w:rsid w:val="4DAC5097"/>
    <w:rsid w:val="4DAE7818"/>
    <w:rsid w:val="4DAF745E"/>
    <w:rsid w:val="4DB07591"/>
    <w:rsid w:val="4DBC3969"/>
    <w:rsid w:val="4DBE4ECF"/>
    <w:rsid w:val="4DC40DEA"/>
    <w:rsid w:val="4DCA0B8E"/>
    <w:rsid w:val="4DCA31A4"/>
    <w:rsid w:val="4DD054AB"/>
    <w:rsid w:val="4DD80FDB"/>
    <w:rsid w:val="4DD979A2"/>
    <w:rsid w:val="4DDB78EE"/>
    <w:rsid w:val="4DEB281B"/>
    <w:rsid w:val="4DEC414F"/>
    <w:rsid w:val="4DEC4FB0"/>
    <w:rsid w:val="4DF60804"/>
    <w:rsid w:val="4E0156CB"/>
    <w:rsid w:val="4E075D8A"/>
    <w:rsid w:val="4E174B39"/>
    <w:rsid w:val="4E1862AB"/>
    <w:rsid w:val="4E1A75A2"/>
    <w:rsid w:val="4E201EDA"/>
    <w:rsid w:val="4E2046F2"/>
    <w:rsid w:val="4E2125F7"/>
    <w:rsid w:val="4E2273D8"/>
    <w:rsid w:val="4E251660"/>
    <w:rsid w:val="4E2F2707"/>
    <w:rsid w:val="4E2F75A2"/>
    <w:rsid w:val="4E3103FF"/>
    <w:rsid w:val="4E34669E"/>
    <w:rsid w:val="4E3968F1"/>
    <w:rsid w:val="4E3B0323"/>
    <w:rsid w:val="4E3C605C"/>
    <w:rsid w:val="4E460957"/>
    <w:rsid w:val="4E4661FD"/>
    <w:rsid w:val="4E4B5552"/>
    <w:rsid w:val="4E573D38"/>
    <w:rsid w:val="4E5B43D1"/>
    <w:rsid w:val="4E611010"/>
    <w:rsid w:val="4E7329EE"/>
    <w:rsid w:val="4E736D9A"/>
    <w:rsid w:val="4E7517C1"/>
    <w:rsid w:val="4E757E04"/>
    <w:rsid w:val="4E79393B"/>
    <w:rsid w:val="4E793B7F"/>
    <w:rsid w:val="4E7F4571"/>
    <w:rsid w:val="4E830E95"/>
    <w:rsid w:val="4E8E58E5"/>
    <w:rsid w:val="4E912079"/>
    <w:rsid w:val="4E971F39"/>
    <w:rsid w:val="4E9A4853"/>
    <w:rsid w:val="4E9F351F"/>
    <w:rsid w:val="4EA74993"/>
    <w:rsid w:val="4EAA7078"/>
    <w:rsid w:val="4EAB20BE"/>
    <w:rsid w:val="4EB31F52"/>
    <w:rsid w:val="4EB35EB8"/>
    <w:rsid w:val="4EB40E5E"/>
    <w:rsid w:val="4EB75949"/>
    <w:rsid w:val="4EBB205B"/>
    <w:rsid w:val="4EBC2273"/>
    <w:rsid w:val="4EC00FAD"/>
    <w:rsid w:val="4EC34DB2"/>
    <w:rsid w:val="4EC53416"/>
    <w:rsid w:val="4EC61F18"/>
    <w:rsid w:val="4EC62971"/>
    <w:rsid w:val="4ECC79AF"/>
    <w:rsid w:val="4ECF1DA5"/>
    <w:rsid w:val="4ED86D28"/>
    <w:rsid w:val="4EDF1C60"/>
    <w:rsid w:val="4EF43F50"/>
    <w:rsid w:val="4EFE3A4E"/>
    <w:rsid w:val="4F060706"/>
    <w:rsid w:val="4F0633C3"/>
    <w:rsid w:val="4F187B22"/>
    <w:rsid w:val="4F195CB5"/>
    <w:rsid w:val="4F1D05A2"/>
    <w:rsid w:val="4F1F39A8"/>
    <w:rsid w:val="4F234CBB"/>
    <w:rsid w:val="4F287A2F"/>
    <w:rsid w:val="4F316C39"/>
    <w:rsid w:val="4F323163"/>
    <w:rsid w:val="4F3A40BE"/>
    <w:rsid w:val="4F654768"/>
    <w:rsid w:val="4F6553DC"/>
    <w:rsid w:val="4F6A7487"/>
    <w:rsid w:val="4F702102"/>
    <w:rsid w:val="4F75799D"/>
    <w:rsid w:val="4F770F9D"/>
    <w:rsid w:val="4F7811EC"/>
    <w:rsid w:val="4F82761E"/>
    <w:rsid w:val="4F867AD6"/>
    <w:rsid w:val="4F8C16E4"/>
    <w:rsid w:val="4F9259F4"/>
    <w:rsid w:val="4F9843DC"/>
    <w:rsid w:val="4F9B59B0"/>
    <w:rsid w:val="4F9D540E"/>
    <w:rsid w:val="4FA04BDB"/>
    <w:rsid w:val="4FA16D29"/>
    <w:rsid w:val="4FAC73F1"/>
    <w:rsid w:val="4FAD675C"/>
    <w:rsid w:val="4FB20A02"/>
    <w:rsid w:val="4FC62A8C"/>
    <w:rsid w:val="4FC77B28"/>
    <w:rsid w:val="4FCF3CB3"/>
    <w:rsid w:val="4FD23353"/>
    <w:rsid w:val="4FD921EB"/>
    <w:rsid w:val="4FD92614"/>
    <w:rsid w:val="4FDD7643"/>
    <w:rsid w:val="4FE20F0D"/>
    <w:rsid w:val="4FE3417B"/>
    <w:rsid w:val="4FE36EE2"/>
    <w:rsid w:val="4FE51552"/>
    <w:rsid w:val="4FE6608A"/>
    <w:rsid w:val="4FE95BFF"/>
    <w:rsid w:val="4FF85CDD"/>
    <w:rsid w:val="4FF9121F"/>
    <w:rsid w:val="4FFA2A79"/>
    <w:rsid w:val="4FFD1BDB"/>
    <w:rsid w:val="4FFD3ADF"/>
    <w:rsid w:val="4FFE0285"/>
    <w:rsid w:val="5005453B"/>
    <w:rsid w:val="501D0372"/>
    <w:rsid w:val="501E523C"/>
    <w:rsid w:val="502349AD"/>
    <w:rsid w:val="50234D20"/>
    <w:rsid w:val="50236F34"/>
    <w:rsid w:val="50250266"/>
    <w:rsid w:val="502A2DC5"/>
    <w:rsid w:val="502E780B"/>
    <w:rsid w:val="50302A94"/>
    <w:rsid w:val="503227F3"/>
    <w:rsid w:val="5035284A"/>
    <w:rsid w:val="503575E6"/>
    <w:rsid w:val="503D5BB4"/>
    <w:rsid w:val="503D6B0F"/>
    <w:rsid w:val="503E624C"/>
    <w:rsid w:val="50416722"/>
    <w:rsid w:val="50451479"/>
    <w:rsid w:val="504703DB"/>
    <w:rsid w:val="50476ABE"/>
    <w:rsid w:val="504A2AB3"/>
    <w:rsid w:val="504F60A2"/>
    <w:rsid w:val="50504C4B"/>
    <w:rsid w:val="505B59C2"/>
    <w:rsid w:val="506066BE"/>
    <w:rsid w:val="50674B0A"/>
    <w:rsid w:val="506B1BA5"/>
    <w:rsid w:val="50746AF7"/>
    <w:rsid w:val="507C7EF6"/>
    <w:rsid w:val="507D1CFA"/>
    <w:rsid w:val="507E38BC"/>
    <w:rsid w:val="50803EDA"/>
    <w:rsid w:val="50830706"/>
    <w:rsid w:val="5086765C"/>
    <w:rsid w:val="508F1A06"/>
    <w:rsid w:val="508F2A1A"/>
    <w:rsid w:val="50944C9C"/>
    <w:rsid w:val="5095497E"/>
    <w:rsid w:val="50976B4C"/>
    <w:rsid w:val="5099030C"/>
    <w:rsid w:val="509C6E7C"/>
    <w:rsid w:val="509D0A06"/>
    <w:rsid w:val="509D5B45"/>
    <w:rsid w:val="50A62A29"/>
    <w:rsid w:val="50AA784B"/>
    <w:rsid w:val="50B06A05"/>
    <w:rsid w:val="50B17CA6"/>
    <w:rsid w:val="50C36C71"/>
    <w:rsid w:val="50C402E1"/>
    <w:rsid w:val="50C84498"/>
    <w:rsid w:val="50C844FE"/>
    <w:rsid w:val="50C86E43"/>
    <w:rsid w:val="50C87579"/>
    <w:rsid w:val="50CE6726"/>
    <w:rsid w:val="50CF05D1"/>
    <w:rsid w:val="50CF7142"/>
    <w:rsid w:val="50D47D2E"/>
    <w:rsid w:val="50D61560"/>
    <w:rsid w:val="50DF59DF"/>
    <w:rsid w:val="50E21416"/>
    <w:rsid w:val="50E8209B"/>
    <w:rsid w:val="50EA1E3C"/>
    <w:rsid w:val="50EE1A97"/>
    <w:rsid w:val="50EE71F3"/>
    <w:rsid w:val="50F04171"/>
    <w:rsid w:val="50F609B0"/>
    <w:rsid w:val="50F70C5D"/>
    <w:rsid w:val="50F975DD"/>
    <w:rsid w:val="50FC13CA"/>
    <w:rsid w:val="50FC5D12"/>
    <w:rsid w:val="50FF2FEE"/>
    <w:rsid w:val="511A0CE5"/>
    <w:rsid w:val="511F39A3"/>
    <w:rsid w:val="51212542"/>
    <w:rsid w:val="51236E2D"/>
    <w:rsid w:val="512B61AA"/>
    <w:rsid w:val="512D6BA2"/>
    <w:rsid w:val="513132CF"/>
    <w:rsid w:val="51335166"/>
    <w:rsid w:val="513B2842"/>
    <w:rsid w:val="513B38C9"/>
    <w:rsid w:val="513B73F8"/>
    <w:rsid w:val="514639B3"/>
    <w:rsid w:val="514966D1"/>
    <w:rsid w:val="514A640F"/>
    <w:rsid w:val="51517AEA"/>
    <w:rsid w:val="51545631"/>
    <w:rsid w:val="51561A5B"/>
    <w:rsid w:val="515F7E3E"/>
    <w:rsid w:val="5162104E"/>
    <w:rsid w:val="51637B40"/>
    <w:rsid w:val="516A4198"/>
    <w:rsid w:val="516C4567"/>
    <w:rsid w:val="516D72A6"/>
    <w:rsid w:val="518C384E"/>
    <w:rsid w:val="518F536F"/>
    <w:rsid w:val="5191512C"/>
    <w:rsid w:val="519311FF"/>
    <w:rsid w:val="51934420"/>
    <w:rsid w:val="519A561A"/>
    <w:rsid w:val="519B04C6"/>
    <w:rsid w:val="519B42AD"/>
    <w:rsid w:val="519D7494"/>
    <w:rsid w:val="519E48F7"/>
    <w:rsid w:val="51A11B6E"/>
    <w:rsid w:val="51A3244E"/>
    <w:rsid w:val="51B01DB1"/>
    <w:rsid w:val="51B55619"/>
    <w:rsid w:val="51BF6AAE"/>
    <w:rsid w:val="51C24C6A"/>
    <w:rsid w:val="51C8643E"/>
    <w:rsid w:val="51D01631"/>
    <w:rsid w:val="51D27F79"/>
    <w:rsid w:val="51D326C1"/>
    <w:rsid w:val="51D41EEE"/>
    <w:rsid w:val="51D65610"/>
    <w:rsid w:val="51D81616"/>
    <w:rsid w:val="51D87CAB"/>
    <w:rsid w:val="51DD2A1F"/>
    <w:rsid w:val="51E952C3"/>
    <w:rsid w:val="51F70719"/>
    <w:rsid w:val="52010805"/>
    <w:rsid w:val="520F6922"/>
    <w:rsid w:val="521025A3"/>
    <w:rsid w:val="521560B8"/>
    <w:rsid w:val="5218167A"/>
    <w:rsid w:val="52185DC1"/>
    <w:rsid w:val="521D0194"/>
    <w:rsid w:val="5227469B"/>
    <w:rsid w:val="522C47C1"/>
    <w:rsid w:val="5239783D"/>
    <w:rsid w:val="523F1279"/>
    <w:rsid w:val="52434AEA"/>
    <w:rsid w:val="5244074B"/>
    <w:rsid w:val="52474E74"/>
    <w:rsid w:val="52475A6B"/>
    <w:rsid w:val="524E5126"/>
    <w:rsid w:val="52516572"/>
    <w:rsid w:val="525614D3"/>
    <w:rsid w:val="52632D36"/>
    <w:rsid w:val="526B26E3"/>
    <w:rsid w:val="526D337A"/>
    <w:rsid w:val="52796647"/>
    <w:rsid w:val="527A7896"/>
    <w:rsid w:val="528230F2"/>
    <w:rsid w:val="528A4063"/>
    <w:rsid w:val="528E023F"/>
    <w:rsid w:val="528F41C9"/>
    <w:rsid w:val="529C7DE1"/>
    <w:rsid w:val="52A065D7"/>
    <w:rsid w:val="52A579F1"/>
    <w:rsid w:val="52A96A5D"/>
    <w:rsid w:val="52AB2578"/>
    <w:rsid w:val="52AE3878"/>
    <w:rsid w:val="52BC29D7"/>
    <w:rsid w:val="52BD6EAA"/>
    <w:rsid w:val="52C11D2D"/>
    <w:rsid w:val="52C313FD"/>
    <w:rsid w:val="52C9472B"/>
    <w:rsid w:val="52D1202E"/>
    <w:rsid w:val="52D356F3"/>
    <w:rsid w:val="52D415CD"/>
    <w:rsid w:val="52D52C62"/>
    <w:rsid w:val="52D85640"/>
    <w:rsid w:val="52E64D39"/>
    <w:rsid w:val="52EB0BC7"/>
    <w:rsid w:val="52EC28BB"/>
    <w:rsid w:val="52ED5F81"/>
    <w:rsid w:val="52F23A83"/>
    <w:rsid w:val="52F7327B"/>
    <w:rsid w:val="52FF224A"/>
    <w:rsid w:val="53000E73"/>
    <w:rsid w:val="5302247F"/>
    <w:rsid w:val="53035F10"/>
    <w:rsid w:val="53074F0A"/>
    <w:rsid w:val="53087B6A"/>
    <w:rsid w:val="5311273B"/>
    <w:rsid w:val="53140294"/>
    <w:rsid w:val="53174FCC"/>
    <w:rsid w:val="531838E0"/>
    <w:rsid w:val="531D1AE0"/>
    <w:rsid w:val="532358C3"/>
    <w:rsid w:val="53240A87"/>
    <w:rsid w:val="532B4440"/>
    <w:rsid w:val="533B17BA"/>
    <w:rsid w:val="53467ABA"/>
    <w:rsid w:val="53490972"/>
    <w:rsid w:val="534B067C"/>
    <w:rsid w:val="534B41C5"/>
    <w:rsid w:val="5352506A"/>
    <w:rsid w:val="53555787"/>
    <w:rsid w:val="536065EA"/>
    <w:rsid w:val="536F59F2"/>
    <w:rsid w:val="53754CA6"/>
    <w:rsid w:val="53795A57"/>
    <w:rsid w:val="537E0EFC"/>
    <w:rsid w:val="53905ABB"/>
    <w:rsid w:val="539445A6"/>
    <w:rsid w:val="53A039CC"/>
    <w:rsid w:val="53A1505A"/>
    <w:rsid w:val="53A427DC"/>
    <w:rsid w:val="53AA5789"/>
    <w:rsid w:val="53B60FFA"/>
    <w:rsid w:val="53B674E3"/>
    <w:rsid w:val="53B92396"/>
    <w:rsid w:val="53BC592F"/>
    <w:rsid w:val="53C067A6"/>
    <w:rsid w:val="53C57D13"/>
    <w:rsid w:val="53C60ABF"/>
    <w:rsid w:val="53D068B5"/>
    <w:rsid w:val="53D76630"/>
    <w:rsid w:val="53D8100F"/>
    <w:rsid w:val="53E977FC"/>
    <w:rsid w:val="53EA0E7E"/>
    <w:rsid w:val="53F80844"/>
    <w:rsid w:val="540146E3"/>
    <w:rsid w:val="54063E08"/>
    <w:rsid w:val="54087393"/>
    <w:rsid w:val="540B24DD"/>
    <w:rsid w:val="540C2B5C"/>
    <w:rsid w:val="540F3AF5"/>
    <w:rsid w:val="54185835"/>
    <w:rsid w:val="541E6F6F"/>
    <w:rsid w:val="541F72D6"/>
    <w:rsid w:val="54283362"/>
    <w:rsid w:val="542D392E"/>
    <w:rsid w:val="542D7D2F"/>
    <w:rsid w:val="543437E8"/>
    <w:rsid w:val="54351AEF"/>
    <w:rsid w:val="543B323F"/>
    <w:rsid w:val="54467DC9"/>
    <w:rsid w:val="54481302"/>
    <w:rsid w:val="544B3614"/>
    <w:rsid w:val="544C1C56"/>
    <w:rsid w:val="544D4516"/>
    <w:rsid w:val="544F6121"/>
    <w:rsid w:val="54544237"/>
    <w:rsid w:val="545A24A8"/>
    <w:rsid w:val="545F5F93"/>
    <w:rsid w:val="54600F1F"/>
    <w:rsid w:val="546164E3"/>
    <w:rsid w:val="5462208F"/>
    <w:rsid w:val="54654FED"/>
    <w:rsid w:val="546A11FF"/>
    <w:rsid w:val="54854B46"/>
    <w:rsid w:val="54857525"/>
    <w:rsid w:val="5488614E"/>
    <w:rsid w:val="549032F1"/>
    <w:rsid w:val="549C4471"/>
    <w:rsid w:val="549D6E86"/>
    <w:rsid w:val="54A55E90"/>
    <w:rsid w:val="54A66DEA"/>
    <w:rsid w:val="54A909BF"/>
    <w:rsid w:val="54B14DB1"/>
    <w:rsid w:val="54B77E19"/>
    <w:rsid w:val="54BA1CE8"/>
    <w:rsid w:val="54BA1FFE"/>
    <w:rsid w:val="54BA7674"/>
    <w:rsid w:val="54BF0D1B"/>
    <w:rsid w:val="54C10A50"/>
    <w:rsid w:val="54C36B21"/>
    <w:rsid w:val="54C431C3"/>
    <w:rsid w:val="54C452A8"/>
    <w:rsid w:val="54CC1087"/>
    <w:rsid w:val="54D10E25"/>
    <w:rsid w:val="54D163AE"/>
    <w:rsid w:val="54D82755"/>
    <w:rsid w:val="54D92188"/>
    <w:rsid w:val="54DC72B2"/>
    <w:rsid w:val="54E7318D"/>
    <w:rsid w:val="54E7353E"/>
    <w:rsid w:val="54E82BC3"/>
    <w:rsid w:val="54ED6668"/>
    <w:rsid w:val="54F73313"/>
    <w:rsid w:val="54F80955"/>
    <w:rsid w:val="54F92CD7"/>
    <w:rsid w:val="54F92E6F"/>
    <w:rsid w:val="54FA5B8C"/>
    <w:rsid w:val="54FF0794"/>
    <w:rsid w:val="55024F8A"/>
    <w:rsid w:val="55027A43"/>
    <w:rsid w:val="550732B2"/>
    <w:rsid w:val="550A496F"/>
    <w:rsid w:val="550A4E46"/>
    <w:rsid w:val="550D0D1B"/>
    <w:rsid w:val="550E1E4E"/>
    <w:rsid w:val="55157130"/>
    <w:rsid w:val="551A05BB"/>
    <w:rsid w:val="551A105B"/>
    <w:rsid w:val="551A2457"/>
    <w:rsid w:val="55253948"/>
    <w:rsid w:val="55254968"/>
    <w:rsid w:val="55265234"/>
    <w:rsid w:val="552A724D"/>
    <w:rsid w:val="55422349"/>
    <w:rsid w:val="5551156A"/>
    <w:rsid w:val="555170A7"/>
    <w:rsid w:val="55523323"/>
    <w:rsid w:val="5554328C"/>
    <w:rsid w:val="555A5A9C"/>
    <w:rsid w:val="555D4FF7"/>
    <w:rsid w:val="555F09AD"/>
    <w:rsid w:val="555F4016"/>
    <w:rsid w:val="555F401C"/>
    <w:rsid w:val="5560066F"/>
    <w:rsid w:val="55620488"/>
    <w:rsid w:val="55660023"/>
    <w:rsid w:val="556A04C9"/>
    <w:rsid w:val="556C47BB"/>
    <w:rsid w:val="556E7370"/>
    <w:rsid w:val="55760C1C"/>
    <w:rsid w:val="55767051"/>
    <w:rsid w:val="557D5C62"/>
    <w:rsid w:val="55856D90"/>
    <w:rsid w:val="5587536D"/>
    <w:rsid w:val="558B6704"/>
    <w:rsid w:val="559934DF"/>
    <w:rsid w:val="559B174B"/>
    <w:rsid w:val="55AC0244"/>
    <w:rsid w:val="55AE2549"/>
    <w:rsid w:val="55B7039B"/>
    <w:rsid w:val="55C339BB"/>
    <w:rsid w:val="55C6677C"/>
    <w:rsid w:val="55CE0CF4"/>
    <w:rsid w:val="55CE21F0"/>
    <w:rsid w:val="55D23DAF"/>
    <w:rsid w:val="55D26BE5"/>
    <w:rsid w:val="55D402A3"/>
    <w:rsid w:val="55D5259B"/>
    <w:rsid w:val="55DA3767"/>
    <w:rsid w:val="55E419F5"/>
    <w:rsid w:val="55EF1275"/>
    <w:rsid w:val="55F93D86"/>
    <w:rsid w:val="55FE1EC0"/>
    <w:rsid w:val="55FE7CB0"/>
    <w:rsid w:val="560717D1"/>
    <w:rsid w:val="560B51A1"/>
    <w:rsid w:val="560C44DC"/>
    <w:rsid w:val="560C4F0A"/>
    <w:rsid w:val="560E354A"/>
    <w:rsid w:val="561B17C3"/>
    <w:rsid w:val="561B2036"/>
    <w:rsid w:val="561E37E0"/>
    <w:rsid w:val="56222EC6"/>
    <w:rsid w:val="56231526"/>
    <w:rsid w:val="5623170C"/>
    <w:rsid w:val="5625291D"/>
    <w:rsid w:val="56276E91"/>
    <w:rsid w:val="5628161C"/>
    <w:rsid w:val="562B7C58"/>
    <w:rsid w:val="5630169C"/>
    <w:rsid w:val="56315BBF"/>
    <w:rsid w:val="56360C2E"/>
    <w:rsid w:val="56390023"/>
    <w:rsid w:val="563C00B7"/>
    <w:rsid w:val="563E394A"/>
    <w:rsid w:val="563E5DBB"/>
    <w:rsid w:val="564554D2"/>
    <w:rsid w:val="564927D4"/>
    <w:rsid w:val="565C0354"/>
    <w:rsid w:val="565D4C7F"/>
    <w:rsid w:val="566A0A05"/>
    <w:rsid w:val="566D62CB"/>
    <w:rsid w:val="566F2DEE"/>
    <w:rsid w:val="567E327C"/>
    <w:rsid w:val="5685745F"/>
    <w:rsid w:val="56917715"/>
    <w:rsid w:val="56933116"/>
    <w:rsid w:val="569E0EB6"/>
    <w:rsid w:val="56B22A9C"/>
    <w:rsid w:val="56B97708"/>
    <w:rsid w:val="56BC22C8"/>
    <w:rsid w:val="56BD2379"/>
    <w:rsid w:val="56BD29B0"/>
    <w:rsid w:val="56C20A94"/>
    <w:rsid w:val="56C40267"/>
    <w:rsid w:val="56C6093A"/>
    <w:rsid w:val="56C61C6F"/>
    <w:rsid w:val="56C707FF"/>
    <w:rsid w:val="56C71614"/>
    <w:rsid w:val="56D04276"/>
    <w:rsid w:val="56D20A0C"/>
    <w:rsid w:val="56D339E5"/>
    <w:rsid w:val="56FD7DDE"/>
    <w:rsid w:val="56FF5F33"/>
    <w:rsid w:val="57024D24"/>
    <w:rsid w:val="57060885"/>
    <w:rsid w:val="571A6B84"/>
    <w:rsid w:val="571D258D"/>
    <w:rsid w:val="572E1576"/>
    <w:rsid w:val="57426FDA"/>
    <w:rsid w:val="57475704"/>
    <w:rsid w:val="574B42C1"/>
    <w:rsid w:val="57564666"/>
    <w:rsid w:val="57571CBA"/>
    <w:rsid w:val="57597814"/>
    <w:rsid w:val="57600100"/>
    <w:rsid w:val="576136D4"/>
    <w:rsid w:val="57666886"/>
    <w:rsid w:val="576F546F"/>
    <w:rsid w:val="57700FEE"/>
    <w:rsid w:val="578654BE"/>
    <w:rsid w:val="57882A4E"/>
    <w:rsid w:val="57AA1839"/>
    <w:rsid w:val="57AA2328"/>
    <w:rsid w:val="57AC5693"/>
    <w:rsid w:val="57AC78C1"/>
    <w:rsid w:val="57AD653C"/>
    <w:rsid w:val="57B062C5"/>
    <w:rsid w:val="57B72A76"/>
    <w:rsid w:val="57BF40B1"/>
    <w:rsid w:val="57C0220E"/>
    <w:rsid w:val="57C2639A"/>
    <w:rsid w:val="57C3426C"/>
    <w:rsid w:val="57CC0FC7"/>
    <w:rsid w:val="57CC32A4"/>
    <w:rsid w:val="57CE1F93"/>
    <w:rsid w:val="57D42837"/>
    <w:rsid w:val="57D8796C"/>
    <w:rsid w:val="580268A4"/>
    <w:rsid w:val="58037ADD"/>
    <w:rsid w:val="580547FF"/>
    <w:rsid w:val="581B0D4D"/>
    <w:rsid w:val="58281CAB"/>
    <w:rsid w:val="582844A3"/>
    <w:rsid w:val="58286FC5"/>
    <w:rsid w:val="582B6A01"/>
    <w:rsid w:val="582C520A"/>
    <w:rsid w:val="582D39DF"/>
    <w:rsid w:val="58365350"/>
    <w:rsid w:val="58397E5A"/>
    <w:rsid w:val="584376B2"/>
    <w:rsid w:val="58477069"/>
    <w:rsid w:val="585418A1"/>
    <w:rsid w:val="585979A0"/>
    <w:rsid w:val="58616FD2"/>
    <w:rsid w:val="58637791"/>
    <w:rsid w:val="586417CA"/>
    <w:rsid w:val="58690E3A"/>
    <w:rsid w:val="587F3C9E"/>
    <w:rsid w:val="5882708A"/>
    <w:rsid w:val="58866C0F"/>
    <w:rsid w:val="588743D1"/>
    <w:rsid w:val="5887701A"/>
    <w:rsid w:val="588B1F7D"/>
    <w:rsid w:val="588E2720"/>
    <w:rsid w:val="588F6066"/>
    <w:rsid w:val="58962C55"/>
    <w:rsid w:val="589668C2"/>
    <w:rsid w:val="58970D67"/>
    <w:rsid w:val="589D060C"/>
    <w:rsid w:val="589E7D3E"/>
    <w:rsid w:val="58A252B6"/>
    <w:rsid w:val="58A520AE"/>
    <w:rsid w:val="58AC0E84"/>
    <w:rsid w:val="58B2300B"/>
    <w:rsid w:val="58B53DB3"/>
    <w:rsid w:val="58C312ED"/>
    <w:rsid w:val="58C61576"/>
    <w:rsid w:val="58CB73E7"/>
    <w:rsid w:val="58D11E67"/>
    <w:rsid w:val="58D7538D"/>
    <w:rsid w:val="58DD2721"/>
    <w:rsid w:val="58E037BF"/>
    <w:rsid w:val="58E2451F"/>
    <w:rsid w:val="58E96D8B"/>
    <w:rsid w:val="58EC162F"/>
    <w:rsid w:val="58EE2CC5"/>
    <w:rsid w:val="58F6730C"/>
    <w:rsid w:val="59067912"/>
    <w:rsid w:val="590B2A11"/>
    <w:rsid w:val="590C164C"/>
    <w:rsid w:val="590D0AEE"/>
    <w:rsid w:val="59114DD8"/>
    <w:rsid w:val="5911517F"/>
    <w:rsid w:val="591353BD"/>
    <w:rsid w:val="59163D96"/>
    <w:rsid w:val="591B2E2D"/>
    <w:rsid w:val="591F5EDE"/>
    <w:rsid w:val="59211888"/>
    <w:rsid w:val="59233872"/>
    <w:rsid w:val="592650D5"/>
    <w:rsid w:val="592E7FFC"/>
    <w:rsid w:val="59341E66"/>
    <w:rsid w:val="59374B66"/>
    <w:rsid w:val="593A6404"/>
    <w:rsid w:val="593B43D8"/>
    <w:rsid w:val="593F3F38"/>
    <w:rsid w:val="5946687A"/>
    <w:rsid w:val="594A1918"/>
    <w:rsid w:val="594D46F3"/>
    <w:rsid w:val="594F4501"/>
    <w:rsid w:val="595653E6"/>
    <w:rsid w:val="59575007"/>
    <w:rsid w:val="595B2B12"/>
    <w:rsid w:val="596646BA"/>
    <w:rsid w:val="59682368"/>
    <w:rsid w:val="5968341A"/>
    <w:rsid w:val="5968459F"/>
    <w:rsid w:val="596F0026"/>
    <w:rsid w:val="597038EA"/>
    <w:rsid w:val="597164C1"/>
    <w:rsid w:val="59722925"/>
    <w:rsid w:val="59744518"/>
    <w:rsid w:val="597C637E"/>
    <w:rsid w:val="597D444D"/>
    <w:rsid w:val="59861FCC"/>
    <w:rsid w:val="598E45AF"/>
    <w:rsid w:val="59912CDB"/>
    <w:rsid w:val="59965CDC"/>
    <w:rsid w:val="599938C1"/>
    <w:rsid w:val="59994428"/>
    <w:rsid w:val="59A140B4"/>
    <w:rsid w:val="59AE3665"/>
    <w:rsid w:val="59BA330C"/>
    <w:rsid w:val="59C0439F"/>
    <w:rsid w:val="59C609FF"/>
    <w:rsid w:val="59C71612"/>
    <w:rsid w:val="59D56D20"/>
    <w:rsid w:val="59DB1F4D"/>
    <w:rsid w:val="59E52814"/>
    <w:rsid w:val="59EA607C"/>
    <w:rsid w:val="59ED4183"/>
    <w:rsid w:val="59ED7B42"/>
    <w:rsid w:val="59F36487"/>
    <w:rsid w:val="59F95817"/>
    <w:rsid w:val="59FC22B1"/>
    <w:rsid w:val="5A025174"/>
    <w:rsid w:val="5A090808"/>
    <w:rsid w:val="5A131694"/>
    <w:rsid w:val="5A160A0D"/>
    <w:rsid w:val="5A1B06E3"/>
    <w:rsid w:val="5A201D16"/>
    <w:rsid w:val="5A2064D2"/>
    <w:rsid w:val="5A273743"/>
    <w:rsid w:val="5A2A25DA"/>
    <w:rsid w:val="5A302F8A"/>
    <w:rsid w:val="5A344BEB"/>
    <w:rsid w:val="5A3F22EA"/>
    <w:rsid w:val="5A4E119A"/>
    <w:rsid w:val="5A5B2AD6"/>
    <w:rsid w:val="5A5E0F34"/>
    <w:rsid w:val="5A6657B2"/>
    <w:rsid w:val="5A672705"/>
    <w:rsid w:val="5A672B34"/>
    <w:rsid w:val="5A68519F"/>
    <w:rsid w:val="5A737E20"/>
    <w:rsid w:val="5A782E5C"/>
    <w:rsid w:val="5A7A306B"/>
    <w:rsid w:val="5A7B2EC0"/>
    <w:rsid w:val="5A7D7889"/>
    <w:rsid w:val="5A834DD7"/>
    <w:rsid w:val="5A87228F"/>
    <w:rsid w:val="5A8C19D5"/>
    <w:rsid w:val="5A913F85"/>
    <w:rsid w:val="5AAD7CB9"/>
    <w:rsid w:val="5AAF7003"/>
    <w:rsid w:val="5AB0321C"/>
    <w:rsid w:val="5ABE2233"/>
    <w:rsid w:val="5AC71F19"/>
    <w:rsid w:val="5ACA16FA"/>
    <w:rsid w:val="5ACC0A59"/>
    <w:rsid w:val="5ACD5670"/>
    <w:rsid w:val="5ADA027C"/>
    <w:rsid w:val="5ADE04FC"/>
    <w:rsid w:val="5AE255B3"/>
    <w:rsid w:val="5AE37AD6"/>
    <w:rsid w:val="5AE66708"/>
    <w:rsid w:val="5AEB0C6F"/>
    <w:rsid w:val="5AEC1EDD"/>
    <w:rsid w:val="5AF009E7"/>
    <w:rsid w:val="5AF31FF7"/>
    <w:rsid w:val="5AFC39BB"/>
    <w:rsid w:val="5B004A3D"/>
    <w:rsid w:val="5B040A0C"/>
    <w:rsid w:val="5B044931"/>
    <w:rsid w:val="5B0B032F"/>
    <w:rsid w:val="5B0C46AA"/>
    <w:rsid w:val="5B170EF4"/>
    <w:rsid w:val="5B1716E6"/>
    <w:rsid w:val="5B207EB6"/>
    <w:rsid w:val="5B2560BF"/>
    <w:rsid w:val="5B2E3D47"/>
    <w:rsid w:val="5B2F2D54"/>
    <w:rsid w:val="5B3723AD"/>
    <w:rsid w:val="5B413334"/>
    <w:rsid w:val="5B523DDF"/>
    <w:rsid w:val="5B556AF9"/>
    <w:rsid w:val="5B57504B"/>
    <w:rsid w:val="5B5826CE"/>
    <w:rsid w:val="5B5E63DA"/>
    <w:rsid w:val="5B6372FD"/>
    <w:rsid w:val="5B6B7EB5"/>
    <w:rsid w:val="5B707136"/>
    <w:rsid w:val="5B790DB7"/>
    <w:rsid w:val="5B7E5101"/>
    <w:rsid w:val="5B8A3B80"/>
    <w:rsid w:val="5B8A7685"/>
    <w:rsid w:val="5B8E16C5"/>
    <w:rsid w:val="5B904F95"/>
    <w:rsid w:val="5B916FDC"/>
    <w:rsid w:val="5B922BC6"/>
    <w:rsid w:val="5B944500"/>
    <w:rsid w:val="5B98363C"/>
    <w:rsid w:val="5BA2569B"/>
    <w:rsid w:val="5BA31FE2"/>
    <w:rsid w:val="5BA95557"/>
    <w:rsid w:val="5BAD55B3"/>
    <w:rsid w:val="5BAE2A57"/>
    <w:rsid w:val="5BB66A3B"/>
    <w:rsid w:val="5BBC052E"/>
    <w:rsid w:val="5BBC108A"/>
    <w:rsid w:val="5BBC287D"/>
    <w:rsid w:val="5BC74669"/>
    <w:rsid w:val="5BCA347E"/>
    <w:rsid w:val="5BCB67C0"/>
    <w:rsid w:val="5BCF4459"/>
    <w:rsid w:val="5BD2589C"/>
    <w:rsid w:val="5BD74B33"/>
    <w:rsid w:val="5BD90156"/>
    <w:rsid w:val="5BDF5D95"/>
    <w:rsid w:val="5BE64293"/>
    <w:rsid w:val="5BE67103"/>
    <w:rsid w:val="5BE735A6"/>
    <w:rsid w:val="5BEB3C86"/>
    <w:rsid w:val="5BF62DA6"/>
    <w:rsid w:val="5BFB38A8"/>
    <w:rsid w:val="5BFE7528"/>
    <w:rsid w:val="5C043451"/>
    <w:rsid w:val="5C08429A"/>
    <w:rsid w:val="5C0C556E"/>
    <w:rsid w:val="5C1F10A6"/>
    <w:rsid w:val="5C235D9D"/>
    <w:rsid w:val="5C270EC2"/>
    <w:rsid w:val="5C2740AC"/>
    <w:rsid w:val="5C2761DA"/>
    <w:rsid w:val="5C2942DD"/>
    <w:rsid w:val="5C2D30B3"/>
    <w:rsid w:val="5C357AD8"/>
    <w:rsid w:val="5C41449D"/>
    <w:rsid w:val="5C433822"/>
    <w:rsid w:val="5C477D7A"/>
    <w:rsid w:val="5C5618F7"/>
    <w:rsid w:val="5C562EC5"/>
    <w:rsid w:val="5C6200EC"/>
    <w:rsid w:val="5C6B63F4"/>
    <w:rsid w:val="5C7A2B20"/>
    <w:rsid w:val="5C8067F3"/>
    <w:rsid w:val="5C9068E2"/>
    <w:rsid w:val="5C957B83"/>
    <w:rsid w:val="5C9B4B2D"/>
    <w:rsid w:val="5CB53661"/>
    <w:rsid w:val="5CBC1494"/>
    <w:rsid w:val="5CD714E1"/>
    <w:rsid w:val="5CD74C24"/>
    <w:rsid w:val="5CE12FCC"/>
    <w:rsid w:val="5CEC14C5"/>
    <w:rsid w:val="5CED4CED"/>
    <w:rsid w:val="5CF17064"/>
    <w:rsid w:val="5CF53279"/>
    <w:rsid w:val="5CF57AF1"/>
    <w:rsid w:val="5CF61C07"/>
    <w:rsid w:val="5CFB6437"/>
    <w:rsid w:val="5CFD53E3"/>
    <w:rsid w:val="5D032005"/>
    <w:rsid w:val="5D114A3C"/>
    <w:rsid w:val="5D1347F7"/>
    <w:rsid w:val="5D1727BF"/>
    <w:rsid w:val="5D182EB3"/>
    <w:rsid w:val="5D1E6AC1"/>
    <w:rsid w:val="5D201AF1"/>
    <w:rsid w:val="5D253A3E"/>
    <w:rsid w:val="5D2844A5"/>
    <w:rsid w:val="5D332D67"/>
    <w:rsid w:val="5D3A0FE9"/>
    <w:rsid w:val="5D436C34"/>
    <w:rsid w:val="5D4D55BA"/>
    <w:rsid w:val="5D5B15A2"/>
    <w:rsid w:val="5D683E79"/>
    <w:rsid w:val="5D6A09E1"/>
    <w:rsid w:val="5D6C17DE"/>
    <w:rsid w:val="5D745B90"/>
    <w:rsid w:val="5D7F1174"/>
    <w:rsid w:val="5D827F3C"/>
    <w:rsid w:val="5D912695"/>
    <w:rsid w:val="5D95564D"/>
    <w:rsid w:val="5DA30AED"/>
    <w:rsid w:val="5DA63597"/>
    <w:rsid w:val="5DAE18A6"/>
    <w:rsid w:val="5DB66B76"/>
    <w:rsid w:val="5DBA5079"/>
    <w:rsid w:val="5DBB0499"/>
    <w:rsid w:val="5DBC202A"/>
    <w:rsid w:val="5DBE76E1"/>
    <w:rsid w:val="5DC55EB0"/>
    <w:rsid w:val="5DC8695F"/>
    <w:rsid w:val="5DCC19CE"/>
    <w:rsid w:val="5DCF16DD"/>
    <w:rsid w:val="5DD25FFC"/>
    <w:rsid w:val="5DD3565A"/>
    <w:rsid w:val="5DD7374E"/>
    <w:rsid w:val="5DD75DD6"/>
    <w:rsid w:val="5DDA5559"/>
    <w:rsid w:val="5DE4518D"/>
    <w:rsid w:val="5DE474F2"/>
    <w:rsid w:val="5DE80B25"/>
    <w:rsid w:val="5DF179D9"/>
    <w:rsid w:val="5DFD36DA"/>
    <w:rsid w:val="5E0263C6"/>
    <w:rsid w:val="5E066646"/>
    <w:rsid w:val="5E0868B9"/>
    <w:rsid w:val="5E0B2798"/>
    <w:rsid w:val="5E0C3C77"/>
    <w:rsid w:val="5E0C65C1"/>
    <w:rsid w:val="5E0F4505"/>
    <w:rsid w:val="5E15112E"/>
    <w:rsid w:val="5E1B3CB0"/>
    <w:rsid w:val="5E22425C"/>
    <w:rsid w:val="5E2467F1"/>
    <w:rsid w:val="5E2B3F2A"/>
    <w:rsid w:val="5E2E2006"/>
    <w:rsid w:val="5E311D48"/>
    <w:rsid w:val="5E35114E"/>
    <w:rsid w:val="5E35580D"/>
    <w:rsid w:val="5E3C3D56"/>
    <w:rsid w:val="5E3C457C"/>
    <w:rsid w:val="5E3E0A2C"/>
    <w:rsid w:val="5E404C65"/>
    <w:rsid w:val="5E43221A"/>
    <w:rsid w:val="5E4B4FFD"/>
    <w:rsid w:val="5E4C138F"/>
    <w:rsid w:val="5E50155E"/>
    <w:rsid w:val="5E5074AC"/>
    <w:rsid w:val="5E550B8D"/>
    <w:rsid w:val="5E56109E"/>
    <w:rsid w:val="5E5B47B4"/>
    <w:rsid w:val="5E6222F7"/>
    <w:rsid w:val="5E677F8E"/>
    <w:rsid w:val="5E680BD0"/>
    <w:rsid w:val="5E722763"/>
    <w:rsid w:val="5E7E688E"/>
    <w:rsid w:val="5E934141"/>
    <w:rsid w:val="5E9543D9"/>
    <w:rsid w:val="5E9842F9"/>
    <w:rsid w:val="5E993BCD"/>
    <w:rsid w:val="5EB35081"/>
    <w:rsid w:val="5EBD3CCB"/>
    <w:rsid w:val="5EBE02DB"/>
    <w:rsid w:val="5EC575AF"/>
    <w:rsid w:val="5ECA73AA"/>
    <w:rsid w:val="5ECA7BBF"/>
    <w:rsid w:val="5ED3570C"/>
    <w:rsid w:val="5ED47AA8"/>
    <w:rsid w:val="5ED76D1E"/>
    <w:rsid w:val="5EE2013B"/>
    <w:rsid w:val="5EE7684E"/>
    <w:rsid w:val="5EEE6124"/>
    <w:rsid w:val="5EF675AB"/>
    <w:rsid w:val="5EFF35BB"/>
    <w:rsid w:val="5F097772"/>
    <w:rsid w:val="5F0E25B4"/>
    <w:rsid w:val="5F125E8E"/>
    <w:rsid w:val="5F164DC7"/>
    <w:rsid w:val="5F1A2B43"/>
    <w:rsid w:val="5F27655A"/>
    <w:rsid w:val="5F293F57"/>
    <w:rsid w:val="5F294F28"/>
    <w:rsid w:val="5F2F12D3"/>
    <w:rsid w:val="5F3C4783"/>
    <w:rsid w:val="5F3C5459"/>
    <w:rsid w:val="5F431DE3"/>
    <w:rsid w:val="5F4A6B4E"/>
    <w:rsid w:val="5F4B56D5"/>
    <w:rsid w:val="5F520B89"/>
    <w:rsid w:val="5F521464"/>
    <w:rsid w:val="5F566D5B"/>
    <w:rsid w:val="5F577F62"/>
    <w:rsid w:val="5F6948BC"/>
    <w:rsid w:val="5F6B683C"/>
    <w:rsid w:val="5F6D12E1"/>
    <w:rsid w:val="5F71264E"/>
    <w:rsid w:val="5F7C1524"/>
    <w:rsid w:val="5F824661"/>
    <w:rsid w:val="5F8634A3"/>
    <w:rsid w:val="5F8C1714"/>
    <w:rsid w:val="5F8C2AE1"/>
    <w:rsid w:val="5F97635E"/>
    <w:rsid w:val="5F9B3339"/>
    <w:rsid w:val="5FA11032"/>
    <w:rsid w:val="5FA35E2B"/>
    <w:rsid w:val="5FA975EC"/>
    <w:rsid w:val="5FB837BB"/>
    <w:rsid w:val="5FBA4268"/>
    <w:rsid w:val="5FBC107A"/>
    <w:rsid w:val="5FBF0131"/>
    <w:rsid w:val="5FC16F3C"/>
    <w:rsid w:val="5FCE762A"/>
    <w:rsid w:val="5FDC0215"/>
    <w:rsid w:val="5FE8370F"/>
    <w:rsid w:val="5FF02D63"/>
    <w:rsid w:val="5FF654FD"/>
    <w:rsid w:val="5FFC265B"/>
    <w:rsid w:val="60082D35"/>
    <w:rsid w:val="6008663C"/>
    <w:rsid w:val="600C310B"/>
    <w:rsid w:val="60140305"/>
    <w:rsid w:val="60155CB0"/>
    <w:rsid w:val="60206CD4"/>
    <w:rsid w:val="60215A1A"/>
    <w:rsid w:val="6022031E"/>
    <w:rsid w:val="602C4561"/>
    <w:rsid w:val="603367C4"/>
    <w:rsid w:val="60390674"/>
    <w:rsid w:val="603C5116"/>
    <w:rsid w:val="60563192"/>
    <w:rsid w:val="60587223"/>
    <w:rsid w:val="605D0F5C"/>
    <w:rsid w:val="6062720C"/>
    <w:rsid w:val="60651FB9"/>
    <w:rsid w:val="60654488"/>
    <w:rsid w:val="606C70D0"/>
    <w:rsid w:val="606E246D"/>
    <w:rsid w:val="60715F2D"/>
    <w:rsid w:val="607D548A"/>
    <w:rsid w:val="607E69E5"/>
    <w:rsid w:val="6082672C"/>
    <w:rsid w:val="60887432"/>
    <w:rsid w:val="60895FD5"/>
    <w:rsid w:val="608B359D"/>
    <w:rsid w:val="608C110E"/>
    <w:rsid w:val="60932419"/>
    <w:rsid w:val="60A35E0D"/>
    <w:rsid w:val="60A44A07"/>
    <w:rsid w:val="60A5159D"/>
    <w:rsid w:val="60A9054A"/>
    <w:rsid w:val="60AA6218"/>
    <w:rsid w:val="60B00C6D"/>
    <w:rsid w:val="60B00FB4"/>
    <w:rsid w:val="60B070F9"/>
    <w:rsid w:val="60B25613"/>
    <w:rsid w:val="60B44FCB"/>
    <w:rsid w:val="60B52758"/>
    <w:rsid w:val="60B64029"/>
    <w:rsid w:val="60B84925"/>
    <w:rsid w:val="60C205BF"/>
    <w:rsid w:val="60CC405A"/>
    <w:rsid w:val="60CF40BA"/>
    <w:rsid w:val="60D07E21"/>
    <w:rsid w:val="60D353B7"/>
    <w:rsid w:val="60DC2F82"/>
    <w:rsid w:val="60E40316"/>
    <w:rsid w:val="60E637B9"/>
    <w:rsid w:val="60FA3F7A"/>
    <w:rsid w:val="610B32A0"/>
    <w:rsid w:val="610C451D"/>
    <w:rsid w:val="610F6876"/>
    <w:rsid w:val="61122998"/>
    <w:rsid w:val="61153AB4"/>
    <w:rsid w:val="61161A4D"/>
    <w:rsid w:val="61163E43"/>
    <w:rsid w:val="61171F62"/>
    <w:rsid w:val="61180C57"/>
    <w:rsid w:val="61262766"/>
    <w:rsid w:val="612B5393"/>
    <w:rsid w:val="61327E3D"/>
    <w:rsid w:val="613611E6"/>
    <w:rsid w:val="61374220"/>
    <w:rsid w:val="613A041A"/>
    <w:rsid w:val="61422E18"/>
    <w:rsid w:val="614334C6"/>
    <w:rsid w:val="61440C90"/>
    <w:rsid w:val="614A4396"/>
    <w:rsid w:val="614A581A"/>
    <w:rsid w:val="6151432A"/>
    <w:rsid w:val="61520D63"/>
    <w:rsid w:val="615E2D9C"/>
    <w:rsid w:val="616249E7"/>
    <w:rsid w:val="6169366F"/>
    <w:rsid w:val="616936F4"/>
    <w:rsid w:val="616C4617"/>
    <w:rsid w:val="616D381B"/>
    <w:rsid w:val="61752588"/>
    <w:rsid w:val="617946BB"/>
    <w:rsid w:val="61801EA3"/>
    <w:rsid w:val="618409CF"/>
    <w:rsid w:val="618F6740"/>
    <w:rsid w:val="61A80EF0"/>
    <w:rsid w:val="61AB60F1"/>
    <w:rsid w:val="61B027E8"/>
    <w:rsid w:val="61BD3787"/>
    <w:rsid w:val="61BF1344"/>
    <w:rsid w:val="61CC5568"/>
    <w:rsid w:val="61D8774D"/>
    <w:rsid w:val="61DA055D"/>
    <w:rsid w:val="61DF4BC8"/>
    <w:rsid w:val="61E024A0"/>
    <w:rsid w:val="61E215D8"/>
    <w:rsid w:val="61E26083"/>
    <w:rsid w:val="61EB29D5"/>
    <w:rsid w:val="61EE57B2"/>
    <w:rsid w:val="61EF2918"/>
    <w:rsid w:val="61F0076C"/>
    <w:rsid w:val="61F44ABC"/>
    <w:rsid w:val="61F54E8E"/>
    <w:rsid w:val="61F823FB"/>
    <w:rsid w:val="61FF6B08"/>
    <w:rsid w:val="620319FA"/>
    <w:rsid w:val="62097E11"/>
    <w:rsid w:val="621B3775"/>
    <w:rsid w:val="62245B4B"/>
    <w:rsid w:val="6225373C"/>
    <w:rsid w:val="622862CE"/>
    <w:rsid w:val="622916B3"/>
    <w:rsid w:val="6229429C"/>
    <w:rsid w:val="622A3EB8"/>
    <w:rsid w:val="622D7BDE"/>
    <w:rsid w:val="62364782"/>
    <w:rsid w:val="623A1CCB"/>
    <w:rsid w:val="62430339"/>
    <w:rsid w:val="624309C1"/>
    <w:rsid w:val="6245140C"/>
    <w:rsid w:val="624906A6"/>
    <w:rsid w:val="62587DB9"/>
    <w:rsid w:val="625C4DA5"/>
    <w:rsid w:val="625D32BF"/>
    <w:rsid w:val="626A7554"/>
    <w:rsid w:val="626F7780"/>
    <w:rsid w:val="6273263E"/>
    <w:rsid w:val="627C01D3"/>
    <w:rsid w:val="628825FF"/>
    <w:rsid w:val="628D7BAE"/>
    <w:rsid w:val="628E1EB9"/>
    <w:rsid w:val="62933F7C"/>
    <w:rsid w:val="62970456"/>
    <w:rsid w:val="629D6FF8"/>
    <w:rsid w:val="62A261E3"/>
    <w:rsid w:val="62AD27FD"/>
    <w:rsid w:val="62B06E0B"/>
    <w:rsid w:val="62B540FC"/>
    <w:rsid w:val="62BD066A"/>
    <w:rsid w:val="62C10175"/>
    <w:rsid w:val="62C15561"/>
    <w:rsid w:val="62C41E17"/>
    <w:rsid w:val="62CF0444"/>
    <w:rsid w:val="62E358B2"/>
    <w:rsid w:val="62E80FB0"/>
    <w:rsid w:val="62F120CB"/>
    <w:rsid w:val="62F35467"/>
    <w:rsid w:val="62F404C8"/>
    <w:rsid w:val="62FB3DB8"/>
    <w:rsid w:val="62FB6C04"/>
    <w:rsid w:val="630F2816"/>
    <w:rsid w:val="630F574F"/>
    <w:rsid w:val="63100901"/>
    <w:rsid w:val="63103954"/>
    <w:rsid w:val="63135815"/>
    <w:rsid w:val="63183DFB"/>
    <w:rsid w:val="631B7655"/>
    <w:rsid w:val="631C0F85"/>
    <w:rsid w:val="631D3E10"/>
    <w:rsid w:val="631D6B7A"/>
    <w:rsid w:val="632452D5"/>
    <w:rsid w:val="63261F05"/>
    <w:rsid w:val="632773E8"/>
    <w:rsid w:val="632B2EB6"/>
    <w:rsid w:val="63362B61"/>
    <w:rsid w:val="63377CB0"/>
    <w:rsid w:val="633B339A"/>
    <w:rsid w:val="634330BF"/>
    <w:rsid w:val="63446E9E"/>
    <w:rsid w:val="634E4F86"/>
    <w:rsid w:val="63500CFE"/>
    <w:rsid w:val="6356447C"/>
    <w:rsid w:val="63595F3C"/>
    <w:rsid w:val="635B74A7"/>
    <w:rsid w:val="63655DDF"/>
    <w:rsid w:val="63661D75"/>
    <w:rsid w:val="63665B9F"/>
    <w:rsid w:val="63676FE6"/>
    <w:rsid w:val="636B3D8A"/>
    <w:rsid w:val="63756AFC"/>
    <w:rsid w:val="638329F9"/>
    <w:rsid w:val="63842B07"/>
    <w:rsid w:val="638C3E85"/>
    <w:rsid w:val="638E1826"/>
    <w:rsid w:val="6394356A"/>
    <w:rsid w:val="639C3AC3"/>
    <w:rsid w:val="639C5B41"/>
    <w:rsid w:val="639E4977"/>
    <w:rsid w:val="63A44A13"/>
    <w:rsid w:val="63B150CC"/>
    <w:rsid w:val="63B9251B"/>
    <w:rsid w:val="63C25103"/>
    <w:rsid w:val="63C61B2C"/>
    <w:rsid w:val="63C76BC4"/>
    <w:rsid w:val="63C90A9D"/>
    <w:rsid w:val="63CD0422"/>
    <w:rsid w:val="63D17BBB"/>
    <w:rsid w:val="63D40BE9"/>
    <w:rsid w:val="63D57B5A"/>
    <w:rsid w:val="63E048C8"/>
    <w:rsid w:val="63E7059E"/>
    <w:rsid w:val="63EA56B2"/>
    <w:rsid w:val="63ED51F8"/>
    <w:rsid w:val="63EE38D5"/>
    <w:rsid w:val="63F16838"/>
    <w:rsid w:val="63FA3A6A"/>
    <w:rsid w:val="63FB2657"/>
    <w:rsid w:val="64050FFB"/>
    <w:rsid w:val="640F05D2"/>
    <w:rsid w:val="64102431"/>
    <w:rsid w:val="6412354C"/>
    <w:rsid w:val="641C7379"/>
    <w:rsid w:val="64257A8F"/>
    <w:rsid w:val="642A1E51"/>
    <w:rsid w:val="643367BB"/>
    <w:rsid w:val="64337B16"/>
    <w:rsid w:val="64384B51"/>
    <w:rsid w:val="643D3646"/>
    <w:rsid w:val="643E0467"/>
    <w:rsid w:val="643F00A9"/>
    <w:rsid w:val="643F1C35"/>
    <w:rsid w:val="643F5CDC"/>
    <w:rsid w:val="64466C9F"/>
    <w:rsid w:val="64482E0A"/>
    <w:rsid w:val="64517CC9"/>
    <w:rsid w:val="64565AFE"/>
    <w:rsid w:val="6456644D"/>
    <w:rsid w:val="6464281F"/>
    <w:rsid w:val="646720D8"/>
    <w:rsid w:val="64673200"/>
    <w:rsid w:val="64673B6D"/>
    <w:rsid w:val="646B3865"/>
    <w:rsid w:val="64744360"/>
    <w:rsid w:val="64772936"/>
    <w:rsid w:val="6482343E"/>
    <w:rsid w:val="64885657"/>
    <w:rsid w:val="64897A55"/>
    <w:rsid w:val="648B53D8"/>
    <w:rsid w:val="64997931"/>
    <w:rsid w:val="64A31C67"/>
    <w:rsid w:val="64A5243A"/>
    <w:rsid w:val="64A82DBC"/>
    <w:rsid w:val="64B85AD9"/>
    <w:rsid w:val="64BA1165"/>
    <w:rsid w:val="64C644FC"/>
    <w:rsid w:val="64C86FBA"/>
    <w:rsid w:val="64CC2FC6"/>
    <w:rsid w:val="64D25417"/>
    <w:rsid w:val="64D9486F"/>
    <w:rsid w:val="64DA773F"/>
    <w:rsid w:val="64DB512C"/>
    <w:rsid w:val="64E72400"/>
    <w:rsid w:val="64E96E04"/>
    <w:rsid w:val="64EA091A"/>
    <w:rsid w:val="64EC07C4"/>
    <w:rsid w:val="64EC2F66"/>
    <w:rsid w:val="64EE7C3F"/>
    <w:rsid w:val="64F531DE"/>
    <w:rsid w:val="64FC530A"/>
    <w:rsid w:val="650217F0"/>
    <w:rsid w:val="650C17EE"/>
    <w:rsid w:val="650F702F"/>
    <w:rsid w:val="65140852"/>
    <w:rsid w:val="651901E9"/>
    <w:rsid w:val="65246FFC"/>
    <w:rsid w:val="65281422"/>
    <w:rsid w:val="652F6864"/>
    <w:rsid w:val="65373578"/>
    <w:rsid w:val="653C154E"/>
    <w:rsid w:val="654235D8"/>
    <w:rsid w:val="654436B9"/>
    <w:rsid w:val="65461D2D"/>
    <w:rsid w:val="654E7722"/>
    <w:rsid w:val="654F3237"/>
    <w:rsid w:val="65506DF5"/>
    <w:rsid w:val="65553211"/>
    <w:rsid w:val="655A5155"/>
    <w:rsid w:val="655B3783"/>
    <w:rsid w:val="655E46E0"/>
    <w:rsid w:val="65620C19"/>
    <w:rsid w:val="656D41C9"/>
    <w:rsid w:val="65702A93"/>
    <w:rsid w:val="657A6B85"/>
    <w:rsid w:val="657B398E"/>
    <w:rsid w:val="657D63DE"/>
    <w:rsid w:val="657F1D6E"/>
    <w:rsid w:val="65853702"/>
    <w:rsid w:val="65856C59"/>
    <w:rsid w:val="6589356C"/>
    <w:rsid w:val="659C4F86"/>
    <w:rsid w:val="659E5602"/>
    <w:rsid w:val="659F3BF9"/>
    <w:rsid w:val="65A47839"/>
    <w:rsid w:val="65AA2EF4"/>
    <w:rsid w:val="65AB6A71"/>
    <w:rsid w:val="65B10CEB"/>
    <w:rsid w:val="65B86FD7"/>
    <w:rsid w:val="65B93318"/>
    <w:rsid w:val="65BA2DA7"/>
    <w:rsid w:val="65BB3576"/>
    <w:rsid w:val="65C501E3"/>
    <w:rsid w:val="65CA19AA"/>
    <w:rsid w:val="65CB0B10"/>
    <w:rsid w:val="65D45406"/>
    <w:rsid w:val="65E22EDB"/>
    <w:rsid w:val="65E27F58"/>
    <w:rsid w:val="65E70EAF"/>
    <w:rsid w:val="65E9543A"/>
    <w:rsid w:val="65EC29D4"/>
    <w:rsid w:val="65F04A1A"/>
    <w:rsid w:val="65F47159"/>
    <w:rsid w:val="65F568CB"/>
    <w:rsid w:val="65FA1FCE"/>
    <w:rsid w:val="66047288"/>
    <w:rsid w:val="660D734E"/>
    <w:rsid w:val="661029C7"/>
    <w:rsid w:val="661729B9"/>
    <w:rsid w:val="66190BF4"/>
    <w:rsid w:val="661C1CCD"/>
    <w:rsid w:val="66205C2D"/>
    <w:rsid w:val="66216982"/>
    <w:rsid w:val="662516AC"/>
    <w:rsid w:val="66257353"/>
    <w:rsid w:val="662929A8"/>
    <w:rsid w:val="663D71B8"/>
    <w:rsid w:val="66417E83"/>
    <w:rsid w:val="66514023"/>
    <w:rsid w:val="665626B7"/>
    <w:rsid w:val="66575232"/>
    <w:rsid w:val="665915D2"/>
    <w:rsid w:val="666D3BC1"/>
    <w:rsid w:val="66716C77"/>
    <w:rsid w:val="667B55CF"/>
    <w:rsid w:val="6683763C"/>
    <w:rsid w:val="6686445F"/>
    <w:rsid w:val="668C2043"/>
    <w:rsid w:val="668C29E2"/>
    <w:rsid w:val="66936969"/>
    <w:rsid w:val="66985FFF"/>
    <w:rsid w:val="669E0B28"/>
    <w:rsid w:val="669F50E5"/>
    <w:rsid w:val="66A03C81"/>
    <w:rsid w:val="66AF4D2B"/>
    <w:rsid w:val="66B321BB"/>
    <w:rsid w:val="66B52E9B"/>
    <w:rsid w:val="66B735FA"/>
    <w:rsid w:val="66B932FB"/>
    <w:rsid w:val="66BA1BA0"/>
    <w:rsid w:val="66BF6522"/>
    <w:rsid w:val="66CC6887"/>
    <w:rsid w:val="66CD2879"/>
    <w:rsid w:val="66DB6B7C"/>
    <w:rsid w:val="66DC53F8"/>
    <w:rsid w:val="66DE1619"/>
    <w:rsid w:val="66E16999"/>
    <w:rsid w:val="66E76101"/>
    <w:rsid w:val="66EF2F83"/>
    <w:rsid w:val="66EF7064"/>
    <w:rsid w:val="66F14CC5"/>
    <w:rsid w:val="66F57DCC"/>
    <w:rsid w:val="66FC4601"/>
    <w:rsid w:val="66FD60EA"/>
    <w:rsid w:val="67013260"/>
    <w:rsid w:val="67056A92"/>
    <w:rsid w:val="6708103C"/>
    <w:rsid w:val="670916D4"/>
    <w:rsid w:val="6713648F"/>
    <w:rsid w:val="671470A3"/>
    <w:rsid w:val="671F124A"/>
    <w:rsid w:val="67241F67"/>
    <w:rsid w:val="6729387D"/>
    <w:rsid w:val="672A2CC0"/>
    <w:rsid w:val="67375B86"/>
    <w:rsid w:val="673D6D3E"/>
    <w:rsid w:val="674548F2"/>
    <w:rsid w:val="675C61A3"/>
    <w:rsid w:val="67623B78"/>
    <w:rsid w:val="67630B2B"/>
    <w:rsid w:val="676660DD"/>
    <w:rsid w:val="676B7144"/>
    <w:rsid w:val="676E456E"/>
    <w:rsid w:val="67715CAC"/>
    <w:rsid w:val="67745B52"/>
    <w:rsid w:val="677A33C6"/>
    <w:rsid w:val="677B2C5D"/>
    <w:rsid w:val="67891D19"/>
    <w:rsid w:val="67983AD8"/>
    <w:rsid w:val="67A42B6B"/>
    <w:rsid w:val="67A828FD"/>
    <w:rsid w:val="67B11D14"/>
    <w:rsid w:val="67B95BF1"/>
    <w:rsid w:val="67BC6CAB"/>
    <w:rsid w:val="67CC4E5E"/>
    <w:rsid w:val="67CD6111"/>
    <w:rsid w:val="67D4294B"/>
    <w:rsid w:val="67D839B8"/>
    <w:rsid w:val="67DC4105"/>
    <w:rsid w:val="67EB0532"/>
    <w:rsid w:val="67EC35F4"/>
    <w:rsid w:val="67FC1F7D"/>
    <w:rsid w:val="680166FA"/>
    <w:rsid w:val="68036975"/>
    <w:rsid w:val="68046C31"/>
    <w:rsid w:val="68084F5C"/>
    <w:rsid w:val="68157F5A"/>
    <w:rsid w:val="68160142"/>
    <w:rsid w:val="68163530"/>
    <w:rsid w:val="681A5224"/>
    <w:rsid w:val="681C1928"/>
    <w:rsid w:val="681D49E7"/>
    <w:rsid w:val="681F6961"/>
    <w:rsid w:val="68206FBE"/>
    <w:rsid w:val="68381491"/>
    <w:rsid w:val="683C5905"/>
    <w:rsid w:val="684670FA"/>
    <w:rsid w:val="6847118A"/>
    <w:rsid w:val="68474718"/>
    <w:rsid w:val="68484E20"/>
    <w:rsid w:val="684F5D13"/>
    <w:rsid w:val="685B7FEB"/>
    <w:rsid w:val="685D3D83"/>
    <w:rsid w:val="68610A2F"/>
    <w:rsid w:val="68664535"/>
    <w:rsid w:val="686700CE"/>
    <w:rsid w:val="68745F2D"/>
    <w:rsid w:val="68775A99"/>
    <w:rsid w:val="68805514"/>
    <w:rsid w:val="68894794"/>
    <w:rsid w:val="689B7366"/>
    <w:rsid w:val="68A07EB1"/>
    <w:rsid w:val="68A35D74"/>
    <w:rsid w:val="68A655B4"/>
    <w:rsid w:val="68A93953"/>
    <w:rsid w:val="68A95EF8"/>
    <w:rsid w:val="68AE7AA6"/>
    <w:rsid w:val="68B4644B"/>
    <w:rsid w:val="68B67E66"/>
    <w:rsid w:val="68BA003B"/>
    <w:rsid w:val="68BC1A3A"/>
    <w:rsid w:val="68BD18E9"/>
    <w:rsid w:val="68C22BD8"/>
    <w:rsid w:val="68CE0993"/>
    <w:rsid w:val="68D372AF"/>
    <w:rsid w:val="68D577E6"/>
    <w:rsid w:val="68DB5359"/>
    <w:rsid w:val="68DC77DA"/>
    <w:rsid w:val="68E94217"/>
    <w:rsid w:val="68EC27A4"/>
    <w:rsid w:val="68EC771B"/>
    <w:rsid w:val="68ED1C33"/>
    <w:rsid w:val="68ED6AC6"/>
    <w:rsid w:val="68FB7619"/>
    <w:rsid w:val="68FF4B39"/>
    <w:rsid w:val="69006779"/>
    <w:rsid w:val="69015836"/>
    <w:rsid w:val="690476E8"/>
    <w:rsid w:val="690B3121"/>
    <w:rsid w:val="6917107C"/>
    <w:rsid w:val="69252238"/>
    <w:rsid w:val="69270F54"/>
    <w:rsid w:val="692F027D"/>
    <w:rsid w:val="69316E2F"/>
    <w:rsid w:val="69342EC2"/>
    <w:rsid w:val="694176F4"/>
    <w:rsid w:val="6942316A"/>
    <w:rsid w:val="694E2071"/>
    <w:rsid w:val="69514F81"/>
    <w:rsid w:val="69544040"/>
    <w:rsid w:val="695766D3"/>
    <w:rsid w:val="69594684"/>
    <w:rsid w:val="695C1682"/>
    <w:rsid w:val="695D3779"/>
    <w:rsid w:val="695E3242"/>
    <w:rsid w:val="6964044A"/>
    <w:rsid w:val="69645513"/>
    <w:rsid w:val="69661343"/>
    <w:rsid w:val="69691A9D"/>
    <w:rsid w:val="696B4E7E"/>
    <w:rsid w:val="69717088"/>
    <w:rsid w:val="69737350"/>
    <w:rsid w:val="69766163"/>
    <w:rsid w:val="697676FF"/>
    <w:rsid w:val="697A3B33"/>
    <w:rsid w:val="697B030B"/>
    <w:rsid w:val="697F7F59"/>
    <w:rsid w:val="69855241"/>
    <w:rsid w:val="69856F41"/>
    <w:rsid w:val="6986631E"/>
    <w:rsid w:val="6989589F"/>
    <w:rsid w:val="698F23BD"/>
    <w:rsid w:val="699D3163"/>
    <w:rsid w:val="699D7D21"/>
    <w:rsid w:val="69A65E33"/>
    <w:rsid w:val="69A731A1"/>
    <w:rsid w:val="69AC3B63"/>
    <w:rsid w:val="69AF1A90"/>
    <w:rsid w:val="69AF3EE2"/>
    <w:rsid w:val="69B7100F"/>
    <w:rsid w:val="69B7170E"/>
    <w:rsid w:val="69BA4C3C"/>
    <w:rsid w:val="69BD7755"/>
    <w:rsid w:val="69C00822"/>
    <w:rsid w:val="69CA3C4D"/>
    <w:rsid w:val="69D23E98"/>
    <w:rsid w:val="69D44760"/>
    <w:rsid w:val="69D97D52"/>
    <w:rsid w:val="69DC34E0"/>
    <w:rsid w:val="69DE6E8D"/>
    <w:rsid w:val="69E75C44"/>
    <w:rsid w:val="69ED41D2"/>
    <w:rsid w:val="69FF096F"/>
    <w:rsid w:val="69FF522C"/>
    <w:rsid w:val="6A052B74"/>
    <w:rsid w:val="6A087BCD"/>
    <w:rsid w:val="6A097E59"/>
    <w:rsid w:val="6A100FD1"/>
    <w:rsid w:val="6A18291B"/>
    <w:rsid w:val="6A1E4BA5"/>
    <w:rsid w:val="6A2133F4"/>
    <w:rsid w:val="6A253BD6"/>
    <w:rsid w:val="6A257BF2"/>
    <w:rsid w:val="6A2E55FD"/>
    <w:rsid w:val="6A2E5C0F"/>
    <w:rsid w:val="6A340449"/>
    <w:rsid w:val="6A375C73"/>
    <w:rsid w:val="6A3A6264"/>
    <w:rsid w:val="6A4232B7"/>
    <w:rsid w:val="6A435CB8"/>
    <w:rsid w:val="6A4D3261"/>
    <w:rsid w:val="6A520EC7"/>
    <w:rsid w:val="6A672C87"/>
    <w:rsid w:val="6A687275"/>
    <w:rsid w:val="6A6A64CB"/>
    <w:rsid w:val="6A730B80"/>
    <w:rsid w:val="6A73179E"/>
    <w:rsid w:val="6A841BD5"/>
    <w:rsid w:val="6A8D20B4"/>
    <w:rsid w:val="6A8F4802"/>
    <w:rsid w:val="6A90057A"/>
    <w:rsid w:val="6A96655E"/>
    <w:rsid w:val="6A97236D"/>
    <w:rsid w:val="6A9D6977"/>
    <w:rsid w:val="6AA256CA"/>
    <w:rsid w:val="6AA543ED"/>
    <w:rsid w:val="6AA87855"/>
    <w:rsid w:val="6AAB24C9"/>
    <w:rsid w:val="6AAE39C7"/>
    <w:rsid w:val="6AB027C3"/>
    <w:rsid w:val="6AB401FA"/>
    <w:rsid w:val="6AB51D8E"/>
    <w:rsid w:val="6AC205A5"/>
    <w:rsid w:val="6AC4146A"/>
    <w:rsid w:val="6AC779EC"/>
    <w:rsid w:val="6AC81DFC"/>
    <w:rsid w:val="6ACE4547"/>
    <w:rsid w:val="6AD27519"/>
    <w:rsid w:val="6AD314A5"/>
    <w:rsid w:val="6ADF2055"/>
    <w:rsid w:val="6ADF520D"/>
    <w:rsid w:val="6AE4092E"/>
    <w:rsid w:val="6AE6107C"/>
    <w:rsid w:val="6AEA7D32"/>
    <w:rsid w:val="6AED777A"/>
    <w:rsid w:val="6AEF007D"/>
    <w:rsid w:val="6AF156EA"/>
    <w:rsid w:val="6AF77969"/>
    <w:rsid w:val="6AF87E20"/>
    <w:rsid w:val="6AF95FD9"/>
    <w:rsid w:val="6B11761F"/>
    <w:rsid w:val="6B174AE4"/>
    <w:rsid w:val="6B290745"/>
    <w:rsid w:val="6B322639"/>
    <w:rsid w:val="6B33551A"/>
    <w:rsid w:val="6B341006"/>
    <w:rsid w:val="6B382482"/>
    <w:rsid w:val="6B3B7836"/>
    <w:rsid w:val="6B427260"/>
    <w:rsid w:val="6B46088B"/>
    <w:rsid w:val="6B504B36"/>
    <w:rsid w:val="6B5557EE"/>
    <w:rsid w:val="6B5D1EBF"/>
    <w:rsid w:val="6B5F3357"/>
    <w:rsid w:val="6B655563"/>
    <w:rsid w:val="6B6D649E"/>
    <w:rsid w:val="6B7550EC"/>
    <w:rsid w:val="6B815F55"/>
    <w:rsid w:val="6B831208"/>
    <w:rsid w:val="6B8D619A"/>
    <w:rsid w:val="6B9A7A9A"/>
    <w:rsid w:val="6BA42D8C"/>
    <w:rsid w:val="6BAA1565"/>
    <w:rsid w:val="6BB1383F"/>
    <w:rsid w:val="6BB16B0F"/>
    <w:rsid w:val="6BB40298"/>
    <w:rsid w:val="6BB42D0B"/>
    <w:rsid w:val="6BC067E4"/>
    <w:rsid w:val="6BCD4666"/>
    <w:rsid w:val="6BD421AC"/>
    <w:rsid w:val="6BD74667"/>
    <w:rsid w:val="6BD95370"/>
    <w:rsid w:val="6BDE46A5"/>
    <w:rsid w:val="6BE91C61"/>
    <w:rsid w:val="6BE943A3"/>
    <w:rsid w:val="6BF015B2"/>
    <w:rsid w:val="6BF54311"/>
    <w:rsid w:val="6BFE2FFE"/>
    <w:rsid w:val="6C073376"/>
    <w:rsid w:val="6C107A83"/>
    <w:rsid w:val="6C122302"/>
    <w:rsid w:val="6C145E5A"/>
    <w:rsid w:val="6C250955"/>
    <w:rsid w:val="6C270A6A"/>
    <w:rsid w:val="6C2E62F3"/>
    <w:rsid w:val="6C2E66C5"/>
    <w:rsid w:val="6C3071FD"/>
    <w:rsid w:val="6C3439C0"/>
    <w:rsid w:val="6C3B2E45"/>
    <w:rsid w:val="6C3C613C"/>
    <w:rsid w:val="6C4C13F6"/>
    <w:rsid w:val="6C504CAC"/>
    <w:rsid w:val="6C5C60FA"/>
    <w:rsid w:val="6C636C38"/>
    <w:rsid w:val="6C6D7750"/>
    <w:rsid w:val="6C6F452A"/>
    <w:rsid w:val="6C7F39CC"/>
    <w:rsid w:val="6C8368E0"/>
    <w:rsid w:val="6C88002E"/>
    <w:rsid w:val="6C8A73EA"/>
    <w:rsid w:val="6C915524"/>
    <w:rsid w:val="6CB22F47"/>
    <w:rsid w:val="6CB87914"/>
    <w:rsid w:val="6CB87A70"/>
    <w:rsid w:val="6CBE6DA6"/>
    <w:rsid w:val="6CC71018"/>
    <w:rsid w:val="6CC75416"/>
    <w:rsid w:val="6CC933EC"/>
    <w:rsid w:val="6CD470C5"/>
    <w:rsid w:val="6CD5760F"/>
    <w:rsid w:val="6CE52427"/>
    <w:rsid w:val="6CE61815"/>
    <w:rsid w:val="6CE84139"/>
    <w:rsid w:val="6CEC4C61"/>
    <w:rsid w:val="6CED3557"/>
    <w:rsid w:val="6CF15220"/>
    <w:rsid w:val="6CF419B3"/>
    <w:rsid w:val="6CF94337"/>
    <w:rsid w:val="6D07281F"/>
    <w:rsid w:val="6D0D5742"/>
    <w:rsid w:val="6D1352CD"/>
    <w:rsid w:val="6D1E6682"/>
    <w:rsid w:val="6D1F7E8A"/>
    <w:rsid w:val="6D247356"/>
    <w:rsid w:val="6D36256C"/>
    <w:rsid w:val="6D3744A9"/>
    <w:rsid w:val="6D4F24D0"/>
    <w:rsid w:val="6D5245DF"/>
    <w:rsid w:val="6D544A4F"/>
    <w:rsid w:val="6D592EA5"/>
    <w:rsid w:val="6D5D0046"/>
    <w:rsid w:val="6D625C41"/>
    <w:rsid w:val="6D663B71"/>
    <w:rsid w:val="6D6830B0"/>
    <w:rsid w:val="6D6C4946"/>
    <w:rsid w:val="6D7025D1"/>
    <w:rsid w:val="6D726928"/>
    <w:rsid w:val="6D745254"/>
    <w:rsid w:val="6D7646C0"/>
    <w:rsid w:val="6D7716F1"/>
    <w:rsid w:val="6D7A32F2"/>
    <w:rsid w:val="6D833992"/>
    <w:rsid w:val="6D865300"/>
    <w:rsid w:val="6D896A6D"/>
    <w:rsid w:val="6D916AE4"/>
    <w:rsid w:val="6D947290"/>
    <w:rsid w:val="6D9D3266"/>
    <w:rsid w:val="6DA202F9"/>
    <w:rsid w:val="6DA9017B"/>
    <w:rsid w:val="6DB34098"/>
    <w:rsid w:val="6DB413AC"/>
    <w:rsid w:val="6DB545B6"/>
    <w:rsid w:val="6DC06788"/>
    <w:rsid w:val="6DC40E15"/>
    <w:rsid w:val="6DC56DB5"/>
    <w:rsid w:val="6DCE2698"/>
    <w:rsid w:val="6DD26D60"/>
    <w:rsid w:val="6DD8201C"/>
    <w:rsid w:val="6DD82324"/>
    <w:rsid w:val="6DDC2A10"/>
    <w:rsid w:val="6DE02FB4"/>
    <w:rsid w:val="6DE22706"/>
    <w:rsid w:val="6DE23FFC"/>
    <w:rsid w:val="6DE4177C"/>
    <w:rsid w:val="6DE62A63"/>
    <w:rsid w:val="6DE7749E"/>
    <w:rsid w:val="6DE87B54"/>
    <w:rsid w:val="6DF951ED"/>
    <w:rsid w:val="6E006686"/>
    <w:rsid w:val="6E0153FA"/>
    <w:rsid w:val="6E015C61"/>
    <w:rsid w:val="6E0E6EBC"/>
    <w:rsid w:val="6E1A189A"/>
    <w:rsid w:val="6E1E6161"/>
    <w:rsid w:val="6E1F68E0"/>
    <w:rsid w:val="6E2A75DA"/>
    <w:rsid w:val="6E3458E1"/>
    <w:rsid w:val="6E3A23E8"/>
    <w:rsid w:val="6E3F1B7D"/>
    <w:rsid w:val="6E3F209B"/>
    <w:rsid w:val="6E514CED"/>
    <w:rsid w:val="6E621B9F"/>
    <w:rsid w:val="6E686006"/>
    <w:rsid w:val="6E6C0590"/>
    <w:rsid w:val="6E7A58C9"/>
    <w:rsid w:val="6E7C509D"/>
    <w:rsid w:val="6E811168"/>
    <w:rsid w:val="6E8B3153"/>
    <w:rsid w:val="6E8C13F6"/>
    <w:rsid w:val="6E942C0C"/>
    <w:rsid w:val="6E947393"/>
    <w:rsid w:val="6EA616B2"/>
    <w:rsid w:val="6EA62432"/>
    <w:rsid w:val="6EAB3C9A"/>
    <w:rsid w:val="6EB563D5"/>
    <w:rsid w:val="6EB85272"/>
    <w:rsid w:val="6EC00957"/>
    <w:rsid w:val="6ED02AD9"/>
    <w:rsid w:val="6ED04837"/>
    <w:rsid w:val="6ED36B28"/>
    <w:rsid w:val="6ED651FE"/>
    <w:rsid w:val="6ED84B53"/>
    <w:rsid w:val="6ED92677"/>
    <w:rsid w:val="6EDE5CF8"/>
    <w:rsid w:val="6EE11ECB"/>
    <w:rsid w:val="6EEA3930"/>
    <w:rsid w:val="6EF235B1"/>
    <w:rsid w:val="6EF53F75"/>
    <w:rsid w:val="6EF81519"/>
    <w:rsid w:val="6F051659"/>
    <w:rsid w:val="6F0A2385"/>
    <w:rsid w:val="6F0D2A7E"/>
    <w:rsid w:val="6F0E36B5"/>
    <w:rsid w:val="6F130E61"/>
    <w:rsid w:val="6F1476CF"/>
    <w:rsid w:val="6F150D60"/>
    <w:rsid w:val="6F180D0E"/>
    <w:rsid w:val="6F1A0AF8"/>
    <w:rsid w:val="6F1A3B3F"/>
    <w:rsid w:val="6F1F6294"/>
    <w:rsid w:val="6F225983"/>
    <w:rsid w:val="6F290185"/>
    <w:rsid w:val="6F2C574B"/>
    <w:rsid w:val="6F324642"/>
    <w:rsid w:val="6F3647DC"/>
    <w:rsid w:val="6F3D6BC2"/>
    <w:rsid w:val="6F4013EF"/>
    <w:rsid w:val="6F5463D0"/>
    <w:rsid w:val="6F5B4997"/>
    <w:rsid w:val="6F5C479A"/>
    <w:rsid w:val="6F612AE7"/>
    <w:rsid w:val="6F61780A"/>
    <w:rsid w:val="6F62323E"/>
    <w:rsid w:val="6F6259EA"/>
    <w:rsid w:val="6F630045"/>
    <w:rsid w:val="6F6348BB"/>
    <w:rsid w:val="6F6B1572"/>
    <w:rsid w:val="6F771778"/>
    <w:rsid w:val="6F7A4321"/>
    <w:rsid w:val="6F8624AA"/>
    <w:rsid w:val="6F915B11"/>
    <w:rsid w:val="6F935031"/>
    <w:rsid w:val="6F936CF5"/>
    <w:rsid w:val="6F944745"/>
    <w:rsid w:val="6F9A63B1"/>
    <w:rsid w:val="6F9D345E"/>
    <w:rsid w:val="6FA411F5"/>
    <w:rsid w:val="6FA855A7"/>
    <w:rsid w:val="6FB72105"/>
    <w:rsid w:val="6FB8056D"/>
    <w:rsid w:val="6FBA0656"/>
    <w:rsid w:val="6FBC2FF3"/>
    <w:rsid w:val="6FBF33C8"/>
    <w:rsid w:val="6FC01A7F"/>
    <w:rsid w:val="6FC3281C"/>
    <w:rsid w:val="6FC42CCF"/>
    <w:rsid w:val="6FC66FCB"/>
    <w:rsid w:val="6FCA6F21"/>
    <w:rsid w:val="6FCB73F6"/>
    <w:rsid w:val="6FCE1E96"/>
    <w:rsid w:val="6FD20D9E"/>
    <w:rsid w:val="6FD65801"/>
    <w:rsid w:val="6FDB583A"/>
    <w:rsid w:val="6FE778AB"/>
    <w:rsid w:val="6FEE1E4E"/>
    <w:rsid w:val="6FEE7C17"/>
    <w:rsid w:val="6FFC5590"/>
    <w:rsid w:val="6FFD045F"/>
    <w:rsid w:val="70125292"/>
    <w:rsid w:val="70131865"/>
    <w:rsid w:val="70147557"/>
    <w:rsid w:val="701601B9"/>
    <w:rsid w:val="701C2440"/>
    <w:rsid w:val="701F4285"/>
    <w:rsid w:val="70224611"/>
    <w:rsid w:val="703036E8"/>
    <w:rsid w:val="703A6E70"/>
    <w:rsid w:val="703C4AD7"/>
    <w:rsid w:val="703F2826"/>
    <w:rsid w:val="7045553E"/>
    <w:rsid w:val="704B1455"/>
    <w:rsid w:val="704E054B"/>
    <w:rsid w:val="704F1042"/>
    <w:rsid w:val="706712E4"/>
    <w:rsid w:val="706D1DD0"/>
    <w:rsid w:val="70700376"/>
    <w:rsid w:val="70714DB4"/>
    <w:rsid w:val="707B1EF8"/>
    <w:rsid w:val="707E229A"/>
    <w:rsid w:val="70827097"/>
    <w:rsid w:val="70841959"/>
    <w:rsid w:val="708518C5"/>
    <w:rsid w:val="70856B87"/>
    <w:rsid w:val="708E37E6"/>
    <w:rsid w:val="70937F86"/>
    <w:rsid w:val="70A01F3E"/>
    <w:rsid w:val="70A06C89"/>
    <w:rsid w:val="70A07585"/>
    <w:rsid w:val="70A657A4"/>
    <w:rsid w:val="70B279D1"/>
    <w:rsid w:val="70B40943"/>
    <w:rsid w:val="70B473F8"/>
    <w:rsid w:val="70B84236"/>
    <w:rsid w:val="70D527EE"/>
    <w:rsid w:val="70D9539B"/>
    <w:rsid w:val="70D96DA8"/>
    <w:rsid w:val="70DA0B55"/>
    <w:rsid w:val="70EE5F2B"/>
    <w:rsid w:val="70F4421A"/>
    <w:rsid w:val="70F901A1"/>
    <w:rsid w:val="70FD56AA"/>
    <w:rsid w:val="7102181B"/>
    <w:rsid w:val="71026BB1"/>
    <w:rsid w:val="710C7A14"/>
    <w:rsid w:val="7112645F"/>
    <w:rsid w:val="71136971"/>
    <w:rsid w:val="7114258D"/>
    <w:rsid w:val="711A1966"/>
    <w:rsid w:val="711A319A"/>
    <w:rsid w:val="711A7673"/>
    <w:rsid w:val="711B38F2"/>
    <w:rsid w:val="711E06F7"/>
    <w:rsid w:val="712348A1"/>
    <w:rsid w:val="71302AFD"/>
    <w:rsid w:val="71303BF3"/>
    <w:rsid w:val="713325F1"/>
    <w:rsid w:val="71335A98"/>
    <w:rsid w:val="713B1559"/>
    <w:rsid w:val="713B6336"/>
    <w:rsid w:val="713C1280"/>
    <w:rsid w:val="713D6C20"/>
    <w:rsid w:val="714958A0"/>
    <w:rsid w:val="71515CCD"/>
    <w:rsid w:val="71524AD9"/>
    <w:rsid w:val="715B5300"/>
    <w:rsid w:val="715F2ED4"/>
    <w:rsid w:val="71621073"/>
    <w:rsid w:val="71645162"/>
    <w:rsid w:val="717331E8"/>
    <w:rsid w:val="71752F18"/>
    <w:rsid w:val="71781D99"/>
    <w:rsid w:val="71807F66"/>
    <w:rsid w:val="71820C5B"/>
    <w:rsid w:val="718276C4"/>
    <w:rsid w:val="718E5E9A"/>
    <w:rsid w:val="71943448"/>
    <w:rsid w:val="719934B6"/>
    <w:rsid w:val="719C0B6D"/>
    <w:rsid w:val="719E07C0"/>
    <w:rsid w:val="71A374FC"/>
    <w:rsid w:val="71A86077"/>
    <w:rsid w:val="71AC73C6"/>
    <w:rsid w:val="71AF1703"/>
    <w:rsid w:val="71B003DA"/>
    <w:rsid w:val="71B83E1D"/>
    <w:rsid w:val="71C63D31"/>
    <w:rsid w:val="71C83D94"/>
    <w:rsid w:val="71CA0CE7"/>
    <w:rsid w:val="71D27F8A"/>
    <w:rsid w:val="71D30285"/>
    <w:rsid w:val="71D36BC0"/>
    <w:rsid w:val="71E065D9"/>
    <w:rsid w:val="71E46C53"/>
    <w:rsid w:val="71E70508"/>
    <w:rsid w:val="71F83C19"/>
    <w:rsid w:val="71F95A16"/>
    <w:rsid w:val="71FC2998"/>
    <w:rsid w:val="720703BE"/>
    <w:rsid w:val="720B6D2E"/>
    <w:rsid w:val="720F5CED"/>
    <w:rsid w:val="72136577"/>
    <w:rsid w:val="72196AB5"/>
    <w:rsid w:val="721A37C3"/>
    <w:rsid w:val="72200435"/>
    <w:rsid w:val="72227D09"/>
    <w:rsid w:val="72245FC2"/>
    <w:rsid w:val="72284C3D"/>
    <w:rsid w:val="722D66AE"/>
    <w:rsid w:val="72320827"/>
    <w:rsid w:val="72344A5B"/>
    <w:rsid w:val="723738CB"/>
    <w:rsid w:val="723C01A7"/>
    <w:rsid w:val="724277D9"/>
    <w:rsid w:val="724E4AF9"/>
    <w:rsid w:val="724E4FA2"/>
    <w:rsid w:val="724F5116"/>
    <w:rsid w:val="72506D50"/>
    <w:rsid w:val="7254294C"/>
    <w:rsid w:val="72553024"/>
    <w:rsid w:val="725635DB"/>
    <w:rsid w:val="72590278"/>
    <w:rsid w:val="7260355D"/>
    <w:rsid w:val="726102FF"/>
    <w:rsid w:val="726F3E79"/>
    <w:rsid w:val="727324FA"/>
    <w:rsid w:val="727529C8"/>
    <w:rsid w:val="727859B8"/>
    <w:rsid w:val="727A6F20"/>
    <w:rsid w:val="727F5C20"/>
    <w:rsid w:val="72806A5E"/>
    <w:rsid w:val="728B4186"/>
    <w:rsid w:val="72912ED8"/>
    <w:rsid w:val="72961ED8"/>
    <w:rsid w:val="729642C5"/>
    <w:rsid w:val="729D1BA8"/>
    <w:rsid w:val="72A31898"/>
    <w:rsid w:val="72A52880"/>
    <w:rsid w:val="72AA7D31"/>
    <w:rsid w:val="72AD24A4"/>
    <w:rsid w:val="72AE5647"/>
    <w:rsid w:val="72B14FC1"/>
    <w:rsid w:val="72B53044"/>
    <w:rsid w:val="72BC37E2"/>
    <w:rsid w:val="72BF37AA"/>
    <w:rsid w:val="72C35072"/>
    <w:rsid w:val="72C55088"/>
    <w:rsid w:val="72C963EA"/>
    <w:rsid w:val="72CC67AB"/>
    <w:rsid w:val="72D54BC9"/>
    <w:rsid w:val="72D64F52"/>
    <w:rsid w:val="72D77BAE"/>
    <w:rsid w:val="72D90D01"/>
    <w:rsid w:val="72DC4E02"/>
    <w:rsid w:val="72E21A5D"/>
    <w:rsid w:val="72E269A7"/>
    <w:rsid w:val="72E53A5C"/>
    <w:rsid w:val="72EB531B"/>
    <w:rsid w:val="72F12EAF"/>
    <w:rsid w:val="72F72668"/>
    <w:rsid w:val="72F7428F"/>
    <w:rsid w:val="72FB5782"/>
    <w:rsid w:val="72FD34EC"/>
    <w:rsid w:val="72FE0D65"/>
    <w:rsid w:val="730309E9"/>
    <w:rsid w:val="730A58E1"/>
    <w:rsid w:val="730B33DA"/>
    <w:rsid w:val="730B4735"/>
    <w:rsid w:val="7310515C"/>
    <w:rsid w:val="73122968"/>
    <w:rsid w:val="731B659A"/>
    <w:rsid w:val="731C64B4"/>
    <w:rsid w:val="731E1C1F"/>
    <w:rsid w:val="731F5D5E"/>
    <w:rsid w:val="73234DDA"/>
    <w:rsid w:val="7329331A"/>
    <w:rsid w:val="733454CF"/>
    <w:rsid w:val="73401C51"/>
    <w:rsid w:val="734129A5"/>
    <w:rsid w:val="7357308D"/>
    <w:rsid w:val="735A51D7"/>
    <w:rsid w:val="735C6BC3"/>
    <w:rsid w:val="736A14A5"/>
    <w:rsid w:val="73724E93"/>
    <w:rsid w:val="737A0FF1"/>
    <w:rsid w:val="737F7F35"/>
    <w:rsid w:val="7388278E"/>
    <w:rsid w:val="73892CCE"/>
    <w:rsid w:val="73920560"/>
    <w:rsid w:val="7392439D"/>
    <w:rsid w:val="7394197E"/>
    <w:rsid w:val="73A6328B"/>
    <w:rsid w:val="73AB43EF"/>
    <w:rsid w:val="73BF0CB2"/>
    <w:rsid w:val="73C51AD5"/>
    <w:rsid w:val="73C60056"/>
    <w:rsid w:val="73CB00D3"/>
    <w:rsid w:val="73CE5654"/>
    <w:rsid w:val="73D64B86"/>
    <w:rsid w:val="73DA19BB"/>
    <w:rsid w:val="73E072AC"/>
    <w:rsid w:val="73E165EA"/>
    <w:rsid w:val="73EB196F"/>
    <w:rsid w:val="73EF4563"/>
    <w:rsid w:val="73F712CD"/>
    <w:rsid w:val="73F83A1C"/>
    <w:rsid w:val="73FB336F"/>
    <w:rsid w:val="73FC440D"/>
    <w:rsid w:val="73FC49DD"/>
    <w:rsid w:val="73FC65B7"/>
    <w:rsid w:val="740162E0"/>
    <w:rsid w:val="74023F78"/>
    <w:rsid w:val="74026BD8"/>
    <w:rsid w:val="74042E60"/>
    <w:rsid w:val="740B1082"/>
    <w:rsid w:val="740F6705"/>
    <w:rsid w:val="7412372B"/>
    <w:rsid w:val="74143028"/>
    <w:rsid w:val="741B5E32"/>
    <w:rsid w:val="741E793C"/>
    <w:rsid w:val="74233F0C"/>
    <w:rsid w:val="7423746D"/>
    <w:rsid w:val="74272537"/>
    <w:rsid w:val="742C12BA"/>
    <w:rsid w:val="743626F6"/>
    <w:rsid w:val="744230C6"/>
    <w:rsid w:val="744278D9"/>
    <w:rsid w:val="744A1B09"/>
    <w:rsid w:val="744C5CAB"/>
    <w:rsid w:val="74554725"/>
    <w:rsid w:val="745A5839"/>
    <w:rsid w:val="745D13E1"/>
    <w:rsid w:val="745D771F"/>
    <w:rsid w:val="745E3944"/>
    <w:rsid w:val="7460207E"/>
    <w:rsid w:val="74605EFE"/>
    <w:rsid w:val="74626E17"/>
    <w:rsid w:val="746E36E3"/>
    <w:rsid w:val="747C6B70"/>
    <w:rsid w:val="748B72EA"/>
    <w:rsid w:val="748E2EBD"/>
    <w:rsid w:val="74965B85"/>
    <w:rsid w:val="749C21FE"/>
    <w:rsid w:val="74BB1F12"/>
    <w:rsid w:val="74BB6A80"/>
    <w:rsid w:val="74C07270"/>
    <w:rsid w:val="74C54551"/>
    <w:rsid w:val="74C74B98"/>
    <w:rsid w:val="74CC40DC"/>
    <w:rsid w:val="74CD278B"/>
    <w:rsid w:val="74D231A8"/>
    <w:rsid w:val="74D7700B"/>
    <w:rsid w:val="74DE3FE1"/>
    <w:rsid w:val="74DF6717"/>
    <w:rsid w:val="74EB5137"/>
    <w:rsid w:val="74EF68A0"/>
    <w:rsid w:val="74F14C2D"/>
    <w:rsid w:val="74F54825"/>
    <w:rsid w:val="74F7526D"/>
    <w:rsid w:val="74F87447"/>
    <w:rsid w:val="74FE1A9B"/>
    <w:rsid w:val="75021AC1"/>
    <w:rsid w:val="75021C99"/>
    <w:rsid w:val="75024544"/>
    <w:rsid w:val="750C4BB9"/>
    <w:rsid w:val="750E372F"/>
    <w:rsid w:val="75140702"/>
    <w:rsid w:val="751C68C3"/>
    <w:rsid w:val="7521699E"/>
    <w:rsid w:val="75221C99"/>
    <w:rsid w:val="752C6675"/>
    <w:rsid w:val="753120BD"/>
    <w:rsid w:val="7533200A"/>
    <w:rsid w:val="75390AD1"/>
    <w:rsid w:val="753F09DC"/>
    <w:rsid w:val="75486961"/>
    <w:rsid w:val="754B0EB2"/>
    <w:rsid w:val="75507DFA"/>
    <w:rsid w:val="755A6B38"/>
    <w:rsid w:val="755F74C6"/>
    <w:rsid w:val="756061FD"/>
    <w:rsid w:val="7566206E"/>
    <w:rsid w:val="75662E3A"/>
    <w:rsid w:val="75663D79"/>
    <w:rsid w:val="75683524"/>
    <w:rsid w:val="756B15C9"/>
    <w:rsid w:val="756F3EAF"/>
    <w:rsid w:val="757030DE"/>
    <w:rsid w:val="75714726"/>
    <w:rsid w:val="75734D20"/>
    <w:rsid w:val="75790C59"/>
    <w:rsid w:val="757D443D"/>
    <w:rsid w:val="75817BBC"/>
    <w:rsid w:val="758328FC"/>
    <w:rsid w:val="75836366"/>
    <w:rsid w:val="758E56B6"/>
    <w:rsid w:val="758F632E"/>
    <w:rsid w:val="75907A1B"/>
    <w:rsid w:val="75915985"/>
    <w:rsid w:val="75916426"/>
    <w:rsid w:val="75925127"/>
    <w:rsid w:val="75931249"/>
    <w:rsid w:val="75940523"/>
    <w:rsid w:val="75954F0D"/>
    <w:rsid w:val="75AC3957"/>
    <w:rsid w:val="75B01AD0"/>
    <w:rsid w:val="75B20B67"/>
    <w:rsid w:val="75BB005B"/>
    <w:rsid w:val="75BB4212"/>
    <w:rsid w:val="75C04A95"/>
    <w:rsid w:val="75C11E82"/>
    <w:rsid w:val="75C707EB"/>
    <w:rsid w:val="75CD2B28"/>
    <w:rsid w:val="75D776FC"/>
    <w:rsid w:val="75DC405F"/>
    <w:rsid w:val="75E8126A"/>
    <w:rsid w:val="75F5476A"/>
    <w:rsid w:val="75F714AD"/>
    <w:rsid w:val="75FA4A0D"/>
    <w:rsid w:val="75FE00A6"/>
    <w:rsid w:val="76021460"/>
    <w:rsid w:val="760E30AE"/>
    <w:rsid w:val="760E646D"/>
    <w:rsid w:val="7615512E"/>
    <w:rsid w:val="761938F1"/>
    <w:rsid w:val="76230CDC"/>
    <w:rsid w:val="76232CDF"/>
    <w:rsid w:val="76264DCD"/>
    <w:rsid w:val="76290025"/>
    <w:rsid w:val="762A7030"/>
    <w:rsid w:val="7635099D"/>
    <w:rsid w:val="763706BF"/>
    <w:rsid w:val="76453FC1"/>
    <w:rsid w:val="764E232E"/>
    <w:rsid w:val="7656193B"/>
    <w:rsid w:val="765C117F"/>
    <w:rsid w:val="766900DF"/>
    <w:rsid w:val="766920EE"/>
    <w:rsid w:val="76706DC8"/>
    <w:rsid w:val="7671125F"/>
    <w:rsid w:val="767D0609"/>
    <w:rsid w:val="768467F4"/>
    <w:rsid w:val="76884D79"/>
    <w:rsid w:val="76893931"/>
    <w:rsid w:val="768D3D86"/>
    <w:rsid w:val="7690778C"/>
    <w:rsid w:val="7692457D"/>
    <w:rsid w:val="76A90156"/>
    <w:rsid w:val="76B15B00"/>
    <w:rsid w:val="76B311B6"/>
    <w:rsid w:val="76B35749"/>
    <w:rsid w:val="76B836DA"/>
    <w:rsid w:val="76BA0D4B"/>
    <w:rsid w:val="76BF5F2B"/>
    <w:rsid w:val="76C11D8D"/>
    <w:rsid w:val="76C13171"/>
    <w:rsid w:val="76C61FDE"/>
    <w:rsid w:val="76D079CF"/>
    <w:rsid w:val="76D140BE"/>
    <w:rsid w:val="76D715FD"/>
    <w:rsid w:val="76D90867"/>
    <w:rsid w:val="76D94D41"/>
    <w:rsid w:val="76DA5057"/>
    <w:rsid w:val="76DB3220"/>
    <w:rsid w:val="76DC19D4"/>
    <w:rsid w:val="76DD526C"/>
    <w:rsid w:val="76DE033A"/>
    <w:rsid w:val="76E01DD3"/>
    <w:rsid w:val="76E14F6A"/>
    <w:rsid w:val="76E21F95"/>
    <w:rsid w:val="76E62157"/>
    <w:rsid w:val="76E64A64"/>
    <w:rsid w:val="76E94CB4"/>
    <w:rsid w:val="76EA1469"/>
    <w:rsid w:val="76EB5D51"/>
    <w:rsid w:val="76EC6F5D"/>
    <w:rsid w:val="76ED2847"/>
    <w:rsid w:val="76F204EC"/>
    <w:rsid w:val="76FB2712"/>
    <w:rsid w:val="76FE3C04"/>
    <w:rsid w:val="76FE62AF"/>
    <w:rsid w:val="7701101A"/>
    <w:rsid w:val="77033D57"/>
    <w:rsid w:val="770E7401"/>
    <w:rsid w:val="771547AA"/>
    <w:rsid w:val="77257389"/>
    <w:rsid w:val="77274014"/>
    <w:rsid w:val="77304C77"/>
    <w:rsid w:val="773111D5"/>
    <w:rsid w:val="77346BE8"/>
    <w:rsid w:val="773A78A3"/>
    <w:rsid w:val="773E6C3F"/>
    <w:rsid w:val="774113ED"/>
    <w:rsid w:val="77434B3E"/>
    <w:rsid w:val="774E1EA6"/>
    <w:rsid w:val="77503B5B"/>
    <w:rsid w:val="77560455"/>
    <w:rsid w:val="775C1FD6"/>
    <w:rsid w:val="775D09AF"/>
    <w:rsid w:val="77654A63"/>
    <w:rsid w:val="77672662"/>
    <w:rsid w:val="776F4186"/>
    <w:rsid w:val="77731007"/>
    <w:rsid w:val="77762421"/>
    <w:rsid w:val="777F67AE"/>
    <w:rsid w:val="778A7C5F"/>
    <w:rsid w:val="779258F4"/>
    <w:rsid w:val="77A12F6D"/>
    <w:rsid w:val="77A34A58"/>
    <w:rsid w:val="77A57E99"/>
    <w:rsid w:val="77A93410"/>
    <w:rsid w:val="77B01B56"/>
    <w:rsid w:val="77B56B1F"/>
    <w:rsid w:val="77B97AF7"/>
    <w:rsid w:val="77BF424C"/>
    <w:rsid w:val="77C56A3B"/>
    <w:rsid w:val="77C81353"/>
    <w:rsid w:val="77CA3D56"/>
    <w:rsid w:val="77D07479"/>
    <w:rsid w:val="77D757C9"/>
    <w:rsid w:val="77DA5662"/>
    <w:rsid w:val="77EB6DF0"/>
    <w:rsid w:val="77EC720D"/>
    <w:rsid w:val="77F055F6"/>
    <w:rsid w:val="77F12F0F"/>
    <w:rsid w:val="77FA5DCA"/>
    <w:rsid w:val="78034403"/>
    <w:rsid w:val="78085925"/>
    <w:rsid w:val="780975E7"/>
    <w:rsid w:val="780F09F4"/>
    <w:rsid w:val="7812468E"/>
    <w:rsid w:val="78194988"/>
    <w:rsid w:val="781A05B1"/>
    <w:rsid w:val="781F223A"/>
    <w:rsid w:val="782515A2"/>
    <w:rsid w:val="78277C87"/>
    <w:rsid w:val="782B1460"/>
    <w:rsid w:val="782F3920"/>
    <w:rsid w:val="78400F8B"/>
    <w:rsid w:val="784732DF"/>
    <w:rsid w:val="78510E0D"/>
    <w:rsid w:val="78544FD7"/>
    <w:rsid w:val="78551AA0"/>
    <w:rsid w:val="786E72D4"/>
    <w:rsid w:val="78702E66"/>
    <w:rsid w:val="78706794"/>
    <w:rsid w:val="78717294"/>
    <w:rsid w:val="78762B5D"/>
    <w:rsid w:val="787736A0"/>
    <w:rsid w:val="78796E72"/>
    <w:rsid w:val="787B0E88"/>
    <w:rsid w:val="787C5777"/>
    <w:rsid w:val="788803B8"/>
    <w:rsid w:val="788F24A3"/>
    <w:rsid w:val="789648AD"/>
    <w:rsid w:val="78A17DE3"/>
    <w:rsid w:val="78A30967"/>
    <w:rsid w:val="78A37FD4"/>
    <w:rsid w:val="78A50DE3"/>
    <w:rsid w:val="78A90480"/>
    <w:rsid w:val="78B001F0"/>
    <w:rsid w:val="78B070CF"/>
    <w:rsid w:val="78B17466"/>
    <w:rsid w:val="78B20DF1"/>
    <w:rsid w:val="78B51200"/>
    <w:rsid w:val="78B56A54"/>
    <w:rsid w:val="78C767CE"/>
    <w:rsid w:val="78CA6B0C"/>
    <w:rsid w:val="78CD0CE6"/>
    <w:rsid w:val="78D845F1"/>
    <w:rsid w:val="78D856CF"/>
    <w:rsid w:val="78DB0DE3"/>
    <w:rsid w:val="78DC367E"/>
    <w:rsid w:val="78E23CAF"/>
    <w:rsid w:val="78E677F6"/>
    <w:rsid w:val="78E94955"/>
    <w:rsid w:val="78EC0DD5"/>
    <w:rsid w:val="78EC731D"/>
    <w:rsid w:val="78F12113"/>
    <w:rsid w:val="78F16349"/>
    <w:rsid w:val="78FB0294"/>
    <w:rsid w:val="78FF4B03"/>
    <w:rsid w:val="79004DE1"/>
    <w:rsid w:val="79095AD6"/>
    <w:rsid w:val="790A71CE"/>
    <w:rsid w:val="790E3C74"/>
    <w:rsid w:val="791256C0"/>
    <w:rsid w:val="791365FE"/>
    <w:rsid w:val="791505C8"/>
    <w:rsid w:val="79171AF9"/>
    <w:rsid w:val="79252032"/>
    <w:rsid w:val="79253602"/>
    <w:rsid w:val="79256275"/>
    <w:rsid w:val="792846FC"/>
    <w:rsid w:val="792C01EA"/>
    <w:rsid w:val="792F33DE"/>
    <w:rsid w:val="7932464C"/>
    <w:rsid w:val="79352A18"/>
    <w:rsid w:val="79367DD8"/>
    <w:rsid w:val="79385CF4"/>
    <w:rsid w:val="79471CA7"/>
    <w:rsid w:val="79492020"/>
    <w:rsid w:val="79502C1F"/>
    <w:rsid w:val="79523846"/>
    <w:rsid w:val="795A4FC9"/>
    <w:rsid w:val="795D2F2C"/>
    <w:rsid w:val="795D34C2"/>
    <w:rsid w:val="795E51BB"/>
    <w:rsid w:val="7969274F"/>
    <w:rsid w:val="796B4517"/>
    <w:rsid w:val="79837391"/>
    <w:rsid w:val="79840773"/>
    <w:rsid w:val="79891DDB"/>
    <w:rsid w:val="798C4879"/>
    <w:rsid w:val="798D175A"/>
    <w:rsid w:val="7995421D"/>
    <w:rsid w:val="799B2481"/>
    <w:rsid w:val="799F3E9B"/>
    <w:rsid w:val="79A076CE"/>
    <w:rsid w:val="79A342CC"/>
    <w:rsid w:val="79A67E4F"/>
    <w:rsid w:val="79AB6C4A"/>
    <w:rsid w:val="79AD6CE2"/>
    <w:rsid w:val="79AE5663"/>
    <w:rsid w:val="79B65CB2"/>
    <w:rsid w:val="79D111D0"/>
    <w:rsid w:val="79D20C86"/>
    <w:rsid w:val="79D71D7F"/>
    <w:rsid w:val="79D7490D"/>
    <w:rsid w:val="79DF70EE"/>
    <w:rsid w:val="79E21D40"/>
    <w:rsid w:val="79E928F4"/>
    <w:rsid w:val="79E955B1"/>
    <w:rsid w:val="7A0131B7"/>
    <w:rsid w:val="7A0678A4"/>
    <w:rsid w:val="7A126621"/>
    <w:rsid w:val="7A143D54"/>
    <w:rsid w:val="7A1D4E07"/>
    <w:rsid w:val="7A202B9C"/>
    <w:rsid w:val="7A21727C"/>
    <w:rsid w:val="7A2544C3"/>
    <w:rsid w:val="7A291E51"/>
    <w:rsid w:val="7A292C14"/>
    <w:rsid w:val="7A364017"/>
    <w:rsid w:val="7A3716DD"/>
    <w:rsid w:val="7A3E6C31"/>
    <w:rsid w:val="7A430DB1"/>
    <w:rsid w:val="7A432414"/>
    <w:rsid w:val="7A44276C"/>
    <w:rsid w:val="7A475D0E"/>
    <w:rsid w:val="7A4817C4"/>
    <w:rsid w:val="7A4A5B90"/>
    <w:rsid w:val="7A4D5B40"/>
    <w:rsid w:val="7A4E535E"/>
    <w:rsid w:val="7A50630F"/>
    <w:rsid w:val="7A53230A"/>
    <w:rsid w:val="7A550D56"/>
    <w:rsid w:val="7A5613F0"/>
    <w:rsid w:val="7A5C5D83"/>
    <w:rsid w:val="7A5F1F75"/>
    <w:rsid w:val="7A62013B"/>
    <w:rsid w:val="7A687D37"/>
    <w:rsid w:val="7A6E36DB"/>
    <w:rsid w:val="7A7857E5"/>
    <w:rsid w:val="7A7D2FC9"/>
    <w:rsid w:val="7A7E3C13"/>
    <w:rsid w:val="7A7E5B51"/>
    <w:rsid w:val="7A82024F"/>
    <w:rsid w:val="7A8265E1"/>
    <w:rsid w:val="7A831561"/>
    <w:rsid w:val="7A8527EF"/>
    <w:rsid w:val="7A8544FB"/>
    <w:rsid w:val="7A89344B"/>
    <w:rsid w:val="7A923E9A"/>
    <w:rsid w:val="7A967146"/>
    <w:rsid w:val="7A98070E"/>
    <w:rsid w:val="7A996FD7"/>
    <w:rsid w:val="7A9D7FE8"/>
    <w:rsid w:val="7AA17C39"/>
    <w:rsid w:val="7AA5284B"/>
    <w:rsid w:val="7AA52FB7"/>
    <w:rsid w:val="7AA67FBE"/>
    <w:rsid w:val="7AAA332B"/>
    <w:rsid w:val="7AB4229F"/>
    <w:rsid w:val="7AC174CD"/>
    <w:rsid w:val="7AC328AF"/>
    <w:rsid w:val="7AC45C0F"/>
    <w:rsid w:val="7AC64AA5"/>
    <w:rsid w:val="7AC758F2"/>
    <w:rsid w:val="7AC91664"/>
    <w:rsid w:val="7ACA28EA"/>
    <w:rsid w:val="7ACA5A59"/>
    <w:rsid w:val="7ACE27AE"/>
    <w:rsid w:val="7AD57BBA"/>
    <w:rsid w:val="7ADC2056"/>
    <w:rsid w:val="7AE2097E"/>
    <w:rsid w:val="7AF1704E"/>
    <w:rsid w:val="7AF43A34"/>
    <w:rsid w:val="7AF64514"/>
    <w:rsid w:val="7AFB04A8"/>
    <w:rsid w:val="7B0405AE"/>
    <w:rsid w:val="7B05795F"/>
    <w:rsid w:val="7B061E2A"/>
    <w:rsid w:val="7B0713B3"/>
    <w:rsid w:val="7B154496"/>
    <w:rsid w:val="7B1D547E"/>
    <w:rsid w:val="7B202D23"/>
    <w:rsid w:val="7B260D9B"/>
    <w:rsid w:val="7B294BCD"/>
    <w:rsid w:val="7B2C74D4"/>
    <w:rsid w:val="7B2E1E29"/>
    <w:rsid w:val="7B2F3753"/>
    <w:rsid w:val="7B340AAD"/>
    <w:rsid w:val="7B345AE3"/>
    <w:rsid w:val="7B3866E2"/>
    <w:rsid w:val="7B394CF5"/>
    <w:rsid w:val="7B3D2195"/>
    <w:rsid w:val="7B4262F4"/>
    <w:rsid w:val="7B455E38"/>
    <w:rsid w:val="7B4614D5"/>
    <w:rsid w:val="7B542790"/>
    <w:rsid w:val="7B5A6766"/>
    <w:rsid w:val="7B6140D9"/>
    <w:rsid w:val="7B626DD1"/>
    <w:rsid w:val="7B677A47"/>
    <w:rsid w:val="7B686D42"/>
    <w:rsid w:val="7B6A51C8"/>
    <w:rsid w:val="7B740C9B"/>
    <w:rsid w:val="7B815C10"/>
    <w:rsid w:val="7B8330AA"/>
    <w:rsid w:val="7B841746"/>
    <w:rsid w:val="7B87288A"/>
    <w:rsid w:val="7B890F12"/>
    <w:rsid w:val="7B8939E8"/>
    <w:rsid w:val="7B8F123C"/>
    <w:rsid w:val="7B946181"/>
    <w:rsid w:val="7B9A4BEA"/>
    <w:rsid w:val="7B9D0B51"/>
    <w:rsid w:val="7BA40B6D"/>
    <w:rsid w:val="7BAA235D"/>
    <w:rsid w:val="7BB31275"/>
    <w:rsid w:val="7BB36928"/>
    <w:rsid w:val="7BB93E9E"/>
    <w:rsid w:val="7BBB2464"/>
    <w:rsid w:val="7BC25980"/>
    <w:rsid w:val="7BC45576"/>
    <w:rsid w:val="7BC47EB0"/>
    <w:rsid w:val="7BC94709"/>
    <w:rsid w:val="7BCA3E57"/>
    <w:rsid w:val="7BCF66B0"/>
    <w:rsid w:val="7BD302C6"/>
    <w:rsid w:val="7BD32034"/>
    <w:rsid w:val="7BD54A1B"/>
    <w:rsid w:val="7BDB6146"/>
    <w:rsid w:val="7BDD401B"/>
    <w:rsid w:val="7BE21B9F"/>
    <w:rsid w:val="7BE405C1"/>
    <w:rsid w:val="7BE52EB9"/>
    <w:rsid w:val="7BF95B20"/>
    <w:rsid w:val="7BFE4993"/>
    <w:rsid w:val="7BFF4C36"/>
    <w:rsid w:val="7C02343D"/>
    <w:rsid w:val="7C0A12B7"/>
    <w:rsid w:val="7C0E4446"/>
    <w:rsid w:val="7C1A33D5"/>
    <w:rsid w:val="7C1B32FE"/>
    <w:rsid w:val="7C202466"/>
    <w:rsid w:val="7C236C55"/>
    <w:rsid w:val="7C257735"/>
    <w:rsid w:val="7C2800E6"/>
    <w:rsid w:val="7C291D27"/>
    <w:rsid w:val="7C2A7D38"/>
    <w:rsid w:val="7C2E5765"/>
    <w:rsid w:val="7C2F1A1A"/>
    <w:rsid w:val="7C38319F"/>
    <w:rsid w:val="7C3940AD"/>
    <w:rsid w:val="7C3A3888"/>
    <w:rsid w:val="7C4277BF"/>
    <w:rsid w:val="7C477D6B"/>
    <w:rsid w:val="7C483C62"/>
    <w:rsid w:val="7C4E4E05"/>
    <w:rsid w:val="7C5218E0"/>
    <w:rsid w:val="7C521EB6"/>
    <w:rsid w:val="7C59260A"/>
    <w:rsid w:val="7C5A5FA4"/>
    <w:rsid w:val="7C626185"/>
    <w:rsid w:val="7C656A0B"/>
    <w:rsid w:val="7C685CC2"/>
    <w:rsid w:val="7C6C5AC7"/>
    <w:rsid w:val="7C70579E"/>
    <w:rsid w:val="7C74744D"/>
    <w:rsid w:val="7C76050C"/>
    <w:rsid w:val="7C774E0B"/>
    <w:rsid w:val="7C840675"/>
    <w:rsid w:val="7C8F3299"/>
    <w:rsid w:val="7C914409"/>
    <w:rsid w:val="7C951866"/>
    <w:rsid w:val="7CA77ABC"/>
    <w:rsid w:val="7CAC6F06"/>
    <w:rsid w:val="7CBD7323"/>
    <w:rsid w:val="7CC558AB"/>
    <w:rsid w:val="7CC6544B"/>
    <w:rsid w:val="7CCD12BE"/>
    <w:rsid w:val="7CD13EF1"/>
    <w:rsid w:val="7CD15E65"/>
    <w:rsid w:val="7CD705DD"/>
    <w:rsid w:val="7CD70A2F"/>
    <w:rsid w:val="7CE53A91"/>
    <w:rsid w:val="7CE90B82"/>
    <w:rsid w:val="7CF3683B"/>
    <w:rsid w:val="7D0239FF"/>
    <w:rsid w:val="7D024BD3"/>
    <w:rsid w:val="7D0F1249"/>
    <w:rsid w:val="7D162D2E"/>
    <w:rsid w:val="7D1B1326"/>
    <w:rsid w:val="7D1C26F2"/>
    <w:rsid w:val="7D295AC0"/>
    <w:rsid w:val="7D2C63F7"/>
    <w:rsid w:val="7D300C47"/>
    <w:rsid w:val="7D305007"/>
    <w:rsid w:val="7D3A0B7E"/>
    <w:rsid w:val="7D3C40B2"/>
    <w:rsid w:val="7D414152"/>
    <w:rsid w:val="7D46592A"/>
    <w:rsid w:val="7D48534C"/>
    <w:rsid w:val="7D4C65A6"/>
    <w:rsid w:val="7D4E12F9"/>
    <w:rsid w:val="7D4E2E11"/>
    <w:rsid w:val="7D5314CC"/>
    <w:rsid w:val="7D536175"/>
    <w:rsid w:val="7D573523"/>
    <w:rsid w:val="7D586053"/>
    <w:rsid w:val="7D5A22D3"/>
    <w:rsid w:val="7D5E40CD"/>
    <w:rsid w:val="7D61343E"/>
    <w:rsid w:val="7D6C452F"/>
    <w:rsid w:val="7D730B4C"/>
    <w:rsid w:val="7D7426FB"/>
    <w:rsid w:val="7D7737C4"/>
    <w:rsid w:val="7D7B1F42"/>
    <w:rsid w:val="7D7B5746"/>
    <w:rsid w:val="7D7C2362"/>
    <w:rsid w:val="7D7D02FD"/>
    <w:rsid w:val="7D815212"/>
    <w:rsid w:val="7D864B31"/>
    <w:rsid w:val="7D875B97"/>
    <w:rsid w:val="7D8904AE"/>
    <w:rsid w:val="7D8B1AEF"/>
    <w:rsid w:val="7D8C1DCE"/>
    <w:rsid w:val="7D8E070A"/>
    <w:rsid w:val="7D8F1518"/>
    <w:rsid w:val="7D8F2439"/>
    <w:rsid w:val="7D965A4F"/>
    <w:rsid w:val="7D971B2B"/>
    <w:rsid w:val="7D981060"/>
    <w:rsid w:val="7D9D6A3C"/>
    <w:rsid w:val="7D9E04F7"/>
    <w:rsid w:val="7DA60CEF"/>
    <w:rsid w:val="7DA64ED2"/>
    <w:rsid w:val="7DAD06E2"/>
    <w:rsid w:val="7DAD6864"/>
    <w:rsid w:val="7DAE2B0C"/>
    <w:rsid w:val="7DAF7A70"/>
    <w:rsid w:val="7DBC21B1"/>
    <w:rsid w:val="7DBC4940"/>
    <w:rsid w:val="7DCA039F"/>
    <w:rsid w:val="7DCD56F2"/>
    <w:rsid w:val="7DD33483"/>
    <w:rsid w:val="7DDC1195"/>
    <w:rsid w:val="7DE33696"/>
    <w:rsid w:val="7DE903F7"/>
    <w:rsid w:val="7DEC363C"/>
    <w:rsid w:val="7DEF0124"/>
    <w:rsid w:val="7DF840A0"/>
    <w:rsid w:val="7DF93453"/>
    <w:rsid w:val="7DFD03D2"/>
    <w:rsid w:val="7DFD5ACF"/>
    <w:rsid w:val="7E0230E5"/>
    <w:rsid w:val="7E1F1B8E"/>
    <w:rsid w:val="7E274716"/>
    <w:rsid w:val="7E2E41C7"/>
    <w:rsid w:val="7E33688D"/>
    <w:rsid w:val="7E3B102E"/>
    <w:rsid w:val="7E3C03A5"/>
    <w:rsid w:val="7E3C3C37"/>
    <w:rsid w:val="7E400BE6"/>
    <w:rsid w:val="7E412AB5"/>
    <w:rsid w:val="7E502464"/>
    <w:rsid w:val="7E5876C4"/>
    <w:rsid w:val="7E5F6987"/>
    <w:rsid w:val="7E63290B"/>
    <w:rsid w:val="7E6753B1"/>
    <w:rsid w:val="7E676C27"/>
    <w:rsid w:val="7E6B2471"/>
    <w:rsid w:val="7E7827B2"/>
    <w:rsid w:val="7E7A2DD1"/>
    <w:rsid w:val="7E7C7366"/>
    <w:rsid w:val="7E7F4A5A"/>
    <w:rsid w:val="7E8E6AD8"/>
    <w:rsid w:val="7E90422B"/>
    <w:rsid w:val="7E91324A"/>
    <w:rsid w:val="7E9A3702"/>
    <w:rsid w:val="7EA617D4"/>
    <w:rsid w:val="7EAF6B7F"/>
    <w:rsid w:val="7EB04B11"/>
    <w:rsid w:val="7EBE7ABE"/>
    <w:rsid w:val="7EC860DC"/>
    <w:rsid w:val="7ECF59B9"/>
    <w:rsid w:val="7ED37BB7"/>
    <w:rsid w:val="7ED5169E"/>
    <w:rsid w:val="7ED778D6"/>
    <w:rsid w:val="7ED90DA4"/>
    <w:rsid w:val="7EDA743D"/>
    <w:rsid w:val="7EE050DB"/>
    <w:rsid w:val="7EED19DC"/>
    <w:rsid w:val="7EF071D5"/>
    <w:rsid w:val="7EFB0260"/>
    <w:rsid w:val="7F001CE7"/>
    <w:rsid w:val="7F0749B2"/>
    <w:rsid w:val="7F091913"/>
    <w:rsid w:val="7F0A5D7B"/>
    <w:rsid w:val="7F0D3AEF"/>
    <w:rsid w:val="7F19282F"/>
    <w:rsid w:val="7F1C3D32"/>
    <w:rsid w:val="7F1E3409"/>
    <w:rsid w:val="7F2C53B3"/>
    <w:rsid w:val="7F313155"/>
    <w:rsid w:val="7F333E68"/>
    <w:rsid w:val="7F3E2C08"/>
    <w:rsid w:val="7F434D4C"/>
    <w:rsid w:val="7F5F3392"/>
    <w:rsid w:val="7F716C38"/>
    <w:rsid w:val="7F747675"/>
    <w:rsid w:val="7F8209E9"/>
    <w:rsid w:val="7F8518D8"/>
    <w:rsid w:val="7F8E4BD6"/>
    <w:rsid w:val="7F905A66"/>
    <w:rsid w:val="7F986350"/>
    <w:rsid w:val="7FA06711"/>
    <w:rsid w:val="7FA11150"/>
    <w:rsid w:val="7FA21FF4"/>
    <w:rsid w:val="7FA366A6"/>
    <w:rsid w:val="7FAB57C1"/>
    <w:rsid w:val="7FB45885"/>
    <w:rsid w:val="7FBF342B"/>
    <w:rsid w:val="7FC05959"/>
    <w:rsid w:val="7FC52436"/>
    <w:rsid w:val="7FD058CF"/>
    <w:rsid w:val="7FDD6781"/>
    <w:rsid w:val="7FE47E50"/>
    <w:rsid w:val="7FE5504C"/>
    <w:rsid w:val="7FE74421"/>
    <w:rsid w:val="7FF74DAB"/>
    <w:rsid w:val="7FF97746"/>
    <w:rsid w:val="7FFC2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nhideWhenUsed="0" w:uiPriority="0" w:semiHidden="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iPriority="99"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8"/>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locked/>
    <w:uiPriority w:val="0"/>
    <w:pPr>
      <w:keepNext/>
      <w:keepLines/>
      <w:spacing w:line="360" w:lineRule="auto"/>
      <w:outlineLvl w:val="1"/>
    </w:pPr>
    <w:rPr>
      <w:rFonts w:ascii="Arial" w:hAnsi="Arial"/>
      <w:b/>
      <w:bCs/>
      <w:szCs w:val="32"/>
    </w:rPr>
  </w:style>
  <w:style w:type="paragraph" w:styleId="4">
    <w:name w:val="heading 3"/>
    <w:basedOn w:val="1"/>
    <w:next w:val="1"/>
    <w:qFormat/>
    <w:locked/>
    <w:uiPriority w:val="0"/>
    <w:pPr>
      <w:keepNext/>
      <w:keepLines/>
      <w:spacing w:before="20" w:after="20"/>
      <w:jc w:val="left"/>
      <w:outlineLvl w:val="2"/>
    </w:pPr>
    <w:rPr>
      <w:rFonts w:ascii="Calibri" w:hAnsi="Calibri"/>
      <w:b/>
    </w:rPr>
  </w:style>
  <w:style w:type="paragraph" w:styleId="5">
    <w:name w:val="heading 4"/>
    <w:basedOn w:val="1"/>
    <w:next w:val="1"/>
    <w:qFormat/>
    <w:locked/>
    <w:uiPriority w:val="0"/>
    <w:pPr>
      <w:keepNext/>
      <w:keepLines/>
      <w:spacing w:line="360" w:lineRule="auto"/>
      <w:outlineLvl w:val="3"/>
    </w:pPr>
    <w:rPr>
      <w:b/>
      <w:bCs/>
    </w:rPr>
  </w:style>
  <w:style w:type="paragraph" w:styleId="6">
    <w:name w:val="heading 7"/>
    <w:basedOn w:val="1"/>
    <w:next w:val="1"/>
    <w:qFormat/>
    <w:locked/>
    <w:uiPriority w:val="0"/>
    <w:pPr>
      <w:keepNext/>
      <w:tabs>
        <w:tab w:val="left" w:pos="360"/>
      </w:tabs>
      <w:spacing w:line="350" w:lineRule="auto"/>
      <w:outlineLvl w:val="6"/>
    </w:pPr>
    <w:rPr>
      <w:color w:val="000000"/>
      <w:sz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List 3"/>
    <w:basedOn w:val="1"/>
    <w:qFormat/>
    <w:locked/>
    <w:uiPriority w:val="0"/>
    <w:pPr>
      <w:autoSpaceDE w:val="0"/>
      <w:autoSpaceDN w:val="0"/>
      <w:adjustRightInd w:val="0"/>
      <w:jc w:val="center"/>
      <w:textAlignment w:val="baseline"/>
    </w:pPr>
    <w:rPr>
      <w:kern w:val="0"/>
      <w:szCs w:val="20"/>
    </w:rPr>
  </w:style>
  <w:style w:type="paragraph" w:styleId="8">
    <w:name w:val="Normal Indent"/>
    <w:basedOn w:val="1"/>
    <w:next w:val="1"/>
    <w:qFormat/>
    <w:locked/>
    <w:uiPriority w:val="0"/>
    <w:pPr>
      <w:spacing w:line="480" w:lineRule="atLeast"/>
      <w:ind w:firstLine="595"/>
    </w:pPr>
    <w:rPr>
      <w:sz w:val="28"/>
    </w:rPr>
  </w:style>
  <w:style w:type="paragraph" w:styleId="9">
    <w:name w:val="caption"/>
    <w:basedOn w:val="1"/>
    <w:next w:val="1"/>
    <w:qFormat/>
    <w:locked/>
    <w:uiPriority w:val="0"/>
    <w:pPr>
      <w:keepNext/>
      <w:spacing w:beforeLines="50"/>
      <w:jc w:val="center"/>
    </w:pPr>
    <w:rPr>
      <w:rFonts w:ascii="宋体" w:hAnsi="宋体"/>
      <w:b/>
      <w:szCs w:val="21"/>
    </w:rPr>
  </w:style>
  <w:style w:type="paragraph" w:styleId="10">
    <w:name w:val="Document Map"/>
    <w:basedOn w:val="1"/>
    <w:link w:val="102"/>
    <w:qFormat/>
    <w:locked/>
    <w:uiPriority w:val="0"/>
    <w:rPr>
      <w:rFonts w:ascii="宋体"/>
      <w:sz w:val="18"/>
      <w:szCs w:val="18"/>
    </w:rPr>
  </w:style>
  <w:style w:type="paragraph" w:styleId="11">
    <w:name w:val="annotation text"/>
    <w:basedOn w:val="1"/>
    <w:link w:val="52"/>
    <w:semiHidden/>
    <w:qFormat/>
    <w:uiPriority w:val="0"/>
    <w:pPr>
      <w:jc w:val="left"/>
    </w:pPr>
    <w:rPr>
      <w:kern w:val="0"/>
      <w:szCs w:val="20"/>
    </w:rPr>
  </w:style>
  <w:style w:type="paragraph" w:styleId="12">
    <w:name w:val="Body Text"/>
    <w:basedOn w:val="1"/>
    <w:link w:val="55"/>
    <w:qFormat/>
    <w:uiPriority w:val="0"/>
    <w:pPr>
      <w:widowControl/>
      <w:snapToGrid w:val="0"/>
      <w:spacing w:before="60" w:after="160" w:line="259" w:lineRule="auto"/>
      <w:ind w:right="113"/>
    </w:pPr>
    <w:rPr>
      <w:kern w:val="0"/>
      <w:sz w:val="18"/>
      <w:szCs w:val="20"/>
    </w:rPr>
  </w:style>
  <w:style w:type="paragraph" w:styleId="13">
    <w:name w:val="Body Text Indent"/>
    <w:basedOn w:val="1"/>
    <w:next w:val="14"/>
    <w:link w:val="51"/>
    <w:qFormat/>
    <w:uiPriority w:val="0"/>
    <w:pPr>
      <w:spacing w:after="120"/>
      <w:ind w:left="420" w:leftChars="200"/>
    </w:pPr>
    <w:rPr>
      <w:kern w:val="0"/>
      <w:szCs w:val="20"/>
    </w:rPr>
  </w:style>
  <w:style w:type="paragraph" w:styleId="14">
    <w:name w:val="header"/>
    <w:basedOn w:val="1"/>
    <w:next w:val="15"/>
    <w:link w:val="49"/>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5">
    <w:name w:val="样式5"/>
    <w:basedOn w:val="16"/>
    <w:qFormat/>
    <w:uiPriority w:val="0"/>
    <w:pPr>
      <w:spacing w:line="360" w:lineRule="auto"/>
      <w:ind w:firstLine="510"/>
    </w:pPr>
  </w:style>
  <w:style w:type="paragraph" w:customStyle="1" w:styleId="16">
    <w:name w:val="正文1"/>
    <w:basedOn w:val="1"/>
    <w:qFormat/>
    <w:uiPriority w:val="0"/>
    <w:pPr>
      <w:snapToGrid w:val="0"/>
      <w:spacing w:beforeLines="20" w:afterLines="20" w:line="312" w:lineRule="auto"/>
      <w:ind w:firstLine="475" w:firstLineChars="198"/>
    </w:pPr>
    <w:rPr>
      <w:rFonts w:ascii="宋体" w:hAnsi="宋体"/>
      <w:color w:val="000000"/>
      <w:szCs w:val="20"/>
    </w:rPr>
  </w:style>
  <w:style w:type="paragraph" w:styleId="17">
    <w:name w:val="Plain Text"/>
    <w:basedOn w:val="1"/>
    <w:next w:val="1"/>
    <w:qFormat/>
    <w:locked/>
    <w:uiPriority w:val="0"/>
    <w:rPr>
      <w:rFonts w:ascii="宋体" w:hAnsi="Courier New"/>
    </w:rPr>
  </w:style>
  <w:style w:type="paragraph" w:styleId="18">
    <w:name w:val="Date"/>
    <w:basedOn w:val="1"/>
    <w:next w:val="1"/>
    <w:link w:val="56"/>
    <w:qFormat/>
    <w:uiPriority w:val="0"/>
    <w:pPr>
      <w:ind w:left="100" w:leftChars="2500"/>
    </w:pPr>
    <w:rPr>
      <w:kern w:val="0"/>
      <w:szCs w:val="20"/>
    </w:rPr>
  </w:style>
  <w:style w:type="paragraph" w:styleId="19">
    <w:name w:val="Body Text Indent 2"/>
    <w:basedOn w:val="1"/>
    <w:qFormat/>
    <w:locked/>
    <w:uiPriority w:val="0"/>
    <w:pPr>
      <w:spacing w:after="120" w:line="480" w:lineRule="auto"/>
      <w:ind w:left="420" w:leftChars="200"/>
    </w:pPr>
  </w:style>
  <w:style w:type="paragraph" w:styleId="20">
    <w:name w:val="Balloon Text"/>
    <w:basedOn w:val="1"/>
    <w:link w:val="57"/>
    <w:semiHidden/>
    <w:qFormat/>
    <w:uiPriority w:val="0"/>
    <w:rPr>
      <w:kern w:val="0"/>
      <w:sz w:val="18"/>
      <w:szCs w:val="20"/>
    </w:rPr>
  </w:style>
  <w:style w:type="paragraph" w:styleId="21">
    <w:name w:val="footer"/>
    <w:basedOn w:val="1"/>
    <w:link w:val="58"/>
    <w:qFormat/>
    <w:uiPriority w:val="99"/>
    <w:pPr>
      <w:tabs>
        <w:tab w:val="center" w:pos="4153"/>
        <w:tab w:val="right" w:pos="8306"/>
      </w:tabs>
      <w:snapToGrid w:val="0"/>
      <w:jc w:val="left"/>
    </w:pPr>
    <w:rPr>
      <w:kern w:val="0"/>
      <w:sz w:val="18"/>
      <w:szCs w:val="20"/>
    </w:rPr>
  </w:style>
  <w:style w:type="paragraph" w:styleId="22">
    <w:name w:val="toc 1"/>
    <w:basedOn w:val="1"/>
    <w:next w:val="1"/>
    <w:qFormat/>
    <w:locked/>
    <w:uiPriority w:val="39"/>
  </w:style>
  <w:style w:type="paragraph" w:styleId="23">
    <w:name w:val="List"/>
    <w:basedOn w:val="1"/>
    <w:unhideWhenUsed/>
    <w:qFormat/>
    <w:locked/>
    <w:uiPriority w:val="99"/>
    <w:pPr>
      <w:ind w:left="200" w:hanging="200" w:hangingChars="200"/>
      <w:contextualSpacing/>
    </w:pPr>
  </w:style>
  <w:style w:type="paragraph" w:styleId="24">
    <w:name w:val="table of figures"/>
    <w:basedOn w:val="1"/>
    <w:next w:val="1"/>
    <w:qFormat/>
    <w:locked/>
    <w:uiPriority w:val="0"/>
    <w:pPr>
      <w:ind w:left="1920" w:leftChars="200"/>
      <w:jc w:val="center"/>
    </w:pPr>
    <w:rPr>
      <w:rFonts w:ascii="Times New Roman" w:hAnsi="Times New Roman"/>
      <w:b/>
    </w:rPr>
  </w:style>
  <w:style w:type="paragraph" w:styleId="25">
    <w:name w:val="toc 2"/>
    <w:basedOn w:val="1"/>
    <w:next w:val="1"/>
    <w:qFormat/>
    <w:locked/>
    <w:uiPriority w:val="0"/>
    <w:pPr>
      <w:ind w:left="420" w:leftChars="200"/>
    </w:pPr>
  </w:style>
  <w:style w:type="paragraph" w:styleId="26">
    <w:name w:val="Normal (Web)"/>
    <w:basedOn w:val="1"/>
    <w:link w:val="47"/>
    <w:qFormat/>
    <w:uiPriority w:val="0"/>
    <w:pPr>
      <w:widowControl/>
      <w:spacing w:before="100" w:beforeAutospacing="1" w:after="100" w:afterAutospacing="1"/>
      <w:jc w:val="left"/>
    </w:pPr>
    <w:rPr>
      <w:rFonts w:ascii="宋体" w:hAnsi="宋体"/>
      <w:kern w:val="0"/>
      <w:szCs w:val="20"/>
    </w:rPr>
  </w:style>
  <w:style w:type="paragraph" w:styleId="27">
    <w:name w:val="annotation subject"/>
    <w:basedOn w:val="11"/>
    <w:next w:val="11"/>
    <w:link w:val="53"/>
    <w:semiHidden/>
    <w:qFormat/>
    <w:uiPriority w:val="0"/>
    <w:rPr>
      <w:b/>
    </w:rPr>
  </w:style>
  <w:style w:type="paragraph" w:styleId="28">
    <w:name w:val="Body Text First Indent"/>
    <w:basedOn w:val="12"/>
    <w:next w:val="29"/>
    <w:qFormat/>
    <w:locked/>
    <w:uiPriority w:val="0"/>
    <w:pPr>
      <w:ind w:firstLine="420" w:firstLineChars="100"/>
    </w:pPr>
  </w:style>
  <w:style w:type="paragraph" w:customStyle="1" w:styleId="29">
    <w:name w:val="正文文字（首行缩进2字）"/>
    <w:basedOn w:val="1"/>
    <w:qFormat/>
    <w:uiPriority w:val="0"/>
    <w:pPr>
      <w:spacing w:line="360" w:lineRule="auto"/>
      <w:ind w:firstLine="200" w:firstLineChars="200"/>
    </w:pPr>
    <w:rPr>
      <w:rFonts w:ascii="Arial" w:hAnsi="Arial"/>
      <w:position w:val="-30"/>
    </w:rPr>
  </w:style>
  <w:style w:type="paragraph" w:styleId="30">
    <w:name w:val="Body Text First Indent 2"/>
    <w:basedOn w:val="13"/>
    <w:next w:val="1"/>
    <w:qFormat/>
    <w:locked/>
    <w:uiPriority w:val="0"/>
    <w:pPr>
      <w:spacing w:line="480" w:lineRule="exact"/>
      <w:ind w:left="0" w:leftChars="0"/>
    </w:p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locked/>
    <w:uiPriority w:val="0"/>
    <w:rPr>
      <w:b/>
      <w:sz w:val="21"/>
      <w:szCs w:val="20"/>
    </w:rPr>
  </w:style>
  <w:style w:type="character" w:styleId="35">
    <w:name w:val="page number"/>
    <w:basedOn w:val="33"/>
    <w:qFormat/>
    <w:locked/>
    <w:uiPriority w:val="0"/>
  </w:style>
  <w:style w:type="character" w:styleId="36">
    <w:name w:val="Hyperlink"/>
    <w:qFormat/>
    <w:locked/>
    <w:uiPriority w:val="99"/>
    <w:rPr>
      <w:color w:val="0000FF"/>
      <w:u w:val="single"/>
    </w:rPr>
  </w:style>
  <w:style w:type="character" w:styleId="37">
    <w:name w:val="annotation reference"/>
    <w:semiHidden/>
    <w:qFormat/>
    <w:uiPriority w:val="0"/>
    <w:rPr>
      <w:sz w:val="21"/>
    </w:rPr>
  </w:style>
  <w:style w:type="paragraph" w:customStyle="1" w:styleId="38">
    <w:name w:val="正本"/>
    <w:basedOn w:val="1"/>
    <w:qFormat/>
    <w:uiPriority w:val="0"/>
    <w:pPr>
      <w:adjustRightInd w:val="0"/>
      <w:snapToGrid w:val="0"/>
      <w:spacing w:line="360" w:lineRule="auto"/>
      <w:ind w:firstLine="200" w:firstLineChars="200"/>
    </w:pPr>
    <w:rPr>
      <w:rFonts w:ascii="宋体"/>
    </w:rPr>
  </w:style>
  <w:style w:type="paragraph" w:customStyle="1" w:styleId="39">
    <w:name w:val="xl27"/>
    <w:basedOn w:val="1"/>
    <w:next w:val="1"/>
    <w:qFormat/>
    <w:uiPriority w:val="0"/>
    <w:pPr>
      <w:widowControl/>
      <w:pBdr>
        <w:bottom w:val="single" w:color="auto" w:sz="12" w:space="0"/>
      </w:pBdr>
      <w:spacing w:before="100" w:after="100"/>
      <w:jc w:val="center"/>
    </w:pPr>
    <w:rPr>
      <w:rFonts w:ascii="宋体" w:hAnsi="宋体"/>
      <w:kern w:val="0"/>
      <w:szCs w:val="20"/>
    </w:rPr>
  </w:style>
  <w:style w:type="paragraph" w:customStyle="1" w:styleId="40">
    <w:name w:val="列出段落1"/>
    <w:basedOn w:val="1"/>
    <w:qFormat/>
    <w:uiPriority w:val="34"/>
    <w:pPr>
      <w:ind w:firstLine="420"/>
    </w:pPr>
  </w:style>
  <w:style w:type="paragraph" w:customStyle="1" w:styleId="41">
    <w:name w:val="Default"/>
    <w:basedOn w:val="42"/>
    <w:next w:val="30"/>
    <w:qFormat/>
    <w:uiPriority w:val="0"/>
    <w:pPr>
      <w:autoSpaceDE w:val="0"/>
      <w:autoSpaceDN w:val="0"/>
      <w:adjustRightInd w:val="0"/>
    </w:pPr>
    <w:rPr>
      <w:color w:val="000000"/>
    </w:rPr>
  </w:style>
  <w:style w:type="paragraph" w:customStyle="1" w:styleId="42">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43">
    <w:name w:val="纯文本1"/>
    <w:basedOn w:val="1"/>
    <w:qFormat/>
    <w:uiPriority w:val="0"/>
    <w:rPr>
      <w:rFonts w:ascii="宋体" w:hAnsi="Courier New"/>
    </w:rPr>
  </w:style>
  <w:style w:type="paragraph" w:customStyle="1" w:styleId="44">
    <w:name w:val="！正文 Alt+0"/>
    <w:basedOn w:val="1"/>
    <w:qFormat/>
    <w:uiPriority w:val="0"/>
    <w:pPr>
      <w:ind w:firstLine="200"/>
    </w:pPr>
    <w:rPr>
      <w:sz w:val="28"/>
      <w:szCs w:val="28"/>
    </w:rPr>
  </w:style>
  <w:style w:type="paragraph" w:customStyle="1" w:styleId="45">
    <w:name w:val="表格文字"/>
    <w:basedOn w:val="46"/>
    <w:qFormat/>
    <w:uiPriority w:val="0"/>
    <w:pPr>
      <w:widowControl w:val="0"/>
      <w:autoSpaceDE w:val="0"/>
      <w:autoSpaceDN w:val="0"/>
      <w:adjustRightInd w:val="0"/>
      <w:textAlignment w:val="baseline"/>
    </w:pPr>
    <w:rPr>
      <w:rFonts w:ascii="宋体" w:hAnsi="Times New Roman" w:eastAsia="宋体" w:cs="Times New Roman"/>
      <w:color w:val="000000"/>
      <w:sz w:val="24"/>
      <w:szCs w:val="22"/>
      <w:lang w:val="en-US" w:eastAsia="zh-CN" w:bidi="ar-SA"/>
    </w:rPr>
  </w:style>
  <w:style w:type="paragraph" w:customStyle="1" w:styleId="46">
    <w:name w:val="正文格式"/>
    <w:basedOn w:val="1"/>
    <w:qFormat/>
    <w:uiPriority w:val="0"/>
    <w:pPr>
      <w:spacing w:line="360" w:lineRule="auto"/>
      <w:ind w:firstLine="560"/>
      <w:jc w:val="both"/>
    </w:pPr>
    <w:rPr>
      <w:rFonts w:ascii="宋体" w:hAnsi="宋体"/>
      <w:sz w:val="28"/>
      <w:szCs w:val="28"/>
    </w:rPr>
  </w:style>
  <w:style w:type="character" w:customStyle="1" w:styleId="47">
    <w:name w:val="普通(网站) 字符"/>
    <w:link w:val="26"/>
    <w:qFormat/>
    <w:locked/>
    <w:uiPriority w:val="0"/>
    <w:rPr>
      <w:rFonts w:ascii="宋体" w:hAnsi="宋体" w:eastAsia="宋体"/>
      <w:sz w:val="24"/>
    </w:rPr>
  </w:style>
  <w:style w:type="character" w:customStyle="1" w:styleId="48">
    <w:name w:val="标题 1 字符"/>
    <w:link w:val="2"/>
    <w:qFormat/>
    <w:uiPriority w:val="99"/>
    <w:rPr>
      <w:rFonts w:eastAsia="黑体"/>
      <w:b/>
      <w:bCs/>
      <w:color w:val="000000"/>
      <w:kern w:val="44"/>
      <w:sz w:val="30"/>
      <w:szCs w:val="30"/>
    </w:rPr>
  </w:style>
  <w:style w:type="character" w:customStyle="1" w:styleId="49">
    <w:name w:val="页眉 字符"/>
    <w:link w:val="14"/>
    <w:qFormat/>
    <w:locked/>
    <w:uiPriority w:val="0"/>
    <w:rPr>
      <w:sz w:val="18"/>
    </w:rPr>
  </w:style>
  <w:style w:type="character" w:customStyle="1" w:styleId="50">
    <w:name w:val="页脚 字符"/>
    <w:basedOn w:val="33"/>
    <w:qFormat/>
    <w:uiPriority w:val="99"/>
  </w:style>
  <w:style w:type="character" w:customStyle="1" w:styleId="51">
    <w:name w:val="正文文本缩进 字符"/>
    <w:link w:val="13"/>
    <w:semiHidden/>
    <w:qFormat/>
    <w:locked/>
    <w:uiPriority w:val="0"/>
    <w:rPr>
      <w:rFonts w:ascii="Times New Roman" w:hAnsi="Times New Roman" w:eastAsia="宋体"/>
      <w:sz w:val="24"/>
    </w:rPr>
  </w:style>
  <w:style w:type="character" w:customStyle="1" w:styleId="52">
    <w:name w:val="批注文字 字符"/>
    <w:link w:val="11"/>
    <w:qFormat/>
    <w:locked/>
    <w:uiPriority w:val="0"/>
    <w:rPr>
      <w:rFonts w:ascii="Times New Roman" w:hAnsi="Times New Roman" w:eastAsia="宋体"/>
      <w:sz w:val="24"/>
    </w:rPr>
  </w:style>
  <w:style w:type="character" w:customStyle="1" w:styleId="53">
    <w:name w:val="批注主题 字符"/>
    <w:link w:val="27"/>
    <w:semiHidden/>
    <w:qFormat/>
    <w:locked/>
    <w:uiPriority w:val="0"/>
    <w:rPr>
      <w:rFonts w:ascii="Times New Roman" w:hAnsi="Times New Roman" w:eastAsia="宋体"/>
      <w:b/>
      <w:kern w:val="2"/>
      <w:sz w:val="24"/>
    </w:rPr>
  </w:style>
  <w:style w:type="character" w:customStyle="1" w:styleId="54">
    <w:name w:val="正文文本 字符1"/>
    <w:semiHidden/>
    <w:qFormat/>
    <w:uiPriority w:val="0"/>
    <w:rPr>
      <w:rFonts w:ascii="Times New Roman" w:hAnsi="Times New Roman" w:eastAsia="宋体"/>
      <w:sz w:val="24"/>
    </w:rPr>
  </w:style>
  <w:style w:type="character" w:customStyle="1" w:styleId="55">
    <w:name w:val="正文文本 字符"/>
    <w:link w:val="12"/>
    <w:qFormat/>
    <w:locked/>
    <w:uiPriority w:val="0"/>
    <w:rPr>
      <w:sz w:val="18"/>
    </w:rPr>
  </w:style>
  <w:style w:type="character" w:customStyle="1" w:styleId="56">
    <w:name w:val="日期 字符1"/>
    <w:link w:val="18"/>
    <w:qFormat/>
    <w:locked/>
    <w:uiPriority w:val="0"/>
    <w:rPr>
      <w:rFonts w:ascii="Times New Roman" w:hAnsi="Times New Roman" w:eastAsia="宋体"/>
      <w:sz w:val="24"/>
    </w:rPr>
  </w:style>
  <w:style w:type="character" w:customStyle="1" w:styleId="57">
    <w:name w:val="批注框文本 字符"/>
    <w:link w:val="20"/>
    <w:semiHidden/>
    <w:qFormat/>
    <w:locked/>
    <w:uiPriority w:val="0"/>
    <w:rPr>
      <w:rFonts w:ascii="Times New Roman" w:hAnsi="Times New Roman" w:eastAsia="宋体"/>
      <w:sz w:val="18"/>
    </w:rPr>
  </w:style>
  <w:style w:type="character" w:customStyle="1" w:styleId="58">
    <w:name w:val="页脚 字符1"/>
    <w:link w:val="21"/>
    <w:qFormat/>
    <w:locked/>
    <w:uiPriority w:val="99"/>
    <w:rPr>
      <w:sz w:val="18"/>
    </w:rPr>
  </w:style>
  <w:style w:type="character" w:customStyle="1" w:styleId="59">
    <w:name w:val="表格 Char"/>
    <w:link w:val="60"/>
    <w:qFormat/>
    <w:locked/>
    <w:uiPriority w:val="0"/>
    <w:rPr>
      <w:rFonts w:ascii="宋体"/>
      <w:sz w:val="21"/>
    </w:rPr>
  </w:style>
  <w:style w:type="paragraph" w:customStyle="1" w:styleId="60">
    <w:name w:val="表格"/>
    <w:basedOn w:val="61"/>
    <w:next w:val="63"/>
    <w:link w:val="59"/>
    <w:qFormat/>
    <w:uiPriority w:val="0"/>
    <w:pPr>
      <w:adjustRightInd w:val="0"/>
      <w:snapToGrid w:val="0"/>
      <w:spacing w:beforeLines="10" w:afterLines="10" w:line="259" w:lineRule="auto"/>
      <w:jc w:val="center"/>
    </w:pPr>
    <w:rPr>
      <w:kern w:val="0"/>
      <w:szCs w:val="20"/>
    </w:rPr>
  </w:style>
  <w:style w:type="paragraph" w:customStyle="1" w:styleId="61">
    <w:name w:val="表头"/>
    <w:basedOn w:val="62"/>
    <w:next w:val="1"/>
    <w:qFormat/>
    <w:uiPriority w:val="0"/>
    <w:pPr>
      <w:adjustRightInd w:val="0"/>
      <w:snapToGrid w:val="0"/>
      <w:spacing w:line="600" w:lineRule="exact"/>
      <w:ind w:firstLine="281" w:firstLineChars="100"/>
      <w:jc w:val="center"/>
    </w:pPr>
    <w:rPr>
      <w:rFonts w:ascii="宋体" w:hAnsi="宋体"/>
      <w:b/>
      <w:sz w:val="28"/>
      <w:szCs w:val="28"/>
    </w:rPr>
  </w:style>
  <w:style w:type="paragraph" w:customStyle="1" w:styleId="62">
    <w:name w:val="表文字"/>
    <w:basedOn w:val="1"/>
    <w:next w:val="1"/>
    <w:qFormat/>
    <w:uiPriority w:val="0"/>
    <w:pPr>
      <w:overflowPunct w:val="0"/>
      <w:autoSpaceDE w:val="0"/>
      <w:autoSpaceDN w:val="0"/>
      <w:adjustRightInd w:val="0"/>
      <w:spacing w:line="240" w:lineRule="atLeast"/>
      <w:textAlignment w:val="baseline"/>
    </w:pPr>
  </w:style>
  <w:style w:type="paragraph" w:customStyle="1" w:styleId="63">
    <w:name w:val="正文首行"/>
    <w:basedOn w:val="8"/>
    <w:qFormat/>
    <w:uiPriority w:val="0"/>
    <w:pPr>
      <w:spacing w:line="480" w:lineRule="exact"/>
      <w:ind w:firstLine="200"/>
    </w:pPr>
  </w:style>
  <w:style w:type="character" w:customStyle="1" w:styleId="64">
    <w:name w:val="日期 字符"/>
    <w:semiHidden/>
    <w:qFormat/>
    <w:uiPriority w:val="0"/>
    <w:rPr>
      <w:rFonts w:ascii="Times New Roman" w:hAnsi="Times New Roman" w:eastAsia="宋体"/>
      <w:sz w:val="24"/>
    </w:rPr>
  </w:style>
  <w:style w:type="character" w:customStyle="1" w:styleId="65">
    <w:name w:val="样式 正文01 + Times New Roman Char"/>
    <w:link w:val="66"/>
    <w:qFormat/>
    <w:uiPriority w:val="0"/>
    <w:rPr>
      <w:bCs/>
      <w:kern w:val="0"/>
      <w:sz w:val="20"/>
      <w:szCs w:val="20"/>
    </w:rPr>
  </w:style>
  <w:style w:type="paragraph" w:customStyle="1" w:styleId="66">
    <w:name w:val="样式 正文01 + Times New Roman"/>
    <w:basedOn w:val="67"/>
    <w:link w:val="65"/>
    <w:qFormat/>
    <w:uiPriority w:val="0"/>
    <w:pPr>
      <w:ind w:firstLine="0" w:firstLineChars="0"/>
    </w:pPr>
    <w:rPr>
      <w:bCs/>
      <w:kern w:val="0"/>
      <w:sz w:val="20"/>
      <w:szCs w:val="20"/>
    </w:rPr>
  </w:style>
  <w:style w:type="paragraph" w:customStyle="1" w:styleId="67">
    <w:name w:val="正文01"/>
    <w:basedOn w:val="8"/>
    <w:qFormat/>
    <w:uiPriority w:val="0"/>
    <w:pPr>
      <w:ind w:firstLine="480" w:firstLineChars="200"/>
    </w:pPr>
  </w:style>
  <w:style w:type="character" w:customStyle="1" w:styleId="68">
    <w:name w:val="批注文字 字符1"/>
    <w:semiHidden/>
    <w:qFormat/>
    <w:uiPriority w:val="0"/>
    <w:rPr>
      <w:rFonts w:ascii="Times New Roman" w:hAnsi="Times New Roman" w:eastAsia="宋体"/>
      <w:sz w:val="24"/>
    </w:rPr>
  </w:style>
  <w:style w:type="character" w:customStyle="1" w:styleId="69">
    <w:name w:val="font11"/>
    <w:qFormat/>
    <w:uiPriority w:val="0"/>
    <w:rPr>
      <w:rFonts w:hint="eastAsia" w:ascii="宋体" w:hAnsi="宋体" w:eastAsia="宋体" w:cs="宋体"/>
      <w:color w:val="000000"/>
      <w:sz w:val="20"/>
      <w:szCs w:val="20"/>
      <w:u w:val="none"/>
    </w:rPr>
  </w:style>
  <w:style w:type="character" w:customStyle="1" w:styleId="70">
    <w:name w:val="font21"/>
    <w:qFormat/>
    <w:uiPriority w:val="0"/>
    <w:rPr>
      <w:rFonts w:hint="default" w:ascii="Times New Roman" w:hAnsi="Times New Roman" w:cs="Times New Roman"/>
      <w:color w:val="000000"/>
      <w:sz w:val="20"/>
      <w:szCs w:val="20"/>
      <w:u w:val="none"/>
    </w:rPr>
  </w:style>
  <w:style w:type="paragraph" w:customStyle="1" w:styleId="71">
    <w:name w:val="普通(网站)2"/>
    <w:basedOn w:val="1"/>
    <w:qFormat/>
    <w:uiPriority w:val="0"/>
    <w:pPr>
      <w:widowControl/>
      <w:spacing w:before="100" w:beforeAutospacing="1" w:after="100" w:afterAutospacing="1"/>
      <w:jc w:val="left"/>
    </w:pPr>
    <w:rPr>
      <w:rFonts w:ascii="宋体" w:hAnsi="宋体"/>
      <w:szCs w:val="20"/>
    </w:rPr>
  </w:style>
  <w:style w:type="paragraph" w:customStyle="1" w:styleId="72">
    <w:name w:val="国投标题4"/>
    <w:basedOn w:val="1"/>
    <w:qFormat/>
    <w:uiPriority w:val="0"/>
    <w:pPr>
      <w:numPr>
        <w:ilvl w:val="3"/>
        <w:numId w:val="1"/>
      </w:numPr>
      <w:spacing w:line="420" w:lineRule="exact"/>
      <w:outlineLvl w:val="3"/>
    </w:pPr>
  </w:style>
  <w:style w:type="paragraph" w:customStyle="1" w:styleId="73">
    <w:name w:val="样式9"/>
    <w:basedOn w:val="1"/>
    <w:qFormat/>
    <w:uiPriority w:val="0"/>
    <w:pPr>
      <w:adjustRightInd w:val="0"/>
      <w:snapToGrid w:val="0"/>
      <w:spacing w:line="460" w:lineRule="exact"/>
      <w:ind w:firstLine="520" w:firstLineChars="200"/>
    </w:pPr>
    <w:rPr>
      <w:sz w:val="26"/>
      <w:szCs w:val="26"/>
    </w:rPr>
  </w:style>
  <w:style w:type="paragraph" w:customStyle="1" w:styleId="74">
    <w:name w:val="表"/>
    <w:basedOn w:val="1"/>
    <w:qFormat/>
    <w:uiPriority w:val="0"/>
    <w:pPr>
      <w:keepNext/>
      <w:keepLines/>
      <w:autoSpaceDE w:val="0"/>
      <w:autoSpaceDN w:val="0"/>
      <w:adjustRightInd w:val="0"/>
      <w:spacing w:before="40" w:after="40" w:line="240" w:lineRule="exact"/>
      <w:jc w:val="center"/>
    </w:pPr>
    <w:rPr>
      <w:kern w:val="21"/>
    </w:rPr>
  </w:style>
  <w:style w:type="paragraph" w:customStyle="1" w:styleId="75">
    <w:name w:val="样式11"/>
    <w:basedOn w:val="22"/>
    <w:qFormat/>
    <w:uiPriority w:val="0"/>
    <w:pPr>
      <w:spacing w:before="100" w:beforeAutospacing="1"/>
    </w:pPr>
  </w:style>
  <w:style w:type="paragraph" w:customStyle="1" w:styleId="76">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Table Paragraph"/>
    <w:basedOn w:val="1"/>
    <w:qFormat/>
    <w:uiPriority w:val="1"/>
    <w:pPr>
      <w:autoSpaceDE w:val="0"/>
      <w:autoSpaceDN w:val="0"/>
      <w:adjustRightInd w:val="0"/>
      <w:jc w:val="left"/>
    </w:pPr>
    <w:rPr>
      <w:kern w:val="0"/>
    </w:rPr>
  </w:style>
  <w:style w:type="paragraph" w:customStyle="1" w:styleId="78">
    <w:name w:val="表样式2"/>
    <w:basedOn w:val="1"/>
    <w:qFormat/>
    <w:uiPriority w:val="0"/>
    <w:pPr>
      <w:adjustRightInd w:val="0"/>
      <w:snapToGrid w:val="0"/>
      <w:jc w:val="center"/>
    </w:pPr>
    <w:rPr>
      <w:rFonts w:hAnsi="宋体"/>
      <w:szCs w:val="21"/>
    </w:rPr>
  </w:style>
  <w:style w:type="paragraph" w:customStyle="1" w:styleId="79">
    <w:name w:val="表格内"/>
    <w:qFormat/>
    <w:uiPriority w:val="99"/>
    <w:pPr>
      <w:jc w:val="center"/>
    </w:pPr>
    <w:rPr>
      <w:rFonts w:ascii="宋体" w:hAnsi="宋体" w:eastAsia="宋体" w:cs="Times New Roman"/>
      <w:sz w:val="24"/>
      <w:szCs w:val="22"/>
      <w:lang w:val="en-US" w:eastAsia="zh-CN" w:bidi="ar-SA"/>
    </w:rPr>
  </w:style>
  <w:style w:type="paragraph" w:customStyle="1" w:styleId="80">
    <w:name w:val="正文文本2"/>
    <w:basedOn w:val="12"/>
    <w:qFormat/>
    <w:uiPriority w:val="0"/>
    <w:pPr>
      <w:spacing w:line="360" w:lineRule="auto"/>
      <w:ind w:firstLine="480" w:firstLineChars="200"/>
    </w:pPr>
    <w:rPr>
      <w:rFonts w:ascii="宋体" w:cs="宋体"/>
    </w:rPr>
  </w:style>
  <w:style w:type="paragraph" w:customStyle="1" w:styleId="81">
    <w:name w:val="表头2"/>
    <w:basedOn w:val="1"/>
    <w:qFormat/>
    <w:uiPriority w:val="0"/>
    <w:pPr>
      <w:spacing w:beforeLines="50" w:afterLines="50"/>
      <w:jc w:val="center"/>
    </w:pPr>
    <w:rPr>
      <w:b/>
      <w:bCs/>
      <w:kern w:val="0"/>
      <w:sz w:val="20"/>
      <w:szCs w:val="21"/>
    </w:rPr>
  </w:style>
  <w:style w:type="paragraph" w:customStyle="1" w:styleId="82">
    <w:name w:val="朔电正文"/>
    <w:basedOn w:val="1"/>
    <w:qFormat/>
    <w:uiPriority w:val="0"/>
    <w:pPr>
      <w:adjustRightInd w:val="0"/>
      <w:snapToGrid w:val="0"/>
      <w:spacing w:beforeLines="25" w:line="440" w:lineRule="exact"/>
      <w:ind w:firstLine="200" w:firstLineChars="200"/>
    </w:pPr>
    <w:rPr>
      <w:color w:val="000000"/>
      <w:kern w:val="32"/>
    </w:rPr>
  </w:style>
  <w:style w:type="paragraph" w:customStyle="1" w:styleId="83">
    <w:name w:val="A常用文字"/>
    <w:basedOn w:val="1"/>
    <w:qFormat/>
    <w:uiPriority w:val="0"/>
    <w:pPr>
      <w:adjustRightInd w:val="0"/>
      <w:snapToGrid w:val="0"/>
      <w:spacing w:line="440" w:lineRule="exact"/>
      <w:ind w:firstLine="567"/>
    </w:pPr>
  </w:style>
  <w:style w:type="paragraph" w:customStyle="1" w:styleId="84">
    <w:name w:val="中文报告书样式"/>
    <w:basedOn w:val="1"/>
    <w:qFormat/>
    <w:uiPriority w:val="0"/>
    <w:pPr>
      <w:adjustRightInd w:val="0"/>
      <w:spacing w:line="480" w:lineRule="atLeast"/>
      <w:ind w:firstLine="482"/>
      <w:textAlignment w:val="baseline"/>
    </w:pPr>
    <w:rPr>
      <w:kern w:val="24"/>
    </w:rPr>
  </w:style>
  <w:style w:type="paragraph" w:customStyle="1" w:styleId="85">
    <w:name w:val="样式1"/>
    <w:basedOn w:val="8"/>
    <w:qFormat/>
    <w:uiPriority w:val="0"/>
    <w:pPr>
      <w:spacing w:line="240" w:lineRule="auto"/>
      <w:jc w:val="center"/>
    </w:pPr>
    <w:rPr>
      <w:color w:val="000000"/>
      <w:sz w:val="24"/>
    </w:rPr>
  </w:style>
  <w:style w:type="paragraph" w:customStyle="1" w:styleId="86">
    <w:name w:val="样式35"/>
    <w:basedOn w:val="1"/>
    <w:next w:val="1"/>
    <w:qFormat/>
    <w:uiPriority w:val="0"/>
    <w:pPr>
      <w:spacing w:line="312" w:lineRule="auto"/>
      <w:ind w:firstLine="567"/>
    </w:pPr>
    <w:rPr>
      <w:rFonts w:ascii="宋体"/>
      <w:sz w:val="28"/>
    </w:rPr>
  </w:style>
  <w:style w:type="paragraph" w:customStyle="1" w:styleId="87">
    <w:name w:val="样式10"/>
    <w:basedOn w:val="2"/>
    <w:next w:val="1"/>
    <w:qFormat/>
    <w:uiPriority w:val="0"/>
    <w:pPr>
      <w:spacing w:before="100" w:beforeAutospacing="1"/>
    </w:pPr>
  </w:style>
  <w:style w:type="paragraph" w:customStyle="1" w:styleId="88">
    <w:name w:val="_Style 2"/>
    <w:basedOn w:val="1"/>
    <w:qFormat/>
    <w:uiPriority w:val="34"/>
    <w:pPr>
      <w:ind w:firstLine="420" w:firstLineChars="200"/>
    </w:pPr>
  </w:style>
  <w:style w:type="paragraph" w:customStyle="1" w:styleId="89">
    <w:name w:val="正文 首行缩进:  2 字符"/>
    <w:basedOn w:val="1"/>
    <w:qFormat/>
    <w:uiPriority w:val="0"/>
    <w:pPr>
      <w:adjustRightInd w:val="0"/>
      <w:snapToGrid w:val="0"/>
      <w:spacing w:line="500" w:lineRule="exact"/>
      <w:ind w:firstLine="200" w:firstLineChars="200"/>
      <w:jc w:val="left"/>
    </w:pPr>
    <w:rPr>
      <w:rFonts w:cs="宋体"/>
      <w:szCs w:val="20"/>
    </w:rPr>
  </w:style>
  <w:style w:type="paragraph" w:customStyle="1" w:styleId="90">
    <w:name w:val="表中"/>
    <w:basedOn w:val="1"/>
    <w:qFormat/>
    <w:uiPriority w:val="0"/>
    <w:pPr>
      <w:spacing w:line="360" w:lineRule="exact"/>
      <w:jc w:val="center"/>
    </w:pPr>
    <w:rPr>
      <w:szCs w:val="21"/>
      <w:lang w:val="de-DE"/>
    </w:rPr>
  </w:style>
  <w:style w:type="paragraph" w:customStyle="1" w:styleId="91">
    <w:name w:val="defaultfont"/>
    <w:basedOn w:val="1"/>
    <w:qFormat/>
    <w:uiPriority w:val="0"/>
    <w:pPr>
      <w:widowControl/>
      <w:spacing w:before="100" w:beforeAutospacing="1" w:after="100" w:afterAutospacing="1"/>
      <w:jc w:val="left"/>
    </w:pPr>
    <w:rPr>
      <w:rFonts w:ascii="宋体" w:hAnsi="宋体" w:cs="宋体"/>
      <w:kern w:val="0"/>
    </w:rPr>
  </w:style>
  <w:style w:type="paragraph" w:customStyle="1" w:styleId="92">
    <w:name w:val="表内容"/>
    <w:basedOn w:val="1"/>
    <w:next w:val="1"/>
    <w:qFormat/>
    <w:uiPriority w:val="0"/>
    <w:pPr>
      <w:spacing w:line="320" w:lineRule="exact"/>
      <w:jc w:val="center"/>
    </w:pPr>
  </w:style>
  <w:style w:type="paragraph" w:customStyle="1" w:styleId="93">
    <w:name w:val="黄酒表格标题"/>
    <w:qFormat/>
    <w:uiPriority w:val="0"/>
    <w:pPr>
      <w:tabs>
        <w:tab w:val="left" w:pos="-2848"/>
      </w:tabs>
      <w:jc w:val="center"/>
    </w:pPr>
    <w:rPr>
      <w:rFonts w:ascii="Times New Roman" w:hAnsi="Times New Roman" w:eastAsia="宋体" w:cs="宋体"/>
      <w:b/>
      <w:sz w:val="21"/>
      <w:szCs w:val="21"/>
      <w:lang w:val="en-US" w:eastAsia="zh-CN" w:bidi="ar-SA"/>
    </w:rPr>
  </w:style>
  <w:style w:type="paragraph" w:customStyle="1" w:styleId="94">
    <w:name w:val="正文首行缩进2个字"/>
    <w:basedOn w:val="1"/>
    <w:qFormat/>
    <w:uiPriority w:val="0"/>
    <w:pPr>
      <w:spacing w:line="480" w:lineRule="exact"/>
      <w:ind w:firstLine="600" w:firstLineChars="200"/>
    </w:pPr>
    <w:rPr>
      <w:spacing w:val="3"/>
    </w:rPr>
  </w:style>
  <w:style w:type="paragraph" w:customStyle="1" w:styleId="9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96">
    <w:name w:val="表格内容"/>
    <w:basedOn w:val="1"/>
    <w:qFormat/>
    <w:uiPriority w:val="99"/>
    <w:pPr>
      <w:spacing w:line="240" w:lineRule="atLeast"/>
      <w:jc w:val="center"/>
    </w:pPr>
  </w:style>
  <w:style w:type="paragraph" w:customStyle="1" w:styleId="97">
    <w:name w:val="报告正文-连续目录"/>
    <w:basedOn w:val="1"/>
    <w:qFormat/>
    <w:uiPriority w:val="0"/>
    <w:pPr>
      <w:spacing w:line="440" w:lineRule="exact"/>
      <w:ind w:firstLine="200" w:firstLineChars="200"/>
    </w:pPr>
    <w:rPr>
      <w:rFonts w:ascii="Arial" w:hAnsi="Arial"/>
      <w:snapToGrid w:val="0"/>
      <w:kern w:val="0"/>
    </w:rPr>
  </w:style>
  <w:style w:type="paragraph" w:customStyle="1" w:styleId="98">
    <w:name w:val="表 图 表头"/>
    <w:qFormat/>
    <w:uiPriority w:val="0"/>
    <w:pPr>
      <w:spacing w:line="480" w:lineRule="exact"/>
      <w:jc w:val="center"/>
    </w:pPr>
    <w:rPr>
      <w:rFonts w:ascii="Times New Roman" w:hAnsi="Times New Roman" w:eastAsia="宋体" w:cs="Times New Roman"/>
      <w:b/>
      <w:kern w:val="2"/>
      <w:sz w:val="24"/>
      <w:lang w:val="en-US" w:eastAsia="zh-CN" w:bidi="ar-SA"/>
    </w:rPr>
  </w:style>
  <w:style w:type="paragraph" w:customStyle="1" w:styleId="99">
    <w:name w:val="表 图 内容"/>
    <w:basedOn w:val="100"/>
    <w:qFormat/>
    <w:uiPriority w:val="0"/>
    <w:pPr>
      <w:jc w:val="center"/>
    </w:pPr>
    <w:rPr>
      <w:rFonts w:ascii="Calibri" w:hAnsi="宋体" w:eastAsia="宋体"/>
      <w:color w:val="000000"/>
      <w:sz w:val="21"/>
      <w:szCs w:val="24"/>
    </w:rPr>
  </w:style>
  <w:style w:type="paragraph" w:customStyle="1" w:styleId="100">
    <w:name w:val="正  文"/>
    <w:basedOn w:val="1"/>
    <w:qFormat/>
    <w:uiPriority w:val="0"/>
    <w:pPr>
      <w:spacing w:line="360" w:lineRule="auto"/>
      <w:ind w:firstLine="560" w:firstLineChars="200"/>
    </w:pPr>
    <w:rPr>
      <w:rFonts w:eastAsia="仿宋_GB2312"/>
      <w:sz w:val="28"/>
      <w:szCs w:val="28"/>
    </w:rPr>
  </w:style>
  <w:style w:type="paragraph" w:customStyle="1" w:styleId="101">
    <w:name w:val="标题3"/>
    <w:basedOn w:val="4"/>
    <w:next w:val="8"/>
    <w:qFormat/>
    <w:uiPriority w:val="0"/>
    <w:pPr>
      <w:spacing w:before="0" w:after="0" w:line="440" w:lineRule="exact"/>
      <w:ind w:firstLine="400"/>
    </w:pPr>
    <w:rPr>
      <w:rFonts w:ascii="Arial" w:hAnsi="Arial"/>
    </w:rPr>
  </w:style>
  <w:style w:type="character" w:customStyle="1" w:styleId="102">
    <w:name w:val="文档结构图 字符"/>
    <w:basedOn w:val="33"/>
    <w:link w:val="10"/>
    <w:qFormat/>
    <w:uiPriority w:val="0"/>
    <w:rPr>
      <w:rFonts w:ascii="宋体"/>
      <w:kern w:val="2"/>
      <w:sz w:val="18"/>
      <w:szCs w:val="18"/>
    </w:rPr>
  </w:style>
  <w:style w:type="paragraph" w:customStyle="1" w:styleId="103">
    <w:name w:val="表格第一行"/>
    <w:next w:val="1"/>
    <w:qFormat/>
    <w:uiPriority w:val="0"/>
    <w:pPr>
      <w:adjustRightInd w:val="0"/>
      <w:snapToGrid w:val="0"/>
      <w:spacing w:line="320" w:lineRule="exact"/>
      <w:jc w:val="center"/>
      <w:textAlignment w:val="baseline"/>
    </w:pPr>
    <w:rPr>
      <w:rFonts w:ascii="Times New Roman" w:hAnsi="Times New Roman" w:eastAsia="宋体" w:cs="Times New Roman"/>
      <w:b/>
      <w:sz w:val="21"/>
      <w:szCs w:val="21"/>
      <w:lang w:val="en-US" w:eastAsia="zh-CN" w:bidi="ar-SA"/>
    </w:rPr>
  </w:style>
  <w:style w:type="paragraph" w:customStyle="1" w:styleId="104">
    <w:name w:val="样式 (符号) 宋体 小四 行距: 1.5 倍行距"/>
    <w:basedOn w:val="1"/>
    <w:qFormat/>
    <w:uiPriority w:val="99"/>
    <w:pPr>
      <w:spacing w:line="360" w:lineRule="auto"/>
      <w:ind w:firstLine="480" w:firstLineChars="200"/>
    </w:pPr>
    <w:rPr>
      <w:rFonts w:ascii="Calibri" w:hAnsi="宋体" w:cs="宋体"/>
      <w:szCs w:val="21"/>
    </w:rPr>
  </w:style>
  <w:style w:type="paragraph" w:customStyle="1" w:styleId="105">
    <w:name w:val="正文文本 (2)"/>
    <w:qFormat/>
    <w:uiPriority w:val="0"/>
    <w:pPr>
      <w:widowControl w:val="0"/>
      <w:shd w:val="clear" w:color="auto" w:fill="FFFFFF"/>
      <w:spacing w:line="220" w:lineRule="exact"/>
      <w:ind w:hanging="560"/>
    </w:pPr>
    <w:rPr>
      <w:rFonts w:ascii="MingLiU" w:hAnsi="MingLiU" w:eastAsia="MingLiU" w:cs="MingLiU"/>
      <w:sz w:val="22"/>
      <w:szCs w:val="22"/>
      <w:lang w:val="en-US" w:eastAsia="zh-CN" w:bidi="ar-SA"/>
    </w:rPr>
  </w:style>
  <w:style w:type="paragraph" w:customStyle="1" w:styleId="106">
    <w:name w:val="段落 Char1"/>
    <w:basedOn w:val="1"/>
    <w:qFormat/>
    <w:uiPriority w:val="0"/>
    <w:pPr>
      <w:spacing w:line="420" w:lineRule="exact"/>
      <w:ind w:firstLine="480" w:firstLineChars="200"/>
    </w:pPr>
    <w:rPr>
      <w:bCs/>
      <w:color w:val="000000"/>
    </w:rPr>
  </w:style>
  <w:style w:type="paragraph" w:customStyle="1" w:styleId="107">
    <w:name w:val="ENFI正文"/>
    <w:basedOn w:val="1"/>
    <w:qFormat/>
    <w:uiPriority w:val="0"/>
    <w:pPr>
      <w:adjustRightInd w:val="0"/>
      <w:snapToGrid w:val="0"/>
      <w:spacing w:line="400" w:lineRule="exact"/>
      <w:ind w:firstLine="567"/>
    </w:pPr>
    <w:rPr>
      <w:rFonts w:eastAsia="仿宋_GB2312"/>
      <w:color w:val="000000"/>
      <w:szCs w:val="22"/>
    </w:rPr>
  </w:style>
  <w:style w:type="paragraph" w:customStyle="1" w:styleId="108">
    <w:name w:val="报告书正文 Char Char Char"/>
    <w:basedOn w:val="1"/>
    <w:qFormat/>
    <w:uiPriority w:val="0"/>
    <w:pPr>
      <w:spacing w:line="300" w:lineRule="auto"/>
      <w:ind w:firstLine="480" w:firstLineChars="200"/>
    </w:pPr>
    <w:rPr>
      <w:rFonts w:ascii="宋体" w:hAnsi="宋体"/>
      <w:szCs w:val="20"/>
    </w:rPr>
  </w:style>
  <w:style w:type="paragraph" w:customStyle="1" w:styleId="109">
    <w:name w:val="修订2"/>
    <w:hidden/>
    <w:semiHidden/>
    <w:qFormat/>
    <w:uiPriority w:val="99"/>
    <w:rPr>
      <w:rFonts w:ascii="Times New Roman" w:hAnsi="Times New Roman" w:eastAsia="宋体" w:cs="Times New Roman"/>
      <w:kern w:val="2"/>
      <w:sz w:val="24"/>
      <w:szCs w:val="24"/>
      <w:lang w:val="en-US" w:eastAsia="zh-CN" w:bidi="ar-SA"/>
    </w:rPr>
  </w:style>
  <w:style w:type="paragraph" w:customStyle="1" w:styleId="110">
    <w:name w:val="Revision"/>
    <w:hidden/>
    <w:semiHidden/>
    <w:qFormat/>
    <w:uiPriority w:val="99"/>
    <w:rPr>
      <w:rFonts w:ascii="Times New Roman" w:hAnsi="Times New Roman" w:eastAsia="宋体" w:cs="Times New Roman"/>
      <w:kern w:val="2"/>
      <w:sz w:val="24"/>
      <w:szCs w:val="24"/>
      <w:lang w:val="en-US" w:eastAsia="zh-CN" w:bidi="ar-SA"/>
    </w:rPr>
  </w:style>
  <w:style w:type="paragraph" w:customStyle="1" w:styleId="111">
    <w:name w:val="7表格文字"/>
    <w:basedOn w:val="1"/>
    <w:qFormat/>
    <w:uiPriority w:val="0"/>
    <w:pPr>
      <w:spacing w:line="240" w:lineRule="auto"/>
      <w:ind w:firstLine="0" w:firstLineChars="0"/>
      <w:jc w:val="center"/>
    </w:pPr>
    <w:rPr>
      <w:sz w:val="21"/>
    </w:rPr>
  </w:style>
  <w:style w:type="paragraph" w:customStyle="1" w:styleId="112">
    <w:name w:val="S报告正文"/>
    <w:basedOn w:val="1"/>
    <w:qFormat/>
    <w:uiPriority w:val="0"/>
    <w:pPr>
      <w:adjustRightInd w:val="0"/>
      <w:snapToGrid w:val="0"/>
      <w:spacing w:line="480" w:lineRule="exact"/>
      <w:ind w:firstLine="510"/>
      <w:jc w:val="left"/>
    </w:pPr>
    <w:rPr>
      <w:sz w:val="24"/>
    </w:rPr>
  </w:style>
  <w:style w:type="table" w:customStyle="1" w:styleId="113">
    <w:name w:val="网格型1"/>
    <w:basedOn w:val="114"/>
    <w:qFormat/>
    <w:uiPriority w:val="0"/>
  </w:style>
  <w:style w:type="table" w:customStyle="1" w:styleId="114">
    <w:name w:val="普通表格1"/>
    <w:semiHidden/>
    <w:qFormat/>
    <w:uiPriority w:val="0"/>
  </w:style>
  <w:style w:type="paragraph" w:customStyle="1" w:styleId="115">
    <w:name w:val="表格正文"/>
    <w:basedOn w:val="1"/>
    <w:qFormat/>
    <w:uiPriority w:val="0"/>
    <w:pPr>
      <w:ind w:firstLine="0" w:firstLineChars="0"/>
      <w:jc w:val="center"/>
    </w:pPr>
    <w:rPr>
      <w:color w:val="000000"/>
      <w:sz w:val="21"/>
      <w:szCs w:val="28"/>
      <w:shd w:val="clear" w:color="auto" w:fill="FFFFFF"/>
    </w:rPr>
  </w:style>
  <w:style w:type="paragraph" w:customStyle="1" w:styleId="116">
    <w:name w:val="样式 样式 (符号) 宋体 小四 行距: 1.5 倍行距 + (符号) Times New Roman"/>
    <w:basedOn w:val="1"/>
    <w:qFormat/>
    <w:uiPriority w:val="0"/>
    <w:pPr>
      <w:adjustRightInd w:val="0"/>
      <w:snapToGrid w:val="0"/>
      <w:spacing w:line="360" w:lineRule="auto"/>
      <w:ind w:firstLine="200" w:firstLineChars="200"/>
    </w:pPr>
    <w:rPr>
      <w:rFonts w:ascii="Times New Roman" w:hAnsi="Times New Roman" w:cs="宋体"/>
      <w:sz w:val="24"/>
      <w:szCs w:val="20"/>
    </w:rPr>
  </w:style>
  <w:style w:type="paragraph" w:customStyle="1" w:styleId="117">
    <w:name w:val="图表标题"/>
    <w:basedOn w:val="24"/>
    <w:next w:val="60"/>
    <w:qFormat/>
    <w:uiPriority w:val="0"/>
    <w:pPr>
      <w:spacing w:before="0" w:beforeLines="0" w:after="0" w:afterLines="0" w:line="240" w:lineRule="auto"/>
      <w:ind w:left="0" w:leftChars="0" w:firstLine="0" w:firstLineChars="0"/>
      <w:jc w:val="center"/>
      <w:outlineLvl w:val="4"/>
    </w:pPr>
    <w:rPr>
      <w:rFonts w:ascii="Times New Roman" w:hAnsi="Times New Roman" w:eastAsia="宋体"/>
      <w:bCs/>
      <w:snapToGrid w:val="0"/>
      <w:sz w:val="21"/>
    </w:rPr>
  </w:style>
  <w:style w:type="paragraph" w:customStyle="1" w:styleId="118">
    <w:name w:val="0正文"/>
    <w:unhideWhenUsed/>
    <w:qFormat/>
    <w:uiPriority w:val="0"/>
    <w:pPr>
      <w:widowControl w:val="0"/>
      <w:kinsoku w:val="0"/>
      <w:overflowPunct w:val="0"/>
      <w:autoSpaceDE w:val="0"/>
      <w:autoSpaceDN w:val="0"/>
      <w:adjustRightInd w:val="0"/>
      <w:snapToGrid w:val="0"/>
      <w:spacing w:line="360" w:lineRule="auto"/>
      <w:ind w:firstLine="200" w:firstLineChars="200"/>
      <w:jc w:val="both"/>
    </w:pPr>
    <w:rPr>
      <w:rFonts w:ascii="Times New Roman" w:hAnsi="Times New Roman" w:eastAsia="宋体" w:cs="Times New Roman"/>
      <w:sz w:val="21"/>
      <w:szCs w:val="22"/>
      <w:lang w:val="en-US" w:eastAsia="zh-CN" w:bidi="ar-SA"/>
    </w:rPr>
  </w:style>
  <w:style w:type="paragraph" w:customStyle="1" w:styleId="119">
    <w:name w:val="样式 样式 (符号) 宋体 小四 行距: 1.5 倍行距 + (符号) Times New Roman 上标"/>
    <w:basedOn w:val="104"/>
    <w:qFormat/>
    <w:uiPriority w:val="0"/>
    <w:pPr>
      <w:spacing w:line="480" w:lineRule="exact"/>
      <w:ind w:firstLine="200"/>
    </w:pPr>
    <w:rPr>
      <w:rFonts w:hAnsi="Times New Roman" w:cs="宋体"/>
      <w:lang w:val="en-US" w:eastAsia="zh-CN"/>
    </w:rPr>
  </w:style>
  <w:style w:type="paragraph" w:customStyle="1" w:styleId="120">
    <w:name w:val="（正文）"/>
    <w:basedOn w:val="17"/>
    <w:qFormat/>
    <w:uiPriority w:val="0"/>
    <w:pPr>
      <w:adjustRightInd w:val="0"/>
      <w:snapToGrid w:val="0"/>
      <w:spacing w:line="360" w:lineRule="auto"/>
      <w:ind w:firstLine="200" w:firstLineChars="200"/>
    </w:pPr>
    <w:rPr>
      <w:rFonts w:ascii="Times New Roman" w:hAnsi="Times New Roman" w:eastAsia="宋体"/>
      <w:sz w:val="24"/>
    </w:rPr>
  </w:style>
  <w:style w:type="paragraph" w:customStyle="1" w:styleId="121">
    <w:name w:val="Table Text"/>
    <w:basedOn w:val="1"/>
    <w:semiHidden/>
    <w:qFormat/>
    <w:uiPriority w:val="0"/>
    <w:rPr>
      <w:rFonts w:ascii="宋体" w:hAnsi="宋体" w:eastAsia="宋体" w:cs="宋体"/>
      <w:sz w:val="18"/>
      <w:szCs w:val="18"/>
      <w:lang w:val="en-US" w:eastAsia="en-US" w:bidi="ar-SA"/>
    </w:rPr>
  </w:style>
  <w:style w:type="table" w:customStyle="1" w:styleId="1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tailEnd type="arrow"/>
        </a:ln>
      </a:spPr>
      <a:bodyPr/>
      <a:lstStyle/>
      <a:style>
        <a:lnRef idx="2">
          <a:schemeClr val="accent1"/>
        </a:lnRef>
        <a:fillRef idx="0">
          <a:srgbClr val="FFFFFF"/>
        </a:fillRef>
        <a:effectRef idx="0">
          <a:srgbClr val="FFFFFF"/>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893D6A-2C57-4E5B-9842-DC31B9395CCF}">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11514</Words>
  <Characters>12184</Characters>
  <Lines>235</Lines>
  <Paragraphs>66</Paragraphs>
  <TotalTime>0</TotalTime>
  <ScaleCrop>false</ScaleCrop>
  <LinksUpToDate>false</LinksUpToDate>
  <CharactersWithSpaces>12294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2021-05-27T13:29:00Z</dcterms:created>
  <dcterms:modified xsi:type="dcterms:W3CDTF">2025-07-08T01:58:49Z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B1397670724F4EBF9C4009DA8D63951A_13</vt:lpwstr>
  </property>
  <property fmtid="{D5CDD505-2E9C-101B-9397-08002B2CF9AE}" pid="4" name="KSOTemplateDocerSaveRecord">
    <vt:lpwstr>eyJoZGlkIjoiYzE2Y2JhMzQ0MmIyZTNlMjE1MGZkZDZiODJlMjdjYTkiLCJ1c2VySWQiOiI3Mjk1MDQzNDAifQ==</vt:lpwstr>
  </property>
</Properties>
</file>