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E9E5A">
      <w:pPr>
        <w:autoSpaceDE w:val="0"/>
        <w:autoSpaceDN w:val="0"/>
        <w:adjustRightInd w:val="0"/>
        <w:spacing w:line="300" w:lineRule="auto"/>
        <w:ind w:firstLine="0" w:firstLineChars="0"/>
        <w:jc w:val="center"/>
        <w:rPr>
          <w:rFonts w:hint="eastAsia" w:ascii="仿宋" w:hAnsi="仿宋" w:eastAsia="仿宋"/>
          <w:b/>
          <w:bCs/>
          <w:color w:val="000000" w:themeColor="text1"/>
          <w:spacing w:val="-20"/>
          <w:sz w:val="44"/>
          <w:szCs w:val="44"/>
          <w:lang w:val="en-US" w:eastAsia="zh-CN"/>
          <w14:textFill>
            <w14:solidFill>
              <w14:schemeClr w14:val="tx1"/>
            </w14:solidFill>
          </w14:textFill>
        </w:rPr>
      </w:pPr>
      <w:bookmarkStart w:id="410" w:name="_GoBack"/>
      <w:bookmarkEnd w:id="410"/>
    </w:p>
    <w:p w14:paraId="43966EFC">
      <w:pPr>
        <w:autoSpaceDE w:val="0"/>
        <w:autoSpaceDN w:val="0"/>
        <w:adjustRightInd w:val="0"/>
        <w:spacing w:line="300" w:lineRule="auto"/>
        <w:ind w:firstLine="0" w:firstLineChars="0"/>
        <w:jc w:val="center"/>
        <w:rPr>
          <w:rFonts w:hint="eastAsia" w:ascii="方正仿宋_GB2312" w:hAnsi="方正仿宋_GB2312" w:eastAsia="方正仿宋_GB2312" w:cs="方正仿宋_GB2312"/>
          <w:b/>
          <w:bCs/>
          <w:color w:val="000000" w:themeColor="text1"/>
          <w:spacing w:val="-20"/>
          <w:sz w:val="32"/>
          <w:szCs w:val="32"/>
          <w:lang w:val="en-US" w:eastAsia="zh-CN"/>
          <w14:textFill>
            <w14:solidFill>
              <w14:schemeClr w14:val="tx1"/>
            </w14:solidFill>
          </w14:textFill>
        </w:rPr>
      </w:pPr>
    </w:p>
    <w:p w14:paraId="37879EFC">
      <w:pPr>
        <w:autoSpaceDE w:val="0"/>
        <w:autoSpaceDN w:val="0"/>
        <w:adjustRightInd w:val="0"/>
        <w:spacing w:line="300" w:lineRule="auto"/>
        <w:ind w:firstLine="0" w:firstLineChars="0"/>
        <w:jc w:val="center"/>
        <w:rPr>
          <w:rFonts w:hint="eastAsia" w:ascii="方正仿宋_GB2312" w:hAnsi="方正仿宋_GB2312" w:eastAsia="方正仿宋_GB2312" w:cs="方正仿宋_GB2312"/>
          <w:b/>
          <w:bCs/>
          <w:color w:val="000000" w:themeColor="text1"/>
          <w:spacing w:val="-20"/>
          <w:sz w:val="32"/>
          <w:szCs w:val="32"/>
          <w:lang w:val="en-US" w:eastAsia="zh-CN"/>
          <w14:textFill>
            <w14:solidFill>
              <w14:schemeClr w14:val="tx1"/>
            </w14:solidFill>
          </w14:textFill>
        </w:rPr>
      </w:pPr>
    </w:p>
    <w:p w14:paraId="799684FC">
      <w:pPr>
        <w:autoSpaceDE w:val="0"/>
        <w:autoSpaceDN w:val="0"/>
        <w:adjustRightInd w:val="0"/>
        <w:spacing w:line="300" w:lineRule="auto"/>
        <w:ind w:firstLine="0" w:firstLineChars="0"/>
        <w:jc w:val="center"/>
        <w:rPr>
          <w:rFonts w:hint="eastAsia" w:ascii="方正仿宋_GB2312" w:hAnsi="方正仿宋_GB2312" w:eastAsia="方正仿宋_GB2312" w:cs="方正仿宋_GB2312"/>
          <w:b/>
          <w:bCs/>
          <w:color w:val="000000" w:themeColor="text1"/>
          <w:spacing w:val="-20"/>
          <w:sz w:val="32"/>
          <w:szCs w:val="32"/>
          <w:lang w:val="en-US" w:eastAsia="zh-CN"/>
          <w14:textFill>
            <w14:solidFill>
              <w14:schemeClr w14:val="tx1"/>
            </w14:solidFill>
          </w14:textFill>
        </w:rPr>
      </w:pPr>
    </w:p>
    <w:p w14:paraId="78615540">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hint="eastAsia" w:ascii="方正小标宋简体" w:hAnsi="方正小标宋简体" w:eastAsia="方正小标宋简体" w:cs="方正小标宋简体"/>
          <w:b w:val="0"/>
          <w:bCs w:val="0"/>
          <w:color w:val="000000" w:themeColor="text1"/>
          <w:spacing w:val="0"/>
          <w:sz w:val="52"/>
          <w:szCs w:val="52"/>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0"/>
          <w:sz w:val="52"/>
          <w:szCs w:val="52"/>
          <w:lang w:val="en-US" w:eastAsia="zh-CN"/>
          <w14:textFill>
            <w14:solidFill>
              <w14:schemeClr w14:val="tx1"/>
            </w14:solidFill>
          </w14:textFill>
        </w:rPr>
        <w:t>湖南城陵矶新港区</w:t>
      </w:r>
    </w:p>
    <w:p w14:paraId="7F6DD635">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hint="eastAsia" w:ascii="方正小标宋简体" w:hAnsi="方正小标宋简体" w:eastAsia="方正小标宋简体" w:cs="方正小标宋简体"/>
          <w:b w:val="0"/>
          <w:bCs w:val="0"/>
          <w:color w:val="000000" w:themeColor="text1"/>
          <w:spacing w:val="0"/>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0"/>
          <w:sz w:val="52"/>
          <w:szCs w:val="52"/>
          <w:lang w:val="en-US" w:eastAsia="zh-CN"/>
          <w14:textFill>
            <w14:solidFill>
              <w14:schemeClr w14:val="tx1"/>
            </w14:solidFill>
          </w14:textFill>
        </w:rPr>
        <w:t>突发事件总体应急预案</w:t>
      </w:r>
    </w:p>
    <w:p w14:paraId="7FC0C811">
      <w:pPr>
        <w:pStyle w:val="2"/>
        <w:keepNext w:val="0"/>
        <w:keepLines w:val="0"/>
        <w:pageBreakBefore w:val="0"/>
        <w:widowControl w:val="0"/>
        <w:kinsoku/>
        <w:wordWrap/>
        <w:overflowPunct/>
        <w:topLinePunct w:val="0"/>
        <w:bidi w:val="0"/>
        <w:snapToGrid/>
        <w:spacing w:line="360" w:lineRule="auto"/>
        <w:ind w:left="0" w:leftChars="0" w:firstLine="0" w:firstLineChars="0"/>
        <w:jc w:val="center"/>
        <w:textAlignment w:val="auto"/>
        <w:rPr>
          <w:rFonts w:hint="eastAsia" w:ascii="仿宋_GB2312" w:hAnsi="仿宋_GB2312" w:eastAsia="仿宋_GB2312" w:cs="仿宋_GB2312"/>
          <w:b w:val="0"/>
          <w:bCs w:val="0"/>
          <w:color w:val="000000" w:themeColor="text1"/>
          <w:sz w:val="32"/>
          <w:szCs w:val="32"/>
          <w:lang w:val="en-US"/>
          <w14:textFill>
            <w14:solidFill>
              <w14:schemeClr w14:val="tx1"/>
            </w14:solidFill>
          </w14:textFill>
        </w:rPr>
      </w:pPr>
    </w:p>
    <w:p w14:paraId="26D53962">
      <w:pPr>
        <w:ind w:firstLine="0" w:firstLineChars="0"/>
        <w:jc w:val="center"/>
        <w:rPr>
          <w:rFonts w:hint="eastAsia" w:ascii="仿宋_GB2312" w:hAnsi="仿宋_GB2312" w:eastAsia="仿宋_GB2312" w:cs="仿宋_GB2312"/>
          <w:b/>
          <w:color w:val="000000" w:themeColor="text1"/>
          <w:sz w:val="32"/>
          <w:szCs w:val="32"/>
          <w:highlight w:val="none"/>
          <w14:textFill>
            <w14:solidFill>
              <w14:schemeClr w14:val="tx1"/>
            </w14:solidFill>
          </w14:textFill>
        </w:rPr>
      </w:pPr>
    </w:p>
    <w:p w14:paraId="1E0F894C">
      <w:pPr>
        <w:ind w:firstLine="0" w:firstLineChars="0"/>
        <w:jc w:val="center"/>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1A9C31CA">
      <w:pPr>
        <w:pStyle w:val="2"/>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26379B25">
      <w:pPr>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4CBBFEBA">
      <w:pPr>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50BE70B0">
      <w:pPr>
        <w:pStyle w:val="2"/>
        <w:rPr>
          <w:rFonts w:hint="eastAsia" w:ascii="仿宋_GB2312" w:hAnsi="仿宋_GB2312" w:eastAsia="仿宋_GB2312" w:cs="仿宋_GB2312"/>
          <w:color w:val="000000" w:themeColor="text1"/>
          <w:sz w:val="32"/>
          <w:szCs w:val="32"/>
          <w14:textFill>
            <w14:solidFill>
              <w14:schemeClr w14:val="tx1"/>
            </w14:solidFill>
          </w14:textFill>
        </w:rPr>
      </w:pPr>
    </w:p>
    <w:p w14:paraId="0C69D51C">
      <w:pPr>
        <w:ind w:firstLine="0" w:firstLineChars="0"/>
        <w:jc w:val="center"/>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3C00AA51">
      <w:pPr>
        <w:pStyle w:val="2"/>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7231B24E">
      <w:pPr>
        <w:rPr>
          <w:rFonts w:hint="eastAsia"/>
          <w:color w:val="000000" w:themeColor="text1"/>
          <w14:textFill>
            <w14:solidFill>
              <w14:schemeClr w14:val="tx1"/>
            </w14:solidFill>
          </w14:textFill>
        </w:rPr>
      </w:pPr>
    </w:p>
    <w:p w14:paraId="39410C38">
      <w:pPr>
        <w:ind w:firstLine="0" w:firstLineChars="0"/>
        <w:jc w:val="center"/>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4C7F2E6C">
      <w:pPr>
        <w:ind w:firstLine="0" w:firstLineChars="0"/>
        <w:jc w:val="center"/>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33EC9B0E">
      <w:pPr>
        <w:ind w:firstLine="0" w:firstLineChars="0"/>
        <w:jc w:val="cente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sectPr>
          <w:pgSz w:w="11906" w:h="16838"/>
          <w:pgMar w:top="1417" w:right="1417" w:bottom="1417" w:left="1587" w:header="850" w:footer="992" w:gutter="0"/>
          <w:pgNumType w:fmt="upperRoman" w:start="1"/>
          <w:cols w:space="720" w:num="1"/>
          <w:rtlGutter w:val="0"/>
          <w:docGrid w:type="lines" w:linePitch="332" w:charSpace="0"/>
        </w:sect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2024年12月</w:t>
      </w:r>
    </w:p>
    <w:p w14:paraId="0655DE55">
      <w:pPr>
        <w:spacing w:before="0" w:beforeLines="0" w:after="0" w:afterLines="0" w:line="360" w:lineRule="auto"/>
        <w:ind w:left="0" w:leftChars="0" w:right="0" w:rightChars="0" w:firstLine="0" w:firstLineChars="0"/>
        <w:jc w:val="cente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黑体" w:hAnsi="黑体" w:eastAsia="黑体" w:cs="黑体"/>
          <w:b w:val="0"/>
          <w:bCs w:val="0"/>
          <w:color w:val="000000" w:themeColor="text1"/>
          <w:sz w:val="44"/>
          <w:szCs w:val="44"/>
          <w:highlight w:val="none"/>
          <w14:textFill>
            <w14:solidFill>
              <w14:schemeClr w14:val="tx1"/>
            </w14:solidFill>
          </w14:textFill>
        </w:rPr>
        <w:t>目</w:t>
      </w:r>
      <w:r>
        <w:rPr>
          <w:rFonts w:hint="eastAsia" w:ascii="黑体" w:hAnsi="黑体" w:eastAsia="黑体" w:cs="黑体"/>
          <w:b w:val="0"/>
          <w:bCs w:val="0"/>
          <w:color w:val="000000" w:themeColor="text1"/>
          <w:sz w:val="44"/>
          <w:szCs w:val="44"/>
          <w:highlight w:val="none"/>
          <w:lang w:val="en-US" w:eastAsia="zh-CN"/>
          <w14:textFill>
            <w14:solidFill>
              <w14:schemeClr w14:val="tx1"/>
            </w14:solidFill>
          </w14:textFill>
        </w:rPr>
        <w:t xml:space="preserve">  </w:t>
      </w:r>
      <w:r>
        <w:rPr>
          <w:rFonts w:hint="eastAsia" w:ascii="黑体" w:hAnsi="黑体" w:eastAsia="黑体" w:cs="黑体"/>
          <w:b w:val="0"/>
          <w:bCs w:val="0"/>
          <w:color w:val="000000" w:themeColor="text1"/>
          <w:sz w:val="44"/>
          <w:szCs w:val="44"/>
          <w:highlight w:val="none"/>
          <w14:textFill>
            <w14:solidFill>
              <w14:schemeClr w14:val="tx1"/>
            </w14:solidFill>
          </w14:textFill>
        </w:rPr>
        <w:t>录</w:t>
      </w:r>
      <w:r>
        <w:rPr>
          <w:rFonts w:hint="eastAsia" w:ascii="仿宋_GB2312" w:hAnsi="仿宋_GB2312" w:eastAsia="仿宋_GB2312" w:cs="仿宋_GB2312"/>
          <w:b w:val="0"/>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 w:val="0"/>
          <w:bCs w:val="0"/>
          <w:color w:val="000000" w:themeColor="text1"/>
          <w:sz w:val="32"/>
          <w:szCs w:val="32"/>
          <w14:textFill>
            <w14:solidFill>
              <w14:schemeClr w14:val="tx1"/>
            </w14:solidFill>
          </w14:textFill>
        </w:rPr>
        <w:instrText xml:space="preserve">TOC \o "1-2" \h \u </w:instrText>
      </w:r>
      <w:r>
        <w:rPr>
          <w:rFonts w:hint="eastAsia" w:ascii="仿宋_GB2312" w:hAnsi="仿宋_GB2312" w:eastAsia="仿宋_GB2312" w:cs="仿宋_GB2312"/>
          <w:b w:val="0"/>
          <w:bCs w:val="0"/>
          <w:color w:val="000000" w:themeColor="text1"/>
          <w:sz w:val="32"/>
          <w:szCs w:val="32"/>
          <w14:textFill>
            <w14:solidFill>
              <w14:schemeClr w14:val="tx1"/>
            </w14:solidFill>
          </w14:textFill>
        </w:rPr>
        <w:fldChar w:fldCharType="separate"/>
      </w:r>
    </w:p>
    <w:p w14:paraId="61E366D8">
      <w:pPr>
        <w:pStyle w:val="12"/>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_Toc18347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14:textFill>
            <w14:solidFill>
              <w14:schemeClr w14:val="tx1"/>
            </w14:solidFill>
          </w14:textFill>
        </w:rPr>
        <w:t>1总则</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_Toc18347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36AA5400">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_Toc26501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14:textFill>
            <w14:solidFill>
              <w14:schemeClr w14:val="tx1"/>
            </w14:solidFill>
          </w14:textFill>
        </w:rPr>
        <w:t>1.</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1</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编制目的</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_Toc26501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5AA55F4D">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_Toc2838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14:textFill>
            <w14:solidFill>
              <w14:schemeClr w14:val="tx1"/>
            </w14:solidFill>
          </w14:textFill>
        </w:rPr>
        <w:t>1.</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2编制依据</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_Toc2838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2F28974B">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_Toc18554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1.3适用范围</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_Toc18554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4AC1368C">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_Toc17335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14:textFill>
            <w14:solidFill>
              <w14:schemeClr w14:val="tx1"/>
            </w14:solidFill>
          </w14:textFill>
        </w:rPr>
        <w:t>1.</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4</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工作原则</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_Toc17335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3645D0DF">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_Toc29873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14:textFill>
            <w14:solidFill>
              <w14:schemeClr w14:val="tx1"/>
            </w14:solidFill>
          </w14:textFill>
        </w:rPr>
        <w:t>1.</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5</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分类分级</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_Toc29873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383742D5">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_Toc738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1.6应急预案体系</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_Toc738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38B00E2F">
      <w:pPr>
        <w:pStyle w:val="12"/>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_Toc6499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14:textFill>
            <w14:solidFill>
              <w14:schemeClr w14:val="tx1"/>
            </w14:solidFill>
          </w14:textFill>
        </w:rPr>
        <w:t>2组织指挥</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机构</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_Toc6499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0B56B4DE">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_Toc25939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14:textFill>
            <w14:solidFill>
              <w14:schemeClr w14:val="tx1"/>
            </w14:solidFill>
          </w14:textFill>
        </w:rPr>
        <w:t>2.</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1湖南城陵矶新港区突发事件应急总指挥部</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_Toc25939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2762C443">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_Toc6942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14:textFill>
            <w14:solidFill>
              <w14:schemeClr w14:val="tx1"/>
            </w14:solidFill>
          </w14:textFill>
        </w:rPr>
        <w:t>2.</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2指挥机构职责</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_Toc6942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2F810D07">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_Toc5399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14:textFill>
            <w14:solidFill>
              <w14:schemeClr w14:val="tx1"/>
            </w14:solidFill>
          </w14:textFill>
        </w:rPr>
        <w:t>2.</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3专项指挥机构</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_Toc5399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2D445E06">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_Toc23692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2.4成员单位职责</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_Toc23692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4DBDD685">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_Toc4033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2.5现场指挥部</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_Toc4033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12</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68931C12">
      <w:pPr>
        <w:pStyle w:val="12"/>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_Toc31531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监测预警</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_Toc31531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15</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540358E9">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_Toc11105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.1监测</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_Toc11105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15</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282E9EC1">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_Toc25938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.2预警</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_Toc25938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15</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22E28B44">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_Toc1461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预警响应</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_Toc1461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16</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06491715">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_Toc28693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3</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4</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预警</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变更与解除</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_Toc28693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17</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167156B5">
      <w:pPr>
        <w:pStyle w:val="12"/>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_Toc27594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4信息报告</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_Toc27594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18</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4C5224BC">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_Toc12250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4</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.1</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报告程序</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_Toc12250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18</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52048655">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_Toc18194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4.2报告内容</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_Toc18194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19</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18B33660">
      <w:pPr>
        <w:pStyle w:val="12"/>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_Toc31842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5应急响应</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_Toc31842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20</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15CE41FF">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_Toc15349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5</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1事发单位处置</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_Toc15349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20</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537C986C">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_Toc11617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5.2分级响应</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_Toc11617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20</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7800F966">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_Toc7330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5.3指挥与协调</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_Toc7330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21</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51C9D19D">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_Toc18566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5.4处置措施</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_Toc18566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22</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385A4321">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_Toc19287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5.5扩大响应</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_Toc19287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24</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4199AA40">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_Toc5403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5.6应急联动</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_Toc5403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24</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24D8A7E8">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_Toc20504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5.7社会动员</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_Toc20504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24</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46A455F5">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_Toc26992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5.8</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区域合作</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_Toc26992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24</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69DC3601">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_Toc17645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5.9信息发布</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_Toc17645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25</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05333DA7">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_Toc26779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5.10</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应急结束</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_Toc26779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25</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6F09A038">
      <w:pPr>
        <w:pStyle w:val="12"/>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_Toc5393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i w:val="0"/>
          <w:iCs w:val="0"/>
          <w:color w:val="000000" w:themeColor="text1"/>
          <w:sz w:val="32"/>
          <w:szCs w:val="32"/>
          <w:highlight w:val="none"/>
          <w:lang w:val="en-US" w:eastAsia="zh-CN"/>
          <w14:textFill>
            <w14:solidFill>
              <w14:schemeClr w14:val="tx1"/>
            </w14:solidFill>
          </w14:textFill>
        </w:rPr>
        <w:t>6后期处置</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_Toc5393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26</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24556664">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_Toc23393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6.1善后处置</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_Toc23393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26</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63DD8725">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_Toc11976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6.2调查评估</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_Toc11976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26</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76359BFC">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_Toc25923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6.3恢复重建</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_Toc25923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26</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59880CA6">
      <w:pPr>
        <w:pStyle w:val="12"/>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_Toc1200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7应急保障</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_Toc1200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28</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28D1FF19">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_Toc7933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7</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.1</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人力资源</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_Toc7933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28</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4DBCF1EB">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_Toc25288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7</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2财力保障</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_Toc25288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28</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7CCB87CF">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_Toc10751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7</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3物资保障</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_Toc10751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28</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5151CA32">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_Toc31877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7.4治安保障</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_Toc31877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29</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0B88823D">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_Toc11427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7.5人员防护</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_Toc11427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29</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469296C3">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_Toc1192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7.6通信保障</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_Toc1192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29</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098BF8AD">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_Toc25907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7.7应急避难场所保障</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_Toc25907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29</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1B2A3C06">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_Toc25780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7.8区域合作保障</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_Toc25780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30</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06680554">
      <w:pPr>
        <w:pStyle w:val="12"/>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_Toc12794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8预案管理</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_Toc12794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31</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70901F5A">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_Toc6458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8</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.1</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奖励与责任</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_Toc6458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31</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4EF28F74">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_Toc7921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8</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2培训与演练</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_Toc7921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32</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2A8D5D15">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_Toc8531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8</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3其他说明</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_Toc8531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32</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12B441BE">
      <w:pPr>
        <w:pStyle w:val="13"/>
        <w:tabs>
          <w:tab w:val="right" w:leader="dot" w:pos="8902"/>
        </w:tabs>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Cs w:val="0"/>
          <w:color w:val="000000" w:themeColor="text1"/>
          <w:sz w:val="32"/>
          <w:szCs w:val="32"/>
          <w14:textFill>
            <w14:solidFill>
              <w14:schemeClr w14:val="tx1"/>
            </w14:solidFill>
          </w14:textFill>
        </w:rPr>
        <w:instrText xml:space="preserve"> HYPERLINK \l _Toc19916 </w:instrText>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8</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4</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发布</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与衔接</w:t>
      </w:r>
      <w:r>
        <w:rPr>
          <w:rFonts w:hint="eastAsia" w:ascii="仿宋_GB2312" w:hAnsi="仿宋_GB2312" w:eastAsia="仿宋_GB2312" w:cs="仿宋_GB2312"/>
          <w:color w:val="000000" w:themeColor="text1"/>
          <w:sz w:val="32"/>
          <w:szCs w:val="32"/>
          <w14:textFill>
            <w14:solidFill>
              <w14:schemeClr w14:val="tx1"/>
            </w14:solidFill>
          </w14:textFill>
        </w:rPr>
        <w:tab/>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PAGEREF _Toc19916 \h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33</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bCs w:val="0"/>
          <w:color w:val="000000" w:themeColor="text1"/>
          <w:sz w:val="32"/>
          <w:szCs w:val="32"/>
          <w14:textFill>
            <w14:solidFill>
              <w14:schemeClr w14:val="tx1"/>
            </w14:solidFill>
          </w14:textFill>
        </w:rPr>
        <w:fldChar w:fldCharType="end"/>
      </w:r>
    </w:p>
    <w:p w14:paraId="14FA26AC">
      <w:pPr>
        <w:spacing w:before="0" w:beforeLines="0" w:after="0" w:afterLines="0" w:line="360" w:lineRule="auto"/>
        <w:ind w:left="0" w:leftChars="0" w:right="0" w:rightChars="0"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fldChar w:fldCharType="end"/>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fldChar w:fldCharType="begin"/>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instrText xml:space="preserve">TOC \o "1-2" \h \u </w:instrTex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fldChar w:fldCharType="separate"/>
      </w:r>
    </w:p>
    <w:p w14:paraId="15E8BF2E">
      <w:pPr>
        <w:spacing w:line="360" w:lineRule="auto"/>
        <w:rPr>
          <w:rFonts w:hint="eastAsia"/>
          <w:color w:val="000000" w:themeColor="text1"/>
          <w14:textFill>
            <w14:solidFill>
              <w14:schemeClr w14:val="tx1"/>
            </w14:solidFill>
          </w14:textFill>
        </w:rPr>
        <w:sectPr>
          <w:footerReference r:id="rId5" w:type="default"/>
          <w:pgSz w:w="11906" w:h="16838"/>
          <w:pgMar w:top="1417" w:right="1417" w:bottom="1417" w:left="1587" w:header="850" w:footer="992" w:gutter="0"/>
          <w:pgNumType w:fmt="upperRoman" w:start="1"/>
          <w:cols w:space="720" w:num="1"/>
          <w:rtlGutter w:val="0"/>
          <w:docGrid w:type="lines" w:linePitch="332" w:charSpace="0"/>
        </w:sectPr>
      </w:pPr>
      <w:r>
        <w:rPr>
          <w:rFonts w:hint="eastAsia" w:ascii="仿宋_GB2312" w:hAnsi="仿宋_GB2312" w:eastAsia="仿宋_GB2312" w:cs="仿宋_GB2312"/>
          <w:bCs w:val="0"/>
          <w:color w:val="000000" w:themeColor="text1"/>
          <w:sz w:val="32"/>
          <w:szCs w:val="32"/>
          <w:highlight w:val="none"/>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w:t>
      </w:r>
    </w:p>
    <w:p w14:paraId="2E6D57B9">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hint="eastAsia" w:ascii="方正小标宋简体" w:hAnsi="方正小标宋简体" w:eastAsia="方正小标宋简体" w:cs="方正小标宋简体"/>
          <w:b w:val="0"/>
          <w:bCs w:val="0"/>
          <w:color w:val="000000" w:themeColor="text1"/>
          <w:spacing w:val="0"/>
          <w:sz w:val="52"/>
          <w:szCs w:val="52"/>
          <w:lang w:val="en-US" w:eastAsia="zh-CN"/>
          <w14:textFill>
            <w14:solidFill>
              <w14:schemeClr w14:val="tx1"/>
            </w14:solidFill>
          </w14:textFill>
        </w:rPr>
      </w:pPr>
      <w:bookmarkStart w:id="0" w:name="_Toc1475"/>
      <w:bookmarkStart w:id="1" w:name="_Toc12551"/>
      <w:bookmarkStart w:id="2" w:name="_Toc31985"/>
      <w:bookmarkStart w:id="3" w:name="_Toc14016"/>
      <w:bookmarkStart w:id="4" w:name="_Toc29073"/>
      <w:bookmarkStart w:id="5" w:name="_Toc20476"/>
      <w:r>
        <w:rPr>
          <w:rFonts w:hint="eastAsia" w:ascii="方正小标宋简体" w:hAnsi="方正小标宋简体" w:eastAsia="方正小标宋简体" w:cs="方正小标宋简体"/>
          <w:b w:val="0"/>
          <w:bCs w:val="0"/>
          <w:color w:val="000000" w:themeColor="text1"/>
          <w:spacing w:val="0"/>
          <w:sz w:val="52"/>
          <w:szCs w:val="52"/>
          <w:lang w:val="en-US" w:eastAsia="zh-CN"/>
          <w14:textFill>
            <w14:solidFill>
              <w14:schemeClr w14:val="tx1"/>
            </w14:solidFill>
          </w14:textFill>
        </w:rPr>
        <w:t>湖南城陵矶新港区</w:t>
      </w:r>
    </w:p>
    <w:p w14:paraId="7FFF073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eastAsia" w:ascii="仿宋" w:hAnsi="仿宋" w:eastAsia="仿宋" w:cs="仿宋"/>
          <w:b/>
          <w:bCs/>
          <w:color w:val="000000" w:themeColor="text1"/>
          <w:sz w:val="32"/>
          <w:szCs w:val="32"/>
          <w:highlight w:val="none"/>
          <w:u w:val="none"/>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0"/>
          <w:sz w:val="52"/>
          <w:szCs w:val="52"/>
          <w:lang w:val="en-US" w:eastAsia="zh-CN"/>
          <w14:textFill>
            <w14:solidFill>
              <w14:schemeClr w14:val="tx1"/>
            </w14:solidFill>
          </w14:textFill>
        </w:rPr>
        <w:t>突发事件总体应急预案</w:t>
      </w:r>
    </w:p>
    <w:p w14:paraId="0B29920E">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0"/>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pPr>
      <w:bookmarkStart w:id="6" w:name="_Toc18347"/>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1总则</w:t>
      </w:r>
      <w:bookmarkEnd w:id="0"/>
      <w:bookmarkEnd w:id="1"/>
      <w:bookmarkEnd w:id="2"/>
      <w:bookmarkEnd w:id="3"/>
      <w:bookmarkEnd w:id="4"/>
      <w:bookmarkEnd w:id="5"/>
      <w:bookmarkEnd w:id="6"/>
    </w:p>
    <w:p w14:paraId="5983D210">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pPr>
      <w:bookmarkStart w:id="7" w:name="_Toc11634"/>
      <w:bookmarkStart w:id="8" w:name="_Toc8425"/>
      <w:bookmarkStart w:id="9" w:name="_Toc401050392"/>
      <w:bookmarkStart w:id="10" w:name="_Toc395522738"/>
      <w:bookmarkStart w:id="11" w:name="_Toc393377990"/>
      <w:bookmarkStart w:id="12" w:name="_Toc26501"/>
      <w:bookmarkStart w:id="13" w:name="_Toc4759"/>
      <w:bookmarkStart w:id="14" w:name="_Toc395550884"/>
      <w:bookmarkStart w:id="15" w:name="_Toc12656"/>
      <w:bookmarkStart w:id="16" w:name="_Toc1837"/>
      <w:bookmarkStart w:id="17" w:name="_Toc417547689"/>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1.</w:t>
      </w: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编制目的</w:t>
      </w:r>
      <w:bookmarkEnd w:id="7"/>
      <w:bookmarkEnd w:id="8"/>
      <w:bookmarkEnd w:id="9"/>
      <w:bookmarkEnd w:id="10"/>
      <w:bookmarkEnd w:id="11"/>
      <w:bookmarkEnd w:id="12"/>
      <w:bookmarkEnd w:id="13"/>
      <w:bookmarkEnd w:id="14"/>
      <w:bookmarkEnd w:id="15"/>
      <w:bookmarkEnd w:id="16"/>
      <w:bookmarkEnd w:id="17"/>
    </w:p>
    <w:p w14:paraId="25AACD31">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bookmarkStart w:id="18" w:name="_Toc395522739"/>
      <w:bookmarkStart w:id="19" w:name="_Toc395550885"/>
      <w:bookmarkStart w:id="20" w:name="_Toc393377991"/>
      <w:bookmarkStart w:id="21" w:name="_Toc401050393"/>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为</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提高</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湖南城陵矶新港区（</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以下简称“新港区”</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保障公共安全和处置</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突发事件</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的能力，最大程度地预防和减少</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突发事件</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及其造成的损害，保障公众的生命财产安全，维护公共安全和社会稳定，</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特编制本预案。</w:t>
      </w:r>
    </w:p>
    <w:bookmarkEnd w:id="18"/>
    <w:bookmarkEnd w:id="19"/>
    <w:bookmarkEnd w:id="20"/>
    <w:bookmarkEnd w:id="21"/>
    <w:p w14:paraId="3F411940">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22" w:name="_Toc2838"/>
      <w:bookmarkStart w:id="23" w:name="_Toc13700"/>
      <w:bookmarkStart w:id="24" w:name="_Toc395550887"/>
      <w:bookmarkStart w:id="25" w:name="_Toc417547692"/>
      <w:bookmarkStart w:id="26" w:name="_Toc27452"/>
      <w:bookmarkStart w:id="27" w:name="_Toc17262"/>
      <w:bookmarkStart w:id="28" w:name="_Toc4195"/>
      <w:bookmarkStart w:id="29" w:name="_Toc401050395"/>
      <w:bookmarkStart w:id="30" w:name="_Toc395522741"/>
      <w:bookmarkStart w:id="31" w:name="_Toc25818"/>
      <w:bookmarkStart w:id="32" w:name="_Toc393377993"/>
      <w:bookmarkStart w:id="33" w:name="_Toc417547691"/>
      <w:bookmarkStart w:id="34" w:name="_Toc393377992"/>
      <w:bookmarkStart w:id="35" w:name="_Toc395522740"/>
      <w:bookmarkStart w:id="36" w:name="_Toc395550886"/>
      <w:bookmarkStart w:id="37" w:name="_Toc401050394"/>
      <w:bookmarkStart w:id="38" w:name="_Toc17641"/>
      <w:bookmarkStart w:id="39" w:name="_Toc1454"/>
      <w:bookmarkStart w:id="40" w:name="_Toc29829"/>
      <w:bookmarkStart w:id="41" w:name="_Toc21141"/>
      <w:bookmarkStart w:id="42" w:name="_Toc10784"/>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1.</w:t>
      </w: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2编制依据</w:t>
      </w:r>
      <w:bookmarkEnd w:id="22"/>
    </w:p>
    <w:p w14:paraId="050081FB">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lang w:val="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zh-CN"/>
          <w14:textFill>
            <w14:solidFill>
              <w14:schemeClr w14:val="tx1"/>
            </w14:solidFill>
          </w14:textFill>
        </w:rPr>
        <w:t>《中华人民共和国突发事件应对法》《</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突发事件</w:t>
      </w:r>
      <w:r>
        <w:rPr>
          <w:rFonts w:hint="eastAsia" w:ascii="仿宋_GB2312" w:hAnsi="仿宋_GB2312" w:eastAsia="仿宋_GB2312" w:cs="仿宋_GB2312"/>
          <w:b w:val="0"/>
          <w:bCs w:val="0"/>
          <w:color w:val="000000" w:themeColor="text1"/>
          <w:sz w:val="32"/>
          <w:szCs w:val="32"/>
          <w:highlight w:val="none"/>
          <w:u w:val="none"/>
          <w:lang w:val="zh-CN"/>
          <w14:textFill>
            <w14:solidFill>
              <w14:schemeClr w14:val="tx1"/>
            </w14:solidFill>
          </w14:textFill>
        </w:rPr>
        <w:t>应急预案管理办法》《湖南省实施〈中华人民共和国突发事件应对法〉办法》等有关法律法规和规定。</w:t>
      </w:r>
    </w:p>
    <w:p w14:paraId="175055C8">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43" w:name="_Toc18554"/>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1.3适用范围</w:t>
      </w:r>
      <w:bookmarkEnd w:id="23"/>
      <w:bookmarkEnd w:id="24"/>
      <w:bookmarkEnd w:id="25"/>
      <w:bookmarkEnd w:id="26"/>
      <w:bookmarkEnd w:id="27"/>
      <w:bookmarkEnd w:id="28"/>
      <w:bookmarkEnd w:id="29"/>
      <w:bookmarkEnd w:id="30"/>
      <w:bookmarkEnd w:id="31"/>
      <w:bookmarkEnd w:id="32"/>
      <w:bookmarkEnd w:id="43"/>
    </w:p>
    <w:p w14:paraId="27217BC5">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本预案是</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新港区</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应对各类突发事件的总纲，用于指导预防和处置发生在</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新港区</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辖区，</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或发生</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在其他地区</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涉及</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新港区</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，应由</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新港区</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处置或参与处置的各类突发事件。</w:t>
      </w:r>
    </w:p>
    <w:p w14:paraId="3326A689">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pPr>
      <w:bookmarkStart w:id="44" w:name="_Toc401050396"/>
      <w:bookmarkStart w:id="45" w:name="_Toc417547693"/>
      <w:bookmarkStart w:id="46" w:name="_Toc395550888"/>
      <w:bookmarkStart w:id="47" w:name="_Toc2526"/>
      <w:bookmarkStart w:id="48" w:name="_Toc2024"/>
      <w:bookmarkStart w:id="49" w:name="_Toc393377994"/>
      <w:bookmarkStart w:id="50" w:name="_Toc17335"/>
      <w:bookmarkStart w:id="51" w:name="_Toc395522742"/>
      <w:bookmarkStart w:id="52" w:name="_Toc23155"/>
      <w:bookmarkStart w:id="53" w:name="_Toc13443"/>
      <w:bookmarkStart w:id="54" w:name="_Toc26399"/>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1.</w:t>
      </w: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4</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工作原则</w:t>
      </w:r>
      <w:bookmarkEnd w:id="44"/>
      <w:bookmarkEnd w:id="45"/>
      <w:bookmarkEnd w:id="46"/>
      <w:bookmarkEnd w:id="47"/>
      <w:bookmarkEnd w:id="48"/>
      <w:bookmarkEnd w:id="49"/>
      <w:bookmarkEnd w:id="50"/>
      <w:bookmarkEnd w:id="51"/>
      <w:bookmarkEnd w:id="52"/>
      <w:bookmarkEnd w:id="53"/>
      <w:bookmarkEnd w:id="54"/>
    </w:p>
    <w:p w14:paraId="5B413871">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统一规划、综合协调、分类指导、分级负责、动态管理。</w:t>
      </w:r>
      <w:bookmarkStart w:id="55" w:name="_Toc401050397"/>
      <w:bookmarkStart w:id="56" w:name="_Toc395522743"/>
      <w:bookmarkStart w:id="57" w:name="_Toc395550889"/>
      <w:bookmarkStart w:id="58" w:name="_Toc393377995"/>
    </w:p>
    <w:bookmarkEnd w:id="55"/>
    <w:bookmarkEnd w:id="56"/>
    <w:bookmarkEnd w:id="57"/>
    <w:bookmarkEnd w:id="58"/>
    <w:p w14:paraId="51B2A933">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pPr>
      <w:bookmarkStart w:id="59" w:name="_Toc29873"/>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1.</w:t>
      </w:r>
      <w:bookmarkEnd w:id="33"/>
      <w:bookmarkEnd w:id="34"/>
      <w:bookmarkEnd w:id="35"/>
      <w:bookmarkEnd w:id="36"/>
      <w:bookmarkEnd w:id="37"/>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5</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分类分级</w:t>
      </w:r>
      <w:bookmarkEnd w:id="38"/>
      <w:bookmarkEnd w:id="39"/>
      <w:bookmarkEnd w:id="40"/>
      <w:bookmarkEnd w:id="41"/>
      <w:bookmarkEnd w:id="42"/>
      <w:bookmarkEnd w:id="59"/>
    </w:p>
    <w:p w14:paraId="2DF532B6">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突发事件根据其发生机理、过程、性质以及</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新港区</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的实际情况，分为以下四类：</w:t>
      </w:r>
    </w:p>
    <w:p w14:paraId="3569E70B">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（1）自然灾害。主要包括气象灾害（水旱灾害、低温冰雪冻雨、雷电等）、地质灾害、地震灾害等事件。</w:t>
      </w:r>
    </w:p>
    <w:p w14:paraId="5BAFC822">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2）事故灾难。主要包括新港区内发生工贸企业生产安全事故、危险化学品生产安全事故、西气东输长输管线生产安全事故、火灾事故、建筑工程事故、特种设备事故、道路交通事故、港口码头生产安全事故、突发环境事件、供气事故、供水事故、大面积停电事故等。</w:t>
      </w:r>
    </w:p>
    <w:p w14:paraId="05987975">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（3）公共卫生事件。主要包括重大传染病疫情、药品和食品安全事件及其他严重影响人民群众健康和生命安全的事件等。</w:t>
      </w:r>
    </w:p>
    <w:p w14:paraId="08666645">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（4）社会安全事件。主要包括群体性事件、公共密集场所安全事故、恐怖袭击事件、群体性上访事件、涉外涉侨事件、新闻发布和舆情控制等。</w:t>
      </w:r>
    </w:p>
    <w:p w14:paraId="40CFBD06">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各类突发事件按照其性质、造成的损失、危害程度、可控性和影响范围等因素，分为特别重大、重大、较大和一般四级；突发事件分级标准由各专项预案规定执行，有具体法律法规、政策文件规定的按照相关规定执行。</w:t>
      </w:r>
    </w:p>
    <w:p w14:paraId="28670595">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60" w:name="_Toc30204"/>
      <w:bookmarkStart w:id="61" w:name="_Toc4539"/>
      <w:bookmarkStart w:id="62" w:name="_Toc11274"/>
      <w:bookmarkStart w:id="63" w:name="_Toc22333"/>
      <w:bookmarkStart w:id="64" w:name="_Toc20589"/>
      <w:bookmarkStart w:id="65" w:name="_Toc16648"/>
      <w:bookmarkStart w:id="66" w:name="_Toc738"/>
      <w:bookmarkStart w:id="67" w:name="_Toc14158"/>
      <w:bookmarkStart w:id="68" w:name="_Toc16837"/>
      <w:bookmarkStart w:id="69" w:name="_Toc24243"/>
      <w:bookmarkStart w:id="70" w:name="_Toc393377996"/>
      <w:bookmarkStart w:id="71" w:name="_Toc395550890"/>
      <w:bookmarkStart w:id="72" w:name="_Toc395522744"/>
      <w:bookmarkStart w:id="73" w:name="_Toc401050398"/>
      <w:bookmarkStart w:id="74" w:name="_Toc21337"/>
      <w:bookmarkStart w:id="75" w:name="_Toc29567"/>
      <w:bookmarkStart w:id="76" w:name="_Toc417547695"/>
      <w:bookmarkStart w:id="77" w:name="_Toc9213"/>
      <w:bookmarkStart w:id="78" w:name="_Toc21130"/>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1.6应急预案体系</w:t>
      </w:r>
      <w:bookmarkEnd w:id="60"/>
      <w:bookmarkEnd w:id="61"/>
      <w:bookmarkEnd w:id="62"/>
      <w:bookmarkEnd w:id="63"/>
      <w:bookmarkEnd w:id="64"/>
      <w:bookmarkEnd w:id="65"/>
      <w:bookmarkEnd w:id="66"/>
      <w:bookmarkEnd w:id="67"/>
    </w:p>
    <w:p w14:paraId="65004E64">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突发事件总体应急预案。该预案是</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新港区</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突发事件应急预案体系的总纲，是</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管委会</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应对</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新港区</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突发事件的规范性文件和行动指南。本预案由</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新港区管委会</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公布实施，</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报岳阳市人民政府备案，</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抄送岳阳市应急管理局</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w:t>
      </w:r>
    </w:p>
    <w:p w14:paraId="59C2EAF6">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突发事件专项应急预案。该预案是</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管委会</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及有关部门（单位）为应对某种类型突发事件</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制定</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的涉及多个部门（单位）职责的计划、方案和措施，由</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管委会</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有关部门（单位）牵头、相关部门（单位）协助</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制定</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，报</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管委会</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审定后，由</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综合管理部发文</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公布实施。</w:t>
      </w:r>
    </w:p>
    <w:p w14:paraId="37E692AD">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突发事件部门应急预案。该预案是</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管委会</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有关部门（单位）根据本预案、专项应急预案和部门（单位）职责为应对单一种类且以该部门（单位）处置为主、相关单位配合处置的突发事件而</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制定</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的计划、方案和措施，由</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管委会</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有关部门（单位）</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制定</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并组织实施，报</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管委会</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和</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社会发展部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备案。</w:t>
      </w:r>
    </w:p>
    <w:p w14:paraId="097483EE">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重大活动及重大节假日突发事件应急预案。举办</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重要</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庆典、迎检、</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接待、</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会展和文化体育等重大活动及国家重大节假日，主办单位或牵头部门应当事先</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制定</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应急预案，报批准举办该活动的政府部门审定，由主办单位组织相关部门实施，并</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报</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同级公安部门</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消防部门、城管部门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和应急管理部门备案。</w:t>
      </w:r>
    </w:p>
    <w:p w14:paraId="4B319D2D">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应急预案支撑性文件一般包括应急工作手册、事件处置方案、风险评估报告和应急资源调查报告等多种形式，有利于提高应急预案的针对性、可操作性。</w:t>
      </w:r>
    </w:p>
    <w:p w14:paraId="689A3CE5">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应急工作手册是县级以上党委和政府及其部门对自身承担职责任务进一步分解细化的工作安排，是本</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层级</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部门</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单位</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应对突发事件的工作指引。</w:t>
      </w:r>
    </w:p>
    <w:p w14:paraId="5A59A468">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事件处置方案是参与突发事件应对的现场指挥机构、应急救援队伍、专家队伍等按照有关应急预案、应急工作手册和上级应急指挥机构要求，为执行具体任务，根据现场实际编制的工作方案。</w:t>
      </w:r>
    </w:p>
    <w:p w14:paraId="34726CA1">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风险评估报告是针对突发事件特点，识别事件的危害因素，分析事件可能产生的直接后果和次生、衍生后果，评估各种后果的危害程度和影响范围的报告。</w:t>
      </w:r>
    </w:p>
    <w:p w14:paraId="4CC3484D">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应急资源调查报告是全面调查</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本辖区</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、本单位第一时间可调用的应急队伍、装备、物资、场所等应急资源状况和合作区域内可请求援助的应急资源状况的报告。</w:t>
      </w:r>
    </w:p>
    <w:p w14:paraId="633DBAA9">
      <w:pPr>
        <w:pStyle w:val="2"/>
        <w:keepNext w:val="0"/>
        <w:keepLines w:val="0"/>
        <w:pageBreakBefore w:val="0"/>
        <w:widowControl w:val="0"/>
        <w:kinsoku/>
        <w:wordWrap/>
        <w:overflowPunct/>
        <w:topLinePunct w:val="0"/>
        <w:autoSpaceDE/>
        <w:autoSpaceDN/>
        <w:bidi w:val="0"/>
        <w:spacing w:line="640" w:lineRule="exact"/>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p>
    <w:p w14:paraId="75A21DB8">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0"/>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br w:type="page"/>
      </w:r>
      <w:bookmarkStart w:id="79" w:name="_Toc6499"/>
      <w:r>
        <w:rPr>
          <w:rFonts w:hint="eastAsia" w:ascii="仿宋_GB2312" w:hAnsi="仿宋_GB2312" w:eastAsia="宋体" w:cs="仿宋_GB2312"/>
          <w:b/>
          <w:bCs/>
          <w:color w:val="000000" w:themeColor="text1"/>
          <w:sz w:val="32"/>
          <w:szCs w:val="32"/>
          <w:highlight w:val="none"/>
          <w:u w:val="none"/>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-198755</wp:posOffset>
            </wp:positionH>
            <wp:positionV relativeFrom="paragraph">
              <wp:posOffset>648335</wp:posOffset>
            </wp:positionV>
            <wp:extent cx="5650230" cy="5308600"/>
            <wp:effectExtent l="0" t="0" r="6350" b="2540"/>
            <wp:wrapTopAndBottom/>
            <wp:docPr id="4" name="图片 4" descr="未命名文件(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文件(6)"/>
                    <pic:cNvPicPr>
                      <a:picLocks noChangeAspect="1"/>
                    </pic:cNvPicPr>
                  </pic:nvPicPr>
                  <pic:blipFill>
                    <a:blip r:embed="rId9"/>
                    <a:stretch>
                      <a:fillRect/>
                    </a:stretch>
                  </pic:blipFill>
                  <pic:spPr>
                    <a:xfrm>
                      <a:off x="0" y="0"/>
                      <a:ext cx="5650230" cy="5308600"/>
                    </a:xfrm>
                    <a:prstGeom prst="rect">
                      <a:avLst/>
                    </a:prstGeom>
                  </pic:spPr>
                </pic:pic>
              </a:graphicData>
            </a:graphic>
          </wp:anchor>
        </w:drawing>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2</w:t>
      </w:r>
      <w:bookmarkEnd w:id="68"/>
      <w:bookmarkEnd w:id="69"/>
      <w:bookmarkEnd w:id="70"/>
      <w:bookmarkEnd w:id="71"/>
      <w:bookmarkEnd w:id="72"/>
      <w:bookmarkEnd w:id="73"/>
      <w:bookmarkEnd w:id="74"/>
      <w:bookmarkEnd w:id="75"/>
      <w:bookmarkEnd w:id="76"/>
      <w:bookmarkEnd w:id="77"/>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组织指挥</w:t>
      </w:r>
      <w:bookmarkEnd w:id="78"/>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机构</w:t>
      </w:r>
      <w:bookmarkEnd w:id="79"/>
    </w:p>
    <w:p w14:paraId="78C90AA5">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9"/>
        <w:rPr>
          <w:rFonts w:hint="eastAsia" w:ascii="仿宋_GB2312" w:hAnsi="仿宋_GB2312" w:eastAsia="宋体" w:cs="仿宋_GB2312"/>
          <w:b/>
          <w:bCs/>
          <w:color w:val="000000" w:themeColor="text1"/>
          <w:sz w:val="32"/>
          <w:szCs w:val="32"/>
          <w:highlight w:val="none"/>
          <w:u w:val="none"/>
          <w:lang w:val="en-US" w:eastAsia="zh-CN"/>
          <w14:textFill>
            <w14:solidFill>
              <w14:schemeClr w14:val="tx1"/>
            </w14:solidFill>
          </w14:textFill>
        </w:rPr>
      </w:pPr>
    </w:p>
    <w:p w14:paraId="6C419B59">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pPr>
      <w:bookmarkStart w:id="80" w:name="_Toc2997"/>
      <w:bookmarkStart w:id="81" w:name="_Toc25939"/>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2.</w:t>
      </w:r>
      <w:bookmarkEnd w:id="80"/>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1湖南城陵矶新港区突发事件应急总指挥部</w:t>
      </w:r>
      <w:bookmarkEnd w:id="81"/>
    </w:p>
    <w:p w14:paraId="6F383F88">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管</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委会成立湖南城陵矶新港区突发事件应急总指挥部（以下简称“应急总指挥部”），负责统一组织、指挥和协调新港区自然灾害、事故灾难、公共卫生和社会安全类突发事件应急工作。</w:t>
      </w:r>
    </w:p>
    <w:p w14:paraId="7AEACEB0">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政委：新港区党工委书记</w:t>
      </w:r>
    </w:p>
    <w:p w14:paraId="7311EF3C">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总指挥：新港区党工委副书记、管委会主任</w:t>
      </w:r>
    </w:p>
    <w:p w14:paraId="33A30C98">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常务副总指挥：</w:t>
      </w:r>
    </w:p>
    <w:p w14:paraId="4EA58F54">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新港区党工委副书记、综保区管委会主任</w:t>
      </w:r>
    </w:p>
    <w:p w14:paraId="50525061">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新港区党工委副书记、自贸片区管委会主任</w:t>
      </w:r>
    </w:p>
    <w:p w14:paraId="6FD9B39F">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副总指挥：</w:t>
      </w:r>
    </w:p>
    <w:p w14:paraId="769A52E3">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新港区党工委委员、管委会副主任</w:t>
      </w:r>
    </w:p>
    <w:p w14:paraId="1CCA1E63">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新港区党工委委员、综保区管委会副主任</w:t>
      </w:r>
    </w:p>
    <w:p w14:paraId="4CE9C3AC">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新港区党工委委员、自贸片区管委会副主任</w:t>
      </w:r>
    </w:p>
    <w:p w14:paraId="569D896A">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成员：综合管理部、党群工作部、财政金融部、开发建设部、社会发展部、招商联络部、创新协调部、自贸产业部、法律服务部、保税事务部、经济发展部、企业服务部、口岸贸易部、纪工委监工委、土地储备中心、政务服务中心、科技创业服务中心、总工会、生态环境分局、市场监管分局、城管分局、资产公司、新港区派出所、新港区交警大队、市消防救援局驻新港区办公室等部门（单位）主要负责人。</w:t>
      </w:r>
    </w:p>
    <w:p w14:paraId="7428B8A9">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应急总指挥部下设办公室（以下简称“应急总指挥部办公室”）是应急总指挥部常设办事机构，应急总指挥部办公室设在社会发展部，由社会发展部部长兼任办公室主任。</w:t>
      </w:r>
    </w:p>
    <w:p w14:paraId="41F276D3">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default"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应急总指挥部办公室设综合值班室（</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24小时综合值班电话</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0730-8422226</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），承担24小时值班值守和应急信息接报工作。</w:t>
      </w:r>
    </w:p>
    <w:p w14:paraId="74571E6C">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82" w:name="_Toc12399"/>
      <w:bookmarkStart w:id="83" w:name="_Toc6942"/>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2.</w:t>
      </w:r>
      <w:bookmarkEnd w:id="82"/>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2指挥机构职责</w:t>
      </w:r>
      <w:bookmarkEnd w:id="83"/>
    </w:p>
    <w:p w14:paraId="212D6F51">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急总指挥部职责：定期召开会议，听取各部门有关突发事件预防、应急准备、应急处置、事后恢复与重建工作汇报，分析有关突发事件的重要信息、发展趋势；审议、决定突发事件应对工作中的重大事项，统一领导和协调全区各类突发事件应急处置机构；决定启动预警和专项突发事件应急预案；组织力量开展突发事件先期处置，协助配合上级指挥机构处置区域内的突发事件；检查、督促有关部门贯彻执行国家有关维护社会稳定、保障人身及社会财产安全的法律和政策，及时协调工作中出现的问题。</w:t>
      </w:r>
    </w:p>
    <w:p w14:paraId="3189DAD3">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default"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总指挥职责：全面负责突发事件的应急处置工作。（1）根据应急处置的工作推进进度，发布行动命令，批准启动与终止应急预案；（2）对现场指挥部的紧急决断，进行批复和指示；（3）若事故有继续扩大的倾向，紧急申请启动上级响应；（4）涉及突发事件应急处置的其他工作。</w:t>
      </w:r>
    </w:p>
    <w:p w14:paraId="43E874D5">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常务副总指挥职责：负责协助总指挥开展应急总指挥部的各项工作。</w:t>
      </w:r>
    </w:p>
    <w:p w14:paraId="37CAB802">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default"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副总指挥职责：配合总指挥做好突发事件的应急处置工作，督促落实各项任务指令：（1）协助开展应急救援工作，协调现场指挥部的建立；（2）总指挥缺席时代替总指挥履行总指挥职责；（3）执行总指挥临时下达的其他应急救援管理工作。</w:t>
      </w:r>
    </w:p>
    <w:p w14:paraId="402FF4F1">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总指挥无法到场指挥时，由副总指挥或指定代理人行使总指挥职责。</w:t>
      </w:r>
    </w:p>
    <w:p w14:paraId="6F9CA612">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急总指挥部办公室职责：负责应急总指挥部的日常工作；履行应急值守、信息汇总和综合协调职责；落实上级有关决定事项和管委会领导批示、指示精神；指导新港区应急体系、应急预案体系建设；组织编制、修订新港区应急预案，审核专项应急预案；协调突发事件预防预警、应急处置、应急保障、信息发布、总结评估、宣传培训和应急演练等工作；负责区工委、管委会和上级应急管理部门交办的其他工作。</w:t>
      </w:r>
    </w:p>
    <w:p w14:paraId="02EA6473">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84" w:name="_Toc5399"/>
      <w:bookmarkStart w:id="85" w:name="_Toc417547701"/>
      <w:bookmarkStart w:id="86" w:name="_Toc395550896"/>
      <w:bookmarkStart w:id="87" w:name="_Toc395522750"/>
      <w:bookmarkStart w:id="88" w:name="_Toc393378002"/>
      <w:bookmarkStart w:id="89" w:name="_Toc401050404"/>
      <w:bookmarkStart w:id="90" w:name="_Toc1583"/>
      <w:bookmarkStart w:id="91" w:name="_Toc24688"/>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2.</w:t>
      </w: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3专项指挥机构</w:t>
      </w:r>
      <w:bookmarkEnd w:id="84"/>
    </w:p>
    <w:p w14:paraId="2F2FFC45">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t>各专项应急指挥部的总指挥由管委会分管副主任担任，副总指挥由牵头部门的主要负责人担任。如果发生其他突发事件，由工委、管委会分管领导或由其授权相关部门主要负责同志牵头组建临时应急指挥部，具体负责突发事件指挥和处置等应对工作。</w:t>
      </w:r>
    </w:p>
    <w:p w14:paraId="58D5F58E">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t>各专项应急指挥部办公室设在牵头部门，作为专项应急指挥部的日常办事机构，负责组织落实专项应急指挥部决定，协调和调动成员单位开展相关突发事件应对工作，并承担区应急总指挥部交办的其他任务。</w:t>
      </w:r>
    </w:p>
    <w:p w14:paraId="6930B740">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92" w:name="_Toc23692"/>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2.4成员单位职责</w:t>
      </w:r>
      <w:bookmarkEnd w:id="92"/>
    </w:p>
    <w:p w14:paraId="3919BB94">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综合管理部：负责新港区层面突发事件信息的报送、传达工作；督促各部门单位应急处置工作的落实；协调调度各部门单位参与应急处置工作；进入预警和应急响应后，必要时在总指挥部办公室基础上牵头组建扩大的指挥部办公室；负责组织、协调新闻媒体做好应急救援宣传报道工作，及时正确引导社会舆论。统一发布突发事件信息，及时回应社会关切；负责协调涉外涉侨事件应急处置工作；负责参与应急救援的工作人员的生活和后勤保障工作。</w:t>
      </w:r>
    </w:p>
    <w:p w14:paraId="1353C11E">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党群工作部：为突发事件应急处置提供组织保障，协调各部门应急处置工作。</w:t>
      </w:r>
    </w:p>
    <w:p w14:paraId="4EDAF165">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财政金融部：负责安排本辖区突发事件资金预算；负责应急救援资金的筹措、拨付和监督检查工作。</w:t>
      </w:r>
    </w:p>
    <w:p w14:paraId="13BFCDCB">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开发建设部：负责组织协调建筑施工突发事件的应急处置；指导房屋和市政基础设施的重建等工作；指导协调避灾安置场所建设工作；指导、协调房屋调查和房屋安全鉴定工作；指导、协调人防工程管理；负责协调道路交通突发事件的应急处置；负责协调供水事故应急工作以及其他应急工作中的城市供水保障工作；负责协调大面积停电应急工作以及其他应急工作中的电力保障工作；配合云溪区防汛抗旱指挥部开展永济垸的防汛工作。</w:t>
      </w:r>
    </w:p>
    <w:p w14:paraId="5AB12CA5">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社会发展部：统筹协调各部门单位应对安全生产事故、公共卫生事件、自然灾害和综合防灾减灾救灾工作；组织制定全区应急物资储备和应急救援装备规划并组织实施，会同相关部门建立健全应急物资信息通讯录，协调周边区县应急物资调拨工作；协调全区突发事件信息的统一收集、汇总、整理工作；协调各类应急专业队伍，建立应急队伍协调联动机制；统筹全区工贸和危化生产经营单位应急宣传工作；牵头组织协调全区工贸和危化生产经营单位应急处置工作；配合热力管线、西气东输长输管线应急处置工作；协调群体性上访事件应急处置工作；参与协调体育设施、校园突发事件的应急处置和宣教工作；根据授权组织责任部门开展事故调查；配合相邻县区开展自然灾害类突发事件的调查评估工作。</w:t>
      </w:r>
    </w:p>
    <w:p w14:paraId="59A22F6B">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招商联络部：负责协调商务活动相关突发事件应急处置。</w:t>
      </w:r>
    </w:p>
    <w:p w14:paraId="2C25334F">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创新协调部：参与突发事件应急处置。</w:t>
      </w:r>
    </w:p>
    <w:p w14:paraId="49C59A38">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自贸产业部：负责地质灾害预警信息的发布、预防和治理，负责组织协调突发地质灾害应对处置工作。</w:t>
      </w:r>
    </w:p>
    <w:p w14:paraId="1E1FE516">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法律服务部：负责对区内发布的应急管理相关行政规范性文件进行合法性审核；为突发事件后期处置提供法律服务。</w:t>
      </w:r>
    </w:p>
    <w:p w14:paraId="05F9DF71">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保税事务部：负责组织协调综合保税区内突发事件应急处置工作。</w:t>
      </w:r>
    </w:p>
    <w:p w14:paraId="10417D41">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经济发展部：参与突发事件应急处置；协调能源保障工作；协调通信保障工作；负责指导突发事件相关统计工作；协助做好数据分析评估。</w:t>
      </w:r>
    </w:p>
    <w:p w14:paraId="6F432F13">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企业服务部：参与突发事件应急处置，协助企业开展突发事件应对工作；组织协调救灾食品、饮用水等生活必需品的应急供应保障工作；协调粮食安全突发事件的应急处置工作。</w:t>
      </w:r>
    </w:p>
    <w:p w14:paraId="58F90C64">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口岸贸易部：负责组织协调港口码头生产安全事故应急处置工作。</w:t>
      </w:r>
    </w:p>
    <w:p w14:paraId="442FC13D">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纪工委监工委：督促有关部门在突发事件应急处置工作中履职尽责，并依规依纪依法对相关人员进行责任追究；根据职责参与事故调查。</w:t>
      </w:r>
    </w:p>
    <w:p w14:paraId="0AB0ED01">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土地储备中心：参与因土地拆迁引发的突发事件应急处置；负责新港区储备土地区域的突发事件应急处置。</w:t>
      </w:r>
    </w:p>
    <w:p w14:paraId="15E491B5">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政务服务中心：参与突发事件应急处置。</w:t>
      </w:r>
    </w:p>
    <w:p w14:paraId="36F3B6C6">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科技创业服务中心：参与突发事件应急处置。</w:t>
      </w:r>
    </w:p>
    <w:p w14:paraId="757381E2">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总工会：配合有关部门做好突发事件中职工合法权益的维护，协助做好释疑解惑工作；依法参与生产安全事故的调查处理。</w:t>
      </w:r>
    </w:p>
    <w:p w14:paraId="27467EAD">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生态环境分局：负责突发生态环境事件的应急管理；负责对事发区域的环境污染情况检查，组织对事发区域应急监测、分析并提出污染控制建议；指导、协调企业开展生产安全事故次生环境污染和其他突发环境事件的应急、预警和处置；负责突发环境事件的上报、协调工作；组织事后生态环境损害评估工作。</w:t>
      </w:r>
    </w:p>
    <w:p w14:paraId="30773D2D">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市场监管分局：负责组织协调食品安全事故、药品（含疫苗、医疗器械）安全事件、涉及重要工业产品突发事件的应急处置；负责组织协调特种设备突发事件的应急救援工作；按规定权限组织或参与调查处理特种设备事故。</w:t>
      </w:r>
    </w:p>
    <w:p w14:paraId="0C04F96E">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城管分局：负责指导、协调全区已建成并竣工验收移交的基础设施及城市道路桥梁、燃气管道、加氢站、渣土运输、户外广告、市容环卫、路灯、排水、园林绿化、公共广场、小游园、生活与建筑垃圾处理等行业应急处置。</w:t>
      </w:r>
    </w:p>
    <w:p w14:paraId="65D10FC1">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资产公司：负责指导、协调通关服务中心以及创业孵化中心等资产管理范围内发生突发事件的应急管理工作。</w:t>
      </w:r>
    </w:p>
    <w:p w14:paraId="68E8809D">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新港区派出所：负责群体事件、恐怖袭击事件等突发事件的应急处置；负责社会面治安机动防控和应急处突；履行安全保卫、综治维稳等职责；负责突发事件现场及周边道路疏散撤离、现场控制等工作，协助抢救伤员；负责社会治安工作，打击查处各类违法犯罪活动，协助群众紧急转移，确保重点目标安全和社会稳定。</w:t>
      </w:r>
    </w:p>
    <w:p w14:paraId="3A318EE3">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outlineLvl w:val="9"/>
        <w:rPr>
          <w:rFonts w:hint="default"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 xml:space="preserve">新港区交警大队：负责全区道路交通安全管理工作，会同有关部门对道路交通安全隐患开展综合治理；按照规定执行道路交通保卫任务，组织开展道路交通安全应急救援工作，保障应急救援通行顺畅。 </w:t>
      </w:r>
    </w:p>
    <w:p w14:paraId="5C127DB4">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市消防救援局驻新港区办公室：负责全区消防安全管理工作，会同有关部门对消防安全开展综合治理；充分发挥火灾扑救和应急救援专业力量的骨干作用，统一组织和指挥火灾现场扑救工作；承担综合应急救援工作；负责火灾事故统计分析，依法组织或参与火灾事故调查处置工作。</w:t>
      </w:r>
    </w:p>
    <w:p w14:paraId="7E775E59">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643" w:firstLineChars="200"/>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93" w:name="_Toc4033"/>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2.5现场指挥部</w:t>
      </w:r>
      <w:bookmarkEnd w:id="93"/>
    </w:p>
    <w:p w14:paraId="12237279">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突发事件发生后，应急总指挥部视情</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成立</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现场指挥部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，由现场总指挥、现场副总指挥和各工作组组成，实行现场总指挥负责制。现场总指挥由</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应急总指挥部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指定的人员担任</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p>
    <w:p w14:paraId="6169AB4D">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现场参加突发事件应急处置的各方面应急力量要及时向现场指挥部报到，接受现场指挥部的统一指挥调度，并及时报告现场情况和处置工作进展情况。</w:t>
      </w:r>
    </w:p>
    <w:p w14:paraId="0B7C142A">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综合协调组：由社会发展部和综合管理部牵头，突发事件主责部门工作人员组成，承担现场指挥部办公室职能，负责综合协调、督导检查、公文运转、会议组织和编写会议纪要、信息简报、新闻发布、舆情管控、灾害损失调查评估、恢复重建规划制定、报批、监督实施等，做好有关资料收集归档、抢险救援证件印制发放及信息调度、汇总、上报，并与国家、省、市工作组或应急总指挥部开展协调联络工作。</w:t>
      </w:r>
    </w:p>
    <w:p w14:paraId="05268FA9">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急处置组：按照各行业部门的监管职责，分行业领域由对应主责部门牵头，综合管理部、开发建设部、社会发展部、口岸贸易部、生态环境分局、市场监管分局、城管分局、资产公司、新港区派出所、新港区交警大队、市消防救援局驻新港区办公室等有关部门单位人员组成，按照预案和职责，组织调动有关应急救援队伍和物资开展应急处置和救援等工作。</w:t>
      </w:r>
    </w:p>
    <w:p w14:paraId="2DFF3566">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医疗卫生组：由社会发展部牵头，企业服务部、口岸贸易部、总工会等有关部门单位人员组成，负责协调云溪区、岳阳楼区和岳阳市卫健部门开展传染病流行病学调查、卫生学处置、受伤人员医疗救治、心理干预等，实施伤亡人员信息统计上报等工作。</w:t>
      </w:r>
    </w:p>
    <w:p w14:paraId="2405E315">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治安警戒组：由新港区派出所牵头，新港区交警大队及其有关部门相关人员组成，负责事件现场警戒、人员疏散、交通管控、社会面管控及维持秩序、查验死亡人员身份等。</w:t>
      </w:r>
    </w:p>
    <w:p w14:paraId="3C8CDC63">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技术指导组：由相关领域专家、有关部门单位处置突发事件经验丰富的工作人员组成。根据各部门（单位）上报和现场收集掌握的信息，对突发事件进行评估研判，向现场指挥部提出应急处置措施建议，视情向社会公众解答有关专业技术问题。</w:t>
      </w:r>
    </w:p>
    <w:p w14:paraId="30BDEB3A">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人员安置组：由党群工作部牵头，招商联络部、创新协调部、自贸产业部、保税事务部、土地储备中心、政务服务中心、科技创业服务中心、资产公司等有关部门人员组成，负责事故现场及周边人员安置，有关人员生活必需品的调运、管理、登记、发放等。</w:t>
      </w:r>
    </w:p>
    <w:p w14:paraId="3F1D64F2">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后勤保障组：由财政金融部牵头，综合管理部、社会发展部、开发建设部、经济发展部等有关部门单位人员组成，负责应急处置经费拨付、监督、审计；保障应急救援队伍食宿和应急物资到位；调拨、接收、管理、统计应急救援物资，必要时征用国家机关、企事业单位、社会团体等单位或个人的物资、设备、房屋、场地等。</w:t>
      </w:r>
    </w:p>
    <w:p w14:paraId="2B596F70">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涉外工作组：由综合管理部牵头，社会发展部、法律服务部、纪工委监工委等有关部门单位人员组成，负责对接港澳台侨及境外新闻媒体，处理涉及港澳台侨和外籍人员有关事宜。</w:t>
      </w:r>
    </w:p>
    <w:p w14:paraId="47922FDA">
      <w:pPr>
        <w:pStyle w:val="2"/>
        <w:keepNext w:val="0"/>
        <w:keepLines w:val="0"/>
        <w:pageBreakBefore w:val="0"/>
        <w:widowControl w:val="0"/>
        <w:kinsoku/>
        <w:wordWrap/>
        <w:overflowPunct/>
        <w:topLinePunct w:val="0"/>
        <w:autoSpaceDE/>
        <w:autoSpaceDN/>
        <w:bidi w:val="0"/>
        <w:adjustRightInd w:val="0"/>
        <w:spacing w:line="640" w:lineRule="exact"/>
        <w:ind w:left="0" w:leftChars="0" w:firstLine="0" w:firstLineChars="0"/>
        <w:jc w:val="both"/>
        <w:textAlignment w:val="auto"/>
        <w:outlineLvl w:val="0"/>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bookmarkStart w:id="94" w:name="_Toc9012"/>
      <w:bookmarkStart w:id="95" w:name="_Toc27870"/>
      <w:bookmarkStart w:id="96" w:name="_Toc27390"/>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br w:type="page"/>
      </w:r>
      <w:bookmarkEnd w:id="85"/>
      <w:bookmarkEnd w:id="86"/>
      <w:bookmarkEnd w:id="87"/>
      <w:bookmarkEnd w:id="88"/>
      <w:bookmarkEnd w:id="89"/>
      <w:bookmarkEnd w:id="94"/>
      <w:bookmarkEnd w:id="95"/>
      <w:bookmarkEnd w:id="96"/>
      <w:bookmarkStart w:id="97" w:name="_Toc31531"/>
      <w:bookmarkStart w:id="98" w:name="_Toc7687"/>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3</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监测预警</w:t>
      </w:r>
      <w:bookmarkEnd w:id="90"/>
      <w:bookmarkEnd w:id="91"/>
      <w:bookmarkEnd w:id="97"/>
      <w:bookmarkEnd w:id="98"/>
    </w:p>
    <w:p w14:paraId="4985736F">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pPr>
      <w:bookmarkStart w:id="99" w:name="_Toc417547702"/>
      <w:bookmarkStart w:id="100" w:name="_Toc409077536"/>
      <w:bookmarkStart w:id="101" w:name="_Toc410035184"/>
      <w:bookmarkStart w:id="102" w:name="_Toc16272"/>
      <w:bookmarkStart w:id="103" w:name="_Toc21597"/>
      <w:bookmarkStart w:id="104" w:name="_Toc11105"/>
      <w:bookmarkStart w:id="105" w:name="_Toc23189"/>
      <w:bookmarkStart w:id="106" w:name="_Toc16489"/>
      <w:bookmarkStart w:id="107" w:name="_Toc12132"/>
      <w:bookmarkStart w:id="108" w:name="_Toc410035185"/>
      <w:bookmarkStart w:id="109" w:name="_Toc395522751"/>
      <w:bookmarkStart w:id="110" w:name="_Toc401050405"/>
      <w:bookmarkStart w:id="111" w:name="_Toc393378003"/>
      <w:bookmarkStart w:id="112" w:name="_Toc395550897"/>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3</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.1</w:t>
      </w:r>
      <w:bookmarkEnd w:id="99"/>
      <w:bookmarkEnd w:id="100"/>
      <w:bookmarkEnd w:id="101"/>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监测</w:t>
      </w:r>
      <w:bookmarkEnd w:id="102"/>
      <w:bookmarkEnd w:id="103"/>
      <w:bookmarkEnd w:id="104"/>
      <w:bookmarkEnd w:id="105"/>
      <w:bookmarkEnd w:id="106"/>
      <w:bookmarkEnd w:id="107"/>
    </w:p>
    <w:bookmarkEnd w:id="108"/>
    <w:p w14:paraId="3B176EEE">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应急总指挥部办公室负责</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组织建立</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新港区</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突发事件</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风险管理体系，完善预测预警机制，建立常规数据监测、风险分析与分级等制度，做到早发现、早报告、早处置。</w:t>
      </w:r>
    </w:p>
    <w:p w14:paraId="6AFD487E">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健全风险排查、监测、评估、整改工作机制</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建立和完善</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新港区</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内</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涉及</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自然灾害、事故灾难、公共卫生和社会安全类突发事件等</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可能造成重大影响的信息收集、分析、研判和交流制度，明确规定监测信息报告人员、渠道、时限、程序等事项。</w:t>
      </w:r>
    </w:p>
    <w:p w14:paraId="2F19BD0A">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新港区</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获悉突发事件信息的公民、</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企业</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或其他组织，应立即向</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应急总指挥部办公室和综合值班室报告</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w:t>
      </w:r>
    </w:p>
    <w:bookmarkEnd w:id="109"/>
    <w:bookmarkEnd w:id="110"/>
    <w:bookmarkEnd w:id="111"/>
    <w:bookmarkEnd w:id="112"/>
    <w:p w14:paraId="47E385C7">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pPr>
      <w:bookmarkStart w:id="113" w:name="_Toc12894"/>
      <w:bookmarkStart w:id="114" w:name="_Toc4350"/>
      <w:bookmarkStart w:id="115" w:name="_Toc19602"/>
      <w:bookmarkStart w:id="116" w:name="_Toc20151"/>
      <w:bookmarkStart w:id="117" w:name="_Toc417547706"/>
      <w:bookmarkStart w:id="118" w:name="_Toc3862"/>
      <w:bookmarkStart w:id="119" w:name="_Toc410035188"/>
      <w:bookmarkStart w:id="120" w:name="_Toc25938"/>
      <w:bookmarkStart w:id="121" w:name="_Toc395550899"/>
      <w:bookmarkStart w:id="122" w:name="_Toc393378005"/>
      <w:bookmarkStart w:id="123" w:name="_Toc401050407"/>
      <w:bookmarkStart w:id="124" w:name="_Toc395522753"/>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3</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.2预警</w:t>
      </w:r>
      <w:bookmarkEnd w:id="113"/>
      <w:bookmarkEnd w:id="114"/>
      <w:bookmarkEnd w:id="115"/>
      <w:bookmarkEnd w:id="116"/>
      <w:bookmarkEnd w:id="117"/>
      <w:bookmarkEnd w:id="118"/>
      <w:bookmarkEnd w:id="119"/>
      <w:bookmarkEnd w:id="120"/>
    </w:p>
    <w:bookmarkEnd w:id="121"/>
    <w:bookmarkEnd w:id="122"/>
    <w:bookmarkEnd w:id="123"/>
    <w:bookmarkEnd w:id="124"/>
    <w:p w14:paraId="2A0CEB4A">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应急总指挥部办公室</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负责</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新港区</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突发事件</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的</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预警</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监测和综合管理工作</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w:t>
      </w:r>
    </w:p>
    <w:p w14:paraId="543491DA">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default"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对可以预警的突发事件，有关部门接到征兆信息后，及时组织分析评估，研判突发事件发生的可能性、强度和影响范围以及可能发生的次生、衍生事件。有关部门将预警信息及时通报应急总指挥部办公室，经应急总指挥部审签后，按照《湖南省突发事件预警信息发布管理办法》等相关规定发布预警信息。</w:t>
      </w:r>
    </w:p>
    <w:p w14:paraId="5E5F32B6">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按照突发事件发生的紧急程度、发展态势和可能造成的危害，确定预警级别，预警级别分为一级、二级、三级、四级，分别用红色、橙色、黄色和蓝色标示，一级（红色）为最高级别。预警级别按照国家和湖南省有关规定执行，国家尚未制定预警级别划分标准的，相关部门（单位）可以先行制定，经管委会批准后，报社会发展部备案。</w:t>
      </w:r>
    </w:p>
    <w:p w14:paraId="05C55752">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预警信息包括突发事件类别、预警级别、起始时间、可能影响的范围、警示事项、应对措施</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发布时间</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和发布机关等。</w:t>
      </w:r>
    </w:p>
    <w:p w14:paraId="4B0449A9">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pPr>
      <w:bookmarkStart w:id="125" w:name="_Toc417547711"/>
      <w:bookmarkStart w:id="126" w:name="_Toc395550903"/>
      <w:bookmarkStart w:id="127" w:name="_Toc401050411"/>
      <w:bookmarkStart w:id="128" w:name="_Toc393378009"/>
      <w:bookmarkStart w:id="129" w:name="_Toc395522757"/>
      <w:bookmarkStart w:id="130" w:name="_Toc6894"/>
      <w:bookmarkStart w:id="131" w:name="_Toc6732"/>
      <w:bookmarkStart w:id="132" w:name="_Toc21751"/>
      <w:bookmarkStart w:id="133" w:name="_Toc15198"/>
      <w:bookmarkStart w:id="134" w:name="_Toc1461"/>
      <w:bookmarkStart w:id="135" w:name="_Toc32331"/>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3</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w:t>
      </w:r>
      <w:bookmarkEnd w:id="125"/>
      <w:bookmarkEnd w:id="126"/>
      <w:bookmarkEnd w:id="127"/>
      <w:bookmarkEnd w:id="128"/>
      <w:bookmarkEnd w:id="129"/>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3</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预警响应</w:t>
      </w:r>
      <w:bookmarkEnd w:id="130"/>
      <w:bookmarkEnd w:id="131"/>
      <w:bookmarkEnd w:id="132"/>
      <w:bookmarkEnd w:id="133"/>
      <w:bookmarkEnd w:id="134"/>
      <w:bookmarkEnd w:id="135"/>
    </w:p>
    <w:p w14:paraId="38078B4A">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发布预警后，根据即将发生的突发事件特点和可能造成的危害，</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应急总指挥部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应依据</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各专项应急预案及本</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预案立即</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作出</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响应，采取必要的</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预防和应急处置</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措施</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p>
    <w:p w14:paraId="1155EDBF">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outlineLvl w:val="9"/>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（1）启动相关应急预案；</w:t>
      </w:r>
    </w:p>
    <w:p w14:paraId="08861C44">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outlineLvl w:val="9"/>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（2）有关部门、专业机构、监测网点和负有特定职责的人员及时收集、报告有关信息，加强对突发事件发生、发展情况的监测、预报和预警；</w:t>
      </w:r>
    </w:p>
    <w:p w14:paraId="0EC86739">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outlineLvl w:val="9"/>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（3）组织有关部门和机构专业技术人员、有关专家学者及时对突发事件信息进行分析评估，预测发生突发事件的可能性、影响范围和强度，以及可能发生的突发事件级别；</w:t>
      </w:r>
    </w:p>
    <w:p w14:paraId="691DC32A">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outlineLvl w:val="9"/>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（4）向社会发布与公众有关的突发事件预测信息和分析评估结果，并对相关信息报道工作加强管理；</w:t>
      </w:r>
    </w:p>
    <w:p w14:paraId="0BB039C4">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outlineLvl w:val="9"/>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（5）按照有关规定向社会发布可能受到突发事件危害的警示信息，宣传避免或减轻危害的常识，公布咨询电话；</w:t>
      </w:r>
    </w:p>
    <w:p w14:paraId="67DBCC44">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outlineLvl w:val="9"/>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（6）检查督导重点防控部位采取安全措施、应对准备等工作，发现问题立即督促整改；</w:t>
      </w:r>
    </w:p>
    <w:p w14:paraId="4350061C">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outlineLvl w:val="9"/>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（7）视情转移、疏散或撤离易受突发事件危害的人员并予妥善安置，转移重要财产；</w:t>
      </w:r>
    </w:p>
    <w:p w14:paraId="5281B9D7">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outlineLvl w:val="9"/>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（8）法律法规规定的其他必要的防范性、保护性措施。</w:t>
      </w:r>
    </w:p>
    <w:p w14:paraId="4AFB3220">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136" w:name="_Toc17378"/>
      <w:bookmarkStart w:id="137" w:name="_Toc826"/>
      <w:bookmarkStart w:id="138" w:name="_Toc5940"/>
      <w:bookmarkStart w:id="139" w:name="_Toc28693"/>
      <w:bookmarkStart w:id="140" w:name="_Toc4386"/>
      <w:bookmarkStart w:id="141" w:name="_Toc10328"/>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3</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w:t>
      </w: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4</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预警</w:t>
      </w: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变更与解除</w:t>
      </w:r>
      <w:bookmarkEnd w:id="136"/>
      <w:bookmarkEnd w:id="137"/>
      <w:bookmarkEnd w:id="138"/>
      <w:bookmarkEnd w:id="139"/>
      <w:bookmarkEnd w:id="140"/>
      <w:bookmarkEnd w:id="141"/>
    </w:p>
    <w:p w14:paraId="70E31476">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bookmarkStart w:id="142" w:name="_Toc401050412"/>
      <w:bookmarkStart w:id="143" w:name="_Toc393378010"/>
      <w:bookmarkStart w:id="144" w:name="_Toc395550904"/>
      <w:bookmarkStart w:id="145" w:name="_Toc395522758"/>
      <w:bookmarkStart w:id="146" w:name="_Toc417547712"/>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应急总指挥部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要密切关注事件进展情况，根据事态的发展，按照有关规定适时调整预警级别并重新发布。</w:t>
      </w:r>
    </w:p>
    <w:p w14:paraId="6778BDB1">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当</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突发事件危险已经解除的，</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应急总指挥部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应当立即宣布解除警报，终止预警，并解除已经采取的有关措施。</w:t>
      </w:r>
    </w:p>
    <w:p w14:paraId="00F7FCB2">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0"/>
        <w:rPr>
          <w:rFonts w:hint="eastAsia" w:ascii="仿宋_GB2312" w:hAnsi="仿宋_GB2312" w:eastAsia="仿宋_GB2312" w:cs="仿宋_GB2312"/>
          <w:b/>
          <w:bCs/>
          <w:color w:val="000000" w:themeColor="text1"/>
          <w:sz w:val="32"/>
          <w:szCs w:val="32"/>
          <w:highlight w:val="none"/>
          <w:u w:val="none"/>
          <w:lang w:val="en-US"/>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br w:type="page"/>
      </w:r>
      <w:bookmarkEnd w:id="142"/>
      <w:bookmarkEnd w:id="143"/>
      <w:bookmarkEnd w:id="144"/>
      <w:bookmarkEnd w:id="145"/>
      <w:bookmarkEnd w:id="146"/>
      <w:bookmarkStart w:id="147" w:name="_Toc27594"/>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4信息报告</w:t>
      </w:r>
      <w:bookmarkEnd w:id="147"/>
    </w:p>
    <w:p w14:paraId="3C8564FF">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148" w:name="_Toc2594"/>
      <w:bookmarkStart w:id="149" w:name="_Toc28872"/>
      <w:bookmarkStart w:id="150" w:name="_Toc24200"/>
      <w:bookmarkStart w:id="151" w:name="_Toc31710"/>
      <w:bookmarkStart w:id="152" w:name="_Toc12355"/>
      <w:bookmarkStart w:id="153" w:name="_Toc7024"/>
      <w:bookmarkStart w:id="154" w:name="_Toc12250"/>
      <w:bookmarkStart w:id="155" w:name="_Toc395550905"/>
      <w:bookmarkStart w:id="156" w:name="_Toc395522759"/>
      <w:bookmarkStart w:id="157" w:name="_Toc393378011"/>
      <w:bookmarkStart w:id="158" w:name="_Toc417547713"/>
      <w:bookmarkStart w:id="159" w:name="_Toc401050413"/>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4</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.1</w:t>
      </w:r>
      <w:bookmarkEnd w:id="148"/>
      <w:bookmarkEnd w:id="149"/>
      <w:bookmarkEnd w:id="150"/>
      <w:bookmarkEnd w:id="151"/>
      <w:bookmarkEnd w:id="152"/>
      <w:bookmarkEnd w:id="153"/>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报告程序</w:t>
      </w:r>
      <w:bookmarkEnd w:id="154"/>
    </w:p>
    <w:p w14:paraId="176D472E">
      <w:pPr>
        <w:keepNext w:val="0"/>
        <w:keepLines w:val="0"/>
        <w:pageBreakBefore w:val="0"/>
        <w:widowControl w:val="0"/>
        <w:kinsoku/>
        <w:wordWrap/>
        <w:overflowPunct/>
        <w:topLinePunct w:val="0"/>
        <w:autoSpaceDE/>
        <w:autoSpaceDN/>
        <w:bidi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bookmarkStart w:id="160" w:name="_Toc11623"/>
      <w:bookmarkStart w:id="161" w:name="_Toc2214"/>
      <w:bookmarkStart w:id="162" w:name="_Toc11361"/>
      <w:bookmarkStart w:id="163" w:name="_Toc3616"/>
      <w:r>
        <w:rPr>
          <w:rFonts w:hint="eastAsia" w:ascii="仿宋_GB2312" w:hAnsi="仿宋_GB2312" w:eastAsia="仿宋_GB2312" w:cs="仿宋_GB2312"/>
          <w:color w:val="000000" w:themeColor="text1"/>
          <w:sz w:val="32"/>
          <w:szCs w:val="32"/>
          <w14:textFill>
            <w14:solidFill>
              <w14:schemeClr w14:val="tx1"/>
            </w14:solidFill>
          </w14:textFill>
        </w:rPr>
        <w:t>事发单位</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、各部门（单位）是突发事件信息报告的责任主体，必须第一时间按规定如实向应急总指挥部办公室报告信息，不得迟报、谎报、瞒报和漏报。</w:t>
      </w:r>
    </w:p>
    <w:p w14:paraId="1F59D68A">
      <w:pPr>
        <w:keepNext w:val="0"/>
        <w:keepLines w:val="0"/>
        <w:pageBreakBefore w:val="0"/>
        <w:widowControl w:val="0"/>
        <w:kinsoku/>
        <w:wordWrap/>
        <w:overflowPunct/>
        <w:topLinePunct w:val="0"/>
        <w:autoSpaceDE/>
        <w:autoSpaceDN/>
        <w:bidi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突发事件发生后，</w:t>
      </w:r>
      <w:bookmarkStart w:id="164" w:name="OLE_LINK1"/>
      <w:r>
        <w:rPr>
          <w:rFonts w:hint="eastAsia" w:ascii="仿宋_GB2312" w:hAnsi="仿宋_GB2312" w:eastAsia="仿宋_GB2312" w:cs="仿宋_GB2312"/>
          <w:color w:val="000000" w:themeColor="text1"/>
          <w:sz w:val="32"/>
          <w:szCs w:val="32"/>
          <w14:textFill>
            <w14:solidFill>
              <w14:schemeClr w14:val="tx1"/>
            </w14:solidFill>
          </w14:textFill>
        </w:rPr>
        <w:t>事发单位</w:t>
      </w:r>
      <w:bookmarkEnd w:id="164"/>
      <w:r>
        <w:rPr>
          <w:rFonts w:hint="eastAsia" w:ascii="仿宋_GB2312" w:hAnsi="仿宋_GB2312" w:eastAsia="仿宋_GB2312" w:cs="仿宋_GB2312"/>
          <w:color w:val="000000" w:themeColor="text1"/>
          <w:sz w:val="32"/>
          <w:szCs w:val="32"/>
          <w14:textFill>
            <w14:solidFill>
              <w14:schemeClr w14:val="tx1"/>
            </w14:solidFill>
          </w14:textFill>
        </w:rPr>
        <w:t>须在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30</w:t>
      </w:r>
      <w:r>
        <w:rPr>
          <w:rFonts w:hint="eastAsia" w:ascii="仿宋_GB2312" w:hAnsi="仿宋_GB2312" w:eastAsia="仿宋_GB2312" w:cs="仿宋_GB2312"/>
          <w:color w:val="000000" w:themeColor="text1"/>
          <w:sz w:val="32"/>
          <w:szCs w:val="32"/>
          <w14:textFill>
            <w14:solidFill>
              <w14:schemeClr w14:val="tx1"/>
            </w14:solidFill>
          </w14:textFill>
        </w:rPr>
        <w:t>分钟内向</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综合值班室</w:t>
      </w:r>
      <w:r>
        <w:rPr>
          <w:rFonts w:hint="eastAsia" w:ascii="仿宋_GB2312" w:hAnsi="仿宋_GB2312" w:eastAsia="仿宋_GB2312" w:cs="仿宋_GB2312"/>
          <w:color w:val="000000" w:themeColor="text1"/>
          <w:sz w:val="32"/>
          <w:szCs w:val="32"/>
          <w14:textFill>
            <w14:solidFill>
              <w14:schemeClr w14:val="tx1"/>
            </w14:solidFill>
          </w14:textFill>
        </w:rPr>
        <w:t>进行口头报告（电话报告）</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综合值班室10分钟内向应急总指挥部办公室报告。如事发单位直接联系管委会工作人员，工作人员要做到随接随报、即知即报，将接报的信息立即向综合值班室口头报告（电话报告）。</w:t>
      </w:r>
    </w:p>
    <w:p w14:paraId="0C12FF36">
      <w:pPr>
        <w:keepNext w:val="0"/>
        <w:keepLines w:val="0"/>
        <w:pageBreakBefore w:val="0"/>
        <w:widowControl w:val="0"/>
        <w:kinsoku/>
        <w:wordWrap/>
        <w:overflowPunct/>
        <w:topLinePunct w:val="0"/>
        <w:autoSpaceDE/>
        <w:autoSpaceDN/>
        <w:bidi w:val="0"/>
        <w:spacing w:line="640" w:lineRule="exact"/>
        <w:ind w:firstLine="640" w:firstLineChars="200"/>
        <w:jc w:val="both"/>
        <w:textAlignment w:val="auto"/>
        <w:rPr>
          <w:rFonts w:hint="default"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急总指挥部办公室在接到新港区各部门及企事业单位上报的突发事件报告后，应按响应级别，在规定时间内，向综合管理部、岳阳市应急指挥中心报告事件信息。综合管理部向岳阳市委值班室、市政府值班室进行报告。</w:t>
      </w:r>
    </w:p>
    <w:p w14:paraId="15A254B7">
      <w:pPr>
        <w:keepNext w:val="0"/>
        <w:keepLines w:val="0"/>
        <w:pageBreakBefore w:val="0"/>
        <w:widowControl w:val="0"/>
        <w:kinsoku/>
        <w:wordWrap/>
        <w:overflowPunct/>
        <w:topLinePunct w:val="0"/>
        <w:autoSpaceDE/>
        <w:autoSpaceDN/>
        <w:bidi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对于一些事件本身比较敏感或可能演化为重大、特别重大突发事件的，不受突发事件分级标准限制。</w:t>
      </w:r>
    </w:p>
    <w:p w14:paraId="08CC60A1">
      <w:pPr>
        <w:keepNext w:val="0"/>
        <w:keepLines w:val="0"/>
        <w:pageBreakBefore w:val="0"/>
        <w:widowControl w:val="0"/>
        <w:kinsoku/>
        <w:wordWrap/>
        <w:overflowPunct/>
        <w:topLinePunct w:val="0"/>
        <w:autoSpaceDE/>
        <w:autoSpaceDN/>
        <w:bidi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应急总指挥部办公室要及时汇总上报突发事件信息，对管委会领导作出的重要批示或指示要及时传达给新港区各部门（单位），并跟踪反馈落实情况。</w:t>
      </w:r>
    </w:p>
    <w:p w14:paraId="16D516A3">
      <w:pPr>
        <w:keepNext w:val="0"/>
        <w:keepLines w:val="0"/>
        <w:pageBreakBefore w:val="0"/>
        <w:widowControl w:val="0"/>
        <w:kinsoku/>
        <w:wordWrap/>
        <w:overflowPunct/>
        <w:topLinePunct w:val="0"/>
        <w:autoSpaceDE/>
        <w:autoSpaceDN/>
        <w:bidi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各相关部门（单位）要加强协作，建立突发事件信息通报机制，一旦出现突发事件影响范围超出新港区辖区的态势，要根据应对工作的需要，及时向综合管理部和应急总指挥部办公室报告。</w:t>
      </w:r>
    </w:p>
    <w:p w14:paraId="178B07E4">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165" w:name="_Toc18194"/>
      <w:bookmarkStart w:id="166" w:name="_Toc32348"/>
      <w:bookmarkStart w:id="167" w:name="_Toc12859"/>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4.2报告内容</w:t>
      </w:r>
      <w:bookmarkEnd w:id="165"/>
      <w:bookmarkEnd w:id="166"/>
      <w:bookmarkEnd w:id="167"/>
    </w:p>
    <w:p w14:paraId="5579A6FD">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信息报告的内容应包括以下要素：（1）信息来源时间、单位；（2）灾害事故基本情况（如灾害事故发生单位名称、时间、地点、行业类别、事故（件）性质、简要经过、人员伤亡（被困、失踪、失联等）情况等）；（3）事故（件）发生的初步原因，死伤者基本情况（姓名、性别、年龄、籍贯、死伤者关系等）；（4）当前开展的工作（如抢险救援、事故调查、善后处置等）。</w:t>
      </w:r>
    </w:p>
    <w:p w14:paraId="1DA83C4C">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灾害事故信息报告按照“掌握多少先报多少”和“简明扼要”原则，讲清基本要素、基本情况即可，不要求大而全，格式相关内容有则长、无则短。报告灾害事故后如出现新的情况尤其是重要紧急情况的，应当及时续报。突发事件处置结束后，要进行终报。</w:t>
      </w:r>
      <w:bookmarkStart w:id="168" w:name="_Toc29442"/>
      <w:bookmarkStart w:id="169" w:name="_Toc200"/>
    </w:p>
    <w:bookmarkEnd w:id="168"/>
    <w:bookmarkEnd w:id="169"/>
    <w:p w14:paraId="6E5CAB67">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0"/>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170" w:name="_Toc5809"/>
      <w:bookmarkStart w:id="171" w:name="_Toc22001"/>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br w:type="page"/>
      </w:r>
      <w:bookmarkStart w:id="172" w:name="_Toc31842"/>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5应急响应</w:t>
      </w:r>
      <w:bookmarkEnd w:id="172"/>
    </w:p>
    <w:p w14:paraId="223F575F">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173" w:name="_Toc15349"/>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5</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w:t>
      </w: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1</w:t>
      </w:r>
      <w:bookmarkEnd w:id="155"/>
      <w:bookmarkEnd w:id="156"/>
      <w:bookmarkEnd w:id="157"/>
      <w:bookmarkEnd w:id="158"/>
      <w:bookmarkEnd w:id="159"/>
      <w:bookmarkEnd w:id="160"/>
      <w:bookmarkEnd w:id="161"/>
      <w:bookmarkEnd w:id="162"/>
      <w:bookmarkEnd w:id="163"/>
      <w:bookmarkEnd w:id="170"/>
      <w:bookmarkEnd w:id="171"/>
      <w:bookmarkStart w:id="174" w:name="_Toc26524"/>
      <w:bookmarkStart w:id="175" w:name="_Toc11247"/>
      <w:bookmarkStart w:id="176" w:name="_Toc30906"/>
      <w:bookmarkStart w:id="177" w:name="_Toc27318"/>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事发单位处置</w:t>
      </w:r>
      <w:bookmarkEnd w:id="173"/>
      <w:bookmarkEnd w:id="174"/>
      <w:bookmarkEnd w:id="175"/>
      <w:bookmarkEnd w:id="176"/>
      <w:bookmarkEnd w:id="177"/>
    </w:p>
    <w:p w14:paraId="0866AE53">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按照</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所属行业领域分类</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，接到突发事件信息报告后，</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事发单位应当</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组织开展先期处置。可采取以下措施：</w:t>
      </w:r>
    </w:p>
    <w:p w14:paraId="19CB9D88">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1）发布危险或避险警告。</w:t>
      </w:r>
    </w:p>
    <w:p w14:paraId="70C17B40">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2）划定警戒区域，采取必要的管制措施。</w:t>
      </w:r>
    </w:p>
    <w:p w14:paraId="2816F49D">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3）实施紧急疏散和救援行动，</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组织企业员工开展自救互救</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w:t>
      </w:r>
    </w:p>
    <w:p w14:paraId="6439E9E5">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4）紧急调配应急资源，到达事发现场。</w:t>
      </w:r>
    </w:p>
    <w:p w14:paraId="491150A1">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5）实施动态监测，密切关注事态发展。</w:t>
      </w:r>
    </w:p>
    <w:p w14:paraId="650A9C5F">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6）及时向</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应急总指挥部办公室（社会发展部）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报告事件相关信息，并提出应急处置建议和支持请求，同时向波及或可能波及的相关区域通报情况。</w:t>
      </w:r>
    </w:p>
    <w:p w14:paraId="45FE747C">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（7</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）其他必要的措施。</w:t>
      </w:r>
    </w:p>
    <w:p w14:paraId="48B39EFA">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178" w:name="_Toc10563"/>
      <w:bookmarkStart w:id="179" w:name="_Toc8350"/>
      <w:bookmarkStart w:id="180" w:name="_Toc11785"/>
      <w:bookmarkStart w:id="181" w:name="_Toc3583"/>
      <w:bookmarkStart w:id="182" w:name="_Toc11617"/>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5.2分级响应</w:t>
      </w:r>
      <w:bookmarkEnd w:id="178"/>
      <w:bookmarkEnd w:id="179"/>
      <w:bookmarkEnd w:id="180"/>
      <w:bookmarkEnd w:id="181"/>
      <w:bookmarkEnd w:id="182"/>
    </w:p>
    <w:p w14:paraId="395B5132">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本区应急响应由高到低分为两级：一级、二级。区级层面应急响应一般由高到低分为两级：Ⅰ级、Ⅱ级。启动响应由管委会决定，原则上，Ⅰ级响应由管委会分管负责人组织开展先期处置，管委会负责人全面负责，及时报告上级应急指挥机构请求支援；Ⅱ级响应主责部门负责人组织开展先期处置，管委会分管负责人现场指挥，管委会主要负责人组织协调，根据情况报告上级应急指挥机构请求支援，当上级应急预案启动后，应急总指挥部移交指挥权，相关部门（单位）接受市级应急预案指挥。</w:t>
      </w:r>
    </w:p>
    <w:p w14:paraId="0620927C">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（1）Ⅰ级响应标准：发生较大及以上突发事件；发生100万元以上直接经济损失的突发事件；性质严重，对社会稳定、经济建设造成较大影响的一般突发事件。</w:t>
      </w:r>
    </w:p>
    <w:p w14:paraId="7D517DC5">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（2）Ⅱ级响应标准：不具有扩散性，对社会稳定、经济建设造成较小影响的一般突发事件。</w:t>
      </w:r>
    </w:p>
    <w:p w14:paraId="1EF29D1B">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对于尚不能判定事件等级且未明确处置主责部门的突发事件，由管委会指定主责部门，由该主责部门主要领导到达现场指挥处置。</w:t>
      </w:r>
    </w:p>
    <w:p w14:paraId="722C223A">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183" w:name="_Toc7330"/>
      <w:bookmarkStart w:id="184" w:name="_Toc20853"/>
      <w:bookmarkStart w:id="185" w:name="_Toc401050415"/>
      <w:bookmarkStart w:id="186" w:name="_Toc26572"/>
      <w:bookmarkStart w:id="187" w:name="_Toc76"/>
      <w:bookmarkStart w:id="188" w:name="_Toc417547715"/>
      <w:bookmarkStart w:id="189" w:name="_Toc6177"/>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5.3指挥与协调</w:t>
      </w:r>
      <w:bookmarkEnd w:id="183"/>
      <w:bookmarkEnd w:id="184"/>
      <w:bookmarkEnd w:id="185"/>
      <w:bookmarkEnd w:id="186"/>
      <w:bookmarkEnd w:id="187"/>
      <w:bookmarkEnd w:id="188"/>
      <w:bookmarkEnd w:id="189"/>
    </w:p>
    <w:p w14:paraId="3F0E687D">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firstLine="643" w:firstLineChars="20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组织指挥。</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各类应急救援队伍在</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应急总指挥部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的统一协调下参加突发事件应急处置和救援，按规定的指挥关系和指挥权限进行指挥。社会组织参与突发事件应急处置与救援，纳入</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现场指挥部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统一管理、统一调动。</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应急总指挥部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根据突发事件现场实际情况，及时调度相关应急资源开展应急处置与救援行动。所有应急力量要服从</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现场指挥部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的统一指挥调度。</w:t>
      </w:r>
    </w:p>
    <w:p w14:paraId="054CCF81">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firstLine="643" w:firstLineChars="20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现场指挥。</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根据需要，成立</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现场指挥部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，由现场总指挥、现场副总指挥和各工作组组成，实行现场总指挥负责制。现场总指挥由</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应急总指挥部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指定的人员担任，总指挥在应急结束前离开现场的，应指定代理人行使总指挥职责，保持现场处置工作的连续性。现场指挥开展以下工作：</w:t>
      </w:r>
    </w:p>
    <w:p w14:paraId="04D9AB7A">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（1）统一指挥现场应急处置，决策重大事项。</w:t>
      </w:r>
    </w:p>
    <w:p w14:paraId="678E995A">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（2）随时掌握事件进展情况，及时向</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应急总指挥部办公室（社会发展部）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报告。</w:t>
      </w:r>
    </w:p>
    <w:p w14:paraId="527EA98D">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（3）结合现场实际情况，对突发事件进行综合分析、快速评估，尽快研究确定现场应急处置方案。</w:t>
      </w:r>
    </w:p>
    <w:p w14:paraId="6E79D819">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（4）调度应急队伍，调集应急装备和物资。</w:t>
      </w:r>
    </w:p>
    <w:p w14:paraId="166D5E87">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（5）当事态扩大，有可能超出自身的控制能力时，报请</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应急总指挥部办公室</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进行协调，调配其他应急资源参与处置工作。</w:t>
      </w:r>
    </w:p>
    <w:p w14:paraId="561B3045">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（6）根据</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法律法规</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，开展其他必要的处置工作。</w:t>
      </w:r>
    </w:p>
    <w:p w14:paraId="6D3605E9">
      <w:pPr>
        <w:keepNext w:val="0"/>
        <w:keepLines w:val="0"/>
        <w:pageBreakBefore w:val="0"/>
        <w:widowControl w:val="0"/>
        <w:kinsoku/>
        <w:wordWrap/>
        <w:overflowPunct/>
        <w:topLinePunct w:val="0"/>
        <w:autoSpaceDE/>
        <w:autoSpaceDN/>
        <w:bidi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190" w:name="_Toc10654"/>
      <w:bookmarkStart w:id="191" w:name="_Toc1170"/>
      <w:bookmarkStart w:id="192" w:name="_Toc18566"/>
      <w:bookmarkStart w:id="193" w:name="_Toc26452"/>
      <w:bookmarkStart w:id="194" w:name="_Toc9595"/>
      <w:bookmarkStart w:id="195" w:name="_Toc15669"/>
      <w:bookmarkStart w:id="196" w:name="_Toc8676"/>
      <w:bookmarkStart w:id="197" w:name="_Toc1919"/>
      <w:bookmarkStart w:id="198" w:name="_Toc23341"/>
      <w:bookmarkStart w:id="199" w:name="_Toc395522762"/>
      <w:bookmarkStart w:id="200" w:name="_Toc401050418"/>
      <w:bookmarkStart w:id="201" w:name="_Toc7085"/>
      <w:bookmarkStart w:id="202" w:name="_Toc15065"/>
      <w:bookmarkStart w:id="203" w:name="_Toc393378014"/>
      <w:bookmarkStart w:id="204" w:name="_Toc14132"/>
      <w:bookmarkStart w:id="205" w:name="_Toc395550908"/>
      <w:bookmarkStart w:id="206" w:name="_Toc417547718"/>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5.4处置措施</w:t>
      </w:r>
      <w:bookmarkEnd w:id="190"/>
      <w:bookmarkEnd w:id="191"/>
      <w:bookmarkEnd w:id="192"/>
      <w:bookmarkEnd w:id="193"/>
      <w:bookmarkEnd w:id="194"/>
      <w:bookmarkEnd w:id="195"/>
      <w:bookmarkEnd w:id="196"/>
      <w:bookmarkEnd w:id="197"/>
      <w:bookmarkEnd w:id="198"/>
    </w:p>
    <w:p w14:paraId="43D46C3F">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自然灾害、事故灾难或者公共卫生事件发生后，</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各部门（单位）</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应采取下列一项或多项</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先期</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应急处置措施：</w:t>
      </w:r>
    </w:p>
    <w:p w14:paraId="4500F7DF">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1）</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启动区级对应的应急预案，</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组织营救和救治受害人员，疏散、撤离并妥善安置受到威胁的人员以及采取其他救助措施；</w:t>
      </w:r>
    </w:p>
    <w:p w14:paraId="0E7653A4">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2）迅速控制危险源，标明危险区域，封锁危险场所，防止环境污染，划定警戒区，实行交通管制以及其他控制措施。</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新港区交警大队、新港区派出所</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要保证紧急情况下抢险救援车辆的优先安排、优先调度、优先放行，确保抢险救灾物资和人员能够及时、安全送达；</w:t>
      </w:r>
    </w:p>
    <w:p w14:paraId="2413B33E">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3）立即</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协调资源</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抢修被损坏的交通、通信、供水、排水、供电、供气、供热等公共设施，短时难以恢复的，要实施临时过渡方案，保障社会生产生活基本正常；</w:t>
      </w:r>
    </w:p>
    <w:p w14:paraId="7D956950">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4）禁止或者限制使用有关设备、设施，关闭或者限制使用有关场所，中止人员密集的活动或者可能导致危害扩大的生产经营活动以及采取其他保护措施；</w:t>
      </w:r>
    </w:p>
    <w:p w14:paraId="38697E58">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5）及时启用储备的应急救援物资，必要时调用其他急需物资、设备、设施、工具；</w:t>
      </w:r>
    </w:p>
    <w:p w14:paraId="3A6B4280">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6）组织</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人员</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参加应急救援和处置工作；</w:t>
      </w:r>
    </w:p>
    <w:p w14:paraId="7E19B27A">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7）向受到危害的人员提供避难场所和食品、饮用水、燃料等生活必需品，实施医疗救援和卫生防疫以及其他保障措施；</w:t>
      </w:r>
    </w:p>
    <w:p w14:paraId="47F80527">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8）依法从严惩处哄抢财物、干扰破坏应急处置工作等扰乱社会秩序的行为，维护社会治安；</w:t>
      </w:r>
    </w:p>
    <w:p w14:paraId="36F99A2D">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9</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）采取防止次生、衍生事件的必要措施</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p>
    <w:p w14:paraId="36449F76">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社会安全事件发生后，在</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管委会</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的领导下，</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各部门（单位）</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应当依照有关法律、行政法规和国家其他有关规定，采取下列一项或多项应急处置措施：</w:t>
      </w:r>
    </w:p>
    <w:p w14:paraId="7190DBAC">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）强制隔离使用器械相互对抗或者以暴力行为参与冲突的当事人，妥善解决现场纠纷和争端，控制事态发展；</w:t>
      </w:r>
    </w:p>
    <w:p w14:paraId="41F3E46C">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）对特定区域内的建筑物、交通工具、设备、设施以及燃料、燃气、电力、水的供应进行控制；</w:t>
      </w:r>
    </w:p>
    <w:p w14:paraId="48FF4C2C">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）封锁有关场所、道路，查验现场人员的身份证件，限制有关公共场所内的活动；</w:t>
      </w:r>
    </w:p>
    <w:p w14:paraId="5E4CD9EB">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4</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）加强对易受冲击的核心机关和单位的警卫，在</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管委会办公大楼、保税大楼</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等单位附近设置临时警戒线；</w:t>
      </w:r>
    </w:p>
    <w:p w14:paraId="79B96031">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）法律、行政</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法规</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规定的其他必要措施。</w:t>
      </w:r>
    </w:p>
    <w:p w14:paraId="55ACD4BD">
      <w:pPr>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207" w:name="_Toc19287"/>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5.5扩大响应</w:t>
      </w:r>
      <w:bookmarkEnd w:id="199"/>
      <w:bookmarkEnd w:id="200"/>
      <w:bookmarkEnd w:id="201"/>
      <w:bookmarkEnd w:id="202"/>
      <w:bookmarkEnd w:id="203"/>
      <w:bookmarkEnd w:id="204"/>
      <w:bookmarkEnd w:id="205"/>
      <w:bookmarkEnd w:id="206"/>
      <w:bookmarkEnd w:id="207"/>
    </w:p>
    <w:p w14:paraId="06D763B8">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如果突发事件的事态进一步扩大，超出</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新港区</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自身控制能力，或者突发事件已经</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波及</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新港区辖区外</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，直接或间接造成巨大灾害，由</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应急总指挥部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提出建议，</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报市应急指挥中心</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请求支援。</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市级应急预案启动后，接受上级应急预案指挥机构指挥。</w:t>
      </w:r>
    </w:p>
    <w:p w14:paraId="4C678247">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bookmarkStart w:id="208" w:name="_Toc395522763"/>
      <w:bookmarkStart w:id="209" w:name="_Toc17420"/>
      <w:bookmarkStart w:id="210" w:name="_Toc401050419"/>
      <w:bookmarkStart w:id="211" w:name="_Toc18814"/>
      <w:bookmarkStart w:id="212" w:name="_Toc417547719"/>
      <w:bookmarkStart w:id="213" w:name="_Toc5170"/>
      <w:bookmarkStart w:id="214" w:name="_Toc393378015"/>
      <w:bookmarkStart w:id="215" w:name="_Toc27725"/>
      <w:bookmarkStart w:id="216" w:name="_Toc5403"/>
      <w:bookmarkStart w:id="217" w:name="_Toc395550909"/>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5.6应急联动</w:t>
      </w:r>
      <w:bookmarkEnd w:id="208"/>
      <w:bookmarkEnd w:id="209"/>
      <w:bookmarkEnd w:id="210"/>
      <w:bookmarkEnd w:id="211"/>
      <w:bookmarkEnd w:id="212"/>
      <w:bookmarkEnd w:id="213"/>
      <w:bookmarkEnd w:id="214"/>
      <w:bookmarkEnd w:id="215"/>
      <w:bookmarkEnd w:id="216"/>
      <w:bookmarkEnd w:id="217"/>
    </w:p>
    <w:p w14:paraId="0522E44B">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在预测将要发生或已发生突发事件时，应急总指挥部立即进入应急状态，</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统筹</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协调</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新港区各有关部门</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并积极协调周边县（市、区）应急指挥机构，</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形成应急联动处置机制，全面提升应对突发事件的处置能力；</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保持通讯畅通，一旦发生超出新港区处置能力的，应当立即向市应急指挥中心报告，请求支援。</w:t>
      </w:r>
    </w:p>
    <w:p w14:paraId="5B013700">
      <w:pPr>
        <w:keepNext w:val="0"/>
        <w:keepLines w:val="0"/>
        <w:pageBreakBefore w:val="0"/>
        <w:widowControl w:val="0"/>
        <w:kinsoku/>
        <w:wordWrap/>
        <w:overflowPunct/>
        <w:topLinePunct w:val="0"/>
        <w:autoSpaceDE/>
        <w:autoSpaceDN/>
        <w:bidi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218" w:name="_Toc20504"/>
      <w:bookmarkStart w:id="219" w:name="_Toc1859"/>
      <w:bookmarkStart w:id="220" w:name="_Toc417547721"/>
      <w:bookmarkStart w:id="221" w:name="_Toc393378017"/>
      <w:bookmarkStart w:id="222" w:name="_Toc395550911"/>
      <w:bookmarkStart w:id="223" w:name="_Toc25575"/>
      <w:bookmarkStart w:id="224" w:name="_Toc15293"/>
      <w:bookmarkStart w:id="225" w:name="_Toc395522765"/>
      <w:bookmarkStart w:id="226" w:name="_Toc401050421"/>
      <w:bookmarkStart w:id="227" w:name="_Toc26112"/>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5.7社会动员</w:t>
      </w:r>
      <w:bookmarkEnd w:id="218"/>
    </w:p>
    <w:p w14:paraId="3482508B">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640" w:firstLineChars="200"/>
        <w:jc w:val="both"/>
        <w:textAlignment w:val="auto"/>
        <w:outlineLvl w:val="9"/>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突发事件发生后，</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新港区</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要根据处置需要，通过广播、电视、网站、户外显示屏、短信等向社会发布应对提示，动员</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新港区</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力量协助做好救援处置工作。</w:t>
      </w:r>
    </w:p>
    <w:p w14:paraId="34DF0B84">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pPr>
      <w:bookmarkStart w:id="228" w:name="_Toc26992"/>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5.8</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区域合作</w:t>
      </w:r>
      <w:bookmarkEnd w:id="219"/>
      <w:bookmarkEnd w:id="220"/>
      <w:bookmarkEnd w:id="221"/>
      <w:bookmarkEnd w:id="222"/>
      <w:bookmarkEnd w:id="223"/>
      <w:bookmarkEnd w:id="224"/>
      <w:bookmarkEnd w:id="225"/>
      <w:bookmarkEnd w:id="226"/>
      <w:bookmarkEnd w:id="227"/>
      <w:bookmarkEnd w:id="228"/>
    </w:p>
    <w:p w14:paraId="71545FF7">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管委会</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加强与毗邻</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县（市、区</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企事业单位的</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应急管理交流合作，建立区域间应急管理联动机制，为应对区域性突发事件提供信息共享与联动处置保障。</w:t>
      </w:r>
    </w:p>
    <w:p w14:paraId="285F0504">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bookmarkStart w:id="229" w:name="_Toc21982"/>
      <w:bookmarkStart w:id="230" w:name="_Toc16697"/>
      <w:bookmarkStart w:id="231" w:name="_Toc25052"/>
      <w:bookmarkStart w:id="232" w:name="_Toc3508"/>
      <w:bookmarkStart w:id="233" w:name="_Toc17645"/>
      <w:bookmarkStart w:id="234" w:name="_Toc11297"/>
      <w:bookmarkStart w:id="235" w:name="_Toc401050422"/>
      <w:bookmarkStart w:id="236" w:name="_Toc395522766"/>
      <w:bookmarkStart w:id="237" w:name="_Toc395550912"/>
      <w:bookmarkStart w:id="238" w:name="_Toc393378018"/>
      <w:bookmarkStart w:id="239" w:name="_Toc417547722"/>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5.9信息发布</w:t>
      </w:r>
      <w:bookmarkEnd w:id="229"/>
      <w:bookmarkEnd w:id="230"/>
      <w:bookmarkEnd w:id="231"/>
      <w:bookmarkEnd w:id="232"/>
      <w:bookmarkEnd w:id="233"/>
      <w:bookmarkEnd w:id="234"/>
    </w:p>
    <w:p w14:paraId="4D7F10C5">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突发事件信息发布应当遵循依法、及时、准确、客观的原则。由综合管理部按照有关规定，做好突发事件信息统一发布，并根据事态进展，加强舆情管控，及时回应社会关切。新港区各有关部门配合做好信息发布等相关工作。</w:t>
      </w:r>
    </w:p>
    <w:p w14:paraId="45410234">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pPr>
      <w:bookmarkStart w:id="240" w:name="_Toc26779"/>
      <w:bookmarkStart w:id="241" w:name="_Toc9750"/>
      <w:bookmarkStart w:id="242" w:name="_Toc14213"/>
      <w:bookmarkStart w:id="243" w:name="_Toc16832"/>
      <w:bookmarkStart w:id="244" w:name="_Toc24961"/>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5.10</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应急结束</w:t>
      </w:r>
      <w:bookmarkEnd w:id="235"/>
      <w:bookmarkEnd w:id="236"/>
      <w:bookmarkEnd w:id="237"/>
      <w:bookmarkEnd w:id="238"/>
      <w:bookmarkEnd w:id="239"/>
      <w:bookmarkEnd w:id="240"/>
      <w:bookmarkEnd w:id="241"/>
      <w:bookmarkEnd w:id="242"/>
      <w:bookmarkEnd w:id="243"/>
      <w:bookmarkEnd w:id="244"/>
    </w:p>
    <w:p w14:paraId="37F7A383">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现场险情得以控制，事故伤亡情况已核实清楚，被困人员被解救，受伤人员已全部安排救治，死亡人员得到妥善处置，环境符合有关标准，导致次生、衍生事故的隐患消除后，经现场指挥部确认，按照事故应急响应启动程序，由启动应急响应的应急救援指挥机构决定并宣布应急结束。</w:t>
      </w:r>
    </w:p>
    <w:p w14:paraId="74CDA7A4">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0"/>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bookmarkStart w:id="245" w:name="_Toc393378019"/>
      <w:bookmarkStart w:id="246" w:name="_Toc395522767"/>
      <w:bookmarkStart w:id="247" w:name="_Toc417547723"/>
      <w:bookmarkStart w:id="248" w:name="_Toc395550913"/>
      <w:bookmarkStart w:id="249" w:name="_Toc401050423"/>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br w:type="page"/>
      </w:r>
      <w:bookmarkStart w:id="250" w:name="_Toc30072"/>
      <w:bookmarkStart w:id="251" w:name="_Toc17599"/>
      <w:bookmarkStart w:id="252" w:name="_Toc5393"/>
      <w:bookmarkStart w:id="253" w:name="_Toc4009"/>
      <w:bookmarkStart w:id="254" w:name="_Toc16290"/>
      <w:bookmarkStart w:id="255" w:name="_Toc24437"/>
      <w:bookmarkStart w:id="256" w:name="_Toc6958"/>
      <w:bookmarkStart w:id="257" w:name="_Toc8638"/>
      <w:r>
        <w:rPr>
          <w:rFonts w:hint="eastAsia" w:ascii="仿宋_GB2312" w:hAnsi="仿宋_GB2312" w:eastAsia="仿宋_GB2312" w:cs="仿宋_GB2312"/>
          <w:b/>
          <w:bCs/>
          <w:i w:val="0"/>
          <w:iCs w:val="0"/>
          <w:color w:val="000000" w:themeColor="text1"/>
          <w:sz w:val="32"/>
          <w:szCs w:val="32"/>
          <w:highlight w:val="none"/>
          <w:u w:val="none"/>
          <w:lang w:val="en-US" w:eastAsia="zh-CN"/>
          <w14:textFill>
            <w14:solidFill>
              <w14:schemeClr w14:val="tx1"/>
            </w14:solidFill>
          </w14:textFill>
        </w:rPr>
        <w:t>6后期处置</w:t>
      </w:r>
      <w:bookmarkEnd w:id="250"/>
      <w:bookmarkEnd w:id="251"/>
      <w:bookmarkEnd w:id="252"/>
      <w:bookmarkEnd w:id="253"/>
      <w:bookmarkEnd w:id="254"/>
      <w:bookmarkEnd w:id="255"/>
      <w:bookmarkEnd w:id="256"/>
      <w:bookmarkEnd w:id="257"/>
    </w:p>
    <w:bookmarkEnd w:id="245"/>
    <w:bookmarkEnd w:id="246"/>
    <w:bookmarkEnd w:id="247"/>
    <w:bookmarkEnd w:id="248"/>
    <w:bookmarkEnd w:id="249"/>
    <w:p w14:paraId="6C00B89A">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258" w:name="_Toc23996"/>
      <w:bookmarkStart w:id="259" w:name="_Toc23393"/>
      <w:bookmarkStart w:id="260" w:name="_Toc7510"/>
      <w:bookmarkStart w:id="261" w:name="_Toc5112"/>
      <w:bookmarkStart w:id="262" w:name="_Toc10647"/>
      <w:bookmarkStart w:id="263" w:name="_Toc12373"/>
      <w:bookmarkStart w:id="264" w:name="_Toc29701"/>
      <w:bookmarkStart w:id="265" w:name="_Toc6792"/>
      <w:bookmarkStart w:id="266" w:name="_Toc8451"/>
      <w:bookmarkStart w:id="267" w:name="_Toc23193"/>
      <w:bookmarkStart w:id="268" w:name="_Toc29003"/>
      <w:bookmarkStart w:id="269" w:name="_Toc2828"/>
      <w:bookmarkStart w:id="270" w:name="_Toc13306"/>
      <w:bookmarkStart w:id="271" w:name="_Toc17014"/>
      <w:bookmarkStart w:id="272" w:name="_Toc11652"/>
      <w:bookmarkStart w:id="273" w:name="_Toc395522772"/>
      <w:bookmarkStart w:id="274" w:name="_Toc395550918"/>
      <w:bookmarkStart w:id="275" w:name="_Toc393378024"/>
      <w:bookmarkStart w:id="276" w:name="_Toc417547728"/>
      <w:bookmarkStart w:id="277" w:name="_Toc401050428"/>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6.1善后处置</w:t>
      </w:r>
      <w:bookmarkEnd w:id="258"/>
      <w:bookmarkEnd w:id="259"/>
      <w:bookmarkEnd w:id="260"/>
      <w:bookmarkEnd w:id="261"/>
      <w:bookmarkEnd w:id="262"/>
      <w:bookmarkEnd w:id="263"/>
      <w:bookmarkEnd w:id="264"/>
      <w:bookmarkEnd w:id="265"/>
      <w:bookmarkEnd w:id="266"/>
    </w:p>
    <w:p w14:paraId="3A542476">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突发事件应急处置结束后，应急总指挥部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按照国家有关规定</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组织开展突发事件损害调查核定工作</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对突发事件中的伤亡人员、应急处置工作人员</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以及紧急调集、征用的各类物资</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按照规定给予抚恤、补助或补偿</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p>
    <w:p w14:paraId="2E159DFC">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善后处置工作在</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应急总指挥部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的统一领导下组织实施。积极稳妥、深入细致地做好善后处置工作</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尽快恢复正常的生产生活秩序。</w:t>
      </w:r>
    </w:p>
    <w:p w14:paraId="3C2B739E">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bookmarkStart w:id="278" w:name="_Toc11976"/>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6.2调查评估</w:t>
      </w:r>
      <w:bookmarkEnd w:id="267"/>
      <w:bookmarkEnd w:id="268"/>
      <w:bookmarkEnd w:id="269"/>
      <w:bookmarkEnd w:id="270"/>
      <w:bookmarkEnd w:id="271"/>
      <w:bookmarkEnd w:id="272"/>
      <w:bookmarkEnd w:id="278"/>
    </w:p>
    <w:bookmarkEnd w:id="273"/>
    <w:bookmarkEnd w:id="274"/>
    <w:bookmarkEnd w:id="275"/>
    <w:bookmarkEnd w:id="276"/>
    <w:bookmarkEnd w:id="277"/>
    <w:p w14:paraId="6632564B">
      <w:pPr>
        <w:keepNext w:val="0"/>
        <w:keepLines w:val="0"/>
        <w:pageBreakBefore w:val="0"/>
        <w:widowControl w:val="0"/>
        <w:kinsoku/>
        <w:wordWrap/>
        <w:overflowPunct/>
        <w:topLinePunct w:val="0"/>
        <w:autoSpaceDE/>
        <w:autoSpaceDN/>
        <w:bidi w:val="0"/>
        <w:adjustRightInd w:val="0"/>
        <w:snapToGrid w:val="0"/>
        <w:spacing w:line="640" w:lineRule="exact"/>
        <w:ind w:firstLine="641"/>
        <w:jc w:val="both"/>
        <w:textAlignment w:val="auto"/>
        <w:outlineLvl w:val="9"/>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bookmarkStart w:id="279" w:name="_Toc395522773"/>
      <w:bookmarkStart w:id="280" w:name="_Toc401050429"/>
      <w:bookmarkStart w:id="281" w:name="_Toc395550919"/>
      <w:bookmarkStart w:id="282" w:name="_Toc393378025"/>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根据分级响应原则</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超出新港区控制能力或对社会稳定、经济建设造成较大影响的突发事件由上级人民政府</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应视情成立突发事件调查组，对事件原因进行调查</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管委会</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应做好配合工作。</w:t>
      </w:r>
    </w:p>
    <w:p w14:paraId="77433BEE">
      <w:pPr>
        <w:keepNext w:val="0"/>
        <w:keepLines w:val="0"/>
        <w:pageBreakBefore w:val="0"/>
        <w:widowControl w:val="0"/>
        <w:kinsoku/>
        <w:wordWrap/>
        <w:overflowPunct/>
        <w:topLinePunct w:val="0"/>
        <w:autoSpaceDE/>
        <w:autoSpaceDN/>
        <w:bidi w:val="0"/>
        <w:adjustRightInd w:val="0"/>
        <w:snapToGrid w:val="0"/>
        <w:spacing w:line="640" w:lineRule="exact"/>
        <w:ind w:firstLine="641"/>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对社会稳定、经济建设造成较小影响的一般突发事件由管委会</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视情成立突发事件调查组，对事件原因进行调查</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提出防范和改进措施</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。按照有关</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规定，及时</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将调查结果报</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管委会</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w:t>
      </w:r>
    </w:p>
    <w:p w14:paraId="3B9BAD83">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283" w:name="_Toc28276"/>
      <w:bookmarkStart w:id="284" w:name="_Toc2449"/>
      <w:bookmarkStart w:id="285" w:name="_Toc25923"/>
      <w:bookmarkStart w:id="286" w:name="_Toc14933"/>
      <w:bookmarkStart w:id="287" w:name="_Toc417547729"/>
      <w:bookmarkStart w:id="288" w:name="_Toc1762"/>
      <w:bookmarkStart w:id="289" w:name="_Toc6650"/>
      <w:bookmarkStart w:id="290" w:name="_Toc18687"/>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6.3恢复重建</w:t>
      </w:r>
      <w:bookmarkEnd w:id="279"/>
      <w:bookmarkEnd w:id="280"/>
      <w:bookmarkEnd w:id="281"/>
      <w:bookmarkEnd w:id="282"/>
      <w:bookmarkEnd w:id="283"/>
      <w:bookmarkEnd w:id="284"/>
      <w:bookmarkEnd w:id="285"/>
      <w:bookmarkEnd w:id="286"/>
      <w:bookmarkEnd w:id="287"/>
      <w:bookmarkEnd w:id="288"/>
      <w:bookmarkEnd w:id="289"/>
      <w:bookmarkEnd w:id="290"/>
    </w:p>
    <w:p w14:paraId="71D8B79C">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bookmarkStart w:id="291" w:name="_Toc401050430"/>
      <w:bookmarkStart w:id="292" w:name="_Toc395522774"/>
      <w:bookmarkStart w:id="293" w:name="_Toc393378026"/>
      <w:bookmarkStart w:id="294" w:name="_Toc395550920"/>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恢复重建工作由</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应急总指挥部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统筹安排。对受灾情况、重建能力及可利用资源全面评估，有针对性地制定灾后重建和恢复生产、生活计划，并组织实施。需要上级政府援助的，由</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管委会</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提出请求，有关部门根据调查评估报告和恢复重建计划，提出相关建议或意见，按规定报批后组织实施。</w:t>
      </w:r>
    </w:p>
    <w:p w14:paraId="43522C06">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法律服务部组织法律援助机构和有关社会力量，依法为突发事件涉及人员提供法律援助，维护其合法权益。工会协助卫生健康机构开展心理咨询、抚慰等心理危机干预工作。</w:t>
      </w:r>
    </w:p>
    <w:p w14:paraId="462E1B4F">
      <w:pPr>
        <w:pStyle w:val="7"/>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0"/>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bookmarkStart w:id="295" w:name="_Toc417547730"/>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br w:type="page"/>
      </w:r>
      <w:bookmarkEnd w:id="291"/>
      <w:bookmarkEnd w:id="292"/>
      <w:bookmarkEnd w:id="293"/>
      <w:bookmarkEnd w:id="294"/>
      <w:bookmarkEnd w:id="295"/>
      <w:bookmarkStart w:id="296" w:name="_Toc28797"/>
      <w:bookmarkStart w:id="297" w:name="_Toc1200"/>
      <w:bookmarkStart w:id="298" w:name="_Toc23220"/>
      <w:bookmarkStart w:id="299" w:name="_Toc5424"/>
      <w:bookmarkStart w:id="300" w:name="_Toc6647"/>
      <w:bookmarkStart w:id="301" w:name="_Toc1597"/>
      <w:bookmarkStart w:id="302" w:name="_Toc4923"/>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7应急保障</w:t>
      </w:r>
      <w:bookmarkEnd w:id="296"/>
      <w:bookmarkEnd w:id="297"/>
      <w:bookmarkEnd w:id="298"/>
      <w:bookmarkEnd w:id="299"/>
      <w:bookmarkEnd w:id="300"/>
      <w:bookmarkEnd w:id="301"/>
      <w:bookmarkEnd w:id="302"/>
    </w:p>
    <w:p w14:paraId="540B9318">
      <w:pPr>
        <w:keepNext w:val="0"/>
        <w:keepLines w:val="0"/>
        <w:pageBreakBefore w:val="0"/>
        <w:widowControl w:val="0"/>
        <w:kinsoku/>
        <w:wordWrap/>
        <w:overflowPunct/>
        <w:topLinePunct w:val="0"/>
        <w:autoSpaceDE/>
        <w:autoSpaceDN/>
        <w:bidi w:val="0"/>
        <w:adjustRightInd w:val="0"/>
        <w:snapToGrid w:val="0"/>
        <w:spacing w:line="640" w:lineRule="exact"/>
        <w:ind w:firstLine="646"/>
        <w:jc w:val="both"/>
        <w:textAlignment w:val="auto"/>
        <w:outlineLvl w:val="9"/>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bookmarkStart w:id="303" w:name="_Toc8301"/>
      <w:bookmarkStart w:id="304" w:name="_Toc401050446"/>
      <w:bookmarkStart w:id="305" w:name="_Toc395550938"/>
      <w:bookmarkStart w:id="306" w:name="_Toc395522792"/>
      <w:bookmarkStart w:id="307" w:name="_Toc393378044"/>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各部门（单位）要</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按照职责分工和相关应急预案，认真做好应对突发事件的人力、财力</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物资、治安及人员防护</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等工作，保证应急救援工作需要和</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新港区基本群众</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的基本生活，以及恢复重建工作的顺利进行。</w:t>
      </w:r>
    </w:p>
    <w:p w14:paraId="1F4D01E8">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eastAsia="zh-CN"/>
          <w14:textFill>
            <w14:solidFill>
              <w14:schemeClr w14:val="tx1"/>
            </w14:solidFill>
          </w14:textFill>
        </w:rPr>
      </w:pPr>
      <w:bookmarkStart w:id="308" w:name="_Toc7933"/>
      <w:bookmarkStart w:id="309" w:name="_Toc26223"/>
      <w:bookmarkStart w:id="310" w:name="_Toc29401"/>
      <w:bookmarkStart w:id="311" w:name="_Toc18620"/>
      <w:bookmarkStart w:id="312" w:name="_Toc14568"/>
      <w:bookmarkStart w:id="313" w:name="_Toc2671"/>
      <w:bookmarkStart w:id="314" w:name="_Toc24588"/>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7</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.1</w:t>
      </w: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人力资源</w:t>
      </w:r>
      <w:bookmarkEnd w:id="308"/>
      <w:bookmarkEnd w:id="309"/>
      <w:bookmarkEnd w:id="310"/>
      <w:bookmarkEnd w:id="311"/>
      <w:bookmarkEnd w:id="312"/>
      <w:bookmarkEnd w:id="313"/>
      <w:bookmarkEnd w:id="314"/>
    </w:p>
    <w:p w14:paraId="487A77D1">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管委会应当协调新港区各有关部门（单位）组建</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突发事件</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应对处置队伍</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，负责或参与应急处置工作</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主要综合应急救援力量为临港消防救援中队。</w:t>
      </w:r>
    </w:p>
    <w:p w14:paraId="1FC6BFCE">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315" w:name="_Toc6510"/>
      <w:bookmarkStart w:id="316" w:name="_Toc29599"/>
      <w:bookmarkStart w:id="317" w:name="_Toc22615"/>
      <w:bookmarkStart w:id="318" w:name="_Toc12761"/>
      <w:bookmarkStart w:id="319" w:name="_Toc997"/>
      <w:bookmarkStart w:id="320" w:name="_Toc25288"/>
      <w:bookmarkStart w:id="321" w:name="_Toc15275"/>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7</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w:t>
      </w: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2财力保障</w:t>
      </w:r>
      <w:bookmarkEnd w:id="315"/>
      <w:bookmarkEnd w:id="316"/>
      <w:bookmarkEnd w:id="317"/>
      <w:bookmarkEnd w:id="318"/>
      <w:bookmarkEnd w:id="319"/>
      <w:bookmarkEnd w:id="320"/>
      <w:bookmarkEnd w:id="321"/>
    </w:p>
    <w:p w14:paraId="5FF2349F">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outlineLvl w:val="9"/>
        <w:rPr>
          <w:rFonts w:hint="eastAsia" w:ascii="仿宋_GB2312" w:hAnsi="仿宋_GB2312" w:eastAsia="仿宋_GB2312" w:cs="仿宋_GB2312"/>
          <w:b w:val="0"/>
          <w:bCs w:val="0"/>
          <w:color w:val="000000" w:themeColor="text1"/>
          <w:sz w:val="32"/>
          <w:szCs w:val="32"/>
          <w:highlight w:val="none"/>
          <w:u w:val="none"/>
          <w:lang w:val="en-US"/>
          <w14:textFill>
            <w14:solidFill>
              <w14:schemeClr w14:val="tx1"/>
            </w14:solidFill>
          </w14:textFill>
        </w:rPr>
      </w:pP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t>财政金融部负责新港区突发事件处置应急资金保障工作。需要上级政府部门财政支持的，由应急总指挥部上报市人民政府及市相关部门申请支持。</w:t>
      </w:r>
    </w:p>
    <w:p w14:paraId="5DFD697F">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322" w:name="_Toc15844"/>
      <w:bookmarkStart w:id="323" w:name="_Toc25265"/>
      <w:bookmarkStart w:id="324" w:name="_Toc27564"/>
      <w:bookmarkStart w:id="325" w:name="_Toc15051"/>
      <w:bookmarkStart w:id="326" w:name="_Toc10751"/>
      <w:bookmarkStart w:id="327" w:name="_Toc23140"/>
      <w:bookmarkStart w:id="328" w:name="_Toc11473"/>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7</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w:t>
      </w: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3物资保障</w:t>
      </w:r>
      <w:bookmarkEnd w:id="322"/>
      <w:bookmarkEnd w:id="323"/>
      <w:bookmarkEnd w:id="324"/>
      <w:bookmarkEnd w:id="325"/>
      <w:bookmarkEnd w:id="326"/>
      <w:bookmarkEnd w:id="327"/>
      <w:bookmarkEnd w:id="328"/>
    </w:p>
    <w:p w14:paraId="2A7F69CD">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t>新港区</w:t>
      </w:r>
      <w:r>
        <w:rPr>
          <w:rFonts w:hint="eastAsia" w:ascii="仿宋_GB2312" w:hAnsi="仿宋_GB2312" w:eastAsia="仿宋_GB2312" w:cs="仿宋_GB2312"/>
          <w:b w:val="0"/>
          <w:bCs w:val="0"/>
          <w:color w:val="000000" w:themeColor="text1"/>
          <w:kern w:val="0"/>
          <w:sz w:val="32"/>
          <w:szCs w:val="32"/>
          <w:highlight w:val="none"/>
          <w:u w:val="none"/>
          <w:shd w:val="clear" w:color="auto" w:fill="FFFFFF"/>
          <w:lang w:val="en-US" w:eastAsia="zh-CN" w:bidi="ar-SA"/>
          <w14:textFill>
            <w14:solidFill>
              <w14:schemeClr w14:val="tx1"/>
            </w14:solidFill>
          </w14:textFill>
        </w:rPr>
        <w:t>应急物资的调用由应急总指挥部办公室统一协调。</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由社会发展部牵头，各相关部门（单位）根据应急物资储备规划、品种目录和标准、年度购置计划开展应急物资的储备工作。</w:t>
      </w:r>
    </w:p>
    <w:p w14:paraId="798A5A30">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各类物资装备可</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由相关部门与相关企业签订应急保障服务协议，采取部门资助、合同、委托</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及政府采购</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等方式进行</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储备</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，确保发生突发事件后</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能</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及时调用。</w:t>
      </w:r>
    </w:p>
    <w:p w14:paraId="273FBB49">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rPr>
          <w:rFonts w:hint="eastAsia" w:ascii="仿宋_GB2312" w:hAnsi="仿宋_GB2312" w:eastAsia="仿宋_GB2312" w:cs="仿宋_GB2312"/>
          <w:b w:val="0"/>
          <w:bCs w:val="0"/>
          <w:color w:val="000000" w:themeColor="text1"/>
          <w:kern w:val="0"/>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必要时</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可紧急动员和征用其他</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单位</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及社会的</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应急救援</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装备。</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当新港区应急物资无法有效应对突发事件时，</w:t>
      </w:r>
      <w:r>
        <w:rPr>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t>由应急总指挥部上报岳阳市相关部门申请支持。</w:t>
      </w:r>
    </w:p>
    <w:p w14:paraId="667055C9">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329" w:name="_Toc9351"/>
      <w:bookmarkStart w:id="330" w:name="_Toc27633"/>
      <w:bookmarkStart w:id="331" w:name="_Toc13797"/>
      <w:bookmarkStart w:id="332" w:name="_Toc22052"/>
      <w:bookmarkStart w:id="333" w:name="_Toc31877"/>
      <w:bookmarkStart w:id="334" w:name="_Toc31194"/>
      <w:bookmarkStart w:id="335" w:name="_Toc31133"/>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7.4治安保障</w:t>
      </w:r>
      <w:bookmarkEnd w:id="329"/>
      <w:bookmarkEnd w:id="330"/>
      <w:bookmarkEnd w:id="331"/>
      <w:bookmarkEnd w:id="332"/>
      <w:bookmarkEnd w:id="333"/>
      <w:bookmarkEnd w:id="334"/>
      <w:bookmarkEnd w:id="335"/>
    </w:p>
    <w:p w14:paraId="43CA1EBE">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突发事件发生后，在</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应急总指挥部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的领导下，由</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新港区派出所和新港区交警大队负责组织、安排相关部门（单位）</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负责在突发事件处置现场周围设立警戒区和警戒哨，做好现场控制、交通管制、疏散救助群众、维护公共秩序工作。</w:t>
      </w:r>
    </w:p>
    <w:p w14:paraId="30CA1071">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336" w:name="_Toc10313"/>
      <w:bookmarkStart w:id="337" w:name="_Toc11427"/>
      <w:bookmarkStart w:id="338" w:name="_Toc8014"/>
      <w:bookmarkStart w:id="339" w:name="_Toc8621"/>
      <w:bookmarkStart w:id="340" w:name="_Toc24618"/>
      <w:bookmarkStart w:id="341" w:name="_Toc21967"/>
      <w:bookmarkStart w:id="342" w:name="_Toc21786"/>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7.5人员防护</w:t>
      </w:r>
      <w:bookmarkEnd w:id="336"/>
      <w:bookmarkEnd w:id="337"/>
      <w:bookmarkEnd w:id="338"/>
      <w:bookmarkEnd w:id="339"/>
      <w:bookmarkEnd w:id="340"/>
      <w:bookmarkEnd w:id="341"/>
      <w:bookmarkEnd w:id="342"/>
    </w:p>
    <w:p w14:paraId="5A55EC18">
      <w:pPr>
        <w:keepNext w:val="0"/>
        <w:keepLines w:val="0"/>
        <w:pageBreakBefore w:val="0"/>
        <w:widowControl w:val="0"/>
        <w:kinsoku/>
        <w:wordWrap/>
        <w:overflowPunct/>
        <w:topLinePunct w:val="0"/>
        <w:autoSpaceDE/>
        <w:autoSpaceDN/>
        <w:bidi w:val="0"/>
        <w:adjustRightInd w:val="0"/>
        <w:snapToGrid w:val="0"/>
        <w:spacing w:line="640" w:lineRule="exact"/>
        <w:ind w:firstLine="645"/>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现场指挥部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要为现场涉险人员和应急救援人员提供符合要求的安全防护装备，采取必要的防护措施，严格按照程序开展</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应急救援工作，确保人员安全</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w:t>
      </w:r>
    </w:p>
    <w:p w14:paraId="23E51479">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bookmarkStart w:id="343" w:name="_Toc1192"/>
      <w:bookmarkStart w:id="344" w:name="_Toc21122"/>
      <w:bookmarkStart w:id="345" w:name="_Toc24626"/>
      <w:bookmarkStart w:id="346" w:name="_Toc32655"/>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7.6通信保障</w:t>
      </w:r>
      <w:bookmarkEnd w:id="343"/>
    </w:p>
    <w:p w14:paraId="0C86D166">
      <w:pPr>
        <w:pStyle w:val="39"/>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r>
        <w:rPr>
          <w:rFonts w:hint="eastAsia" w:hAnsi="仿宋_GB2312" w:cs="仿宋_GB2312"/>
          <w:b w:val="0"/>
          <w:bCs w:val="0"/>
          <w:color w:val="000000" w:themeColor="text1"/>
          <w:sz w:val="32"/>
          <w:szCs w:val="32"/>
          <w:lang w:val="en-US" w:eastAsia="zh-CN"/>
          <w14:textFill>
            <w14:solidFill>
              <w14:schemeClr w14:val="tx1"/>
            </w14:solidFill>
          </w14:textFill>
        </w:rPr>
        <w:t>应急总指挥部</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以及参与</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突发事件</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应对处置工作的相关部门（单位）、应急救援队伍，确保应急通信联络畅通</w:t>
      </w:r>
      <w:r>
        <w:rPr>
          <w:rFonts w:hint="eastAsia" w:hAnsi="仿宋_GB2312" w:cs="仿宋_GB2312"/>
          <w:b w:val="0"/>
          <w:bCs w:val="0"/>
          <w:color w:val="000000" w:themeColor="text1"/>
          <w:sz w:val="32"/>
          <w:szCs w:val="32"/>
          <w:lang w:eastAsia="zh-CN"/>
          <w14:textFill>
            <w14:solidFill>
              <w14:schemeClr w14:val="tx1"/>
            </w14:solidFill>
          </w14:textFill>
        </w:rPr>
        <w:t>，</w:t>
      </w:r>
      <w:r>
        <w:rPr>
          <w:rFonts w:hint="eastAsia" w:hAnsi="仿宋_GB2312" w:cs="仿宋_GB2312"/>
          <w:b w:val="0"/>
          <w:bCs w:val="0"/>
          <w:color w:val="000000" w:themeColor="text1"/>
          <w:sz w:val="32"/>
          <w:szCs w:val="32"/>
          <w:lang w:val="en-US" w:eastAsia="zh-CN"/>
          <w14:textFill>
            <w14:solidFill>
              <w14:schemeClr w14:val="tx1"/>
            </w14:solidFill>
          </w14:textFill>
        </w:rPr>
        <w:t>设24小时综合值班电话0730-8422226</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p>
    <w:p w14:paraId="3E7BCC4F">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347" w:name="_Toc25907"/>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7.7应急避难场所保障</w:t>
      </w:r>
      <w:bookmarkEnd w:id="347"/>
    </w:p>
    <w:p w14:paraId="78B81EC2">
      <w:pPr>
        <w:pStyle w:val="39"/>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突发事件发生后，管委会根据突发事件危险程度及事态发展情况启用应急避难场所，组织群众进入避难。</w:t>
      </w:r>
    </w:p>
    <w:p w14:paraId="72D57A1E">
      <w:pPr>
        <w:pStyle w:val="39"/>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避难场所除必须具备两条以上的应急疏散通道，时刻保持畅通无阻外，还应具备应急供水设施、应急棚宿、应急照明用电、应急厕所和广播等基本功能。在应急避难场所附近的重要路口要设置明显的标志牌。</w:t>
      </w:r>
    </w:p>
    <w:p w14:paraId="03EF14FB">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348" w:name="_Toc25780"/>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7.8区域合作保障</w:t>
      </w:r>
      <w:bookmarkEnd w:id="348"/>
    </w:p>
    <w:p w14:paraId="35D5BEE5">
      <w:pPr>
        <w:pStyle w:val="39"/>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管委会及有关部门（单位）要加强应急管理区域合作，建立健全应急管理联动机制、应急资源区域共享机制。</w:t>
      </w:r>
    </w:p>
    <w:p w14:paraId="4A670163">
      <w:pPr>
        <w:pStyle w:val="39"/>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加强与毗邻县（市、区）的应急管理交流合作，不断完善应急管理联动机制，加强训练基地共享与应急演练联动，为应对区域性突发事件提供合作与联动保障。</w:t>
      </w:r>
    </w:p>
    <w:p w14:paraId="24814115">
      <w:pPr>
        <w:pStyle w:val="39"/>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pPr>
    </w:p>
    <w:p w14:paraId="11ACA380">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0"/>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br w:type="page"/>
      </w:r>
      <w:bookmarkEnd w:id="344"/>
      <w:bookmarkEnd w:id="345"/>
      <w:bookmarkEnd w:id="346"/>
      <w:bookmarkStart w:id="349" w:name="_Toc12794"/>
      <w:bookmarkStart w:id="350" w:name="_Toc22199"/>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8预案管理</w:t>
      </w:r>
      <w:bookmarkEnd w:id="349"/>
      <w:bookmarkEnd w:id="350"/>
    </w:p>
    <w:p w14:paraId="0284CFDC">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val="en-US"/>
          <w14:textFill>
            <w14:solidFill>
              <w14:schemeClr w14:val="tx1"/>
            </w14:solidFill>
          </w14:textFill>
        </w:rPr>
      </w:pPr>
      <w:bookmarkStart w:id="351" w:name="_Toc25656"/>
      <w:bookmarkStart w:id="352" w:name="_Toc12345"/>
      <w:bookmarkStart w:id="353" w:name="_Toc27200"/>
      <w:bookmarkStart w:id="354" w:name="_Toc26414"/>
      <w:bookmarkStart w:id="355" w:name="_Toc4073"/>
      <w:bookmarkStart w:id="356" w:name="_Toc6458"/>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8</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.1</w:t>
      </w:r>
      <w:bookmarkEnd w:id="303"/>
      <w:bookmarkEnd w:id="351"/>
      <w:bookmarkEnd w:id="352"/>
      <w:bookmarkEnd w:id="353"/>
      <w:bookmarkEnd w:id="354"/>
      <w:bookmarkEnd w:id="355"/>
      <w:bookmarkStart w:id="357" w:name="_Toc8311"/>
      <w:bookmarkStart w:id="358" w:name="_Toc25877"/>
      <w:bookmarkStart w:id="359" w:name="_Toc15177"/>
      <w:bookmarkStart w:id="360" w:name="_Toc13153"/>
      <w:bookmarkStart w:id="361" w:name="_Toc8026"/>
      <w:bookmarkStart w:id="362" w:name="_Toc10435"/>
      <w:bookmarkStart w:id="363" w:name="_Toc15557"/>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奖励与责任</w:t>
      </w:r>
      <w:bookmarkEnd w:id="356"/>
      <w:bookmarkEnd w:id="357"/>
      <w:bookmarkEnd w:id="358"/>
      <w:bookmarkEnd w:id="359"/>
      <w:bookmarkEnd w:id="360"/>
      <w:bookmarkEnd w:id="361"/>
      <w:bookmarkEnd w:id="362"/>
      <w:bookmarkEnd w:id="363"/>
    </w:p>
    <w:p w14:paraId="276FACA0">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应急管理工作应纳入管委会绩效考核。对在预防和处置突发事件中表现突出、成绩显著的单位和个人，由管委会或有关部门（单位）给予表彰或奖励。</w:t>
      </w:r>
    </w:p>
    <w:p w14:paraId="79FB2D5F">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对应急管理工作中推诿扯皮、不作为，突发事件信息报告中迟报、漏报、谎报、瞒报，突发事件现场处置中失职、渎职，信息发布不力，以及应急准备中责任应尽未尽并造成严重后果等不履行或不当履行法定职责的，按照有关规定追究责任。在</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突发事件</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应急管理工作中有下列行为之一的，依法依纪对有关</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部门（单位）、</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责任人员给予行政处分，构成犯罪的，依法</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移送司法机关</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追究刑事责任：</w:t>
      </w:r>
    </w:p>
    <w:p w14:paraId="78C02BA6">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）未依照规定履行报告职责，迟报、瞒报、漏报和谎报或者授意他人迟报、瞒报、漏报和谎报</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突发事件</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重要情况的；</w:t>
      </w:r>
    </w:p>
    <w:p w14:paraId="1958844B">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）未依照规定完成</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突发事件</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应急处置所需设施、设备、急需物资的生产、供应、运输和储备的；</w:t>
      </w:r>
    </w:p>
    <w:p w14:paraId="17D10D4E">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突发事件</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发生后，对上级政府有关部门的调查不予配合，或者采取其他方式阻碍、干涉调查的；</w:t>
      </w:r>
    </w:p>
    <w:p w14:paraId="040B38CF">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（4</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）在</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突发事件</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调查、控制、救治工作中玩忽职守、失职、渎职的；</w:t>
      </w:r>
    </w:p>
    <w:p w14:paraId="05DD97FE">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）有关部门</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单位</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应履行而拒不履行应急处理职责的；</w:t>
      </w:r>
    </w:p>
    <w:p w14:paraId="7AD7A715">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（6</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）有其他失职、渎职行为的。</w:t>
      </w:r>
    </w:p>
    <w:p w14:paraId="3835D011">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eastAsia="zh-CN"/>
          <w14:textFill>
            <w14:solidFill>
              <w14:schemeClr w14:val="tx1"/>
            </w14:solidFill>
          </w14:textFill>
        </w:rPr>
      </w:pPr>
      <w:bookmarkStart w:id="364" w:name="_Toc417547747"/>
      <w:bookmarkStart w:id="365" w:name="_Toc25936"/>
      <w:bookmarkStart w:id="366" w:name="_Toc24859"/>
      <w:bookmarkStart w:id="367" w:name="_Toc6557"/>
      <w:bookmarkStart w:id="368" w:name="_Toc7921"/>
      <w:bookmarkStart w:id="369" w:name="_Toc23036"/>
      <w:bookmarkStart w:id="370" w:name="_Toc15743"/>
      <w:bookmarkStart w:id="371" w:name="_Toc7017"/>
      <w:bookmarkStart w:id="372" w:name="_Toc6041"/>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8</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w:t>
      </w:r>
      <w:bookmarkEnd w:id="304"/>
      <w:bookmarkEnd w:id="305"/>
      <w:bookmarkEnd w:id="306"/>
      <w:bookmarkEnd w:id="307"/>
      <w:bookmarkEnd w:id="364"/>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2培训与演练</w:t>
      </w:r>
      <w:bookmarkEnd w:id="365"/>
      <w:bookmarkEnd w:id="366"/>
      <w:bookmarkEnd w:id="367"/>
      <w:bookmarkEnd w:id="368"/>
      <w:bookmarkEnd w:id="369"/>
      <w:bookmarkEnd w:id="370"/>
      <w:bookmarkEnd w:id="371"/>
      <w:bookmarkEnd w:id="372"/>
    </w:p>
    <w:p w14:paraId="40511BDE">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2"/>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bookmarkStart w:id="373" w:name="_Toc10756"/>
      <w:bookmarkStart w:id="374" w:name="_Toc25612"/>
      <w:bookmarkStart w:id="375" w:name="_Toc7492"/>
      <w:bookmarkStart w:id="376" w:name="_Toc2924"/>
      <w:bookmarkStart w:id="377" w:name="_Toc308"/>
      <w:bookmarkStart w:id="378" w:name="_Toc11251"/>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8</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2.1</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宣教培训</w:t>
      </w:r>
      <w:bookmarkEnd w:id="373"/>
      <w:bookmarkEnd w:id="374"/>
      <w:bookmarkEnd w:id="375"/>
      <w:bookmarkEnd w:id="376"/>
      <w:bookmarkEnd w:id="377"/>
      <w:bookmarkEnd w:id="378"/>
    </w:p>
    <w:p w14:paraId="3753D934">
      <w:pPr>
        <w:keepNext w:val="0"/>
        <w:keepLines w:val="0"/>
        <w:pageBreakBefore w:val="0"/>
        <w:widowControl w:val="0"/>
        <w:kinsoku/>
        <w:wordWrap/>
        <w:overflowPunct/>
        <w:topLinePunct w:val="0"/>
        <w:autoSpaceDE/>
        <w:autoSpaceDN/>
        <w:bidi w:val="0"/>
        <w:adjustRightInd w:val="0"/>
        <w:snapToGrid w:val="0"/>
        <w:spacing w:line="640" w:lineRule="exact"/>
        <w:ind w:firstLine="64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新港区各有关部门（单位）应</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当定期组织开展突发事件</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相关法律法规</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和应急知识的宣传教育，普及应急预防、避险、自救、互救、减灾等知识，并加强对</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新港区各企事业</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单位宣教培训工作的指导和监督。</w:t>
      </w:r>
    </w:p>
    <w:p w14:paraId="4FC097AF">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2"/>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bookmarkStart w:id="379" w:name="_Toc6219"/>
      <w:bookmarkStart w:id="380" w:name="_Toc20489"/>
      <w:bookmarkStart w:id="381" w:name="_Toc12125"/>
      <w:bookmarkStart w:id="382" w:name="_Toc28045"/>
      <w:bookmarkStart w:id="383" w:name="_Toc11266"/>
      <w:bookmarkStart w:id="384" w:name="_Toc11201"/>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8.2.2预案演练</w:t>
      </w:r>
      <w:bookmarkEnd w:id="379"/>
      <w:bookmarkEnd w:id="380"/>
      <w:bookmarkEnd w:id="381"/>
      <w:bookmarkEnd w:id="382"/>
      <w:bookmarkEnd w:id="383"/>
      <w:bookmarkEnd w:id="384"/>
    </w:p>
    <w:p w14:paraId="52F3F0B8">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由</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应急总指挥部办公室制定</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年度应急演练计划，组织开展多部门联合、人员广泛参与、处置联动性强、形式多样、节约高效的应急演练。应急预案至少每</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年进行</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次应急演练。</w:t>
      </w:r>
    </w:p>
    <w:p w14:paraId="0674FE33">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385" w:name="_Toc417547748"/>
      <w:bookmarkStart w:id="386" w:name="_Toc16521"/>
      <w:bookmarkStart w:id="387" w:name="_Toc27547"/>
      <w:bookmarkStart w:id="388" w:name="_Toc10686"/>
      <w:bookmarkStart w:id="389" w:name="_Toc2077"/>
      <w:bookmarkStart w:id="390" w:name="_Toc395550940"/>
      <w:bookmarkStart w:id="391" w:name="_Toc393378046"/>
      <w:bookmarkStart w:id="392" w:name="_Toc401050448"/>
      <w:bookmarkStart w:id="393" w:name="_Toc395522794"/>
      <w:bookmarkStart w:id="394" w:name="_Toc2576"/>
      <w:bookmarkStart w:id="395" w:name="_Toc14626"/>
      <w:bookmarkStart w:id="396" w:name="_Toc8531"/>
      <w:bookmarkStart w:id="397" w:name="_Toc6865"/>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8</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w:t>
      </w:r>
      <w:bookmarkEnd w:id="385"/>
      <w:bookmarkEnd w:id="386"/>
      <w:bookmarkEnd w:id="387"/>
      <w:bookmarkEnd w:id="388"/>
      <w:bookmarkEnd w:id="389"/>
      <w:bookmarkEnd w:id="390"/>
      <w:bookmarkEnd w:id="391"/>
      <w:bookmarkEnd w:id="392"/>
      <w:bookmarkEnd w:id="393"/>
      <w:bookmarkEnd w:id="394"/>
      <w:bookmarkEnd w:id="395"/>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3其他说明</w:t>
      </w:r>
      <w:bookmarkEnd w:id="396"/>
      <w:bookmarkEnd w:id="397"/>
    </w:p>
    <w:p w14:paraId="3BDC2B30">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管委会</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负责对《</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湖南城陵矶新港区突发事件总体应急预案</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》进行修订、完善、备案、评审与</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发布</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工作。</w:t>
      </w:r>
    </w:p>
    <w:p w14:paraId="3153EE1B">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bookmarkStart w:id="398" w:name="_Toc395550941"/>
      <w:bookmarkStart w:id="399" w:name="_Toc393378047"/>
      <w:bookmarkStart w:id="400" w:name="_Toc401050449"/>
      <w:bookmarkStart w:id="401" w:name="_Toc395522795"/>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有下列情形之一的，应当及时修订应急预案</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p>
    <w:p w14:paraId="6FA308B1">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有关</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法律、法规</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、规章、标准</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及</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上级预案中的有关规定发生变化的</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p>
    <w:p w14:paraId="095C2D21">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应急指挥机构及其职责发生重大调整的</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p>
    <w:p w14:paraId="0F515792">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面临的风险发生重大变化的</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p>
    <w:p w14:paraId="57B42EAA">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（4</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重要应急资源发生重大变化的</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p>
    <w:p w14:paraId="742108B4">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预案中的其他重要信息发生变化的</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p>
    <w:p w14:paraId="38C32E3E">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（6</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在突发事件实际应对和应急演练中发现问题需要</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做出</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重大调整的</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p>
    <w:p w14:paraId="0F4B5C65">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（7</w:t>
      </w:r>
      <w:r>
        <w:rPr>
          <w:rFonts w:hint="eastAsia" w:ascii="仿宋_GB2312" w:hAnsi="仿宋_GB2312" w:eastAsia="仿宋_GB2312" w:cs="仿宋_GB2312"/>
          <w:b w:val="0"/>
          <w:bCs w:val="0"/>
          <w:color w:val="000000" w:themeColor="text1"/>
          <w:sz w:val="32"/>
          <w:szCs w:val="32"/>
          <w:highlight w:val="none"/>
          <w:u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none"/>
          <w14:textFill>
            <w14:solidFill>
              <w14:schemeClr w14:val="tx1"/>
            </w14:solidFill>
          </w14:textFill>
        </w:rPr>
        <w:t>应急预案制定单位认为应当修订的其他情况。</w:t>
      </w:r>
    </w:p>
    <w:p w14:paraId="258E524E">
      <w:pPr>
        <w:keepNext w:val="0"/>
        <w:keepLines w:val="0"/>
        <w:pageBreakBefore w:val="0"/>
        <w:widowControl w:val="0"/>
        <w:kinsoku/>
        <w:wordWrap/>
        <w:overflowPunct/>
        <w:topLinePunct w:val="0"/>
        <w:autoSpaceDE/>
        <w:autoSpaceDN/>
        <w:bidi w:val="0"/>
        <w:adjustRightInd w:val="0"/>
        <w:snapToGrid w:val="0"/>
        <w:spacing w:line="640" w:lineRule="exact"/>
        <w:ind w:left="0" w:leftChars="0" w:firstLine="0" w:firstLineChars="0"/>
        <w:jc w:val="both"/>
        <w:textAlignment w:val="auto"/>
        <w:outlineLvl w:val="1"/>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pPr>
      <w:bookmarkStart w:id="402" w:name="_Toc29585"/>
      <w:bookmarkStart w:id="403" w:name="_Toc29459"/>
      <w:bookmarkStart w:id="404" w:name="_Toc26109"/>
      <w:bookmarkStart w:id="405" w:name="_Toc5735"/>
      <w:bookmarkStart w:id="406" w:name="_Toc27378"/>
      <w:bookmarkStart w:id="407" w:name="_Toc30778"/>
      <w:bookmarkStart w:id="408" w:name="_Toc12743"/>
      <w:bookmarkStart w:id="409" w:name="_Toc19916"/>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8</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w:t>
      </w:r>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4</w:t>
      </w:r>
      <w:r>
        <w:rPr>
          <w:rFonts w:hint="eastAsia" w:ascii="仿宋_GB2312" w:hAnsi="仿宋_GB2312" w:eastAsia="仿宋_GB2312" w:cs="仿宋_GB2312"/>
          <w:b/>
          <w:bCs/>
          <w:color w:val="000000" w:themeColor="text1"/>
          <w:sz w:val="32"/>
          <w:szCs w:val="32"/>
          <w:highlight w:val="none"/>
          <w:u w:val="none"/>
          <w14:textFill>
            <w14:solidFill>
              <w14:schemeClr w14:val="tx1"/>
            </w14:solidFill>
          </w14:textFill>
        </w:rPr>
        <w:t>发布</w:t>
      </w:r>
      <w:bookmarkEnd w:id="398"/>
      <w:bookmarkEnd w:id="399"/>
      <w:bookmarkEnd w:id="400"/>
      <w:bookmarkEnd w:id="401"/>
      <w:bookmarkEnd w:id="402"/>
      <w:bookmarkEnd w:id="403"/>
      <w:bookmarkEnd w:id="404"/>
      <w:bookmarkEnd w:id="405"/>
      <w:bookmarkEnd w:id="406"/>
      <w:bookmarkEnd w:id="407"/>
      <w:bookmarkEnd w:id="408"/>
      <w:r>
        <w:rPr>
          <w:rFonts w:hint="eastAsia" w:ascii="仿宋_GB2312" w:hAnsi="仿宋_GB2312" w:eastAsia="仿宋_GB2312" w:cs="仿宋_GB2312"/>
          <w:b/>
          <w:bCs/>
          <w:color w:val="000000" w:themeColor="text1"/>
          <w:sz w:val="32"/>
          <w:szCs w:val="32"/>
          <w:highlight w:val="none"/>
          <w:u w:val="none"/>
          <w:lang w:val="en-US" w:eastAsia="zh-CN"/>
          <w14:textFill>
            <w14:solidFill>
              <w14:schemeClr w14:val="tx1"/>
            </w14:solidFill>
          </w14:textFill>
        </w:rPr>
        <w:t>与衔接</w:t>
      </w:r>
      <w:bookmarkEnd w:id="409"/>
    </w:p>
    <w:p w14:paraId="00FC0A93">
      <w:pPr>
        <w:keepNext w:val="0"/>
        <w:keepLines w:val="0"/>
        <w:pageBreakBefore w:val="0"/>
        <w:widowControl w:val="0"/>
        <w:kinsoku/>
        <w:wordWrap/>
        <w:overflowPunct/>
        <w:topLinePunct w:val="0"/>
        <w:autoSpaceDE/>
        <w:autoSpaceDN/>
        <w:bidi w:val="0"/>
        <w:adjustRightInd w:val="0"/>
        <w:snapToGrid w:val="0"/>
        <w:spacing w:line="640" w:lineRule="exact"/>
        <w:ind w:firstLine="627" w:firstLineChars="196"/>
        <w:jc w:val="both"/>
        <w:textAlignment w:val="auto"/>
        <w:rPr>
          <w:rFonts w:hint="eastAsia" w:ascii="仿宋_GB2312" w:hAnsi="仿宋_GB2312" w:eastAsia="仿宋_GB2312" w:cs="仿宋_GB2312"/>
          <w:b w:val="0"/>
          <w:bCs w:val="0"/>
          <w:color w:val="000000" w:themeColor="text1"/>
          <w:sz w:val="32"/>
          <w:szCs w:val="32"/>
          <w:highlight w:val="none"/>
          <w:u w:val="none"/>
          <w:lang w:val="zh-CN"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本预案</w:t>
      </w:r>
      <w:r>
        <w:rPr>
          <w:rFonts w:hint="eastAsia" w:ascii="仿宋_GB2312" w:hAnsi="仿宋_GB2312" w:eastAsia="仿宋_GB2312" w:cs="仿宋_GB2312"/>
          <w:b w:val="0"/>
          <w:bCs w:val="0"/>
          <w:color w:val="000000" w:themeColor="text1"/>
          <w:sz w:val="32"/>
          <w:szCs w:val="32"/>
          <w:highlight w:val="none"/>
          <w:u w:val="none"/>
          <w:lang w:val="zh-CN"/>
          <w14:textFill>
            <w14:solidFill>
              <w14:schemeClr w14:val="tx1"/>
            </w14:solidFill>
          </w14:textFill>
        </w:rPr>
        <w:t>经</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管委会</w:t>
      </w:r>
      <w:r>
        <w:rPr>
          <w:rFonts w:hint="eastAsia" w:ascii="仿宋_GB2312" w:hAnsi="仿宋_GB2312" w:eastAsia="仿宋_GB2312" w:cs="仿宋_GB2312"/>
          <w:b w:val="0"/>
          <w:bCs w:val="0"/>
          <w:color w:val="000000" w:themeColor="text1"/>
          <w:sz w:val="32"/>
          <w:szCs w:val="32"/>
          <w:highlight w:val="none"/>
          <w:u w:val="none"/>
          <w:lang w:val="zh-CN" w:eastAsia="zh-CN"/>
          <w14:textFill>
            <w14:solidFill>
              <w14:schemeClr w14:val="tx1"/>
            </w14:solidFill>
          </w14:textFill>
        </w:rPr>
        <w:t>审议，</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党工委、管委会批准，</w:t>
      </w:r>
      <w:r>
        <w:rPr>
          <w:rFonts w:hint="eastAsia" w:ascii="仿宋_GB2312" w:hAnsi="仿宋_GB2312" w:eastAsia="仿宋_GB2312" w:cs="仿宋_GB2312"/>
          <w:b w:val="0"/>
          <w:bCs w:val="0"/>
          <w:color w:val="000000" w:themeColor="text1"/>
          <w:sz w:val="32"/>
          <w:szCs w:val="32"/>
          <w:highlight w:val="none"/>
          <w:u w:val="none"/>
          <w:lang w:val="zh-CN" w:eastAsia="zh-CN"/>
          <w14:textFill>
            <w14:solidFill>
              <w14:schemeClr w14:val="tx1"/>
            </w14:solidFill>
          </w14:textFill>
        </w:rPr>
        <w:t>以</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管委会</w:t>
      </w:r>
      <w:r>
        <w:rPr>
          <w:rFonts w:hint="eastAsia" w:ascii="仿宋_GB2312" w:hAnsi="仿宋_GB2312" w:eastAsia="仿宋_GB2312" w:cs="仿宋_GB2312"/>
          <w:b w:val="0"/>
          <w:bCs w:val="0"/>
          <w:color w:val="000000" w:themeColor="text1"/>
          <w:sz w:val="32"/>
          <w:szCs w:val="32"/>
          <w:highlight w:val="none"/>
          <w:u w:val="none"/>
          <w:lang w:val="zh-CN" w:eastAsia="zh-CN"/>
          <w14:textFill>
            <w14:solidFill>
              <w14:schemeClr w14:val="tx1"/>
            </w14:solidFill>
          </w14:textFill>
        </w:rPr>
        <w:t>名义印发，</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报送岳阳市人民政府备案，抄送岳阳市应急管理局</w:t>
      </w:r>
      <w:r>
        <w:rPr>
          <w:rFonts w:hint="eastAsia" w:ascii="仿宋_GB2312" w:hAnsi="仿宋_GB2312" w:eastAsia="仿宋_GB2312" w:cs="仿宋_GB2312"/>
          <w:b w:val="0"/>
          <w:bCs w:val="0"/>
          <w:color w:val="000000" w:themeColor="text1"/>
          <w:sz w:val="32"/>
          <w:szCs w:val="32"/>
          <w:highlight w:val="none"/>
          <w:u w:val="none"/>
          <w:lang w:val="zh-CN" w:eastAsia="zh-CN"/>
          <w14:textFill>
            <w14:solidFill>
              <w14:schemeClr w14:val="tx1"/>
            </w14:solidFill>
          </w14:textFill>
        </w:rPr>
        <w:t>。</w:t>
      </w:r>
    </w:p>
    <w:p w14:paraId="33115A70">
      <w:pPr>
        <w:keepNext w:val="0"/>
        <w:keepLines w:val="0"/>
        <w:pageBreakBefore w:val="0"/>
        <w:widowControl w:val="0"/>
        <w:kinsoku/>
        <w:wordWrap/>
        <w:overflowPunct/>
        <w:topLinePunct w:val="0"/>
        <w:autoSpaceDE/>
        <w:autoSpaceDN/>
        <w:bidi w:val="0"/>
        <w:adjustRightInd w:val="0"/>
        <w:snapToGrid w:val="0"/>
        <w:spacing w:line="640" w:lineRule="exact"/>
        <w:ind w:firstLine="627" w:firstLineChars="196"/>
        <w:jc w:val="both"/>
        <w:textAlignment w:val="auto"/>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本预案是《岳阳市突发事件总体应急预案》的下级预案，遵从岳阳市应急预案体系的要求。</w:t>
      </w:r>
    </w:p>
    <w:p w14:paraId="76F4B91B">
      <w:pPr>
        <w:keepNext w:val="0"/>
        <w:keepLines w:val="0"/>
        <w:pageBreakBefore w:val="0"/>
        <w:widowControl w:val="0"/>
        <w:kinsoku/>
        <w:wordWrap/>
        <w:overflowPunct/>
        <w:topLinePunct w:val="0"/>
        <w:autoSpaceDE/>
        <w:autoSpaceDN/>
        <w:bidi w:val="0"/>
        <w:adjustRightInd w:val="0"/>
        <w:snapToGrid w:val="0"/>
        <w:spacing w:line="640" w:lineRule="exact"/>
        <w:ind w:firstLine="627" w:firstLineChars="196"/>
        <w:jc w:val="both"/>
        <w:textAlignment w:val="auto"/>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社会发展部负责新港区突发事件应急预案体系有序衔接工作。</w:t>
      </w:r>
    </w:p>
    <w:p w14:paraId="5727580F">
      <w:pPr>
        <w:keepNext w:val="0"/>
        <w:keepLines w:val="0"/>
        <w:pageBreakBefore w:val="0"/>
        <w:widowControl w:val="0"/>
        <w:kinsoku/>
        <w:wordWrap/>
        <w:overflowPunct/>
        <w:topLinePunct w:val="0"/>
        <w:autoSpaceDE/>
        <w:autoSpaceDN/>
        <w:bidi w:val="0"/>
        <w:adjustRightInd w:val="0"/>
        <w:snapToGrid w:val="0"/>
        <w:spacing w:line="640" w:lineRule="exact"/>
        <w:ind w:firstLine="627" w:firstLineChars="196"/>
        <w:jc w:val="both"/>
        <w:textAlignment w:val="auto"/>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本预案自公布之日起实施。</w:t>
      </w:r>
    </w:p>
    <w:sectPr>
      <w:headerReference r:id="rId6" w:type="default"/>
      <w:footerReference r:id="rId7" w:type="default"/>
      <w:pgSz w:w="11906" w:h="16838"/>
      <w:pgMar w:top="1417" w:right="1417" w:bottom="1417" w:left="1587" w:header="850" w:footer="567" w:gutter="0"/>
      <w:pgNumType w:fmt="decimal" w:start="1"/>
      <w:cols w:space="720" w:num="1"/>
      <w:rtlGutter w:val="0"/>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1F1084E-DA5E-4770-ADE5-FAEF1667B4DA}"/>
  </w:font>
  <w:font w:name="Arial">
    <w:panose1 w:val="020B0604020202020204"/>
    <w:charset w:val="01"/>
    <w:family w:val="swiss"/>
    <w:pitch w:val="default"/>
    <w:sig w:usb0="E0002EFF" w:usb1="C000785B" w:usb2="00000009" w:usb3="00000000" w:csb0="400001FF" w:csb1="FFFF0000"/>
    <w:embedRegular r:id="rId2" w:fontKey="{4B8A7200-E39C-43EE-A54A-C679BC5238CA}"/>
  </w:font>
  <w:font w:name="黑体">
    <w:panose1 w:val="02010609060101010101"/>
    <w:charset w:val="86"/>
    <w:family w:val="auto"/>
    <w:pitch w:val="default"/>
    <w:sig w:usb0="800002BF" w:usb1="38CF7CFA" w:usb2="00000016" w:usb3="00000000" w:csb0="00040001" w:csb1="00000000"/>
    <w:embedRegular r:id="rId3" w:fontKey="{074432C4-C303-4185-BBE2-E7B4E31F65E2}"/>
  </w:font>
  <w:font w:name="Courier New">
    <w:panose1 w:val="02070309020205020404"/>
    <w:charset w:val="01"/>
    <w:family w:val="modern"/>
    <w:pitch w:val="default"/>
    <w:sig w:usb0="E0002EFF" w:usb1="C0007843" w:usb2="00000009" w:usb3="00000000" w:csb0="400001FF" w:csb1="FFFF0000"/>
    <w:embedRegular r:id="rId4" w:fontKey="{C5197529-CBE1-4A8F-A9AC-E547CD608525}"/>
  </w:font>
  <w:font w:name="Symbol">
    <w:panose1 w:val="05050102010706020507"/>
    <w:charset w:val="02"/>
    <w:family w:val="roman"/>
    <w:pitch w:val="default"/>
    <w:sig w:usb0="00000000" w:usb1="00000000" w:usb2="00000000" w:usb3="00000000" w:csb0="80000000" w:csb1="00000000"/>
    <w:embedRegular r:id="rId5" w:fontKey="{CB4A8E63-9F15-4714-A397-C70CC9425BB7}"/>
  </w:font>
  <w:font w:name="Calibri">
    <w:panose1 w:val="020F0502020204030204"/>
    <w:charset w:val="00"/>
    <w:family w:val="swiss"/>
    <w:pitch w:val="default"/>
    <w:sig w:usb0="E4002EFF" w:usb1="C000247B" w:usb2="00000009" w:usb3="00000000" w:csb0="200001FF" w:csb1="00000000"/>
    <w:embedRegular r:id="rId6" w:fontKey="{B9B69864-B143-435D-B3C6-77CB9A69BE28}"/>
  </w:font>
  <w:font w:name="仿宋_GB2312">
    <w:panose1 w:val="02010609030101010101"/>
    <w:charset w:val="86"/>
    <w:family w:val="modern"/>
    <w:pitch w:val="default"/>
    <w:sig w:usb0="00000001" w:usb1="080E0000" w:usb2="00000000" w:usb3="00000000" w:csb0="00040000" w:csb1="00000000"/>
    <w:embedRegular r:id="rId7" w:fontKey="{DF7B79EE-C1A2-4420-B6BC-260BCC4FF3C1}"/>
  </w:font>
  <w:font w:name="仿宋">
    <w:panose1 w:val="02010609060101010101"/>
    <w:charset w:val="86"/>
    <w:family w:val="modern"/>
    <w:pitch w:val="default"/>
    <w:sig w:usb0="800002BF" w:usb1="38CF7CFA" w:usb2="00000016" w:usb3="00000000" w:csb0="00040001" w:csb1="00000000"/>
    <w:embedRegular r:id="rId8" w:fontKey="{4B27DBA5-A054-4D14-8CEB-8CC52C0ECD70}"/>
  </w:font>
  <w:font w:name="Verdana">
    <w:panose1 w:val="020B0604030504040204"/>
    <w:charset w:val="00"/>
    <w:family w:val="auto"/>
    <w:pitch w:val="default"/>
    <w:sig w:usb0="A00006FF" w:usb1="4000205B" w:usb2="00000010" w:usb3="00000000" w:csb0="2000019F" w:csb1="00000000"/>
    <w:embedRegular r:id="rId9" w:fontKey="{6BE6E432-7FD1-40D1-95E5-5F5FC89AD641}"/>
  </w:font>
  <w:font w:name="方正仿宋_GB2312">
    <w:panose1 w:val="02000000000000000000"/>
    <w:charset w:val="86"/>
    <w:family w:val="auto"/>
    <w:pitch w:val="default"/>
    <w:sig w:usb0="A00002BF" w:usb1="184F6CFA" w:usb2="00000012" w:usb3="00000000" w:csb0="00040001" w:csb1="00000000"/>
    <w:embedRegular r:id="rId10" w:fontKey="{CEE1A5E3-F872-4637-8B85-C4C4B3B0BC39}"/>
  </w:font>
  <w:font w:name="方正小标宋简体">
    <w:panose1 w:val="03000509000000000000"/>
    <w:charset w:val="86"/>
    <w:family w:val="auto"/>
    <w:pitch w:val="default"/>
    <w:sig w:usb0="00000001" w:usb1="080E0000" w:usb2="00000000" w:usb3="00000000" w:csb0="00040000" w:csb1="00000000"/>
    <w:embedRegular r:id="rId11" w:fontKey="{5951F8F6-D983-4938-AB14-6A1D522DBB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6EA96">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BBD7A7">
                          <w:pPr>
                            <w:pStyle w:val="1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2BBD7A7">
                    <w:pPr>
                      <w:pStyle w:val="1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F419F">
    <w:pPr>
      <w:pStyle w:val="10"/>
      <w:ind w:left="0" w:leftChars="0" w:firstLine="0" w:firstLineChars="0"/>
      <w:jc w:val="both"/>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1C9F6C">
                          <w:pPr>
                            <w:pStyle w:val="10"/>
                            <w:rPr>
                              <w:rFonts w:hint="eastAsia" w:asciiTheme="minorEastAsia" w:hAnsiTheme="minorEastAsia" w:eastAsiaTheme="minorEastAsia" w:cstheme="minorEastAsia"/>
                              <w:sz w:val="28"/>
                              <w:szCs w:val="40"/>
                              <w:lang w:eastAsia="zh-CN"/>
                            </w:rPr>
                          </w:pPr>
                          <w:r>
                            <w:rPr>
                              <w:rFonts w:hint="eastAsia" w:asciiTheme="minorEastAsia" w:hAnsiTheme="minorEastAsia" w:eastAsiaTheme="minorEastAsia" w:cstheme="minorEastAsia"/>
                              <w:sz w:val="28"/>
                              <w:szCs w:val="40"/>
                              <w:lang w:eastAsia="zh-CN"/>
                            </w:rPr>
                            <w:t xml:space="preserve">— </w:t>
                          </w:r>
                          <w:r>
                            <w:rPr>
                              <w:rFonts w:hint="eastAsia" w:asciiTheme="minorEastAsia" w:hAnsiTheme="minorEastAsia" w:eastAsiaTheme="minorEastAsia" w:cstheme="minorEastAsia"/>
                              <w:sz w:val="28"/>
                              <w:szCs w:val="40"/>
                              <w:lang w:eastAsia="zh-CN"/>
                            </w:rPr>
                            <w:fldChar w:fldCharType="begin"/>
                          </w:r>
                          <w:r>
                            <w:rPr>
                              <w:rFonts w:hint="eastAsia" w:asciiTheme="minorEastAsia" w:hAnsiTheme="minorEastAsia" w:eastAsiaTheme="minorEastAsia" w:cstheme="minorEastAsia"/>
                              <w:sz w:val="28"/>
                              <w:szCs w:val="40"/>
                              <w:lang w:eastAsia="zh-CN"/>
                            </w:rPr>
                            <w:instrText xml:space="preserve"> PAGE  \* MERGEFORMAT </w:instrText>
                          </w:r>
                          <w:r>
                            <w:rPr>
                              <w:rFonts w:hint="eastAsia" w:asciiTheme="minorEastAsia" w:hAnsiTheme="minorEastAsia" w:eastAsiaTheme="minorEastAsia" w:cstheme="minorEastAsia"/>
                              <w:sz w:val="28"/>
                              <w:szCs w:val="40"/>
                              <w:lang w:eastAsia="zh-CN"/>
                            </w:rPr>
                            <w:fldChar w:fldCharType="separate"/>
                          </w:r>
                          <w:r>
                            <w:rPr>
                              <w:rFonts w:hint="eastAsia" w:asciiTheme="minorEastAsia" w:hAnsiTheme="minorEastAsia" w:eastAsiaTheme="minorEastAsia" w:cstheme="minorEastAsia"/>
                              <w:sz w:val="28"/>
                              <w:szCs w:val="40"/>
                              <w:lang w:eastAsia="zh-CN"/>
                            </w:rPr>
                            <w:t>I</w:t>
                          </w:r>
                          <w:r>
                            <w:rPr>
                              <w:rFonts w:hint="eastAsia" w:asciiTheme="minorEastAsia" w:hAnsiTheme="minorEastAsia" w:eastAsiaTheme="minorEastAsia" w:cstheme="minorEastAsia"/>
                              <w:sz w:val="28"/>
                              <w:szCs w:val="40"/>
                              <w:lang w:eastAsia="zh-CN"/>
                            </w:rPr>
                            <w:fldChar w:fldCharType="end"/>
                          </w:r>
                          <w:r>
                            <w:rPr>
                              <w:rFonts w:hint="eastAsia" w:asciiTheme="minorEastAsia" w:hAnsiTheme="minorEastAsia" w:eastAsiaTheme="minorEastAsia" w:cstheme="minorEastAsia"/>
                              <w:sz w:val="28"/>
                              <w:szCs w:val="40"/>
                              <w:lang w:eastAsia="zh-CN"/>
                            </w:rPr>
                            <w:t xml:space="preserve"> —</w:t>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IyjgskBAACa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rFTaDEcYsDv3z/dvnx6/LzK1ne&#10;ZH36ADWmPQZMTMO9H3Lu5Ad0ZtqDijZ/kRDBOKp7vqorh0REfrRerdcVhgTG5gvisKfnIUJ6K70l&#10;2WhoxPEVVfnpPaQxdU7J1Zx/0Magn9fG/eVAzOxhufexx2ylYT9Mje99e0Y+PU6+oQ4XnRLzzqGw&#10;eUlmI87GfjaOIepDV7Yo14Nwd0zYROktVxhhp8I4ssJuWq+8E3/eS9bTL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sjKOCyQEAAJoDAAAOAAAAAAAAAAEAIAAAAB4BAABkcnMvZTJvRG9j&#10;LnhtbFBLBQYAAAAABgAGAFkBAABZBQAAAAA=&#10;">
              <v:fill on="f" focussize="0,0"/>
              <v:stroke on="f"/>
              <v:imagedata o:title=""/>
              <o:lock v:ext="edit" aspectratio="f"/>
              <v:textbox inset="0mm,0mm,0mm,0mm" style="mso-fit-shape-to-text:t;">
                <w:txbxContent>
                  <w:p w14:paraId="461C9F6C">
                    <w:pPr>
                      <w:pStyle w:val="10"/>
                      <w:rPr>
                        <w:rFonts w:hint="eastAsia" w:asciiTheme="minorEastAsia" w:hAnsiTheme="minorEastAsia" w:eastAsiaTheme="minorEastAsia" w:cstheme="minorEastAsia"/>
                        <w:sz w:val="28"/>
                        <w:szCs w:val="40"/>
                        <w:lang w:eastAsia="zh-CN"/>
                      </w:rPr>
                    </w:pPr>
                    <w:r>
                      <w:rPr>
                        <w:rFonts w:hint="eastAsia" w:asciiTheme="minorEastAsia" w:hAnsiTheme="minorEastAsia" w:eastAsiaTheme="minorEastAsia" w:cstheme="minorEastAsia"/>
                        <w:sz w:val="28"/>
                        <w:szCs w:val="40"/>
                        <w:lang w:eastAsia="zh-CN"/>
                      </w:rPr>
                      <w:t xml:space="preserve">— </w:t>
                    </w:r>
                    <w:r>
                      <w:rPr>
                        <w:rFonts w:hint="eastAsia" w:asciiTheme="minorEastAsia" w:hAnsiTheme="minorEastAsia" w:eastAsiaTheme="minorEastAsia" w:cstheme="minorEastAsia"/>
                        <w:sz w:val="28"/>
                        <w:szCs w:val="40"/>
                        <w:lang w:eastAsia="zh-CN"/>
                      </w:rPr>
                      <w:fldChar w:fldCharType="begin"/>
                    </w:r>
                    <w:r>
                      <w:rPr>
                        <w:rFonts w:hint="eastAsia" w:asciiTheme="minorEastAsia" w:hAnsiTheme="minorEastAsia" w:eastAsiaTheme="minorEastAsia" w:cstheme="minorEastAsia"/>
                        <w:sz w:val="28"/>
                        <w:szCs w:val="40"/>
                        <w:lang w:eastAsia="zh-CN"/>
                      </w:rPr>
                      <w:instrText xml:space="preserve"> PAGE  \* MERGEFORMAT </w:instrText>
                    </w:r>
                    <w:r>
                      <w:rPr>
                        <w:rFonts w:hint="eastAsia" w:asciiTheme="minorEastAsia" w:hAnsiTheme="minorEastAsia" w:eastAsiaTheme="minorEastAsia" w:cstheme="minorEastAsia"/>
                        <w:sz w:val="28"/>
                        <w:szCs w:val="40"/>
                        <w:lang w:eastAsia="zh-CN"/>
                      </w:rPr>
                      <w:fldChar w:fldCharType="separate"/>
                    </w:r>
                    <w:r>
                      <w:rPr>
                        <w:rFonts w:hint="eastAsia" w:asciiTheme="minorEastAsia" w:hAnsiTheme="minorEastAsia" w:eastAsiaTheme="minorEastAsia" w:cstheme="minorEastAsia"/>
                        <w:sz w:val="28"/>
                        <w:szCs w:val="40"/>
                        <w:lang w:eastAsia="zh-CN"/>
                      </w:rPr>
                      <w:t>I</w:t>
                    </w:r>
                    <w:r>
                      <w:rPr>
                        <w:rFonts w:hint="eastAsia" w:asciiTheme="minorEastAsia" w:hAnsiTheme="minorEastAsia" w:eastAsiaTheme="minorEastAsia" w:cstheme="minorEastAsia"/>
                        <w:sz w:val="28"/>
                        <w:szCs w:val="40"/>
                        <w:lang w:eastAsia="zh-CN"/>
                      </w:rPr>
                      <w:fldChar w:fldCharType="end"/>
                    </w:r>
                    <w:r>
                      <w:rPr>
                        <w:rFonts w:hint="eastAsia" w:asciiTheme="minorEastAsia" w:hAnsiTheme="minorEastAsia" w:eastAsiaTheme="minorEastAsia" w:cstheme="minorEastAsia"/>
                        <w:sz w:val="28"/>
                        <w:szCs w:val="40"/>
                        <w:lang w:eastAsia="zh-CN"/>
                      </w:rPr>
                      <w:t xml:space="preserve"> —</w:t>
                    </w:r>
                  </w:p>
                </w:txbxContent>
              </v:textbox>
            </v:shape>
          </w:pict>
        </mc:Fallback>
      </mc:AlternateContent>
    </w:r>
  </w:p>
  <w:p w14:paraId="5420A8C8">
    <w:pPr>
      <w:pStyle w:val="10"/>
      <w:tabs>
        <w:tab w:val="clear" w:pos="4153"/>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30771">
    <w:pPr>
      <w:widowControl w:val="0"/>
      <w:pBdr>
        <w:bottom w:val="none" w:color="auto" w:sz="0" w:space="1"/>
      </w:pBdr>
      <w:snapToGrid w:val="0"/>
      <w:jc w:val="center"/>
      <w:rPr>
        <w:rFonts w:ascii="Times New Roman" w:hAnsi="Times New Roman" w:eastAsia="宋体" w:cs="Times New Roman"/>
        <w:bCs/>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C"/>
    <w:multiLevelType w:val="multilevel"/>
    <w:tmpl w:val="0000000C"/>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szCs w:val="21"/>
      </w:rPr>
    </w:lvl>
    <w:lvl w:ilvl="2" w:tentative="0">
      <w:start w:val="1"/>
      <w:numFmt w:val="decimal"/>
      <w:pStyle w:val="40"/>
      <w:suff w:val="nothing"/>
      <w:lvlText w:val="%1%2.%3　"/>
      <w:lvlJc w:val="left"/>
      <w:pPr>
        <w:ind w:left="0" w:firstLine="0"/>
      </w:pPr>
      <w:rPr>
        <w:rFonts w:hint="eastAsia" w:ascii="黑体" w:hAnsi="Times New Roman" w:eastAsia="黑体"/>
        <w:b w:val="0"/>
        <w:i w:val="0"/>
        <w:sz w:val="21"/>
        <w:szCs w:val="21"/>
      </w:rPr>
    </w:lvl>
    <w:lvl w:ilvl="3" w:tentative="0">
      <w:start w:val="1"/>
      <w:numFmt w:val="decimal"/>
      <w:suff w:val="nothing"/>
      <w:lvlText w:val="%1%2.%3.%4　"/>
      <w:lvlJc w:val="left"/>
      <w:pPr>
        <w:ind w:left="945" w:firstLine="0"/>
      </w:pPr>
      <w:rPr>
        <w:rFonts w:hint="eastAsia" w:ascii="黑体" w:hAnsi="Times New Roman" w:eastAsia="黑体"/>
        <w:b w:val="0"/>
        <w:i w:val="0"/>
        <w:sz w:val="21"/>
        <w:szCs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3328519C"/>
    <w:multiLevelType w:val="multilevel"/>
    <w:tmpl w:val="3328519C"/>
    <w:lvl w:ilvl="0" w:tentative="0">
      <w:start w:val="1"/>
      <w:numFmt w:val="decimal"/>
      <w:pStyle w:val="3"/>
      <w:suff w:val="nothing"/>
      <w:lvlText w:val="第%1章"/>
      <w:lvlJc w:val="center"/>
      <w:pPr>
        <w:ind w:left="0" w:firstLine="288"/>
      </w:pPr>
      <w:rPr>
        <w:rFonts w:hint="eastAsia"/>
        <w:b/>
        <w:i w:val="0"/>
        <w:sz w:val="44"/>
      </w:rPr>
    </w:lvl>
    <w:lvl w:ilvl="1" w:tentative="0">
      <w:start w:val="1"/>
      <w:numFmt w:val="decimal"/>
      <w:pStyle w:val="4"/>
      <w:suff w:val="nothing"/>
      <w:lvlText w:val="%1.%2"/>
      <w:lvlJc w:val="left"/>
      <w:pPr>
        <w:ind w:left="0" w:firstLine="0"/>
      </w:pPr>
      <w:rPr>
        <w:rFonts w:hint="eastAsia"/>
        <w:b/>
        <w:i w:val="0"/>
        <w:sz w:val="32"/>
      </w:rPr>
    </w:lvl>
    <w:lvl w:ilvl="2" w:tentative="0">
      <w:start w:val="1"/>
      <w:numFmt w:val="decimal"/>
      <w:suff w:val="nothing"/>
      <w:lvlText w:val="%1.%2.%3"/>
      <w:lvlJc w:val="left"/>
      <w:pPr>
        <w:ind w:left="0" w:firstLine="284"/>
      </w:pPr>
      <w:rPr>
        <w:rFonts w:hint="eastAsia"/>
        <w:b/>
        <w:i w:val="0"/>
        <w:sz w:val="28"/>
      </w:rPr>
    </w:lvl>
    <w:lvl w:ilvl="3" w:tentative="0">
      <w:start w:val="1"/>
      <w:numFmt w:val="decimal"/>
      <w:suff w:val="nothing"/>
      <w:lvlText w:val="%4、"/>
      <w:lvlJc w:val="left"/>
      <w:pPr>
        <w:ind w:left="0" w:firstLine="567"/>
      </w:pPr>
      <w:rPr>
        <w:rFonts w:hint="eastAsia"/>
        <w:b/>
        <w:i w:val="0"/>
        <w:vanish w:val="0"/>
        <w:sz w:val="24"/>
      </w:rPr>
    </w:lvl>
    <w:lvl w:ilvl="4" w:tentative="0">
      <w:start w:val="1"/>
      <w:numFmt w:val="decimal"/>
      <w:lvlRestart w:val="2"/>
      <w:suff w:val="nothing"/>
      <w:lvlText w:val="表%1.%2-%5"/>
      <w:lvlJc w:val="center"/>
      <w:pPr>
        <w:ind w:left="2406" w:firstLine="288"/>
      </w:pPr>
      <w:rPr>
        <w:rFonts w:hint="eastAsia"/>
        <w:b/>
        <w:i w:val="0"/>
        <w:sz w:val="21"/>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2">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41"/>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documentProtection w:enforcement="0"/>
  <w:defaultTabStop w:val="420"/>
  <w:hyphenationZone w:val="36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FhNDdhZGM0MmVjYjRjZjI5NmRlOGRmMzJjYjM0NTUifQ=="/>
  </w:docVars>
  <w:rsids>
    <w:rsidRoot w:val="00172A27"/>
    <w:rsid w:val="0009075B"/>
    <w:rsid w:val="002C252F"/>
    <w:rsid w:val="013E4434"/>
    <w:rsid w:val="01407DFE"/>
    <w:rsid w:val="01A974DF"/>
    <w:rsid w:val="01B400D8"/>
    <w:rsid w:val="01B67A6B"/>
    <w:rsid w:val="02F97532"/>
    <w:rsid w:val="03870314"/>
    <w:rsid w:val="041B56DD"/>
    <w:rsid w:val="043153AE"/>
    <w:rsid w:val="04C506FA"/>
    <w:rsid w:val="04F46D7C"/>
    <w:rsid w:val="04F574FF"/>
    <w:rsid w:val="04F60E79"/>
    <w:rsid w:val="055A7ADD"/>
    <w:rsid w:val="06473D8B"/>
    <w:rsid w:val="07983B84"/>
    <w:rsid w:val="07AC01EB"/>
    <w:rsid w:val="07EF24D9"/>
    <w:rsid w:val="08744753"/>
    <w:rsid w:val="087B518D"/>
    <w:rsid w:val="08FB604F"/>
    <w:rsid w:val="09103C9D"/>
    <w:rsid w:val="09F357BB"/>
    <w:rsid w:val="0A105561"/>
    <w:rsid w:val="0BC940B0"/>
    <w:rsid w:val="0C242971"/>
    <w:rsid w:val="0C825B1D"/>
    <w:rsid w:val="0CA4431D"/>
    <w:rsid w:val="0D867755"/>
    <w:rsid w:val="0DB83C25"/>
    <w:rsid w:val="0E816CCD"/>
    <w:rsid w:val="0E83134E"/>
    <w:rsid w:val="0FF865ED"/>
    <w:rsid w:val="0FFB256D"/>
    <w:rsid w:val="10696A81"/>
    <w:rsid w:val="113D0BDE"/>
    <w:rsid w:val="11BD58B2"/>
    <w:rsid w:val="132007A6"/>
    <w:rsid w:val="13516249"/>
    <w:rsid w:val="13DF1AA7"/>
    <w:rsid w:val="14393433"/>
    <w:rsid w:val="146A61D6"/>
    <w:rsid w:val="14B24AC5"/>
    <w:rsid w:val="14C35D59"/>
    <w:rsid w:val="14E96CDD"/>
    <w:rsid w:val="150A33EA"/>
    <w:rsid w:val="150F60CF"/>
    <w:rsid w:val="15B55EF6"/>
    <w:rsid w:val="1621314C"/>
    <w:rsid w:val="165E613D"/>
    <w:rsid w:val="16942EA2"/>
    <w:rsid w:val="16D77370"/>
    <w:rsid w:val="16F323F1"/>
    <w:rsid w:val="174C355E"/>
    <w:rsid w:val="17562080"/>
    <w:rsid w:val="17667DE9"/>
    <w:rsid w:val="17B57A75"/>
    <w:rsid w:val="18090EA0"/>
    <w:rsid w:val="18C27819"/>
    <w:rsid w:val="18EB2C9C"/>
    <w:rsid w:val="192F41EB"/>
    <w:rsid w:val="193F00C3"/>
    <w:rsid w:val="19696A4A"/>
    <w:rsid w:val="19C07C84"/>
    <w:rsid w:val="19CE23A1"/>
    <w:rsid w:val="19F706A7"/>
    <w:rsid w:val="1A5008C7"/>
    <w:rsid w:val="1A654388"/>
    <w:rsid w:val="1A7254D4"/>
    <w:rsid w:val="1A8847B8"/>
    <w:rsid w:val="1B32070E"/>
    <w:rsid w:val="1B972C67"/>
    <w:rsid w:val="1C2D7127"/>
    <w:rsid w:val="1C580A4C"/>
    <w:rsid w:val="1CAC2742"/>
    <w:rsid w:val="1CB4189C"/>
    <w:rsid w:val="1D391C97"/>
    <w:rsid w:val="1F5B0F8B"/>
    <w:rsid w:val="20061346"/>
    <w:rsid w:val="211A4697"/>
    <w:rsid w:val="21A601D4"/>
    <w:rsid w:val="227827DA"/>
    <w:rsid w:val="235639DC"/>
    <w:rsid w:val="23C72A36"/>
    <w:rsid w:val="243A517B"/>
    <w:rsid w:val="245F19E8"/>
    <w:rsid w:val="24ED6E83"/>
    <w:rsid w:val="25196FBD"/>
    <w:rsid w:val="256306EB"/>
    <w:rsid w:val="25D104BF"/>
    <w:rsid w:val="25FC2FCB"/>
    <w:rsid w:val="264A7E86"/>
    <w:rsid w:val="272B2349"/>
    <w:rsid w:val="2733550B"/>
    <w:rsid w:val="27336140"/>
    <w:rsid w:val="2747326D"/>
    <w:rsid w:val="27B30E28"/>
    <w:rsid w:val="27E812EA"/>
    <w:rsid w:val="28D27388"/>
    <w:rsid w:val="29082BCB"/>
    <w:rsid w:val="29904D71"/>
    <w:rsid w:val="2A58307E"/>
    <w:rsid w:val="2B081EAD"/>
    <w:rsid w:val="2B9C18DD"/>
    <w:rsid w:val="2C136339"/>
    <w:rsid w:val="2C306B7C"/>
    <w:rsid w:val="2C434A7B"/>
    <w:rsid w:val="2CC31B0E"/>
    <w:rsid w:val="2D0B13DA"/>
    <w:rsid w:val="2DB80884"/>
    <w:rsid w:val="2DF1261D"/>
    <w:rsid w:val="2DF221CE"/>
    <w:rsid w:val="2EB55486"/>
    <w:rsid w:val="2ECC6F0B"/>
    <w:rsid w:val="2F2E509D"/>
    <w:rsid w:val="2F48454C"/>
    <w:rsid w:val="2F5838AD"/>
    <w:rsid w:val="2F802255"/>
    <w:rsid w:val="2F834652"/>
    <w:rsid w:val="2FE81FC0"/>
    <w:rsid w:val="302C07E2"/>
    <w:rsid w:val="31A35436"/>
    <w:rsid w:val="322A2624"/>
    <w:rsid w:val="32917FB8"/>
    <w:rsid w:val="32951197"/>
    <w:rsid w:val="331D163C"/>
    <w:rsid w:val="333C2F6E"/>
    <w:rsid w:val="33432E3D"/>
    <w:rsid w:val="339262FE"/>
    <w:rsid w:val="33CF3488"/>
    <w:rsid w:val="34480144"/>
    <w:rsid w:val="35492DCC"/>
    <w:rsid w:val="35B93D03"/>
    <w:rsid w:val="35ED19A9"/>
    <w:rsid w:val="3615610E"/>
    <w:rsid w:val="36853887"/>
    <w:rsid w:val="373F4487"/>
    <w:rsid w:val="375C30CA"/>
    <w:rsid w:val="377A1C17"/>
    <w:rsid w:val="37D82C3F"/>
    <w:rsid w:val="3815238E"/>
    <w:rsid w:val="3833255D"/>
    <w:rsid w:val="38596C80"/>
    <w:rsid w:val="38ED3D7C"/>
    <w:rsid w:val="39082B6E"/>
    <w:rsid w:val="394A7D87"/>
    <w:rsid w:val="3A68229A"/>
    <w:rsid w:val="3AA15FB4"/>
    <w:rsid w:val="3AB50353"/>
    <w:rsid w:val="3AFD61EB"/>
    <w:rsid w:val="3B337F40"/>
    <w:rsid w:val="3B381919"/>
    <w:rsid w:val="3B7A5A8D"/>
    <w:rsid w:val="3C113CD2"/>
    <w:rsid w:val="3CB7061B"/>
    <w:rsid w:val="3CE0464A"/>
    <w:rsid w:val="3D2008B6"/>
    <w:rsid w:val="3D8D4DD7"/>
    <w:rsid w:val="3DB42DAD"/>
    <w:rsid w:val="3E027FCA"/>
    <w:rsid w:val="3E1F5D92"/>
    <w:rsid w:val="3E4448F7"/>
    <w:rsid w:val="3E9D2A84"/>
    <w:rsid w:val="3ED4483E"/>
    <w:rsid w:val="3EFC5866"/>
    <w:rsid w:val="3F60143E"/>
    <w:rsid w:val="3F987CE2"/>
    <w:rsid w:val="3FA56E51"/>
    <w:rsid w:val="3FB42162"/>
    <w:rsid w:val="40153057"/>
    <w:rsid w:val="40204729"/>
    <w:rsid w:val="40F55BB6"/>
    <w:rsid w:val="422134BB"/>
    <w:rsid w:val="42240B4E"/>
    <w:rsid w:val="42366486"/>
    <w:rsid w:val="43975748"/>
    <w:rsid w:val="43ED2D97"/>
    <w:rsid w:val="44496945"/>
    <w:rsid w:val="4484172B"/>
    <w:rsid w:val="44C164DB"/>
    <w:rsid w:val="45000B99"/>
    <w:rsid w:val="45317263"/>
    <w:rsid w:val="454C798A"/>
    <w:rsid w:val="46254BC1"/>
    <w:rsid w:val="46265AC8"/>
    <w:rsid w:val="46C155A5"/>
    <w:rsid w:val="473446B6"/>
    <w:rsid w:val="48B431F6"/>
    <w:rsid w:val="490D3A5C"/>
    <w:rsid w:val="497B5400"/>
    <w:rsid w:val="4A61732A"/>
    <w:rsid w:val="4A9636AA"/>
    <w:rsid w:val="4AE21007"/>
    <w:rsid w:val="4B830F06"/>
    <w:rsid w:val="4B881FFB"/>
    <w:rsid w:val="4BFB76A0"/>
    <w:rsid w:val="4C4A7407"/>
    <w:rsid w:val="4C810C9D"/>
    <w:rsid w:val="4C9A1853"/>
    <w:rsid w:val="4D5C79DD"/>
    <w:rsid w:val="4E210250"/>
    <w:rsid w:val="4E3917D8"/>
    <w:rsid w:val="4E431BA3"/>
    <w:rsid w:val="4EA53D66"/>
    <w:rsid w:val="4EDB3680"/>
    <w:rsid w:val="4EFD2805"/>
    <w:rsid w:val="4FDD7BE5"/>
    <w:rsid w:val="4FEB6B02"/>
    <w:rsid w:val="50A15285"/>
    <w:rsid w:val="50FE0AB7"/>
    <w:rsid w:val="51570540"/>
    <w:rsid w:val="51C17313"/>
    <w:rsid w:val="52386C0B"/>
    <w:rsid w:val="529E7D72"/>
    <w:rsid w:val="530B789E"/>
    <w:rsid w:val="53822D12"/>
    <w:rsid w:val="53DD5E0B"/>
    <w:rsid w:val="55475885"/>
    <w:rsid w:val="55557EF9"/>
    <w:rsid w:val="55625047"/>
    <w:rsid w:val="559B68A2"/>
    <w:rsid w:val="55A748BF"/>
    <w:rsid w:val="561702F6"/>
    <w:rsid w:val="568B5ADE"/>
    <w:rsid w:val="56A051B7"/>
    <w:rsid w:val="56DE257D"/>
    <w:rsid w:val="57897C67"/>
    <w:rsid w:val="57B91294"/>
    <w:rsid w:val="580167AF"/>
    <w:rsid w:val="586C27AA"/>
    <w:rsid w:val="589B7B54"/>
    <w:rsid w:val="5941447A"/>
    <w:rsid w:val="595368AF"/>
    <w:rsid w:val="5971343E"/>
    <w:rsid w:val="59910BA8"/>
    <w:rsid w:val="59B66E38"/>
    <w:rsid w:val="5A0D7D62"/>
    <w:rsid w:val="5AAA73A5"/>
    <w:rsid w:val="5AE109FC"/>
    <w:rsid w:val="5B286E5C"/>
    <w:rsid w:val="5B8322E4"/>
    <w:rsid w:val="5BBD3A31"/>
    <w:rsid w:val="5CCA2F43"/>
    <w:rsid w:val="5CE426D5"/>
    <w:rsid w:val="5CF262E8"/>
    <w:rsid w:val="5DC63D34"/>
    <w:rsid w:val="5DE45D6C"/>
    <w:rsid w:val="5DEF37C0"/>
    <w:rsid w:val="5DF032F9"/>
    <w:rsid w:val="5DFC4ADB"/>
    <w:rsid w:val="5E6D54C1"/>
    <w:rsid w:val="5E6E6825"/>
    <w:rsid w:val="5EE72B8A"/>
    <w:rsid w:val="5EF70BDD"/>
    <w:rsid w:val="5F114ECC"/>
    <w:rsid w:val="5FE36844"/>
    <w:rsid w:val="60006000"/>
    <w:rsid w:val="609E35C6"/>
    <w:rsid w:val="61D54F1C"/>
    <w:rsid w:val="62404A8B"/>
    <w:rsid w:val="62633B22"/>
    <w:rsid w:val="63FA222B"/>
    <w:rsid w:val="64562EA8"/>
    <w:rsid w:val="647E665F"/>
    <w:rsid w:val="64825DDF"/>
    <w:rsid w:val="64AD3F2E"/>
    <w:rsid w:val="64FF0C2E"/>
    <w:rsid w:val="657F5A0D"/>
    <w:rsid w:val="65B643D5"/>
    <w:rsid w:val="65D5198E"/>
    <w:rsid w:val="65F64DE5"/>
    <w:rsid w:val="66A40E65"/>
    <w:rsid w:val="67061E09"/>
    <w:rsid w:val="68307350"/>
    <w:rsid w:val="685A43CD"/>
    <w:rsid w:val="68CB530F"/>
    <w:rsid w:val="6914385E"/>
    <w:rsid w:val="695B664F"/>
    <w:rsid w:val="69C50EE1"/>
    <w:rsid w:val="69D67812"/>
    <w:rsid w:val="6A3E0FCB"/>
    <w:rsid w:val="6CC55A85"/>
    <w:rsid w:val="6CDF5C52"/>
    <w:rsid w:val="6D994052"/>
    <w:rsid w:val="6E076DC4"/>
    <w:rsid w:val="6EA5193C"/>
    <w:rsid w:val="6EFC61DE"/>
    <w:rsid w:val="6F2B2472"/>
    <w:rsid w:val="6F2F3DAF"/>
    <w:rsid w:val="6F4D07E7"/>
    <w:rsid w:val="6FB25BA7"/>
    <w:rsid w:val="706039C3"/>
    <w:rsid w:val="70F13180"/>
    <w:rsid w:val="71797077"/>
    <w:rsid w:val="71D10961"/>
    <w:rsid w:val="725B0AF3"/>
    <w:rsid w:val="72BD1499"/>
    <w:rsid w:val="733C6EC5"/>
    <w:rsid w:val="735618C3"/>
    <w:rsid w:val="74154241"/>
    <w:rsid w:val="74391C89"/>
    <w:rsid w:val="75083C13"/>
    <w:rsid w:val="75857671"/>
    <w:rsid w:val="75AA3031"/>
    <w:rsid w:val="75CE292E"/>
    <w:rsid w:val="75E83B07"/>
    <w:rsid w:val="76780879"/>
    <w:rsid w:val="77006FCC"/>
    <w:rsid w:val="77033A29"/>
    <w:rsid w:val="77716ACC"/>
    <w:rsid w:val="77E54E37"/>
    <w:rsid w:val="78474FD3"/>
    <w:rsid w:val="78493064"/>
    <w:rsid w:val="785F7293"/>
    <w:rsid w:val="78914382"/>
    <w:rsid w:val="78FC6E6D"/>
    <w:rsid w:val="7A0D43CC"/>
    <w:rsid w:val="7A654DEA"/>
    <w:rsid w:val="7AB63709"/>
    <w:rsid w:val="7B58479C"/>
    <w:rsid w:val="7BA30BD5"/>
    <w:rsid w:val="7BD04FA9"/>
    <w:rsid w:val="7C581D50"/>
    <w:rsid w:val="7C7230E9"/>
    <w:rsid w:val="7C987FE8"/>
    <w:rsid w:val="7CFB5D27"/>
    <w:rsid w:val="7D3251B3"/>
    <w:rsid w:val="7D71104B"/>
    <w:rsid w:val="7DEA41FE"/>
    <w:rsid w:val="7E15666A"/>
    <w:rsid w:val="7EBF42EC"/>
    <w:rsid w:val="7EF23577"/>
    <w:rsid w:val="7F016EF9"/>
    <w:rsid w:val="7F751593"/>
    <w:rsid w:val="7FCA3129"/>
    <w:rsid w:val="7FE9630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pPr>
    <w:rPr>
      <w:rFonts w:ascii="Times New Roman" w:hAnsi="Times New Roman" w:eastAsia="宋体" w:cs="Times New Roman"/>
      <w:kern w:val="2"/>
      <w:sz w:val="24"/>
      <w:szCs w:val="22"/>
      <w:lang w:val="en-US" w:eastAsia="zh-CN" w:bidi="ar-SA"/>
    </w:rPr>
  </w:style>
  <w:style w:type="paragraph" w:styleId="3">
    <w:name w:val="heading 1"/>
    <w:basedOn w:val="1"/>
    <w:next w:val="1"/>
    <w:qFormat/>
    <w:uiPriority w:val="9"/>
    <w:pPr>
      <w:keepNext/>
      <w:keepLines/>
      <w:numPr>
        <w:ilvl w:val="0"/>
        <w:numId w:val="1"/>
      </w:numPr>
      <w:spacing w:line="578" w:lineRule="auto"/>
      <w:ind w:firstLineChars="0"/>
      <w:jc w:val="center"/>
      <w:outlineLvl w:val="0"/>
    </w:pPr>
    <w:rPr>
      <w:b/>
      <w:bCs/>
      <w:kern w:val="44"/>
      <w:sz w:val="44"/>
      <w:szCs w:val="44"/>
    </w:rPr>
  </w:style>
  <w:style w:type="paragraph" w:styleId="4">
    <w:name w:val="heading 2"/>
    <w:basedOn w:val="1"/>
    <w:next w:val="1"/>
    <w:unhideWhenUsed/>
    <w:qFormat/>
    <w:uiPriority w:val="9"/>
    <w:pPr>
      <w:keepNext/>
      <w:keepLines/>
      <w:numPr>
        <w:ilvl w:val="1"/>
        <w:numId w:val="1"/>
      </w:numPr>
      <w:spacing w:line="415" w:lineRule="auto"/>
      <w:ind w:firstLineChars="0"/>
      <w:outlineLvl w:val="1"/>
    </w:pPr>
    <w:rPr>
      <w:b/>
      <w:bCs/>
      <w:sz w:val="32"/>
      <w:szCs w:val="32"/>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First Indent 2"/>
    <w:basedOn w:val="1"/>
    <w:next w:val="1"/>
    <w:qFormat/>
    <w:uiPriority w:val="0"/>
    <w:pPr>
      <w:ind w:firstLine="420" w:firstLineChars="200"/>
      <w:jc w:val="both"/>
    </w:pPr>
    <w:rPr>
      <w:snapToGrid w:val="0"/>
      <w:szCs w:val="24"/>
    </w:rPr>
  </w:style>
  <w:style w:type="paragraph" w:styleId="7">
    <w:name w:val="annotation text"/>
    <w:basedOn w:val="1"/>
    <w:semiHidden/>
    <w:qFormat/>
    <w:uiPriority w:val="0"/>
    <w:pPr>
      <w:jc w:val="left"/>
    </w:pPr>
  </w:style>
  <w:style w:type="paragraph" w:styleId="8">
    <w:name w:val="Body Text"/>
    <w:basedOn w:val="1"/>
    <w:next w:val="1"/>
    <w:qFormat/>
    <w:uiPriority w:val="0"/>
    <w:pPr>
      <w:jc w:val="center"/>
    </w:pPr>
  </w:style>
  <w:style w:type="paragraph" w:styleId="9">
    <w:name w:val="Body Text Indent"/>
    <w:basedOn w:val="1"/>
    <w:qFormat/>
    <w:uiPriority w:val="0"/>
    <w:pPr>
      <w:autoSpaceDE w:val="0"/>
      <w:autoSpaceDN w:val="0"/>
      <w:adjustRightInd w:val="0"/>
      <w:spacing w:line="660" w:lineRule="exact"/>
      <w:ind w:firstLine="645"/>
      <w:textAlignment w:val="center"/>
    </w:pPr>
    <w:rPr>
      <w:rFonts w:ascii="仿宋_GB2312"/>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Body Text 2"/>
    <w:basedOn w:val="1"/>
    <w:qFormat/>
    <w:uiPriority w:val="0"/>
    <w:pPr>
      <w:jc w:val="center"/>
    </w:pPr>
    <w:rPr>
      <w:rFonts w:eastAsia="仿宋_GB2312"/>
      <w:sz w:val="24"/>
    </w:rPr>
  </w:style>
  <w:style w:type="paragraph" w:styleId="15">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page number"/>
    <w:basedOn w:val="18"/>
    <w:qFormat/>
    <w:uiPriority w:val="0"/>
  </w:style>
  <w:style w:type="character" w:styleId="21">
    <w:name w:val="FollowedHyperlink"/>
    <w:basedOn w:val="18"/>
    <w:qFormat/>
    <w:uiPriority w:val="0"/>
    <w:rPr>
      <w:color w:val="333333"/>
      <w:u w:val="none"/>
    </w:rPr>
  </w:style>
  <w:style w:type="character" w:styleId="22">
    <w:name w:val="Emphasis"/>
    <w:basedOn w:val="18"/>
    <w:qFormat/>
    <w:uiPriority w:val="0"/>
    <w:rPr>
      <w:i/>
    </w:rPr>
  </w:style>
  <w:style w:type="character" w:styleId="23">
    <w:name w:val="Hyperlink"/>
    <w:basedOn w:val="18"/>
    <w:qFormat/>
    <w:uiPriority w:val="0"/>
    <w:rPr>
      <w:color w:val="333333"/>
      <w:u w:val="none"/>
    </w:rPr>
  </w:style>
  <w:style w:type="paragraph" w:customStyle="1" w:styleId="24">
    <w:name w:val="BodyText1I2"/>
    <w:basedOn w:val="1"/>
    <w:qFormat/>
    <w:uiPriority w:val="0"/>
    <w:pPr>
      <w:spacing w:after="120"/>
      <w:ind w:left="420" w:leftChars="200" w:firstLine="420" w:firstLineChars="200"/>
      <w:textAlignment w:val="baseline"/>
    </w:pPr>
  </w:style>
  <w:style w:type="paragraph" w:customStyle="1" w:styleId="25">
    <w:name w:val="Body Text First Indent 21"/>
    <w:basedOn w:val="26"/>
    <w:next w:val="1"/>
    <w:qFormat/>
    <w:uiPriority w:val="0"/>
    <w:pPr>
      <w:ind w:firstLine="420" w:firstLineChars="200"/>
    </w:pPr>
    <w:rPr>
      <w:kern w:val="0"/>
      <w:sz w:val="20"/>
    </w:rPr>
  </w:style>
  <w:style w:type="paragraph" w:customStyle="1" w:styleId="26">
    <w:name w:val="Body Text Indent1"/>
    <w:basedOn w:val="1"/>
    <w:qFormat/>
    <w:uiPriority w:val="0"/>
    <w:pPr>
      <w:spacing w:after="120"/>
      <w:ind w:left="420" w:leftChars="200"/>
    </w:pPr>
    <w:rPr>
      <w:rFonts w:cs="Times New Roman"/>
    </w:rPr>
  </w:style>
  <w:style w:type="character" w:customStyle="1" w:styleId="27">
    <w:name w:val="tpc_content1"/>
    <w:basedOn w:val="18"/>
    <w:qFormat/>
    <w:uiPriority w:val="0"/>
    <w:rPr>
      <w:sz w:val="20"/>
      <w:szCs w:val="20"/>
    </w:rPr>
  </w:style>
  <w:style w:type="character" w:customStyle="1" w:styleId="28">
    <w:name w:val="font31"/>
    <w:basedOn w:val="18"/>
    <w:qFormat/>
    <w:uiPriority w:val="0"/>
    <w:rPr>
      <w:rFonts w:hint="eastAsia" w:ascii="宋体" w:hAnsi="宋体" w:eastAsia="宋体" w:cs="宋体"/>
      <w:color w:val="000000"/>
      <w:sz w:val="16"/>
      <w:szCs w:val="16"/>
      <w:u w:val="none"/>
    </w:rPr>
  </w:style>
  <w:style w:type="character" w:customStyle="1" w:styleId="29">
    <w:name w:val="topp1"/>
    <w:basedOn w:val="18"/>
    <w:qFormat/>
    <w:uiPriority w:val="0"/>
    <w:rPr>
      <w:sz w:val="36"/>
      <w:szCs w:val="36"/>
    </w:rPr>
  </w:style>
  <w:style w:type="character" w:customStyle="1" w:styleId="30">
    <w:name w:val="font11"/>
    <w:basedOn w:val="18"/>
    <w:qFormat/>
    <w:uiPriority w:val="0"/>
    <w:rPr>
      <w:rFonts w:hint="eastAsia" w:ascii="宋体" w:hAnsi="宋体" w:eastAsia="宋体" w:cs="宋体"/>
      <w:color w:val="000000"/>
      <w:sz w:val="13"/>
      <w:szCs w:val="13"/>
      <w:u w:val="none"/>
    </w:rPr>
  </w:style>
  <w:style w:type="character" w:customStyle="1" w:styleId="31">
    <w:name w:val="font21"/>
    <w:basedOn w:val="18"/>
    <w:qFormat/>
    <w:uiPriority w:val="0"/>
    <w:rPr>
      <w:rFonts w:hint="eastAsia" w:ascii="宋体" w:hAnsi="宋体" w:eastAsia="宋体" w:cs="宋体"/>
      <w:color w:val="000000"/>
      <w:sz w:val="16"/>
      <w:szCs w:val="16"/>
      <w:u w:val="none"/>
    </w:rPr>
  </w:style>
  <w:style w:type="paragraph" w:customStyle="1" w:styleId="32">
    <w:name w:val="WPSOffice手动目录 1"/>
    <w:qFormat/>
    <w:uiPriority w:val="0"/>
    <w:pPr>
      <w:ind w:leftChars="0"/>
    </w:pPr>
    <w:rPr>
      <w:rFonts w:ascii="Times New Roman" w:hAnsi="Times New Roman" w:eastAsia="宋体" w:cs="Times New Roman"/>
      <w:sz w:val="20"/>
      <w:szCs w:val="20"/>
    </w:rPr>
  </w:style>
  <w:style w:type="paragraph" w:customStyle="1" w:styleId="33">
    <w:name w:val="WPSOffice手动目录 2"/>
    <w:qFormat/>
    <w:uiPriority w:val="0"/>
    <w:pPr>
      <w:ind w:leftChars="200"/>
    </w:pPr>
    <w:rPr>
      <w:rFonts w:ascii="Times New Roman" w:hAnsi="Times New Roman" w:eastAsia="宋体" w:cs="Times New Roman"/>
      <w:sz w:val="20"/>
      <w:szCs w:val="20"/>
    </w:rPr>
  </w:style>
  <w:style w:type="paragraph" w:customStyle="1" w:styleId="34">
    <w:name w:val="4正文"/>
    <w:qFormat/>
    <w:uiPriority w:val="0"/>
    <w:pPr>
      <w:widowControl w:val="0"/>
      <w:adjustRightInd w:val="0"/>
      <w:spacing w:beforeLines="50" w:afterLines="50" w:line="400" w:lineRule="atLeast"/>
      <w:ind w:firstLine="200" w:firstLineChars="200"/>
      <w:textAlignment w:val="baseline"/>
    </w:pPr>
    <w:rPr>
      <w:rFonts w:ascii="宋体" w:hAnsi="宋体" w:eastAsia="宋体" w:cs="Times New Roman"/>
      <w:kern w:val="2"/>
      <w:sz w:val="24"/>
      <w:szCs w:val="24"/>
      <w:lang w:val="en-US" w:eastAsia="zh-CN" w:bidi="ar-SA"/>
    </w:rPr>
  </w:style>
  <w:style w:type="paragraph" w:styleId="35">
    <w:name w:val="No Spacing"/>
    <w:qFormat/>
    <w:uiPriority w:val="1"/>
    <w:pPr>
      <w:widowControl w:val="0"/>
      <w:jc w:val="center"/>
    </w:pPr>
    <w:rPr>
      <w:rFonts w:ascii="Times New Roman" w:hAnsi="Times New Roman" w:eastAsia="宋体" w:cs="Times New Roman"/>
      <w:kern w:val="2"/>
      <w:sz w:val="21"/>
      <w:szCs w:val="22"/>
      <w:lang w:val="en-US" w:eastAsia="zh-CN" w:bidi="ar-SA"/>
    </w:rPr>
  </w:style>
  <w:style w:type="paragraph" w:customStyle="1" w:styleId="36">
    <w:name w:val="1级标题"/>
    <w:basedOn w:val="3"/>
    <w:qFormat/>
    <w:uiPriority w:val="0"/>
    <w:pPr>
      <w:jc w:val="center"/>
    </w:pPr>
    <w:rPr>
      <w:rFonts w:eastAsia="黑体"/>
      <w:sz w:val="32"/>
      <w:szCs w:val="32"/>
    </w:rPr>
  </w:style>
  <w:style w:type="paragraph" w:customStyle="1" w:styleId="37">
    <w:name w:val="2级标题"/>
    <w:basedOn w:val="36"/>
    <w:qFormat/>
    <w:uiPriority w:val="0"/>
    <w:pPr>
      <w:outlineLvl w:val="1"/>
    </w:pPr>
    <w:rPr>
      <w:sz w:val="30"/>
      <w:szCs w:val="30"/>
    </w:rPr>
  </w:style>
  <w:style w:type="paragraph" w:customStyle="1" w:styleId="38">
    <w:name w:val="3级标题"/>
    <w:basedOn w:val="37"/>
    <w:qFormat/>
    <w:uiPriority w:val="0"/>
    <w:pPr>
      <w:jc w:val="left"/>
      <w:outlineLvl w:val="2"/>
    </w:pPr>
    <w:rPr>
      <w:sz w:val="28"/>
      <w:szCs w:val="28"/>
    </w:rPr>
  </w:style>
  <w:style w:type="paragraph" w:customStyle="1" w:styleId="39">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40">
    <w:name w:val="一级条标题"/>
    <w:basedOn w:val="41"/>
    <w:next w:val="42"/>
    <w:qFormat/>
    <w:uiPriority w:val="0"/>
    <w:pPr>
      <w:numPr>
        <w:ilvl w:val="2"/>
        <w:numId w:val="2"/>
      </w:numPr>
      <w:outlineLvl w:val="2"/>
    </w:pPr>
    <w:rPr>
      <w:rFonts w:eastAsia="黑体"/>
      <w:kern w:val="2"/>
      <w:sz w:val="21"/>
      <w:szCs w:val="24"/>
      <w:lang w:val="en-US" w:eastAsia="zh-CN" w:bidi="ar-SA"/>
    </w:rPr>
  </w:style>
  <w:style w:type="paragraph" w:customStyle="1" w:styleId="41">
    <w:name w:val="章标题"/>
    <w:next w:val="42"/>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43">
    <w:name w:val="font61"/>
    <w:basedOn w:val="18"/>
    <w:qFormat/>
    <w:uiPriority w:val="0"/>
    <w:rPr>
      <w:rFonts w:hint="eastAsia" w:ascii="仿宋" w:hAnsi="仿宋" w:eastAsia="仿宋" w:cs="仿宋"/>
      <w:b/>
      <w:bCs/>
      <w:color w:val="000000"/>
      <w:sz w:val="24"/>
      <w:szCs w:val="24"/>
      <w:u w:val="none"/>
    </w:rPr>
  </w:style>
  <w:style w:type="character" w:customStyle="1" w:styleId="44">
    <w:name w:val="font51"/>
    <w:basedOn w:val="18"/>
    <w:qFormat/>
    <w:uiPriority w:val="0"/>
    <w:rPr>
      <w:rFonts w:hint="eastAsia" w:ascii="仿宋" w:hAnsi="仿宋" w:eastAsia="仿宋" w:cs="仿宋"/>
      <w:color w:val="000000"/>
      <w:sz w:val="24"/>
      <w:szCs w:val="24"/>
      <w:u w:val="none"/>
    </w:rPr>
  </w:style>
  <w:style w:type="character" w:customStyle="1" w:styleId="45">
    <w:name w:val="font71"/>
    <w:basedOn w:val="18"/>
    <w:qFormat/>
    <w:uiPriority w:val="0"/>
    <w:rPr>
      <w:rFonts w:hint="default" w:ascii="Verdana" w:hAnsi="Verdana" w:cs="Verdana"/>
      <w:color w:val="000000"/>
      <w:sz w:val="18"/>
      <w:szCs w:val="18"/>
      <w:u w:val="none"/>
    </w:rPr>
  </w:style>
  <w:style w:type="character" w:customStyle="1" w:styleId="46">
    <w:name w:val="font41"/>
    <w:basedOn w:val="18"/>
    <w:qFormat/>
    <w:uiPriority w:val="0"/>
    <w:rPr>
      <w:rFonts w:hint="default" w:ascii="Times New Roman" w:hAnsi="Times New Roman" w:cs="Times New Roman"/>
      <w:color w:val="000000"/>
      <w:sz w:val="18"/>
      <w:szCs w:val="18"/>
      <w:u w:val="none"/>
    </w:rPr>
  </w:style>
  <w:style w:type="character" w:customStyle="1" w:styleId="47">
    <w:name w:val="font81"/>
    <w:basedOn w:val="18"/>
    <w:qFormat/>
    <w:uiPriority w:val="0"/>
    <w:rPr>
      <w:rFonts w:hint="default" w:ascii="Times New Roman" w:hAnsi="Times New Roman" w:cs="Times New Roman"/>
      <w:color w:val="FF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13472</Words>
  <Characters>13721</Characters>
  <Lines>0</Lines>
  <Paragraphs>0</Paragraphs>
  <TotalTime>25</TotalTime>
  <ScaleCrop>false</ScaleCrop>
  <LinksUpToDate>false</LinksUpToDate>
  <CharactersWithSpaces>13775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2020-09-09T00:40:00Z</dcterms:created>
  <dc:creator>Forever1418027745</dc:creator>
  <cp:lastModifiedBy>Amy</cp:lastModifiedBy>
  <cp:lastPrinted>2024-11-01T05:57:00Z</cp:lastPrinted>
  <dcterms:modified xsi:type="dcterms:W3CDTF">2025-01-20T06:41:56Z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SaveFontToCloudKey">
    <vt:lpwstr>26446512_embed</vt:lpwstr>
  </property>
  <property fmtid="{D5CDD505-2E9C-101B-9397-08002B2CF9AE}" pid="4" name="ICV">
    <vt:lpwstr>4D38D58AA4A14B7292AE215F83F948AE_13</vt:lpwstr>
  </property>
  <property fmtid="{D5CDD505-2E9C-101B-9397-08002B2CF9AE}" pid="5" name="KSOTemplateDocerSaveRecord">
    <vt:lpwstr>eyJoZGlkIjoiZDFhNDdhZGM0MmVjYjRjZjI5NmRlOGRmMzJjYjM0NTUiLCJ1c2VySWQiOiIxNzc2MzcyNyJ9</vt:lpwstr>
  </property>
</Properties>
</file>