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关于</w:t>
      </w:r>
      <w:r>
        <w:rPr>
          <w:rFonts w:hint="eastAsia" w:ascii="方正小标宋简体" w:hAnsi="华文中宋" w:eastAsia="方正小标宋简体" w:cs="Times New Roman"/>
          <w:bCs/>
          <w:color w:val="000000"/>
          <w:sz w:val="44"/>
          <w:szCs w:val="44"/>
          <w:lang w:eastAsia="zh-CN"/>
        </w:rPr>
        <w:t>开展</w:t>
      </w:r>
      <w:r>
        <w:rPr>
          <w:rFonts w:hint="eastAsia" w:ascii="方正小标宋简体" w:hAnsi="华文中宋" w:eastAsia="方正小标宋简体" w:cs="Times New Roman"/>
          <w:bCs/>
          <w:color w:val="000000"/>
          <w:sz w:val="44"/>
          <w:szCs w:val="44"/>
        </w:rPr>
        <w:t>202</w:t>
      </w:r>
      <w:r>
        <w:rPr>
          <w:rFonts w:hint="eastAsia" w:ascii="方正小标宋简体" w:hAnsi="华文中宋" w:eastAsia="方正小标宋简体" w:cs="Times New Roman"/>
          <w:bCs/>
          <w:color w:val="000000"/>
          <w:sz w:val="44"/>
          <w:szCs w:val="44"/>
          <w:lang w:val="en-US" w:eastAsia="zh-CN"/>
        </w:rPr>
        <w:t>2</w:t>
      </w:r>
      <w:r>
        <w:rPr>
          <w:rFonts w:hint="eastAsia" w:ascii="方正小标宋简体" w:hAnsi="华文中宋" w:eastAsia="方正小标宋简体" w:cs="Times New Roman"/>
          <w:bCs/>
          <w:color w:val="000000"/>
          <w:sz w:val="44"/>
          <w:szCs w:val="44"/>
        </w:rPr>
        <w:t>年财政支出绩效</w:t>
      </w:r>
    </w:p>
    <w:p>
      <w:pPr>
        <w:spacing w:line="640" w:lineRule="exact"/>
        <w:jc w:val="center"/>
        <w:rPr>
          <w:rFonts w:hint="eastAsia" w:ascii="方正小标宋简体" w:hAnsi="华文中宋" w:eastAsia="方正小标宋简体" w:cs="Times New Roman"/>
          <w:bCs/>
          <w:color w:val="000000"/>
          <w:sz w:val="44"/>
          <w:szCs w:val="44"/>
        </w:rPr>
      </w:pPr>
      <w:r>
        <w:rPr>
          <w:rFonts w:hint="eastAsia" w:ascii="方正小标宋简体" w:hAnsi="华文中宋" w:eastAsia="方正小标宋简体" w:cs="Times New Roman"/>
          <w:bCs/>
          <w:color w:val="000000"/>
          <w:sz w:val="44"/>
          <w:szCs w:val="44"/>
        </w:rPr>
        <w:t>自评</w:t>
      </w:r>
      <w:r>
        <w:rPr>
          <w:rFonts w:hint="eastAsia" w:ascii="方正小标宋简体" w:hAnsi="华文中宋" w:eastAsia="方正小标宋简体" w:cs="Times New Roman"/>
          <w:bCs/>
          <w:color w:val="000000"/>
          <w:sz w:val="44"/>
          <w:szCs w:val="44"/>
          <w:lang w:eastAsia="zh-CN"/>
        </w:rPr>
        <w:t>工作</w:t>
      </w:r>
      <w:r>
        <w:rPr>
          <w:rFonts w:hint="eastAsia" w:ascii="方正小标宋简体" w:hAnsi="华文中宋" w:eastAsia="方正小标宋简体" w:cs="Times New Roman"/>
          <w:bCs/>
          <w:color w:val="000000"/>
          <w:sz w:val="44"/>
          <w:szCs w:val="44"/>
        </w:rPr>
        <w:t>的通知</w:t>
      </w:r>
    </w:p>
    <w:p>
      <w:pPr>
        <w:rPr>
          <w:sz w:val="28"/>
          <w:szCs w:val="28"/>
        </w:rPr>
      </w:pPr>
    </w:p>
    <w:p>
      <w:pPr>
        <w:adjustRightInd w:val="0"/>
        <w:snapToGrid w:val="0"/>
        <w:spacing w:line="640" w:lineRule="exact"/>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各预算</w:t>
      </w:r>
      <w:r>
        <w:rPr>
          <w:rFonts w:hint="eastAsia" w:ascii="Times New Roman" w:hAnsi="Times New Roman" w:eastAsia="仿宋_GB2312" w:cs="Times New Roman"/>
          <w:color w:val="000000"/>
          <w:sz w:val="32"/>
          <w:szCs w:val="32"/>
          <w:shd w:val="clear" w:color="auto" w:fill="FFFFFF"/>
          <w:lang w:val="en-US" w:eastAsia="zh-CN"/>
        </w:rPr>
        <w:t>部门（单位）</w:t>
      </w:r>
      <w:r>
        <w:rPr>
          <w:rFonts w:hint="eastAsia" w:ascii="Times New Roman" w:hAnsi="Times New Roman" w:eastAsia="仿宋_GB2312" w:cs="Times New Roman"/>
          <w:color w:val="000000"/>
          <w:sz w:val="32"/>
          <w:szCs w:val="32"/>
          <w:shd w:val="clear" w:color="auto" w:fill="FFFFFF"/>
        </w:rPr>
        <w:t>：</w:t>
      </w:r>
    </w:p>
    <w:p>
      <w:pPr>
        <w:adjustRightInd w:val="0"/>
        <w:snapToGrid w:val="0"/>
        <w:spacing w:line="64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eastAsia="仿宋_GB2312"/>
          <w:sz w:val="32"/>
          <w:szCs w:val="32"/>
        </w:rPr>
        <w:t>为贯彻落实《中共中央国务院关于全面实施预算绩效管理的意见》精神</w:t>
      </w:r>
      <w:r>
        <w:rPr>
          <w:rFonts w:hint="eastAsia" w:eastAsia="仿宋_GB2312"/>
          <w:sz w:val="32"/>
          <w:szCs w:val="32"/>
          <w:lang w:eastAsia="zh-CN"/>
        </w:rPr>
        <w:t>，</w:t>
      </w:r>
      <w:r>
        <w:rPr>
          <w:rFonts w:hint="eastAsia" w:ascii="Times New Roman" w:hAnsi="Times New Roman" w:eastAsia="仿宋_GB2312" w:cs="Times New Roman"/>
          <w:color w:val="000000"/>
          <w:sz w:val="32"/>
          <w:szCs w:val="32"/>
          <w:shd w:val="clear" w:color="auto" w:fill="FFFFFF"/>
        </w:rPr>
        <w:t>有序推进我区全面实施预算绩效管理，强化财政支出绩效理念和责任意识，切实提高财政资金使用效益，现就</w:t>
      </w:r>
      <w:r>
        <w:rPr>
          <w:rFonts w:hint="eastAsia" w:ascii="Times New Roman" w:hAnsi="Times New Roman" w:eastAsia="仿宋_GB2312" w:cs="Times New Roman"/>
          <w:color w:val="000000"/>
          <w:sz w:val="32"/>
          <w:szCs w:val="32"/>
          <w:shd w:val="clear" w:color="auto" w:fill="FFFFFF"/>
          <w:lang w:eastAsia="zh-CN"/>
        </w:rPr>
        <w:t>开展</w:t>
      </w:r>
      <w:r>
        <w:rPr>
          <w:rFonts w:hint="eastAsia" w:ascii="Times New Roman" w:hAnsi="Times New Roman" w:eastAsia="仿宋_GB2312" w:cs="Times New Roman"/>
          <w:color w:val="000000"/>
          <w:sz w:val="32"/>
          <w:szCs w:val="32"/>
          <w:shd w:val="clear" w:color="auto" w:fill="FFFFFF"/>
        </w:rPr>
        <w:t>202</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年度财政支出绩效自评工作有关事项通知如下：</w:t>
      </w:r>
    </w:p>
    <w:p>
      <w:pPr>
        <w:numPr>
          <w:ilvl w:val="0"/>
          <w:numId w:val="1"/>
        </w:numPr>
        <w:adjustRightInd w:val="0"/>
        <w:snapToGrid w:val="0"/>
        <w:spacing w:line="640" w:lineRule="exact"/>
        <w:ind w:firstLine="634" w:firstLineChars="200"/>
        <w:contextualSpacing/>
        <w:rPr>
          <w:rFonts w:hint="eastAsia" w:ascii="Times New Roman" w:hAnsi="黑体" w:eastAsia="黑体" w:cs="Times New Roman"/>
          <w:sz w:val="32"/>
          <w:szCs w:val="32"/>
          <w:lang w:eastAsia="zh-CN"/>
        </w:rPr>
      </w:pPr>
      <w:r>
        <w:rPr>
          <w:rFonts w:hint="eastAsia" w:ascii="Times New Roman" w:hAnsi="黑体" w:eastAsia="黑体" w:cs="Times New Roman"/>
          <w:sz w:val="32"/>
          <w:szCs w:val="32"/>
          <w:lang w:eastAsia="zh-CN"/>
        </w:rPr>
        <w:t>评价要求</w:t>
      </w:r>
    </w:p>
    <w:p>
      <w:pPr>
        <w:adjustRightInd w:val="0"/>
        <w:snapToGrid w:val="0"/>
        <w:spacing w:line="640" w:lineRule="exact"/>
        <w:ind w:firstLine="634" w:firstLineChars="200"/>
        <w:contextualSpacing/>
        <w:rPr>
          <w:rFonts w:hint="eastAsia" w:ascii="Times New Roman" w:hAnsi="黑体" w:eastAsia="仿宋_GB2312" w:cs="Times New Roman"/>
          <w:sz w:val="32"/>
          <w:szCs w:val="32"/>
          <w:lang w:val="en-US" w:eastAsia="zh-CN"/>
        </w:rPr>
      </w:pPr>
      <w:r>
        <w:rPr>
          <w:rFonts w:eastAsia="仿宋_GB2312"/>
          <w:sz w:val="32"/>
          <w:szCs w:val="32"/>
        </w:rPr>
        <w:t>按照“谁花钱谁绩效”原则</w:t>
      </w:r>
      <w:r>
        <w:rPr>
          <w:rFonts w:hint="eastAsia" w:eastAsia="仿宋_GB2312"/>
          <w:sz w:val="32"/>
          <w:szCs w:val="32"/>
          <w:lang w:eastAsia="zh-CN"/>
        </w:rPr>
        <w:t>，</w:t>
      </w:r>
      <w:r>
        <w:rPr>
          <w:rFonts w:hint="eastAsia" w:ascii="Times New Roman" w:hAnsi="Times New Roman" w:eastAsia="仿宋_GB2312" w:cs="Times New Roman"/>
          <w:color w:val="000000"/>
          <w:sz w:val="32"/>
          <w:szCs w:val="32"/>
          <w:shd w:val="clear" w:color="auto" w:fill="FFFFFF"/>
        </w:rPr>
        <w:t>各预算</w:t>
      </w:r>
      <w:r>
        <w:rPr>
          <w:rFonts w:hint="eastAsia" w:ascii="Times New Roman" w:hAnsi="Times New Roman" w:eastAsia="仿宋_GB2312" w:cs="Times New Roman"/>
          <w:color w:val="000000"/>
          <w:sz w:val="32"/>
          <w:szCs w:val="32"/>
          <w:shd w:val="clear" w:color="auto" w:fill="FFFFFF"/>
          <w:lang w:val="en-US" w:eastAsia="zh-CN"/>
        </w:rPr>
        <w:t>部门</w:t>
      </w:r>
      <w:r>
        <w:rPr>
          <w:rFonts w:hint="eastAsia" w:ascii="Times New Roman" w:hAnsi="Times New Roman" w:eastAsia="仿宋_GB2312" w:cs="Times New Roman"/>
          <w:color w:val="000000"/>
          <w:sz w:val="32"/>
          <w:szCs w:val="32"/>
          <w:shd w:val="clear" w:color="auto" w:fill="FFFFFF"/>
          <w:lang w:eastAsia="zh-CN"/>
        </w:rPr>
        <w:t>是</w:t>
      </w:r>
      <w:r>
        <w:rPr>
          <w:rFonts w:hint="eastAsia" w:ascii="Times New Roman" w:hAnsi="Times New Roman" w:eastAsia="仿宋_GB2312" w:cs="Times New Roman"/>
          <w:color w:val="000000"/>
          <w:sz w:val="32"/>
          <w:szCs w:val="32"/>
          <w:shd w:val="clear" w:color="auto" w:fill="FFFFFF"/>
        </w:rPr>
        <w:t>预算资金绩效管理的责任主体</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要加强对本</w:t>
      </w:r>
      <w:r>
        <w:rPr>
          <w:rFonts w:hint="eastAsia" w:ascii="Times New Roman" w:hAnsi="Times New Roman" w:eastAsia="仿宋_GB2312" w:cs="Times New Roman"/>
          <w:color w:val="000000"/>
          <w:sz w:val="32"/>
          <w:szCs w:val="32"/>
          <w:shd w:val="clear" w:color="auto" w:fill="FFFFFF"/>
          <w:lang w:val="en-US" w:eastAsia="zh-CN"/>
        </w:rPr>
        <w:t>部门</w:t>
      </w:r>
      <w:r>
        <w:rPr>
          <w:rFonts w:hint="eastAsia" w:ascii="Times New Roman" w:hAnsi="Times New Roman" w:eastAsia="仿宋_GB2312" w:cs="Times New Roman"/>
          <w:color w:val="000000"/>
          <w:sz w:val="32"/>
          <w:szCs w:val="32"/>
          <w:shd w:val="clear" w:color="auto" w:fill="FFFFFF"/>
        </w:rPr>
        <w:t>归口管理项目绩效自评的组织管理</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成立或完善本部门预算绩效管理工作组，制定本</w:t>
      </w:r>
      <w:r>
        <w:rPr>
          <w:rFonts w:hint="eastAsia" w:ascii="Times New Roman" w:hAnsi="Times New Roman" w:eastAsia="仿宋_GB2312" w:cs="Times New Roman"/>
          <w:color w:val="000000"/>
          <w:sz w:val="32"/>
          <w:szCs w:val="32"/>
          <w:shd w:val="clear" w:color="auto" w:fill="FFFFFF"/>
          <w:lang w:val="en-US" w:eastAsia="zh-CN"/>
        </w:rPr>
        <w:t>部门</w:t>
      </w:r>
      <w:r>
        <w:rPr>
          <w:rFonts w:hint="eastAsia" w:ascii="Times New Roman" w:hAnsi="Times New Roman" w:eastAsia="仿宋_GB2312" w:cs="Times New Roman"/>
          <w:color w:val="000000"/>
          <w:sz w:val="32"/>
          <w:szCs w:val="32"/>
          <w:shd w:val="clear" w:color="auto" w:fill="FFFFFF"/>
        </w:rPr>
        <w:t>整体支出、项目支出绩效评价</w:t>
      </w:r>
      <w:r>
        <w:rPr>
          <w:rFonts w:hint="eastAsia" w:ascii="Times New Roman" w:hAnsi="Times New Roman" w:eastAsia="仿宋_GB2312" w:cs="Times New Roman"/>
          <w:color w:val="000000"/>
          <w:sz w:val="32"/>
          <w:szCs w:val="32"/>
          <w:shd w:val="clear" w:color="auto" w:fill="FFFFFF"/>
          <w:lang w:eastAsia="zh-CN"/>
        </w:rPr>
        <w:t>实施方案，</w:t>
      </w:r>
      <w:r>
        <w:rPr>
          <w:rFonts w:hint="eastAsia" w:ascii="Times New Roman" w:hAnsi="Times New Roman" w:eastAsia="仿宋_GB2312" w:cs="Times New Roman"/>
          <w:color w:val="000000"/>
          <w:sz w:val="32"/>
          <w:szCs w:val="32"/>
          <w:shd w:val="clear" w:color="auto" w:fill="FFFFFF"/>
        </w:rPr>
        <w:t>组织相关领域全员参与实施</w:t>
      </w:r>
      <w:r>
        <w:rPr>
          <w:rFonts w:hint="eastAsia" w:ascii="Times New Roman" w:hAnsi="Times New Roman" w:eastAsia="仿宋_GB2312" w:cs="Times New Roman"/>
          <w:color w:val="000000"/>
          <w:sz w:val="32"/>
          <w:szCs w:val="32"/>
          <w:shd w:val="clear" w:color="auto" w:fill="FFFFFF"/>
          <w:lang w:eastAsia="zh-CN"/>
        </w:rPr>
        <w:t>。</w:t>
      </w:r>
    </w:p>
    <w:p>
      <w:pPr>
        <w:adjustRightInd w:val="0"/>
        <w:snapToGrid w:val="0"/>
        <w:spacing w:line="640" w:lineRule="exact"/>
        <w:ind w:firstLine="634" w:firstLineChars="200"/>
        <w:contextualSpacing/>
        <w:rPr>
          <w:rFonts w:ascii="Times New Roman" w:hAnsi="黑体" w:eastAsia="黑体" w:cs="Times New Roman"/>
          <w:sz w:val="32"/>
          <w:szCs w:val="32"/>
        </w:rPr>
      </w:pPr>
      <w:r>
        <w:rPr>
          <w:rFonts w:hint="eastAsia" w:ascii="Times New Roman" w:hAnsi="黑体" w:eastAsia="黑体" w:cs="Times New Roman"/>
          <w:sz w:val="32"/>
          <w:szCs w:val="32"/>
          <w:lang w:eastAsia="zh-CN"/>
        </w:rPr>
        <w:t>二</w:t>
      </w:r>
      <w:r>
        <w:rPr>
          <w:rFonts w:hint="eastAsia" w:ascii="Times New Roman" w:hAnsi="黑体" w:eastAsia="黑体" w:cs="Times New Roman"/>
          <w:sz w:val="32"/>
          <w:szCs w:val="32"/>
        </w:rPr>
        <w:t>、评价范围</w:t>
      </w:r>
    </w:p>
    <w:p>
      <w:pPr>
        <w:adjustRightInd w:val="0"/>
        <w:snapToGrid w:val="0"/>
        <w:spacing w:line="64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1、</w:t>
      </w:r>
      <w:r>
        <w:rPr>
          <w:rFonts w:hint="eastAsia" w:ascii="Times New Roman" w:hAnsi="Times New Roman" w:eastAsia="仿宋_GB2312" w:cs="Times New Roman"/>
          <w:color w:val="000000"/>
          <w:sz w:val="32"/>
          <w:szCs w:val="32"/>
          <w:shd w:val="clear" w:color="auto" w:fill="FFFFFF"/>
          <w:lang w:eastAsia="zh-CN"/>
        </w:rPr>
        <w:t>自评</w:t>
      </w:r>
      <w:r>
        <w:rPr>
          <w:rFonts w:hint="eastAsia" w:ascii="Times New Roman" w:hAnsi="Times New Roman" w:eastAsia="仿宋_GB2312" w:cs="Times New Roman"/>
          <w:color w:val="000000"/>
          <w:sz w:val="32"/>
          <w:szCs w:val="32"/>
          <w:shd w:val="clear" w:color="auto" w:fill="FFFFFF"/>
        </w:rPr>
        <w:t>对象：</w:t>
      </w:r>
      <w:r>
        <w:rPr>
          <w:rFonts w:hint="eastAsia" w:ascii="Times New Roman" w:hAnsi="Times New Roman" w:eastAsia="仿宋_GB2312" w:cs="Times New Roman"/>
          <w:color w:val="000000"/>
          <w:sz w:val="32"/>
          <w:szCs w:val="32"/>
          <w:shd w:val="clear" w:color="auto" w:fill="FFFFFF"/>
          <w:lang w:eastAsia="zh-CN"/>
        </w:rPr>
        <w:t>纳入</w:t>
      </w:r>
      <w:r>
        <w:rPr>
          <w:rFonts w:hint="eastAsia" w:ascii="Times New Roman" w:hAnsi="Times New Roman" w:eastAsia="仿宋_GB2312" w:cs="Times New Roman"/>
          <w:color w:val="000000"/>
          <w:sz w:val="32"/>
          <w:szCs w:val="32"/>
          <w:shd w:val="clear" w:color="auto" w:fill="FFFFFF"/>
        </w:rPr>
        <w:t>202</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eastAsia="zh-CN"/>
        </w:rPr>
        <w:t>财政</w:t>
      </w:r>
      <w:r>
        <w:rPr>
          <w:rFonts w:hint="eastAsia" w:ascii="Times New Roman" w:hAnsi="Times New Roman" w:eastAsia="仿宋_GB2312" w:cs="Times New Roman"/>
          <w:color w:val="000000"/>
          <w:sz w:val="32"/>
          <w:szCs w:val="32"/>
          <w:shd w:val="clear" w:color="auto" w:fill="FFFFFF"/>
        </w:rPr>
        <w:t>预算管理的</w:t>
      </w:r>
      <w:r>
        <w:rPr>
          <w:rFonts w:hint="eastAsia" w:ascii="Times New Roman" w:hAnsi="Times New Roman" w:eastAsia="仿宋_GB2312" w:cs="Times New Roman"/>
          <w:color w:val="000000"/>
          <w:sz w:val="32"/>
          <w:szCs w:val="32"/>
          <w:shd w:val="clear" w:color="auto" w:fill="FFFFFF"/>
          <w:lang w:eastAsia="zh-CN"/>
        </w:rPr>
        <w:t>各</w:t>
      </w:r>
      <w:r>
        <w:rPr>
          <w:rFonts w:hint="eastAsia" w:ascii="Times New Roman" w:hAnsi="Times New Roman" w:eastAsia="仿宋_GB2312" w:cs="Times New Roman"/>
          <w:color w:val="000000"/>
          <w:sz w:val="32"/>
          <w:szCs w:val="32"/>
          <w:shd w:val="clear" w:color="auto" w:fill="FFFFFF"/>
        </w:rPr>
        <w:t>预算</w:t>
      </w:r>
      <w:r>
        <w:rPr>
          <w:rFonts w:hint="eastAsia" w:ascii="Times New Roman" w:hAnsi="Times New Roman" w:eastAsia="仿宋_GB2312" w:cs="Times New Roman"/>
          <w:color w:val="000000"/>
          <w:sz w:val="32"/>
          <w:szCs w:val="32"/>
          <w:shd w:val="clear" w:color="auto" w:fill="FFFFFF"/>
          <w:lang w:val="en-US" w:eastAsia="zh-CN"/>
        </w:rPr>
        <w:t>部门</w:t>
      </w:r>
      <w:r>
        <w:rPr>
          <w:rFonts w:hint="eastAsia" w:ascii="Times New Roman" w:hAnsi="Times New Roman" w:eastAsia="仿宋_GB2312" w:cs="Times New Roman"/>
          <w:color w:val="000000"/>
          <w:sz w:val="32"/>
          <w:szCs w:val="32"/>
          <w:shd w:val="clear" w:color="auto" w:fill="FFFFFF"/>
        </w:rPr>
        <w:t>。</w:t>
      </w:r>
    </w:p>
    <w:p>
      <w:pPr>
        <w:adjustRightInd w:val="0"/>
        <w:snapToGrid w:val="0"/>
        <w:spacing w:line="640" w:lineRule="exact"/>
        <w:ind w:firstLine="634" w:firstLineChars="200"/>
        <w:contextualSpacing/>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2、自评范围：202</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年预算</w:t>
      </w:r>
      <w:r>
        <w:rPr>
          <w:rFonts w:hint="eastAsia" w:ascii="Times New Roman" w:hAnsi="Times New Roman" w:eastAsia="仿宋_GB2312" w:cs="Times New Roman"/>
          <w:color w:val="000000"/>
          <w:sz w:val="32"/>
          <w:szCs w:val="32"/>
          <w:shd w:val="clear" w:color="auto" w:fill="FFFFFF"/>
          <w:lang w:eastAsia="zh-CN"/>
        </w:rPr>
        <w:t>安排</w:t>
      </w:r>
      <w:r>
        <w:rPr>
          <w:rFonts w:hint="eastAsia" w:ascii="Times New Roman" w:hAnsi="Times New Roman" w:eastAsia="仿宋_GB2312" w:cs="Times New Roman"/>
          <w:color w:val="000000"/>
          <w:sz w:val="32"/>
          <w:szCs w:val="32"/>
          <w:shd w:val="clear" w:color="auto" w:fill="FFFFFF"/>
        </w:rPr>
        <w:t>并使用财政资金的整体支出、</w:t>
      </w:r>
      <w:r>
        <w:rPr>
          <w:rFonts w:hint="eastAsia" w:ascii="Times New Roman" w:hAnsi="Times New Roman" w:eastAsia="仿宋_GB2312" w:cs="Times New Roman"/>
          <w:color w:val="000000"/>
          <w:sz w:val="32"/>
          <w:szCs w:val="32"/>
          <w:shd w:val="clear" w:color="auto" w:fill="FFFFFF"/>
          <w:lang w:val="en-US" w:eastAsia="zh-CN"/>
        </w:rPr>
        <w:t>50</w:t>
      </w:r>
      <w:r>
        <w:rPr>
          <w:rFonts w:hint="eastAsia" w:ascii="Times New Roman" w:hAnsi="Times New Roman" w:eastAsia="仿宋_GB2312" w:cs="Times New Roman"/>
          <w:color w:val="000000"/>
          <w:sz w:val="32"/>
          <w:szCs w:val="32"/>
          <w:shd w:val="clear" w:color="auto" w:fill="FFFFFF"/>
        </w:rPr>
        <w:t>万元以上非工作经费类项目全部纳入绩效自评范围，分为整体支出绩效自评和项目支出绩效自评，主要从产出、效益、满意度3项指标对照年初设定的绩效目标进行综合评价。具体报送的自评资料详见附件2-</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w:t>
      </w:r>
    </w:p>
    <w:p>
      <w:pPr>
        <w:adjustRightInd w:val="0"/>
        <w:snapToGrid w:val="0"/>
        <w:spacing w:line="640" w:lineRule="exact"/>
        <w:contextualSpacing/>
        <w:rPr>
          <w:rFonts w:hint="eastAsia" w:ascii="Times New Roman" w:hAnsi="Times New Roman" w:eastAsia="仿宋_GB2312" w:cs="Times New Roman"/>
          <w:color w:val="000000"/>
          <w:sz w:val="32"/>
          <w:szCs w:val="32"/>
          <w:shd w:val="clear" w:color="auto" w:fill="FFFFFF"/>
          <w:lang w:val="en-US" w:eastAsia="zh-CN"/>
        </w:rPr>
      </w:pPr>
      <w:r>
        <w:rPr>
          <w:rFonts w:hint="eastAsia" w:ascii="Times New Roman" w:hAnsi="Times New Roman" w:eastAsia="仿宋_GB2312" w:cs="Times New Roman"/>
          <w:color w:val="000000"/>
          <w:sz w:val="32"/>
          <w:szCs w:val="32"/>
          <w:shd w:val="clear" w:color="auto" w:fill="FFFFFF"/>
          <w:lang w:val="en-US" w:eastAsia="zh-CN"/>
        </w:rPr>
        <w:t xml:space="preserve">    </w:t>
      </w:r>
    </w:p>
    <w:p>
      <w:pPr>
        <w:adjustRightInd w:val="0"/>
        <w:snapToGrid w:val="0"/>
        <w:spacing w:line="640" w:lineRule="exact"/>
        <w:ind w:firstLine="634" w:firstLineChars="200"/>
        <w:contextualSpacing/>
        <w:rPr>
          <w:rFonts w:hint="default" w:ascii="Times New Roman" w:hAnsi="黑体" w:eastAsia="黑体" w:cs="Times New Roman"/>
          <w:sz w:val="32"/>
          <w:szCs w:val="32"/>
          <w:lang w:val="en-US" w:eastAsia="zh-CN"/>
        </w:rPr>
      </w:pPr>
      <w:r>
        <w:rPr>
          <w:rFonts w:hint="eastAsia" w:ascii="Times New Roman" w:hAnsi="黑体" w:eastAsia="黑体" w:cs="Times New Roman"/>
          <w:sz w:val="32"/>
          <w:szCs w:val="32"/>
          <w:lang w:val="en-US" w:eastAsia="zh-CN"/>
        </w:rPr>
        <w:t>三、资料报送及结果应用</w:t>
      </w:r>
    </w:p>
    <w:p>
      <w:pPr>
        <w:adjustRightInd w:val="0"/>
        <w:snapToGrid w:val="0"/>
        <w:spacing w:line="64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1、报送时间：</w:t>
      </w:r>
      <w:r>
        <w:rPr>
          <w:rFonts w:hint="eastAsia" w:ascii="Times New Roman" w:hAnsi="Times New Roman" w:eastAsia="仿宋_GB2312" w:cs="Times New Roman"/>
          <w:color w:val="000000"/>
          <w:sz w:val="32"/>
          <w:szCs w:val="32"/>
          <w:shd w:val="clear" w:color="auto" w:fill="FFFFFF"/>
        </w:rPr>
        <w:t>各预算</w:t>
      </w:r>
      <w:r>
        <w:rPr>
          <w:rFonts w:hint="eastAsia" w:ascii="Times New Roman" w:hAnsi="Times New Roman" w:eastAsia="仿宋_GB2312" w:cs="Times New Roman"/>
          <w:color w:val="000000"/>
          <w:sz w:val="32"/>
          <w:szCs w:val="32"/>
          <w:shd w:val="clear" w:color="auto" w:fill="FFFFFF"/>
          <w:lang w:val="en-US" w:eastAsia="zh-CN"/>
        </w:rPr>
        <w:t>部门</w:t>
      </w:r>
      <w:r>
        <w:rPr>
          <w:rFonts w:hint="eastAsia" w:ascii="Times New Roman" w:hAnsi="Times New Roman" w:eastAsia="仿宋_GB2312" w:cs="Times New Roman"/>
          <w:color w:val="000000"/>
          <w:sz w:val="32"/>
          <w:szCs w:val="32"/>
          <w:shd w:val="clear" w:color="auto" w:fill="FFFFFF"/>
        </w:rPr>
        <w:t>应于202</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月</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日前上传绩效自评报告及相关附表电子版，并将纸质版经部门负责人审签后报送财政金融部。纸质版报送财政金融部审计监督科（617办公室），联系人：</w:t>
      </w:r>
      <w:r>
        <w:rPr>
          <w:rFonts w:hint="eastAsia" w:ascii="Times New Roman" w:hAnsi="Times New Roman" w:eastAsia="仿宋_GB2312" w:cs="Times New Roman"/>
          <w:color w:val="000000"/>
          <w:sz w:val="32"/>
          <w:szCs w:val="32"/>
          <w:shd w:val="clear" w:color="auto" w:fill="FFFFFF"/>
          <w:lang w:val="en-US" w:eastAsia="zh-CN"/>
        </w:rPr>
        <w:t>张红英</w:t>
      </w:r>
      <w:r>
        <w:rPr>
          <w:rFonts w:hint="eastAsia"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Times New Roman"/>
          <w:color w:val="000000"/>
          <w:sz w:val="32"/>
          <w:szCs w:val="32"/>
          <w:shd w:val="clear" w:color="auto" w:fill="FFFFFF"/>
          <w:lang w:val="en-US" w:eastAsia="zh-CN"/>
        </w:rPr>
        <w:t>18907303965</w:t>
      </w:r>
      <w:r>
        <w:rPr>
          <w:rFonts w:hint="eastAsia" w:ascii="Times New Roman" w:hAnsi="Times New Roman" w:eastAsia="仿宋_GB2312" w:cs="Times New Roman"/>
          <w:color w:val="000000"/>
          <w:sz w:val="32"/>
          <w:szCs w:val="32"/>
          <w:shd w:val="clear" w:color="auto" w:fill="FFFFFF"/>
        </w:rPr>
        <w:t>。</w:t>
      </w:r>
    </w:p>
    <w:p>
      <w:pPr>
        <w:adjustRightInd w:val="0"/>
        <w:snapToGrid w:val="0"/>
        <w:spacing w:line="64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信息公开</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按照“谁实施谁公开”原则，各部门的自评报告应由各部门自行在部门门户网站公开，鉴于各部门无单独的门户网站，由财政金融部统一在管委会官网上进行公开，做到“非涉密、全公开”，各预算部门对公开内容自行负责。</w:t>
      </w:r>
    </w:p>
    <w:p>
      <w:pPr>
        <w:adjustRightInd w:val="0"/>
        <w:snapToGrid w:val="0"/>
        <w:spacing w:line="640" w:lineRule="exact"/>
        <w:ind w:firstLine="632"/>
        <w:contextualSpacing/>
        <w:rPr>
          <w:rFonts w:hint="eastAsia" w:ascii="仿宋_GB2312" w:eastAsia="仿宋_GB2312"/>
          <w:spacing w:val="-4"/>
          <w:kern w:val="0"/>
          <w:sz w:val="32"/>
          <w:szCs w:val="32"/>
        </w:rPr>
      </w:pP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财政评价</w:t>
      </w:r>
      <w:r>
        <w:rPr>
          <w:rFonts w:hint="eastAsia" w:ascii="Times New Roman" w:hAnsi="Times New Roman" w:eastAsia="仿宋_GB2312" w:cs="Times New Roman"/>
          <w:color w:val="000000"/>
          <w:sz w:val="32"/>
          <w:szCs w:val="32"/>
          <w:shd w:val="clear" w:color="auto" w:fill="FFFFFF"/>
          <w:lang w:eastAsia="zh-CN"/>
        </w:rPr>
        <w:t>：</w:t>
      </w:r>
      <w:r>
        <w:rPr>
          <w:rFonts w:hint="eastAsia" w:ascii="仿宋_GB2312" w:eastAsia="仿宋_GB2312"/>
          <w:spacing w:val="-4"/>
          <w:kern w:val="0"/>
          <w:sz w:val="32"/>
          <w:szCs w:val="32"/>
        </w:rPr>
        <w:t>各预算</w:t>
      </w:r>
      <w:r>
        <w:rPr>
          <w:rFonts w:hint="eastAsia" w:ascii="仿宋_GB2312" w:eastAsia="仿宋_GB2312"/>
          <w:spacing w:val="-4"/>
          <w:kern w:val="0"/>
          <w:sz w:val="32"/>
          <w:szCs w:val="32"/>
          <w:lang w:val="en-US" w:eastAsia="zh-CN"/>
        </w:rPr>
        <w:t>部门</w:t>
      </w:r>
      <w:r>
        <w:rPr>
          <w:rFonts w:hint="eastAsia" w:ascii="仿宋_GB2312" w:eastAsia="仿宋_GB2312"/>
          <w:spacing w:val="-4"/>
          <w:kern w:val="0"/>
          <w:sz w:val="32"/>
          <w:szCs w:val="32"/>
        </w:rPr>
        <w:t>完成绩效自评后，</w:t>
      </w:r>
      <w:r>
        <w:rPr>
          <w:rFonts w:hint="eastAsia" w:ascii="仿宋_GB2312" w:eastAsia="仿宋_GB2312"/>
          <w:spacing w:val="-4"/>
          <w:kern w:val="0"/>
          <w:sz w:val="32"/>
          <w:szCs w:val="32"/>
          <w:lang w:eastAsia="zh-CN"/>
        </w:rPr>
        <w:t>财政金融部</w:t>
      </w:r>
      <w:r>
        <w:rPr>
          <w:rFonts w:hint="eastAsia" w:ascii="仿宋_GB2312" w:eastAsia="仿宋_GB2312"/>
          <w:spacing w:val="-4"/>
          <w:kern w:val="0"/>
          <w:sz w:val="32"/>
          <w:szCs w:val="32"/>
        </w:rPr>
        <w:t>将</w:t>
      </w:r>
      <w:r>
        <w:rPr>
          <w:rFonts w:hint="eastAsia" w:ascii="仿宋_GB2312" w:eastAsia="仿宋_GB2312"/>
          <w:spacing w:val="-4"/>
          <w:kern w:val="0"/>
          <w:sz w:val="32"/>
          <w:szCs w:val="32"/>
          <w:lang w:val="en-US" w:eastAsia="zh-CN"/>
        </w:rPr>
        <w:t>根据情况</w:t>
      </w:r>
      <w:r>
        <w:rPr>
          <w:rFonts w:hint="eastAsia" w:ascii="仿宋_GB2312" w:eastAsia="仿宋_GB2312"/>
          <w:spacing w:val="-4"/>
          <w:kern w:val="0"/>
          <w:sz w:val="32"/>
          <w:szCs w:val="32"/>
        </w:rPr>
        <w:t>对各单位的部门整体支出和专项资金绩效自评工作质量组织第三方审核评价，其质量评价结果上报</w:t>
      </w:r>
      <w:r>
        <w:rPr>
          <w:rFonts w:hint="eastAsia" w:ascii="仿宋_GB2312" w:eastAsia="仿宋_GB2312"/>
          <w:spacing w:val="-4"/>
          <w:kern w:val="0"/>
          <w:sz w:val="32"/>
          <w:szCs w:val="32"/>
          <w:lang w:eastAsia="zh-CN"/>
        </w:rPr>
        <w:t>管委会</w:t>
      </w:r>
      <w:r>
        <w:rPr>
          <w:rFonts w:hint="eastAsia" w:ascii="仿宋_GB2312" w:eastAsia="仿宋_GB2312"/>
          <w:spacing w:val="-4"/>
          <w:kern w:val="0"/>
          <w:sz w:val="32"/>
          <w:szCs w:val="32"/>
        </w:rPr>
        <w:t>，并适当公开通报。</w:t>
      </w:r>
    </w:p>
    <w:p>
      <w:pPr>
        <w:adjustRightInd w:val="0"/>
        <w:snapToGrid w:val="0"/>
        <w:spacing w:line="640" w:lineRule="exact"/>
        <w:ind w:firstLine="632"/>
        <w:contextualSpacing/>
        <w:rPr>
          <w:rFonts w:hint="eastAsia" w:ascii="仿宋_GB2312" w:eastAsia="仿宋_GB2312"/>
          <w:spacing w:val="-4"/>
          <w:kern w:val="0"/>
          <w:sz w:val="32"/>
          <w:szCs w:val="32"/>
        </w:rPr>
      </w:pPr>
    </w:p>
    <w:p>
      <w:pPr>
        <w:adjustRightInd w:val="0"/>
        <w:snapToGrid w:val="0"/>
        <w:spacing w:line="640" w:lineRule="exact"/>
        <w:ind w:firstLine="634" w:firstLineChars="200"/>
        <w:contextualSpacing/>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附件</w:t>
      </w:r>
      <w:r>
        <w:rPr>
          <w:rFonts w:hint="eastAsia" w:ascii="Times New Roman" w:hAnsi="Times New Roman" w:eastAsia="仿宋_GB2312" w:cs="Times New Roman"/>
          <w:color w:val="000000"/>
          <w:sz w:val="32"/>
          <w:szCs w:val="32"/>
          <w:shd w:val="clear" w:color="auto" w:fill="FFFFFF"/>
          <w:lang w:eastAsia="zh-CN"/>
        </w:rPr>
        <w:t>：</w:t>
      </w:r>
      <w:r>
        <w:rPr>
          <w:rFonts w:hint="eastAsia" w:ascii="Times New Roman" w:hAnsi="Times New Roman" w:eastAsia="仿宋_GB2312" w:cs="Times New Roman"/>
          <w:color w:val="000000"/>
          <w:sz w:val="32"/>
          <w:szCs w:val="32"/>
          <w:shd w:val="clear" w:color="auto" w:fill="FFFFFF"/>
        </w:rPr>
        <w:t xml:space="preserve">1. </w:t>
      </w:r>
      <w:r>
        <w:rPr>
          <w:rFonts w:ascii="Times New Roman" w:hAnsi="Times New Roman" w:eastAsia="仿宋_GB2312" w:cs="Times New Roman"/>
          <w:color w:val="000000"/>
          <w:sz w:val="32"/>
          <w:szCs w:val="32"/>
          <w:shd w:val="clear" w:color="auto" w:fill="FFFFFF"/>
        </w:rPr>
        <w:t>财政支出绩效评价报告填报说明</w:t>
      </w:r>
    </w:p>
    <w:p>
      <w:pPr>
        <w:adjustRightInd w:val="0"/>
        <w:snapToGrid w:val="0"/>
        <w:spacing w:line="640" w:lineRule="exact"/>
        <w:contextualSpacing/>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w:t>
      </w:r>
      <w:r>
        <w:rPr>
          <w:rFonts w:hint="eastAsia" w:ascii="Times New Roman" w:hAnsi="Times New Roman" w:eastAsia="仿宋_GB2312" w:cs="Times New Roman"/>
          <w:color w:val="000000"/>
          <w:sz w:val="32"/>
          <w:szCs w:val="32"/>
          <w:shd w:val="clear" w:color="auto" w:fill="FFFFFF"/>
        </w:rPr>
        <w:t xml:space="preserve">       </w:t>
      </w:r>
      <w:r>
        <w:rPr>
          <w:rFonts w:hint="eastAsia" w:ascii="Times New Roman" w:hAnsi="Times New Roman" w:eastAsia="仿宋_GB2312" w:cs="Times New Roman"/>
          <w:color w:val="000000"/>
          <w:sz w:val="32"/>
          <w:szCs w:val="32"/>
          <w:shd w:val="clear" w:color="auto" w:fill="FFFFFF"/>
          <w:lang w:val="en-US" w:eastAsia="zh-CN"/>
        </w:rPr>
        <w:t xml:space="preserve"> </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2.</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财政支出绩效自评报告（样表）</w:t>
      </w:r>
    </w:p>
    <w:p>
      <w:pPr>
        <w:adjustRightInd w:val="0"/>
        <w:snapToGrid w:val="0"/>
        <w:spacing w:line="640" w:lineRule="exact"/>
        <w:contextualSpacing/>
        <w:rPr>
          <w:rFonts w:hint="eastAsia"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 </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  </w:t>
      </w:r>
      <w:r>
        <w:rPr>
          <w:rFonts w:hint="eastAsia" w:ascii="Times New Roman" w:hAnsi="Times New Roman" w:eastAsia="仿宋_GB2312" w:cs="Times New Roman"/>
          <w:color w:val="000000"/>
          <w:sz w:val="32"/>
          <w:szCs w:val="32"/>
          <w:shd w:val="clear" w:color="auto" w:fill="FFFFFF"/>
          <w:lang w:val="en-US" w:eastAsia="zh-CN"/>
        </w:rPr>
        <w:t xml:space="preserve">     </w:t>
      </w:r>
      <w:r>
        <w:rPr>
          <w:rFonts w:ascii="Times New Roman" w:hAnsi="Times New Roman" w:eastAsia="仿宋_GB2312" w:cs="Times New Roman"/>
          <w:color w:val="000000"/>
          <w:sz w:val="32"/>
          <w:szCs w:val="32"/>
          <w:shd w:val="clear" w:color="auto" w:fill="FFFFFF"/>
        </w:rPr>
        <w:t>3.</w:t>
      </w:r>
      <w:r>
        <w:rPr>
          <w:rFonts w:hint="eastAsia" w:ascii="Times New Roman" w:hAnsi="Times New Roman" w:eastAsia="仿宋_GB2312" w:cs="Times New Roman"/>
          <w:color w:val="000000"/>
          <w:sz w:val="32"/>
          <w:szCs w:val="32"/>
          <w:shd w:val="clear" w:color="auto" w:fill="FFFFFF"/>
        </w:rPr>
        <w:t xml:space="preserve"> </w:t>
      </w:r>
      <w:r>
        <w:rPr>
          <w:rFonts w:ascii="Times New Roman" w:hAnsi="Times New Roman" w:eastAsia="仿宋_GB2312" w:cs="Times New Roman"/>
          <w:color w:val="000000"/>
          <w:sz w:val="32"/>
          <w:szCs w:val="32"/>
          <w:shd w:val="clear" w:color="auto" w:fill="FFFFFF"/>
        </w:rPr>
        <w:t>财政支出绩效评价评分表</w:t>
      </w:r>
    </w:p>
    <w:p>
      <w:pPr>
        <w:adjustRightInd w:val="0"/>
        <w:snapToGrid w:val="0"/>
        <w:spacing w:line="640" w:lineRule="exact"/>
        <w:contextualSpacing/>
        <w:rPr>
          <w:rFonts w:hint="eastAsia" w:ascii="Times New Roman" w:hAnsi="Times New Roman" w:eastAsia="仿宋_GB2312" w:cs="Times New Roman"/>
          <w:color w:val="000000"/>
          <w:sz w:val="32"/>
          <w:szCs w:val="32"/>
          <w:shd w:val="clear" w:color="auto" w:fill="FFFFFF"/>
        </w:rPr>
      </w:pPr>
    </w:p>
    <w:p>
      <w:pPr>
        <w:adjustRightInd w:val="0"/>
        <w:snapToGrid w:val="0"/>
        <w:spacing w:line="640" w:lineRule="exact"/>
        <w:ind w:firstLine="4121" w:firstLineChars="1300"/>
        <w:contextualSpacing/>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湖南城陵矶新港区财政金融部</w:t>
      </w:r>
    </w:p>
    <w:p>
      <w:pPr>
        <w:adjustRightInd w:val="0"/>
        <w:snapToGrid w:val="0"/>
        <w:spacing w:line="640" w:lineRule="exact"/>
        <w:ind w:firstLine="5072" w:firstLineChars="1600"/>
        <w:contextualSpacing/>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202</w:t>
      </w:r>
      <w:r>
        <w:rPr>
          <w:rFonts w:hint="eastAsia" w:ascii="Times New Roman" w:hAnsi="Times New Roman" w:eastAsia="仿宋_GB2312" w:cs="Times New Roman"/>
          <w:color w:val="000000"/>
          <w:sz w:val="32"/>
          <w:szCs w:val="32"/>
          <w:shd w:val="clear" w:color="auto" w:fill="FFFFFF"/>
          <w:lang w:val="en-US" w:eastAsia="zh-CN"/>
        </w:rPr>
        <w:t>3</w:t>
      </w:r>
      <w:r>
        <w:rPr>
          <w:rFonts w:hint="eastAsia" w:ascii="Times New Roman" w:hAnsi="Times New Roman" w:eastAsia="仿宋_GB2312" w:cs="Times New Roman"/>
          <w:color w:val="000000"/>
          <w:sz w:val="32"/>
          <w:szCs w:val="32"/>
          <w:shd w:val="clear" w:color="auto" w:fill="FFFFFF"/>
        </w:rPr>
        <w:t>年</w:t>
      </w:r>
      <w:r>
        <w:rPr>
          <w:rFonts w:hint="eastAsia" w:ascii="Times New Roman" w:hAnsi="Times New Roman" w:eastAsia="仿宋_GB2312" w:cs="Times New Roman"/>
          <w:color w:val="000000"/>
          <w:sz w:val="32"/>
          <w:szCs w:val="32"/>
          <w:shd w:val="clear" w:color="auto" w:fill="FFFFFF"/>
          <w:lang w:val="en-US" w:eastAsia="zh-CN"/>
        </w:rPr>
        <w:t>2</w:t>
      </w:r>
      <w:r>
        <w:rPr>
          <w:rFonts w:hint="eastAsia" w:ascii="Times New Roman" w:hAnsi="Times New Roman" w:eastAsia="仿宋_GB2312" w:cs="Times New Roman"/>
          <w:color w:val="000000"/>
          <w:sz w:val="32"/>
          <w:szCs w:val="32"/>
          <w:shd w:val="clear" w:color="auto" w:fill="FFFFFF"/>
        </w:rPr>
        <w:t>月2日</w:t>
      </w:r>
    </w:p>
    <w:p>
      <w:pPr>
        <w:adjustRightInd w:val="0"/>
        <w:snapToGrid w:val="0"/>
        <w:spacing w:line="640" w:lineRule="exact"/>
        <w:ind w:firstLine="5072" w:firstLineChars="1600"/>
        <w:contextualSpacing/>
        <w:rPr>
          <w:rFonts w:hint="eastAsia" w:ascii="Times New Roman" w:hAnsi="Times New Roman" w:eastAsia="仿宋_GB2312" w:cs="Times New Roman"/>
          <w:color w:val="000000"/>
          <w:sz w:val="32"/>
          <w:szCs w:val="32"/>
          <w:shd w:val="clear" w:color="auto" w:fill="FFFFFF"/>
        </w:rPr>
      </w:pPr>
    </w:p>
    <w:p>
      <w:pPr>
        <w:spacing w:line="400" w:lineRule="exact"/>
        <w:rPr>
          <w:rFonts w:ascii="黑体" w:hAnsi="黑体" w:eastAsia="黑体" w:cs="Times New Roman"/>
          <w:sz w:val="32"/>
          <w:szCs w:val="32"/>
        </w:rPr>
      </w:pPr>
      <w:r>
        <w:rPr>
          <w:rFonts w:hint="eastAsia" w:ascii="黑体" w:hAnsi="黑体" w:eastAsia="黑体" w:cs="Times New Roman"/>
          <w:sz w:val="32"/>
          <w:szCs w:val="32"/>
        </w:rPr>
        <w:t>附件</w:t>
      </w:r>
      <w:r>
        <w:rPr>
          <w:rFonts w:hint="eastAsia" w:ascii="黑体" w:hAnsi="黑体" w:eastAsia="黑体" w:cs="黑体"/>
          <w:bCs/>
          <w:sz w:val="32"/>
          <w:szCs w:val="32"/>
        </w:rPr>
        <w:t>1-1</w:t>
      </w:r>
    </w:p>
    <w:p>
      <w:pPr>
        <w:snapToGrid w:val="0"/>
        <w:spacing w:line="640" w:lineRule="exact"/>
        <w:jc w:val="center"/>
        <w:rPr>
          <w:rFonts w:ascii="Calibri" w:hAnsi="Calibri" w:eastAsia="方正小标宋简体" w:cs="方正小标宋简体"/>
          <w:bCs/>
          <w:sz w:val="44"/>
          <w:szCs w:val="44"/>
        </w:rPr>
      </w:pP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岳阳市部门整体支出绩效评价自评报告</w:t>
      </w: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填 报 说 明</w:t>
      </w:r>
    </w:p>
    <w:p>
      <w:pPr>
        <w:spacing w:line="620" w:lineRule="exact"/>
        <w:rPr>
          <w:rFonts w:ascii="仿宋_GB2312" w:hAnsi="Calibri" w:eastAsia="仿宋_GB2312" w:cs="Times New Roman"/>
          <w:sz w:val="32"/>
          <w:szCs w:val="32"/>
        </w:rPr>
      </w:pP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一、</w:t>
      </w:r>
      <w:r>
        <w:rPr>
          <w:rFonts w:hint="eastAsia" w:ascii="仿宋_GB2312" w:hAnsi="黑体" w:eastAsia="仿宋_GB2312" w:cs="Times New Roman"/>
          <w:sz w:val="32"/>
          <w:szCs w:val="32"/>
        </w:rPr>
        <w:t>绩效评价自评报告由部门（单位）评价组填写，所有内容必须客观、真实、准确。</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二、封面填写</w:t>
      </w:r>
    </w:p>
    <w:p>
      <w:pPr>
        <w:pStyle w:val="2"/>
        <w:snapToGrid w:val="0"/>
        <w:spacing w:line="620" w:lineRule="exact"/>
        <w:ind w:firstLine="643"/>
        <w:rPr>
          <w:color w:val="000000"/>
          <w:szCs w:val="32"/>
        </w:rPr>
      </w:pPr>
      <w:r>
        <w:rPr>
          <w:rFonts w:hint="eastAsia" w:cs="楷体_GB2312"/>
          <w:b/>
          <w:szCs w:val="32"/>
        </w:rPr>
        <w:t>1、</w:t>
      </w:r>
      <w:r>
        <w:rPr>
          <w:rFonts w:hint="eastAsia" w:cs="楷体_GB2312"/>
          <w:b/>
          <w:color w:val="000000"/>
          <w:szCs w:val="32"/>
        </w:rPr>
        <w:t>年度：</w:t>
      </w:r>
      <w:r>
        <w:rPr>
          <w:rFonts w:hint="eastAsia"/>
          <w:kern w:val="0"/>
          <w:szCs w:val="32"/>
        </w:rPr>
        <w:t>填写被评价的部门整体支出所属的年份。</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楷体_GB2312"/>
          <w:b/>
          <w:sz w:val="32"/>
          <w:szCs w:val="32"/>
        </w:rPr>
        <w:t>2、部门名称：</w:t>
      </w:r>
      <w:r>
        <w:rPr>
          <w:rFonts w:hint="eastAsia" w:ascii="仿宋_GB2312" w:hAnsi="Calibri" w:eastAsia="仿宋_GB2312" w:cs="Times New Roman"/>
          <w:kern w:val="0"/>
          <w:sz w:val="32"/>
          <w:szCs w:val="32"/>
        </w:rPr>
        <w:t>按照规范</w:t>
      </w:r>
      <w:r>
        <w:rPr>
          <w:rFonts w:hint="eastAsia" w:ascii="仿宋_GB2312" w:hAnsi="Calibri" w:eastAsia="仿宋_GB2312" w:cs="Times New Roman"/>
          <w:sz w:val="32"/>
          <w:szCs w:val="32"/>
        </w:rPr>
        <w:t>填写预算部门（单位）全称。</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楷体_GB2312"/>
          <w:b/>
          <w:sz w:val="32"/>
          <w:szCs w:val="32"/>
        </w:rPr>
        <w:t>3、预算编码：</w:t>
      </w:r>
      <w:r>
        <w:rPr>
          <w:rFonts w:hint="eastAsia" w:ascii="仿宋_GB2312" w:hAnsi="Calibri" w:eastAsia="仿宋_GB2312" w:cs="Times New Roman"/>
          <w:bCs/>
          <w:sz w:val="32"/>
          <w:szCs w:val="32"/>
        </w:rPr>
        <w:t>按照规范填写单位财政预算编码。</w:t>
      </w:r>
    </w:p>
    <w:p>
      <w:pPr>
        <w:adjustRightInd w:val="0"/>
        <w:snapToGrid w:val="0"/>
        <w:spacing w:line="620" w:lineRule="exact"/>
        <w:ind w:firstLine="634" w:firstLineChars="200"/>
        <w:rPr>
          <w:rFonts w:ascii="Calibri" w:hAnsi="Calibri" w:eastAsia="黑体" w:cs="黑体"/>
          <w:bCs/>
          <w:sz w:val="32"/>
          <w:szCs w:val="32"/>
        </w:rPr>
      </w:pPr>
      <w:r>
        <w:rPr>
          <w:rFonts w:hint="eastAsia" w:ascii="Calibri" w:hAnsi="Calibri" w:eastAsia="黑体" w:cs="黑体"/>
          <w:bCs/>
          <w:sz w:val="32"/>
          <w:szCs w:val="32"/>
        </w:rPr>
        <w:t>三、绩效评价自评报告表格内容填写</w:t>
      </w:r>
    </w:p>
    <w:p>
      <w:pPr>
        <w:adjustRightInd w:val="0"/>
        <w:snapToGrid w:val="0"/>
        <w:spacing w:line="620" w:lineRule="exact"/>
        <w:ind w:firstLine="634" w:firstLineChars="200"/>
        <w:rPr>
          <w:rFonts w:ascii="仿宋_GB2312" w:hAnsi="Calibri" w:eastAsia="仿宋_GB2312" w:cs="Times New Roman"/>
          <w:bCs/>
          <w:sz w:val="32"/>
          <w:szCs w:val="32"/>
        </w:rPr>
      </w:pPr>
      <w:r>
        <w:rPr>
          <w:rStyle w:val="12"/>
          <w:rFonts w:hint="eastAsia" w:ascii="仿宋_GB2312" w:hAnsi="Calibri" w:eastAsia="仿宋_GB2312" w:cs="Times New Roman"/>
          <w:szCs w:val="32"/>
        </w:rPr>
        <w:t>1、人员编制：</w:t>
      </w:r>
      <w:r>
        <w:rPr>
          <w:rFonts w:hint="eastAsia" w:ascii="仿宋_GB2312" w:hAnsi="Calibri" w:eastAsia="仿宋_GB2312" w:cs="Times New Roman"/>
          <w:bCs/>
          <w:sz w:val="32"/>
          <w:szCs w:val="32"/>
        </w:rPr>
        <w:t>填列截至被评价年度12月底三定方案规定的人员编制数。</w:t>
      </w:r>
    </w:p>
    <w:p>
      <w:pPr>
        <w:adjustRightInd w:val="0"/>
        <w:snapToGrid w:val="0"/>
        <w:spacing w:line="620" w:lineRule="exact"/>
        <w:ind w:firstLine="634" w:firstLineChars="200"/>
        <w:rPr>
          <w:rFonts w:ascii="仿宋_GB2312" w:hAnsi="Calibri" w:eastAsia="仿宋_GB2312" w:cs="Times New Roman"/>
          <w:bCs/>
          <w:sz w:val="32"/>
          <w:szCs w:val="32"/>
        </w:rPr>
      </w:pPr>
      <w:r>
        <w:rPr>
          <w:rStyle w:val="12"/>
          <w:rFonts w:hint="eastAsia" w:ascii="仿宋_GB2312" w:hAnsi="Calibri" w:eastAsia="仿宋_GB2312" w:cs="Times New Roman"/>
          <w:szCs w:val="32"/>
        </w:rPr>
        <w:t>2、实有人数：</w:t>
      </w:r>
      <w:r>
        <w:rPr>
          <w:rStyle w:val="12"/>
          <w:rFonts w:hint="eastAsia" w:ascii="仿宋_GB2312" w:hAnsi="仿宋_GB2312" w:eastAsia="仿宋_GB2312" w:cs="仿宋_GB2312"/>
          <w:b w:val="0"/>
          <w:bCs/>
          <w:szCs w:val="32"/>
        </w:rPr>
        <w:t>填列</w:t>
      </w:r>
      <w:r>
        <w:rPr>
          <w:rFonts w:hint="eastAsia" w:ascii="仿宋_GB2312" w:hAnsi="Calibri" w:eastAsia="仿宋_GB2312" w:cs="Times New Roman"/>
          <w:bCs/>
          <w:sz w:val="32"/>
          <w:szCs w:val="32"/>
        </w:rPr>
        <w:t>截至被评价年度12月底的实有人数</w:t>
      </w:r>
      <w:r>
        <w:rPr>
          <w:rFonts w:hint="eastAsia" w:ascii="仿宋_GB2312" w:hAnsi="仿宋_GB2312" w:eastAsia="仿宋_GB2312" w:cs="仿宋_GB2312"/>
          <w:bCs/>
          <w:sz w:val="32"/>
          <w:szCs w:val="32"/>
        </w:rPr>
        <w:t>。</w:t>
      </w:r>
    </w:p>
    <w:p>
      <w:pPr>
        <w:snapToGrid w:val="0"/>
        <w:spacing w:line="620" w:lineRule="exact"/>
        <w:ind w:firstLine="634" w:firstLineChars="200"/>
        <w:rPr>
          <w:rFonts w:ascii="仿宋_GB2312" w:hAnsi="Calibri" w:eastAsia="仿宋_GB2312" w:cs="Times New Roman"/>
          <w:sz w:val="32"/>
          <w:szCs w:val="32"/>
        </w:rPr>
      </w:pPr>
      <w:r>
        <w:rPr>
          <w:rStyle w:val="12"/>
          <w:rFonts w:hint="eastAsia" w:ascii="仿宋_GB2312" w:hAnsi="Calibri" w:eastAsia="仿宋_GB2312" w:cs="Times New Roman"/>
          <w:szCs w:val="32"/>
        </w:rPr>
        <w:t>3、部门职能职责概述：</w:t>
      </w:r>
      <w:r>
        <w:rPr>
          <w:rFonts w:hint="eastAsia" w:ascii="仿宋_GB2312" w:hAnsi="仿宋_GB2312" w:eastAsia="仿宋_GB2312" w:cs="仿宋_GB2312"/>
          <w:color w:val="000000"/>
          <w:sz w:val="32"/>
          <w:szCs w:val="32"/>
          <w:shd w:val="clear" w:color="auto" w:fill="FFFFFF"/>
        </w:rPr>
        <w:t>根据人事部门（单位）核定的部门（单位）职责和本部门（单位）工作计划，对部门（单位）业务工作的基本情况进行简要描述，可以包括部门（单位）主要业务介绍、工作目标等内容。</w:t>
      </w:r>
    </w:p>
    <w:p>
      <w:pPr>
        <w:snapToGrid w:val="0"/>
        <w:spacing w:line="620" w:lineRule="exact"/>
        <w:ind w:firstLine="634" w:firstLineChars="200"/>
        <w:rPr>
          <w:rFonts w:ascii="仿宋_GB2312" w:hAnsi="Calibri" w:eastAsia="仿宋_GB2312" w:cs="Times New Roman"/>
          <w:sz w:val="32"/>
          <w:szCs w:val="32"/>
        </w:rPr>
      </w:pPr>
      <w:r>
        <w:rPr>
          <w:rStyle w:val="12"/>
          <w:rFonts w:hint="eastAsia" w:ascii="仿宋_GB2312" w:hAnsi="Calibri" w:eastAsia="仿宋_GB2312" w:cs="Times New Roman"/>
          <w:szCs w:val="32"/>
        </w:rPr>
        <w:t>4、年度主要工作内容：</w:t>
      </w:r>
      <w:r>
        <w:rPr>
          <w:rFonts w:hint="eastAsia" w:ascii="仿宋_GB2312" w:hAnsi="Calibri" w:eastAsia="仿宋_GB2312" w:cs="Times New Roman"/>
          <w:sz w:val="32"/>
          <w:szCs w:val="32"/>
        </w:rPr>
        <w:t>分任务明细填报年度主要工作内容，如各子任务名称、内容及用途、金额及计划实施时间等。</w:t>
      </w:r>
    </w:p>
    <w:p>
      <w:pPr>
        <w:adjustRightInd w:val="0"/>
        <w:snapToGrid w:val="0"/>
        <w:spacing w:line="620" w:lineRule="exact"/>
        <w:ind w:firstLine="634" w:firstLineChars="200"/>
        <w:rPr>
          <w:rStyle w:val="12"/>
          <w:rFonts w:ascii="仿宋_GB2312" w:hAnsi="仿宋_GB2312" w:eastAsia="仿宋_GB2312" w:cs="仿宋_GB2312"/>
          <w:b w:val="0"/>
          <w:bCs/>
          <w:szCs w:val="32"/>
        </w:rPr>
      </w:pPr>
      <w:r>
        <w:rPr>
          <w:rStyle w:val="12"/>
          <w:rFonts w:hint="eastAsia" w:ascii="仿宋_GB2312" w:hAnsi="Calibri" w:eastAsia="仿宋_GB2312" w:cs="Times New Roman"/>
          <w:szCs w:val="32"/>
        </w:rPr>
        <w:t>5、年度部门（单位）总体运行情况及取得的成绩：</w:t>
      </w:r>
      <w:r>
        <w:rPr>
          <w:rStyle w:val="12"/>
          <w:rFonts w:hint="eastAsia" w:ascii="仿宋_GB2312" w:hAnsi="仿宋_GB2312" w:eastAsia="仿宋_GB2312" w:cs="仿宋_GB2312"/>
          <w:b w:val="0"/>
          <w:bCs/>
          <w:szCs w:val="32"/>
        </w:rPr>
        <w:t>简述被评价年度本部门（单位）的总体运行情况，罗列取得的成绩。</w:t>
      </w:r>
    </w:p>
    <w:p>
      <w:pPr>
        <w:adjustRightInd w:val="0"/>
        <w:snapToGrid w:val="0"/>
        <w:spacing w:line="620" w:lineRule="exact"/>
        <w:ind w:firstLine="634" w:firstLineChars="200"/>
        <w:rPr>
          <w:rStyle w:val="12"/>
          <w:rFonts w:ascii="仿宋_GB2312" w:hAnsi="Calibri" w:eastAsia="仿宋_GB2312" w:cs="Times New Roman"/>
          <w:szCs w:val="32"/>
        </w:rPr>
      </w:pPr>
      <w:r>
        <w:rPr>
          <w:rStyle w:val="12"/>
          <w:rFonts w:hint="eastAsia" w:ascii="仿宋_GB2312" w:hAnsi="Calibri" w:eastAsia="仿宋_GB2312" w:cs="Times New Roman"/>
          <w:szCs w:val="32"/>
        </w:rPr>
        <w:t>6、部门（单位）收支情况：</w:t>
      </w:r>
      <w:r>
        <w:rPr>
          <w:rStyle w:val="12"/>
          <w:rFonts w:hint="eastAsia" w:ascii="仿宋_GB2312" w:hAnsi="仿宋_GB2312" w:eastAsia="仿宋_GB2312" w:cs="仿宋_GB2312"/>
          <w:b w:val="0"/>
          <w:bCs/>
          <w:szCs w:val="32"/>
        </w:rPr>
        <w:t>详细列出被评价年度本部门（单位）的收支明细，需包含二级机构的收支内容。</w:t>
      </w:r>
    </w:p>
    <w:p>
      <w:pPr>
        <w:adjustRightInd w:val="0"/>
        <w:snapToGrid w:val="0"/>
        <w:spacing w:line="620" w:lineRule="exact"/>
        <w:ind w:firstLine="634" w:firstLineChars="200"/>
        <w:rPr>
          <w:rStyle w:val="12"/>
          <w:rFonts w:ascii="仿宋_GB2312" w:hAnsi="Calibri" w:eastAsia="仿宋_GB2312" w:cs="Times New Roman"/>
          <w:szCs w:val="32"/>
        </w:rPr>
      </w:pPr>
      <w:r>
        <w:rPr>
          <w:rStyle w:val="12"/>
          <w:rFonts w:hint="eastAsia" w:ascii="仿宋_GB2312" w:hAnsi="Calibri" w:eastAsia="仿宋_GB2312" w:cs="Times New Roman"/>
          <w:szCs w:val="32"/>
        </w:rPr>
        <w:t>7、部门（单位）整体支出绩效定性目标及实施计划完成情况：</w:t>
      </w:r>
      <w:r>
        <w:rPr>
          <w:rStyle w:val="12"/>
          <w:rFonts w:hint="eastAsia" w:ascii="仿宋_GB2312" w:hAnsi="仿宋_GB2312" w:eastAsia="仿宋_GB2312" w:cs="仿宋_GB2312"/>
          <w:b w:val="0"/>
          <w:bCs/>
          <w:szCs w:val="32"/>
        </w:rPr>
        <w:t>“</w:t>
      </w:r>
      <w:r>
        <w:rPr>
          <w:rFonts w:hint="eastAsia" w:ascii="仿宋_GB2312" w:hAnsi="仿宋_GB2312" w:eastAsia="仿宋_GB2312" w:cs="仿宋_GB2312"/>
          <w:bCs/>
          <w:sz w:val="32"/>
          <w:szCs w:val="32"/>
        </w:rPr>
        <w:t>预期</w:t>
      </w:r>
      <w:r>
        <w:rPr>
          <w:rFonts w:hint="eastAsia" w:ascii="仿宋_GB2312" w:hAnsi="Calibri" w:eastAsia="仿宋_GB2312" w:cs="Times New Roman"/>
          <w:sz w:val="32"/>
          <w:szCs w:val="32"/>
        </w:rPr>
        <w:t>目标”栏按被评价年度申报的部门整体支出预算绩效目标申报表的有关内容直接填写，如年初没有申报绩效目标，可参考本部门（单位）年度工作计划。“实际完成”栏，则按照主要填写绩效目标及实施计划的实际完成情况，应与“预期目标”栏相关内容逐条对应。</w:t>
      </w:r>
    </w:p>
    <w:p>
      <w:pPr>
        <w:adjustRightInd w:val="0"/>
        <w:snapToGrid w:val="0"/>
        <w:spacing w:line="620" w:lineRule="exact"/>
        <w:ind w:firstLine="634" w:firstLineChars="200"/>
        <w:rPr>
          <w:rStyle w:val="12"/>
          <w:rFonts w:ascii="仿宋_GB2312" w:hAnsi="Calibri" w:eastAsia="仿宋_GB2312" w:cs="Times New Roman"/>
          <w:szCs w:val="32"/>
        </w:rPr>
      </w:pPr>
      <w:r>
        <w:rPr>
          <w:rStyle w:val="12"/>
          <w:rFonts w:hint="eastAsia" w:ascii="仿宋_GB2312" w:hAnsi="Calibri" w:eastAsia="仿宋_GB2312" w:cs="Times New Roman"/>
          <w:szCs w:val="32"/>
        </w:rPr>
        <w:t>8、部门整体支出绩效定量目标及实施计划完成情况：</w:t>
      </w:r>
      <w:r>
        <w:rPr>
          <w:rStyle w:val="12"/>
          <w:rFonts w:hint="eastAsia" w:ascii="仿宋_GB2312" w:hAnsi="Calibri" w:eastAsia="仿宋_GB2312" w:cs="仿宋_GB2312"/>
          <w:b w:val="0"/>
          <w:bCs/>
          <w:szCs w:val="32"/>
        </w:rPr>
        <w:t>对部门整体支出绩效目标进行细化和量化。本部分内容与附件3《部门整体支出绩效评价指标体系（参考样表）》中的“产出”指标和“效果”指标相对应，如修改调整了该指标体系，应相应修改本部分指标内容。“实际完成值”栏主要填写项目指标的实际完成情况，应与“指标内容”、“指标（目标）值”栏相关内容逐条对应。</w:t>
      </w:r>
    </w:p>
    <w:p>
      <w:pPr>
        <w:adjustRightInd w:val="0"/>
        <w:snapToGrid w:val="0"/>
        <w:spacing w:line="620" w:lineRule="exact"/>
        <w:ind w:firstLine="634" w:firstLineChars="200"/>
        <w:rPr>
          <w:rFonts w:ascii="仿宋_GB2312" w:hAnsi="Calibri" w:eastAsia="仿宋_GB2312" w:cs="仿宋_GB2312"/>
          <w:bCs/>
          <w:sz w:val="32"/>
          <w:szCs w:val="32"/>
        </w:rPr>
      </w:pPr>
      <w:r>
        <w:rPr>
          <w:rStyle w:val="12"/>
          <w:rFonts w:hint="eastAsia" w:ascii="仿宋_GB2312" w:hAnsi="Calibri" w:eastAsia="仿宋_GB2312" w:cs="Times New Roman"/>
          <w:szCs w:val="32"/>
        </w:rPr>
        <w:t>9、绩效自评综合得分：</w:t>
      </w:r>
      <w:r>
        <w:rPr>
          <w:rStyle w:val="12"/>
          <w:rFonts w:hint="eastAsia" w:ascii="仿宋_GB2312" w:hAnsi="Calibri" w:eastAsia="仿宋_GB2312" w:cs="仿宋_GB2312"/>
          <w:b w:val="0"/>
          <w:bCs/>
          <w:szCs w:val="32"/>
        </w:rPr>
        <w:t>对照</w:t>
      </w:r>
      <w:r>
        <w:rPr>
          <w:rFonts w:hint="eastAsia" w:ascii="仿宋_GB2312" w:hAnsi="Calibri" w:eastAsia="仿宋_GB2312" w:cs="仿宋_GB2312"/>
          <w:bCs/>
          <w:sz w:val="32"/>
          <w:szCs w:val="32"/>
        </w:rPr>
        <w:t>附件3《部门整体支出绩效评价指标体系（参考样表）》打分后填写《部门整体支出绩效评价评分表》，按照最后综合得分填写“绩效自评综合得分”栏。</w:t>
      </w:r>
    </w:p>
    <w:p>
      <w:pPr>
        <w:adjustRightInd w:val="0"/>
        <w:snapToGrid w:val="0"/>
        <w:spacing w:line="620" w:lineRule="exact"/>
        <w:ind w:firstLine="634" w:firstLineChars="200"/>
        <w:rPr>
          <w:rFonts w:ascii="仿宋_GB2312" w:hAnsi="Calibri" w:eastAsia="仿宋_GB2312" w:cs="Times New Roman"/>
          <w:bCs/>
          <w:sz w:val="32"/>
          <w:szCs w:val="32"/>
        </w:rPr>
      </w:pPr>
      <w:r>
        <w:rPr>
          <w:rStyle w:val="12"/>
          <w:rFonts w:hint="eastAsia" w:ascii="仿宋_GB2312" w:hAnsi="Calibri" w:eastAsia="仿宋_GB2312" w:cs="Times New Roman"/>
          <w:szCs w:val="32"/>
        </w:rPr>
        <w:t>10、评价等次：</w:t>
      </w:r>
      <w:r>
        <w:rPr>
          <w:rFonts w:hint="eastAsia" w:ascii="仿宋_GB2312" w:hAnsi="Calibri" w:eastAsia="仿宋_GB2312" w:cs="Times New Roman"/>
          <w:bCs/>
          <w:sz w:val="32"/>
          <w:szCs w:val="32"/>
        </w:rPr>
        <w:t>按照综合得分（S）的分值填写相应的评价等次。评价等次分为优秀（S≥90）、良好（90＞S≥80）、合格（80＞S≥70）、不合格（S＜70）4个评价等次。</w:t>
      </w:r>
    </w:p>
    <w:p>
      <w:pPr>
        <w:adjustRightInd w:val="0"/>
        <w:snapToGrid w:val="0"/>
        <w:spacing w:line="620" w:lineRule="exact"/>
        <w:ind w:firstLine="634" w:firstLineChars="200"/>
        <w:rPr>
          <w:rFonts w:ascii="仿宋_GB2312" w:hAnsi="Calibri" w:eastAsia="仿宋_GB2312" w:cs="Times New Roman"/>
          <w:bCs/>
          <w:sz w:val="32"/>
          <w:szCs w:val="32"/>
        </w:rPr>
      </w:pPr>
      <w:r>
        <w:rPr>
          <w:rStyle w:val="12"/>
          <w:rFonts w:hint="eastAsia" w:ascii="仿宋_GB2312" w:hAnsi="Calibri" w:eastAsia="仿宋_GB2312" w:cs="Times New Roman"/>
          <w:szCs w:val="32"/>
        </w:rPr>
        <w:t>11、评价人员：</w:t>
      </w:r>
      <w:r>
        <w:rPr>
          <w:rFonts w:hint="eastAsia" w:ascii="仿宋_GB2312" w:hAnsi="Calibri" w:eastAsia="仿宋_GB2312" w:cs="Times New Roman"/>
          <w:bCs/>
          <w:sz w:val="32"/>
          <w:szCs w:val="32"/>
        </w:rPr>
        <w:t>填写参与部门（单位）整体支出绩效评价的绩效评价工作小组成员名单，并由本人签字。</w:t>
      </w:r>
    </w:p>
    <w:p>
      <w:pPr>
        <w:adjustRightInd w:val="0"/>
        <w:snapToGrid w:val="0"/>
        <w:spacing w:line="620" w:lineRule="exact"/>
        <w:ind w:firstLine="634" w:firstLineChars="200"/>
        <w:rPr>
          <w:rFonts w:ascii="仿宋_GB2312" w:hAnsi="Calibri" w:eastAsia="仿宋_GB2312" w:cs="Times New Roman"/>
          <w:bCs/>
          <w:sz w:val="32"/>
          <w:szCs w:val="32"/>
        </w:rPr>
      </w:pPr>
      <w:r>
        <w:rPr>
          <w:rStyle w:val="12"/>
          <w:rFonts w:hint="eastAsia" w:ascii="仿宋_GB2312" w:hAnsi="Calibri" w:eastAsia="仿宋_GB2312" w:cs="Times New Roman"/>
          <w:szCs w:val="32"/>
        </w:rPr>
        <w:t>12、部门（单位）意见：</w:t>
      </w:r>
      <w:r>
        <w:rPr>
          <w:rFonts w:hint="eastAsia" w:ascii="仿宋_GB2312" w:hAnsi="Calibri" w:eastAsia="仿宋_GB2312" w:cs="Times New Roman"/>
          <w:bCs/>
          <w:sz w:val="32"/>
          <w:szCs w:val="32"/>
        </w:rPr>
        <w:t>被评价部门（单位）签署意见，由部门（单位）负责人签字后加盖行政公章。</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四、自评报告综述（文字部分）</w:t>
      </w:r>
    </w:p>
    <w:p>
      <w:pPr>
        <w:adjustRightInd w:val="0"/>
        <w:snapToGrid w:val="0"/>
        <w:spacing w:line="620" w:lineRule="exact"/>
        <w:ind w:firstLine="634" w:firstLineChars="200"/>
        <w:rPr>
          <w:rFonts w:ascii="Calibri" w:hAnsi="Calibri" w:eastAsia="仿宋_GB2312" w:cs="Times New Roman"/>
          <w:bCs/>
          <w:sz w:val="32"/>
          <w:szCs w:val="32"/>
        </w:rPr>
      </w:pPr>
      <w:r>
        <w:rPr>
          <w:rFonts w:hint="eastAsia" w:ascii="Calibri" w:hAnsi="Calibri" w:eastAsia="仿宋_GB2312" w:cs="Times New Roman"/>
          <w:bCs/>
          <w:sz w:val="32"/>
          <w:szCs w:val="32"/>
        </w:rPr>
        <w:t>评价组应根据下列提纲对各项内容进行详细说明：</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（一）部门（单位）概况</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1、部门（单位）基本情况（包括部门（单位）的在职人员情况、机构设置、主要职能及重点工作计划等）。</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2、部门（单位）整体支出规模、使用方向和主要内容、涉及范围等。</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（二）部门（单位）整体支出管理及使用情况</w:t>
      </w:r>
    </w:p>
    <w:p>
      <w:pPr>
        <w:adjustRightInd w:val="0"/>
        <w:snapToGrid w:val="0"/>
        <w:spacing w:line="620" w:lineRule="exact"/>
        <w:ind w:firstLine="634"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1、基本支出</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介绍基本支出的主要用途、范围以及资金的管理情况，尤其是“三公”经费的使用和管理情况。</w:t>
      </w:r>
    </w:p>
    <w:p>
      <w:pPr>
        <w:adjustRightInd w:val="0"/>
        <w:snapToGrid w:val="0"/>
        <w:spacing w:line="620" w:lineRule="exact"/>
        <w:ind w:firstLine="634" w:firstLineChars="200"/>
        <w:rPr>
          <w:rFonts w:ascii="仿宋_GB2312" w:hAnsi="Calibri" w:eastAsia="仿宋_GB2312" w:cs="Times New Roman"/>
          <w:b/>
          <w:bCs/>
          <w:sz w:val="32"/>
          <w:szCs w:val="32"/>
        </w:rPr>
      </w:pPr>
      <w:r>
        <w:rPr>
          <w:rFonts w:hint="eastAsia" w:ascii="仿宋_GB2312" w:hAnsi="Calibri" w:eastAsia="仿宋_GB2312" w:cs="Times New Roman"/>
          <w:b/>
          <w:bCs/>
          <w:sz w:val="32"/>
          <w:szCs w:val="32"/>
        </w:rPr>
        <w:t>2、专项支出</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（1）专项资金（包括财政资金、自筹资金等）安排落实、总投入等情况分析。</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（2）专项资金（主要指财政资金）实际使用情况分析。</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（3）专项资金管理情况分析，主要包括管理制度、办法的制订及执行情况。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（三）部门（单位）专项组织实施情况</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1、专项组织情况分析，主要包括项目招投标、调整、竣工验收等情况。</w:t>
      </w:r>
    </w:p>
    <w:p>
      <w:pPr>
        <w:adjustRightInd w:val="0"/>
        <w:snapToGrid w:val="0"/>
        <w:spacing w:line="620" w:lineRule="exact"/>
        <w:ind w:firstLine="634" w:firstLineChars="200"/>
        <w:rPr>
          <w:rFonts w:ascii="仿宋_GB2312" w:hAnsi="Calibri" w:eastAsia="仿宋_GB2312" w:cs="Times New Roman"/>
          <w:bCs/>
          <w:sz w:val="32"/>
          <w:szCs w:val="32"/>
        </w:rPr>
      </w:pPr>
      <w:r>
        <w:rPr>
          <w:rFonts w:hint="eastAsia" w:ascii="仿宋_GB2312" w:hAnsi="Calibri" w:eastAsia="仿宋_GB2312" w:cs="Times New Roman"/>
          <w:bCs/>
          <w:sz w:val="32"/>
          <w:szCs w:val="32"/>
        </w:rPr>
        <w:t>2、专项管理情况分析，主要包括项目管理制度建设、日常检查监督管理等情况。</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（四）部门（单位）整体支出绩效情况</w:t>
      </w:r>
    </w:p>
    <w:p>
      <w:pPr>
        <w:adjustRightInd w:val="0"/>
        <w:snapToGrid w:val="0"/>
        <w:spacing w:line="620" w:lineRule="exact"/>
        <w:ind w:firstLine="634" w:firstLineChars="200"/>
        <w:rPr>
          <w:rFonts w:ascii="Calibri" w:hAnsi="Calibri" w:eastAsia="仿宋_GB2312" w:cs="Times New Roman"/>
          <w:bCs/>
          <w:sz w:val="32"/>
          <w:szCs w:val="32"/>
        </w:rPr>
      </w:pPr>
      <w:r>
        <w:rPr>
          <w:rFonts w:hint="eastAsia" w:ascii="Calibri" w:hAnsi="Calibri" w:eastAsia="仿宋_GB2312" w:cs="Times New Roman"/>
          <w:bCs/>
          <w:sz w:val="32"/>
          <w:szCs w:val="32"/>
        </w:rPr>
        <w:t>反映部门（单位）履职及履职效益情况。主要从部门（单位）整体支出的经济性、效率性、有效性和可持续性等方面进行量化、具体分析。其中：经济性分析主要是对成本（预算）控制、节约等情况进行分析；效率性分析主要是对各项工作、专项完成的进度及质量等情况进行分析；有效性分析主要是对反映部门（单位）整体支出使用效果的个性指标进行分析；可持续性分析主要是对支出完成后，后续政策、资金、人员机构安排和管理措施等影响项目持续发展的因素进行分析。</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（五）存在的主要问题</w:t>
      </w:r>
    </w:p>
    <w:p>
      <w:pPr>
        <w:adjustRightInd w:val="0"/>
        <w:snapToGrid w:val="0"/>
        <w:spacing w:line="620" w:lineRule="exact"/>
        <w:ind w:firstLine="634" w:firstLineChars="200"/>
        <w:rPr>
          <w:rFonts w:ascii="Calibri" w:hAnsi="Calibri" w:eastAsia="仿宋_GB2312" w:cs="Times New Roman"/>
          <w:bCs/>
          <w:sz w:val="32"/>
          <w:szCs w:val="32"/>
        </w:rPr>
      </w:pPr>
      <w:r>
        <w:rPr>
          <w:rFonts w:hint="eastAsia" w:ascii="Calibri" w:hAnsi="Calibri" w:eastAsia="仿宋_GB2312" w:cs="Times New Roman"/>
          <w:bCs/>
          <w:sz w:val="32"/>
          <w:szCs w:val="32"/>
        </w:rPr>
        <w:t>主要阐述资金安排、使用过程中存在的问题</w:t>
      </w:r>
    </w:p>
    <w:p>
      <w:pPr>
        <w:adjustRightInd w:val="0"/>
        <w:snapToGrid w:val="0"/>
        <w:spacing w:line="620" w:lineRule="exact"/>
        <w:ind w:firstLine="634"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（六）改进措施和有关建议</w:t>
      </w:r>
    </w:p>
    <w:p>
      <w:pPr>
        <w:spacing w:line="620" w:lineRule="exact"/>
        <w:ind w:firstLine="634" w:firstLineChars="200"/>
        <w:rPr>
          <w:rFonts w:ascii="Calibri" w:hAnsi="Calibri" w:eastAsia="仿宋_GB2312" w:cs="Times New Roman"/>
          <w:bCs/>
          <w:sz w:val="32"/>
          <w:szCs w:val="32"/>
        </w:rPr>
      </w:pPr>
      <w:r>
        <w:rPr>
          <w:rFonts w:hint="eastAsia" w:ascii="Calibri" w:hAnsi="Calibri" w:eastAsia="仿宋_GB2312" w:cs="Times New Roman"/>
          <w:bCs/>
          <w:sz w:val="32"/>
          <w:szCs w:val="32"/>
        </w:rPr>
        <w:t>对存在的问题提出切实可行的改进措施和有关建议等。</w:t>
      </w:r>
    </w:p>
    <w:p>
      <w:pPr>
        <w:spacing w:line="620" w:lineRule="exact"/>
        <w:rPr>
          <w:rFonts w:ascii="黑体" w:hAnsi="黑体" w:eastAsia="黑体" w:cs="黑体"/>
          <w:bCs/>
          <w:sz w:val="32"/>
          <w:szCs w:val="32"/>
        </w:rPr>
      </w:pPr>
    </w:p>
    <w:p>
      <w:pPr>
        <w:spacing w:line="620" w:lineRule="exact"/>
        <w:rPr>
          <w:rFonts w:ascii="黑体" w:hAnsi="黑体" w:eastAsia="黑体" w:cs="Times New Roman"/>
          <w:bCs/>
          <w:sz w:val="32"/>
          <w:szCs w:val="32"/>
        </w:rPr>
      </w:pPr>
      <w:r>
        <w:rPr>
          <w:rFonts w:ascii="黑体" w:hAnsi="黑体" w:eastAsia="黑体" w:cs="黑体"/>
          <w:bCs/>
          <w:sz w:val="32"/>
          <w:szCs w:val="32"/>
        </w:rPr>
        <w:br w:type="page"/>
      </w:r>
      <w:r>
        <w:rPr>
          <w:rFonts w:hint="eastAsia" w:ascii="黑体" w:hAnsi="黑体" w:eastAsia="黑体" w:cs="黑体"/>
          <w:bCs/>
          <w:sz w:val="32"/>
          <w:szCs w:val="32"/>
        </w:rPr>
        <w:t>附件1-2</w:t>
      </w:r>
    </w:p>
    <w:p>
      <w:pPr>
        <w:snapToGrid w:val="0"/>
        <w:spacing w:line="620" w:lineRule="exact"/>
        <w:jc w:val="center"/>
        <w:rPr>
          <w:rFonts w:ascii="Calibri" w:hAnsi="Calibri" w:eastAsia="方正小标宋简体" w:cs="方正小标宋简体"/>
          <w:bCs/>
          <w:sz w:val="44"/>
          <w:szCs w:val="44"/>
        </w:rPr>
      </w:pP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岳阳市财政支出绩效评价自评报告</w:t>
      </w:r>
    </w:p>
    <w:p>
      <w:pPr>
        <w:snapToGrid w:val="0"/>
        <w:spacing w:line="620" w:lineRule="exact"/>
        <w:jc w:val="center"/>
        <w:rPr>
          <w:rFonts w:ascii="Calibri" w:hAnsi="Calibri" w:eastAsia="方正小标宋简体" w:cs="方正小标宋简体"/>
          <w:bCs/>
          <w:sz w:val="44"/>
          <w:szCs w:val="44"/>
        </w:rPr>
      </w:pPr>
      <w:r>
        <w:rPr>
          <w:rFonts w:hint="eastAsia" w:ascii="Calibri" w:hAnsi="Calibri" w:eastAsia="方正小标宋简体" w:cs="方正小标宋简体"/>
          <w:bCs/>
          <w:sz w:val="44"/>
          <w:szCs w:val="44"/>
        </w:rPr>
        <w:t>填 报 说 明</w:t>
      </w:r>
    </w:p>
    <w:p>
      <w:pPr>
        <w:spacing w:line="620" w:lineRule="exact"/>
        <w:rPr>
          <w:rFonts w:ascii="仿宋_GB2312" w:hAnsi="Calibri" w:eastAsia="仿宋_GB2312" w:cs="Times New Roman"/>
          <w:sz w:val="32"/>
          <w:szCs w:val="32"/>
        </w:rPr>
      </w:pPr>
    </w:p>
    <w:p>
      <w:pPr>
        <w:spacing w:line="620" w:lineRule="exact"/>
        <w:ind w:firstLine="634" w:firstLineChars="200"/>
        <w:rPr>
          <w:rFonts w:ascii="仿宋_GB2312" w:hAnsi="黑体" w:eastAsia="仿宋_GB2312" w:cs="Times New Roman"/>
          <w:sz w:val="32"/>
          <w:szCs w:val="32"/>
        </w:rPr>
      </w:pPr>
      <w:r>
        <w:rPr>
          <w:rFonts w:hint="eastAsia" w:ascii="黑体" w:hAnsi="黑体" w:eastAsia="黑体" w:cs="Times New Roman"/>
          <w:sz w:val="32"/>
          <w:szCs w:val="32"/>
        </w:rPr>
        <w:t>一、</w:t>
      </w:r>
      <w:r>
        <w:rPr>
          <w:rFonts w:hint="eastAsia" w:ascii="仿宋_GB2312" w:hAnsi="黑体" w:eastAsia="仿宋_GB2312" w:cs="Times New Roman"/>
          <w:sz w:val="32"/>
          <w:szCs w:val="32"/>
        </w:rPr>
        <w:t>项目绩效评价自评报告由部门（单位）评价组填写，所有内容必须客观、真实、准确。</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二、封面填写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1、评价类型：</w:t>
      </w:r>
      <w:r>
        <w:rPr>
          <w:rFonts w:hint="eastAsia" w:ascii="仿宋_GB2312" w:hAnsi="Calibri" w:eastAsia="仿宋_GB2312" w:cs="Times New Roman"/>
          <w:sz w:val="32"/>
          <w:szCs w:val="32"/>
        </w:rPr>
        <w:t>分为“项目实施过程评价”和“ 项目完成结果评价”两类，在项目所属类型的方框内打“√”。属于项目实施过程评价的勾选“项目实施过程评价”；属于项目完成评价的勾选“项目完成结果评价”。</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2、项目名称：</w:t>
      </w:r>
      <w:r>
        <w:rPr>
          <w:rFonts w:hint="eastAsia" w:ascii="仿宋_GB2312" w:hAnsi="Calibri" w:eastAsia="仿宋_GB2312" w:cs="Times New Roman"/>
          <w:sz w:val="32"/>
          <w:szCs w:val="32"/>
        </w:rPr>
        <w:t>须与项目预算批复文件一致。</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3、项目单位：</w:t>
      </w:r>
      <w:r>
        <w:rPr>
          <w:rFonts w:hint="eastAsia" w:ascii="仿宋_GB2312" w:hAnsi="Calibri" w:eastAsia="仿宋_GB2312" w:cs="Times New Roman"/>
          <w:sz w:val="32"/>
          <w:szCs w:val="32"/>
        </w:rPr>
        <w:t>填写全称，不得省略。</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4、主管部门：</w:t>
      </w:r>
      <w:r>
        <w:rPr>
          <w:rFonts w:hint="eastAsia" w:ascii="仿宋_GB2312" w:hAnsi="Calibri" w:eastAsia="仿宋_GB2312" w:cs="Times New Roman"/>
          <w:sz w:val="32"/>
          <w:szCs w:val="32"/>
        </w:rPr>
        <w:t>填写全称，不得省略。</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三、绩效评价自评报告表格内容填写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1、项目负责人：</w:t>
      </w:r>
      <w:r>
        <w:rPr>
          <w:rFonts w:hint="eastAsia" w:ascii="仿宋_GB2312" w:hAnsi="Calibri" w:eastAsia="仿宋_GB2312" w:cs="Times New Roman"/>
          <w:sz w:val="32"/>
          <w:szCs w:val="32"/>
        </w:rPr>
        <w:t>当项目负责人有多个时，项目负责人、联系电话、地址和邮编等栏目，可调整格式，逐个填写。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2、项目起止时间：</w:t>
      </w:r>
      <w:r>
        <w:rPr>
          <w:rFonts w:hint="eastAsia" w:ascii="仿宋_GB2312" w:hAnsi="Calibri" w:eastAsia="仿宋_GB2312" w:cs="Times New Roman"/>
          <w:sz w:val="32"/>
          <w:szCs w:val="32"/>
        </w:rPr>
        <w:t>按照项目预算批复至项目完工（预算执行结束）的实际时间填写。</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3、项目明细支出内容：</w:t>
      </w:r>
      <w:r>
        <w:rPr>
          <w:rFonts w:hint="eastAsia" w:ascii="仿宋_GB2312" w:hAnsi="Calibri" w:eastAsia="仿宋_GB2312" w:cs="Times New Roman"/>
          <w:sz w:val="32"/>
          <w:szCs w:val="32"/>
        </w:rPr>
        <w:t>在项目支出总额内详细列出项目的具体支出内容和金额，并注明会计凭证号。有不同资金来源的支出请在“备注”栏注明；“支出内容”要按项目明细支出的具体事项填列，不按经济分类填列。</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4、项目绩效定性目标及实施计划完成情况：</w:t>
      </w:r>
      <w:r>
        <w:rPr>
          <w:rFonts w:hint="eastAsia" w:ascii="仿宋_GB2312" w:hAnsi="Calibri" w:eastAsia="仿宋_GB2312" w:cs="Times New Roman"/>
          <w:sz w:val="32"/>
          <w:szCs w:val="32"/>
        </w:rPr>
        <w:t>“预期目标”栏按部门预算项目申报目标的有关内容直接填写，“实际完成”栏主要填写项目绩效目标及实施计划的实际完成情况，应与“预期目标”栏相关内容逐条对应。</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5、项目绩效定量目标（指标）及完成情况：</w:t>
      </w:r>
      <w:r>
        <w:rPr>
          <w:rFonts w:hint="eastAsia" w:ascii="仿宋_GB2312" w:hAnsi="Calibri" w:eastAsia="仿宋_GB2312" w:cs="Times New Roman"/>
          <w:sz w:val="32"/>
          <w:szCs w:val="32"/>
        </w:rPr>
        <w:t>对项目绩效目标进行细化和量化，根据项目实际从表中所给参考的方面或其他方面，设定绩效指标，填写“指标内容”，要尽可能量化测算，设置</w:t>
      </w:r>
      <w:r>
        <w:rPr>
          <w:rFonts w:hint="eastAsia" w:ascii="仿宋_GB2312" w:hAnsi="Calibri" w:eastAsia="仿宋_GB2312" w:cs="Times New Roman"/>
          <w:spacing w:val="-6"/>
          <w:sz w:val="32"/>
          <w:szCs w:val="32"/>
        </w:rPr>
        <w:t>“指标（目标）值”。“实际完成值”栏主要填写项目指标的实际完成情况，应与“指标内容”、“指标（目标）值”栏相关内容逐条对应。</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6、绩效自评综合得分：</w:t>
      </w:r>
      <w:r>
        <w:rPr>
          <w:rFonts w:hint="eastAsia" w:ascii="仿宋_GB2312" w:hAnsi="Calibri" w:eastAsia="仿宋_GB2312" w:cs="Times New Roman"/>
          <w:sz w:val="32"/>
          <w:szCs w:val="32"/>
        </w:rPr>
        <w:t>对照附件3《项目支出绩效评价指标体系（参考样表）》打分，按照最后综合得分填写“绩效自评综合得分”栏。</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7、评价等次：</w:t>
      </w:r>
      <w:r>
        <w:rPr>
          <w:rFonts w:hint="eastAsia" w:ascii="仿宋_GB2312" w:hAnsi="Calibri" w:eastAsia="仿宋_GB2312" w:cs="Times New Roman"/>
          <w:sz w:val="32"/>
          <w:szCs w:val="32"/>
        </w:rPr>
        <w:t>按照综合得分（S）的分值填写相应的评价等次。评价等次分为优秀（S≥90）、良好（90＞S≥80）、合格（80＞S≥70）、不合格（S＜70）4个评价等次。</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8、评价人员：</w:t>
      </w:r>
      <w:r>
        <w:rPr>
          <w:rFonts w:hint="eastAsia" w:ascii="仿宋_GB2312" w:hAnsi="Calibri" w:eastAsia="仿宋_GB2312" w:cs="Times New Roman"/>
          <w:sz w:val="32"/>
          <w:szCs w:val="32"/>
        </w:rPr>
        <w:t>填写参与项目评价的绩效评价工作小组成员名单，并由评价组组长签字。</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9、项目单位意见：</w:t>
      </w:r>
      <w:r>
        <w:rPr>
          <w:rFonts w:hint="eastAsia" w:ascii="仿宋_GB2312" w:hAnsi="Calibri" w:eastAsia="仿宋_GB2312" w:cs="Times New Roman"/>
          <w:sz w:val="32"/>
          <w:szCs w:val="32"/>
        </w:rPr>
        <w:t>项目实施单位签署意见，由单位负责人签字后加盖行政公章。</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b/>
          <w:sz w:val="32"/>
          <w:szCs w:val="32"/>
        </w:rPr>
        <w:t>10、主管部门意见：</w:t>
      </w:r>
      <w:r>
        <w:rPr>
          <w:rFonts w:hint="eastAsia" w:ascii="仿宋_GB2312" w:hAnsi="Calibri" w:eastAsia="仿宋_GB2312" w:cs="Times New Roman"/>
          <w:sz w:val="32"/>
          <w:szCs w:val="32"/>
        </w:rPr>
        <w:t>主管部门签署意见，由主管部门负责人签字后加盖行政公章。</w:t>
      </w:r>
    </w:p>
    <w:p>
      <w:pPr>
        <w:spacing w:line="620" w:lineRule="exact"/>
        <w:ind w:firstLine="634" w:firstLineChars="200"/>
        <w:rPr>
          <w:rFonts w:ascii="黑体" w:hAnsi="黑体" w:eastAsia="黑体" w:cs="Times New Roman"/>
          <w:sz w:val="32"/>
          <w:szCs w:val="32"/>
        </w:rPr>
      </w:pPr>
      <w:r>
        <w:rPr>
          <w:rFonts w:hint="eastAsia" w:ascii="黑体" w:hAnsi="黑体" w:eastAsia="黑体" w:cs="Times New Roman"/>
          <w:sz w:val="32"/>
          <w:szCs w:val="32"/>
        </w:rPr>
        <w:t>四、自评报告综述（文字部分）</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评价组应根据下列提纲对各项内容进行详细说明：</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（一）项目概况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1、项目单位基本情况。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2、项目年度预算绩效目标、绩效指标设定情况，包括预期总目标及阶段性目标、项目基本性质、用途和主要内容、涉及范围。</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（二）项目资金使用及管理情况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1、项目资金（包括财政资金、自筹资金等）安排落实、总投入等情况分析。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2、项目资金（主要是指财政资金）实际使用情况分析。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3、项目资金管理情况（包括管理制度、办法的制订及执</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行情况）分析。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（三）项目组织实施情况</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1、项目组织情况（包括项目招投标情况、调整情况、完成验收等）分析。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2、项目管理情况（包括项目管理制度建设、日常检查监督管理等情况）分析。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（四）项目主要绩效情况分析</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从项目的经济性、效率性、有效性和可持续性等方面进行量化、具体分析。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（五）主要经验及做法、存在问题和建议</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包括资金安排、使用过程中的经验、做法、存在问题、改进措施和有关建议等。</w:t>
      </w:r>
    </w:p>
    <w:p>
      <w:pPr>
        <w:spacing w:line="620" w:lineRule="exact"/>
        <w:ind w:firstLine="634" w:firstLineChars="200"/>
        <w:rPr>
          <w:rFonts w:ascii="楷体_GB2312" w:hAnsi="楷体" w:eastAsia="楷体_GB2312" w:cs="Times New Roman"/>
          <w:b/>
          <w:sz w:val="32"/>
          <w:szCs w:val="32"/>
        </w:rPr>
      </w:pPr>
      <w:r>
        <w:rPr>
          <w:rFonts w:hint="eastAsia" w:ascii="楷体_GB2312" w:hAnsi="楷体" w:eastAsia="楷体_GB2312" w:cs="Times New Roman"/>
          <w:b/>
          <w:sz w:val="32"/>
          <w:szCs w:val="32"/>
        </w:rPr>
        <w:t>（六）附件</w:t>
      </w:r>
    </w:p>
    <w:p>
      <w:pPr>
        <w:spacing w:line="620" w:lineRule="exact"/>
        <w:ind w:firstLine="634"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评价组认为需要作为评价报告附件的有关文件、资料等，以进一步解释和证明报告所反映的相关内容。</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pStyle w:val="5"/>
        <w:shd w:val="clear" w:color="auto" w:fill="FFFFFF"/>
        <w:spacing w:before="0" w:beforeAutospacing="0" w:after="0" w:afterAutospacing="0" w:line="480" w:lineRule="auto"/>
        <w:ind w:firstLine="612" w:firstLineChars="221"/>
        <w:jc w:val="both"/>
        <w:rPr>
          <w:sz w:val="28"/>
          <w:szCs w:val="28"/>
        </w:rPr>
      </w:pPr>
    </w:p>
    <w:p>
      <w:pPr>
        <w:rPr>
          <w:sz w:val="28"/>
          <w:szCs w:val="28"/>
        </w:rPr>
      </w:pPr>
    </w:p>
    <w:p>
      <w:pPr>
        <w:rPr>
          <w:sz w:val="28"/>
          <w:szCs w:val="28"/>
        </w:rPr>
      </w:pPr>
    </w:p>
    <w:p>
      <w:pPr>
        <w:rPr>
          <w:sz w:val="28"/>
          <w:szCs w:val="28"/>
        </w:rPr>
      </w:pPr>
    </w:p>
    <w:p>
      <w:pPr>
        <w:spacing w:line="348" w:lineRule="auto"/>
        <w:rPr>
          <w:rFonts w:hint="eastAsia"/>
          <w:sz w:val="28"/>
          <w:szCs w:val="28"/>
        </w:rPr>
      </w:pPr>
    </w:p>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湖南城陵矶新港区</w:t>
      </w:r>
      <w:r>
        <w:rPr>
          <w:rFonts w:hint="eastAsia" w:eastAsia="方正小标宋简体"/>
          <w:bCs/>
          <w:sz w:val="46"/>
          <w:szCs w:val="46"/>
          <w:u w:val="single"/>
        </w:rPr>
        <w:t>20</w:t>
      </w:r>
      <w:r>
        <w:rPr>
          <w:rFonts w:hint="eastAsia" w:eastAsia="方正小标宋简体"/>
          <w:bCs/>
          <w:sz w:val="46"/>
          <w:szCs w:val="46"/>
          <w:u w:val="single"/>
          <w:lang w:val="en-US" w:eastAsia="zh-CN"/>
        </w:rPr>
        <w:t>22</w:t>
      </w:r>
      <w:r>
        <w:rPr>
          <w:rFonts w:hint="eastAsia" w:eastAsia="方正小标宋简体"/>
          <w:bCs/>
          <w:sz w:val="46"/>
          <w:szCs w:val="46"/>
        </w:rPr>
        <w:t>年度部门</w:t>
      </w:r>
    </w:p>
    <w:p>
      <w:pPr>
        <w:spacing w:line="800" w:lineRule="exact"/>
        <w:jc w:val="center"/>
        <w:rPr>
          <w:rFonts w:eastAsia="方正小标宋简体"/>
          <w:bCs/>
          <w:sz w:val="46"/>
          <w:szCs w:val="46"/>
        </w:rPr>
      </w:pPr>
      <w:r>
        <w:rPr>
          <w:rFonts w:hint="eastAsia" w:eastAsia="方正小标宋简体"/>
          <w:bCs/>
          <w:sz w:val="46"/>
          <w:szCs w:val="46"/>
        </w:rPr>
        <w:t>整体支出绩效评价自评报告</w:t>
      </w:r>
    </w:p>
    <w:p>
      <w:pPr>
        <w:rPr>
          <w:rFonts w:eastAsia="仿宋_GB2312"/>
          <w:b/>
          <w:sz w:val="32"/>
        </w:rPr>
      </w:pP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val="en-US" w:eastAsia="zh-CN"/>
        </w:rPr>
        <w:t>财政金融部</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004001</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rPr>
          <w:rFonts w:eastAsia="仿宋_GB2312"/>
          <w:sz w:val="32"/>
        </w:rPr>
      </w:pPr>
    </w:p>
    <w:p>
      <w:pPr>
        <w:spacing w:line="720" w:lineRule="exact"/>
        <w:rPr>
          <w:rFonts w:eastAsia="仿宋_GB2312"/>
          <w:sz w:val="32"/>
        </w:rPr>
      </w:pPr>
    </w:p>
    <w:p>
      <w:pPr>
        <w:spacing w:line="348" w:lineRule="auto"/>
        <w:jc w:val="center"/>
        <w:rPr>
          <w:rFonts w:eastAsia="仿宋_GB2312"/>
          <w:sz w:val="32"/>
        </w:rPr>
      </w:pPr>
      <w:r>
        <w:rPr>
          <w:rFonts w:hint="eastAsia" w:eastAsia="仿宋_GB2312"/>
          <w:sz w:val="32"/>
        </w:rPr>
        <w:t>报告日期：   年   月   日</w:t>
      </w:r>
    </w:p>
    <w:tbl>
      <w:tblPr>
        <w:tblStyle w:val="6"/>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姜曾妍</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13011173939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宋体" w:eastAsia="仿宋_GB2312" w:cs="仿宋_GB2312"/>
                <w:color w:val="000000"/>
                <w:sz w:val="22"/>
                <w:szCs w:val="22"/>
              </w:rPr>
              <w:t>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任务1：实现公共财政预算收入24亿元</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任务2：降低非税收入占地方财政收入的比重，低于40%</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：开展重点项目绩效评价工作；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：推动港区企业上市工作；</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：探索成立知识产权质押融资风险补偿资金；</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：对区属国有企业开展闲置资产清查；</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rPr>
              <w:t>：做好区内财政资金收支工作；</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w:t>
            </w: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rPr>
              <w:t>：做好区内财政评审工作。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13"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1.确保财政收支平衡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截至12月31日，完成各项财政收入49.64亿元，同比增长8.4%。其中地方税收收入完成7.33亿元，占全年预算7.11亿元的103%，同比增长22.7%；土地出让收入完成29.58亿元，占全年预算23.8亿元的124.3%，同比增长24.3%。全年累计完成财政支出49亿元，主要用于招商合同兑现13.41亿元，项目征拆及报批10.69亿元，基础设施建设5.18亿元，债务还本付息11.43亿元等方面。</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.隐债化解方案科学有效</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按照2022年市本级化债计划分解任务，我区今年需完成化解隐性债务9.36亿元。截至12月31日，利用项目经营收入、财政预算等措施，已完成7.83亿元，完成进度83.7%，全市化债进度名列前茅。</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金融服务</w:t>
            </w:r>
            <w:r>
              <w:rPr>
                <w:rFonts w:hint="eastAsia" w:ascii="仿宋_GB2312" w:hAnsi="仿宋_GB2312" w:eastAsia="仿宋_GB2312" w:cs="仿宋_GB2312"/>
                <w:color w:val="000000"/>
                <w:sz w:val="24"/>
                <w:lang w:val="en-US" w:eastAsia="zh-CN"/>
              </w:rPr>
              <w:t>扎实有效。</w:t>
            </w:r>
            <w:r>
              <w:rPr>
                <w:rFonts w:hint="eastAsia" w:ascii="仿宋_GB2312" w:hAnsi="仿宋_GB2312" w:eastAsia="仿宋_GB2312" w:cs="仿宋_GB2312"/>
                <w:color w:val="000000"/>
                <w:sz w:val="24"/>
              </w:rPr>
              <w:t>一是加快推动企业上市进程。一方面，加快推动沪、深、北交所上市，新港区作为第一梯度进行上市的企业已有国信6906、中创空天、君泰农科3家企业。另一方面，加强储备上市后备企业，目前已有中创空天、国信6906、复星合力、严格智能、哈工三维等11家企业进入省上市后备企业。二是开展普惠金融服务。我区财政出资1000万元加入市园区信贷风补资金，并将美尼科技、盛亚体育、江泰光电等26家企业纳入首批园区、小微企业信贷支持名单（即“白名单”），白名单内企业的融资问题已得到较好解决。同时，提前启动第二批园区信贷、小微企业信贷支持名录申报，山益科技、鑫源链等二十多家企业将进入名单。</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180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1898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1897</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2160"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1897</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493</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300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193</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1404</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08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1.1</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435" w:type="dxa"/>
            <w:gridSpan w:val="4"/>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364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目标1：深化预算管理、预决算公开、债务管理改革，积极防范和化解政府债务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目标2：按期完成财政评审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目标3：有效强化金融风险管控，金融生态环境持续优化</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目标4：加强内部管理，确保干部、资金“两个安全”</w:t>
            </w:r>
          </w:p>
        </w:tc>
        <w:tc>
          <w:tcPr>
            <w:tcW w:w="4585" w:type="dxa"/>
            <w:gridSpan w:val="9"/>
            <w:vAlign w:val="center"/>
          </w:tcPr>
          <w:p>
            <w:pPr>
              <w:numPr>
                <w:ilvl w:val="0"/>
                <w:numId w:val="0"/>
              </w:num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纵深实施绩效管理。把绩效管理实质性嵌入预算管理全流程，推进全方位、全过程、全覆盖预算绩效管理体系建设，开展事前绩效评估，强化预算绩效目标龙头作用，部门预算支出绩效自评覆盖率达到100%。</w:t>
            </w:r>
          </w:p>
          <w:p>
            <w:pPr>
              <w:numPr>
                <w:ilvl w:val="0"/>
                <w:numId w:val="0"/>
              </w:num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严格财政投资评审。注重成本控制，继续推行重点项目跟踪评审，严格管理评审中介结构。全年累计接收概预结算评审及评估662个，送审金额达27.27亿元，审定金额达25.14亿元，综合审减率7.8%。</w:t>
            </w:r>
          </w:p>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.隐债化解方案科学有效</w:t>
            </w:r>
            <w:r>
              <w:rPr>
                <w:rFonts w:hint="eastAsia" w:ascii="仿宋_GB2312" w:hAnsi="仿宋_GB2312" w:eastAsia="仿宋_GB2312" w:cs="仿宋_GB2312"/>
                <w:color w:val="000000"/>
                <w:sz w:val="24"/>
                <w:lang w:val="en-US" w:eastAsia="zh-CN"/>
              </w:rPr>
              <w:t>.</w:t>
            </w:r>
          </w:p>
          <w:p>
            <w:pPr>
              <w:numPr>
                <w:ilvl w:val="0"/>
                <w:numId w:val="0"/>
              </w:num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按照2022年市本级化债计划分解任务，我区今年需完成化解隐性债务9.36亿元。截至12月31日，利用项目经营收入、财政预算等措施，已完成7.83亿元，完成进度83.7%，全市化债进度名列前茅。</w:t>
            </w:r>
          </w:p>
          <w:p>
            <w:pPr>
              <w:numPr>
                <w:ilvl w:val="0"/>
                <w:numId w:val="0"/>
              </w:numPr>
              <w:autoSpaceDN w:val="0"/>
              <w:spacing w:line="320" w:lineRule="exact"/>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严把资金支付关卡。以合同审批、流程管控、现场核实、预算编制等手段为抓手，全方位把控资金支付。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指标1：不断提高评审工作质量，检查误差率在3%内；</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spacing w:line="320" w:lineRule="exact"/>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指标2：降低非税收入占地方财政收入的比重，低于40%。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指标1：实现公共财政预算收入24亿元；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指标2：争取省财政厅1亿元引导资金，5亿元新增债券资金；</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指标</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：3、开展2个重点项目绩效评价和1个项目专项审计</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指标1：项目及各部门资金拨付及时率100%；</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指标2：按时完成“一区一港四口岸”资料及资金复审工作</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指标1：严格按财政预算实施；</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指标2：严格遵守政府采购程序</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坚持新增财力向民生和重点项目建设倾斜，优先保障民生和重点项目建设，确保民生和重点项目建设支出及时足额落实到位</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对企业奖补</w:t>
            </w:r>
            <w:r>
              <w:rPr>
                <w:rFonts w:hint="eastAsia" w:ascii="仿宋_GB2312" w:hAnsi="仿宋_GB2312" w:eastAsia="仿宋_GB2312" w:cs="仿宋_GB2312"/>
                <w:color w:val="000000"/>
                <w:sz w:val="24"/>
                <w:lang w:val="en-US" w:eastAsia="zh-CN"/>
              </w:rPr>
              <w:t>200</w:t>
            </w:r>
            <w:r>
              <w:rPr>
                <w:rFonts w:hint="eastAsia" w:ascii="仿宋_GB2312" w:hAnsi="仿宋_GB2312" w:eastAsia="仿宋_GB2312" w:cs="仿宋_GB2312"/>
                <w:color w:val="000000"/>
                <w:sz w:val="24"/>
              </w:rPr>
              <w:t>万元</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支持生态保护</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ascii="仿宋_GB2312" w:hAnsi="仿宋_GB2312" w:eastAsia="仿宋_GB2312" w:cs="仿宋_GB2312"/>
                <w:b/>
                <w:color w:val="000000"/>
                <w:sz w:val="24"/>
              </w:rPr>
              <w:t>已完成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3"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指标1：被服务对象满意率高于95%；</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指标2：群众满意率高于95%</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b/>
                <w:color w:val="000000"/>
                <w:sz w:val="24"/>
              </w:rPr>
              <w:t>9</w:t>
            </w:r>
            <w:r>
              <w:rPr>
                <w:rFonts w:hint="eastAsia" w:ascii="仿宋_GB2312" w:hAnsi="仿宋_GB2312" w:eastAsia="仿宋_GB2312" w:cs="仿宋_GB2312"/>
                <w:b/>
                <w:color w:val="000000"/>
                <w:sz w:val="24"/>
                <w:lang w:val="en-US" w:eastAsia="zh-CN"/>
              </w:rPr>
              <w:t>7</w:t>
            </w:r>
            <w:r>
              <w:rPr>
                <w:rFonts w:hint="eastAsia" w:ascii="仿宋_GB2312" w:hAnsi="仿宋_GB2312" w:eastAsia="仿宋_GB2312" w:cs="仿宋_GB2312"/>
                <w:b/>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吴建林</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部长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财政金融部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陈纳新</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副部长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财政金融部</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34" w:firstLineChars="200"/>
              <w:rPr>
                <w:rFonts w:eastAsia="仿宋_GB2312"/>
                <w:sz w:val="32"/>
                <w:szCs w:val="32"/>
              </w:rPr>
            </w:pP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新港区财政金融部为全额拨款事业单位，财政金融部现有人数13人，其中在岗人员13人，内设预算国库科、经济建设科、审计监督科、综合科、国库集中支付中心</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国有资产管理科</w:t>
            </w:r>
            <w:r>
              <w:rPr>
                <w:rFonts w:hint="eastAsia" w:ascii="仿宋_GB2312" w:hAnsi="仿宋_GB2312" w:eastAsia="仿宋_GB2312" w:cs="仿宋_GB2312"/>
                <w:bCs/>
                <w:sz w:val="28"/>
                <w:szCs w:val="28"/>
              </w:rPr>
              <w:t>，主要职能是负责新港区各项财政收支管理，编制预决算并组织执行；负责政府非税收入和政府性基金管理；负责制定区域内行政事业单位国有资产管理规章制度，制定统一的开支标准和支出政策；负责区域内国有企业管理、考核，收取本级企业国有资本收益；负责管理全区各财政专户，审核申报收费项目；负责区域内金融事务监管；负责区域内政府采购、投资评审、审计等工作。</w:t>
            </w:r>
          </w:p>
          <w:p>
            <w:pPr>
              <w:numPr>
                <w:ilvl w:val="0"/>
                <w:numId w:val="2"/>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部门（单位）整体支出规模、使用方向和主要内容、涉及范围等</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根据《会计法》、《预算法》、《行政单位财务规则》等法律和财政部、省财政厅及市财政局有关财务规章的规定，先后制订了《关于进一步规范财务支出、加强财务管理的通知》、《湖南城陵矶新港区银行结算账户管理暂行办法》等，明确了经费审批权限及程序，经费预算管理、财务经费管理、资产购置与处置、财务监督等。上述制度规定执行到位。</w:t>
            </w:r>
          </w:p>
          <w:p>
            <w:pPr>
              <w:spacing w:line="560" w:lineRule="exact"/>
              <w:ind w:firstLine="554" w:firstLineChars="20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年财政金融部整体支出</w:t>
            </w:r>
            <w:r>
              <w:rPr>
                <w:rFonts w:hint="eastAsia" w:ascii="仿宋_GB2312" w:hAnsi="仿宋_GB2312" w:eastAsia="仿宋_GB2312" w:cs="仿宋_GB2312"/>
                <w:bCs/>
                <w:sz w:val="28"/>
                <w:szCs w:val="28"/>
                <w:lang w:val="en-US" w:eastAsia="zh-CN"/>
              </w:rPr>
              <w:t>1897</w:t>
            </w:r>
            <w:r>
              <w:rPr>
                <w:rFonts w:hint="eastAsia" w:ascii="仿宋_GB2312" w:hAnsi="仿宋_GB2312" w:eastAsia="仿宋_GB2312" w:cs="仿宋_GB2312"/>
                <w:bCs/>
                <w:sz w:val="28"/>
                <w:szCs w:val="28"/>
              </w:rPr>
              <w:t>万元，其中基本支出</w:t>
            </w:r>
            <w:r>
              <w:rPr>
                <w:rFonts w:hint="eastAsia" w:ascii="仿宋_GB2312" w:hAnsi="仿宋_GB2312" w:eastAsia="仿宋_GB2312" w:cs="仿宋_GB2312"/>
                <w:bCs/>
                <w:sz w:val="28"/>
                <w:szCs w:val="28"/>
                <w:lang w:val="en-US" w:eastAsia="zh-CN"/>
              </w:rPr>
              <w:t>493</w:t>
            </w:r>
            <w:r>
              <w:rPr>
                <w:rFonts w:hint="eastAsia" w:ascii="仿宋_GB2312" w:hAnsi="仿宋_GB2312" w:eastAsia="仿宋_GB2312" w:cs="仿宋_GB2312"/>
                <w:bCs/>
                <w:sz w:val="28"/>
                <w:szCs w:val="28"/>
              </w:rPr>
              <w:t>万元，占总支出</w:t>
            </w:r>
            <w:r>
              <w:rPr>
                <w:rFonts w:hint="eastAsia" w:ascii="仿宋_GB2312" w:hAnsi="仿宋_GB2312" w:eastAsia="仿宋_GB2312" w:cs="仿宋_GB2312"/>
                <w:bCs/>
                <w:sz w:val="28"/>
                <w:szCs w:val="28"/>
                <w:lang w:val="en-US" w:eastAsia="zh-CN"/>
              </w:rPr>
              <w:t>25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98</w:t>
            </w:r>
            <w:r>
              <w:rPr>
                <w:rFonts w:hint="eastAsia" w:ascii="仿宋_GB2312" w:hAnsi="仿宋_GB2312" w:eastAsia="仿宋_GB2312" w:cs="仿宋_GB2312"/>
                <w:bCs/>
                <w:sz w:val="28"/>
                <w:szCs w:val="28"/>
              </w:rPr>
              <w:t>%；项目支出</w:t>
            </w:r>
            <w:r>
              <w:rPr>
                <w:rFonts w:hint="eastAsia" w:ascii="仿宋_GB2312" w:hAnsi="仿宋_GB2312" w:eastAsia="仿宋_GB2312" w:cs="仿宋_GB2312"/>
                <w:bCs/>
                <w:sz w:val="28"/>
                <w:szCs w:val="28"/>
                <w:lang w:val="en-US" w:eastAsia="zh-CN"/>
              </w:rPr>
              <w:t>1404</w:t>
            </w:r>
            <w:r>
              <w:rPr>
                <w:rFonts w:hint="eastAsia" w:ascii="仿宋_GB2312" w:hAnsi="仿宋_GB2312" w:eastAsia="仿宋_GB2312" w:cs="仿宋_GB2312"/>
                <w:bCs/>
                <w:sz w:val="28"/>
                <w:szCs w:val="28"/>
              </w:rPr>
              <w:t>万元，占总支出</w:t>
            </w:r>
            <w:r>
              <w:rPr>
                <w:rFonts w:hint="eastAsia" w:ascii="仿宋_GB2312" w:hAnsi="仿宋_GB2312" w:eastAsia="仿宋_GB2312" w:cs="仿宋_GB2312"/>
                <w:bCs/>
                <w:sz w:val="28"/>
                <w:szCs w:val="28"/>
                <w:lang w:val="en-US" w:eastAsia="zh-CN"/>
              </w:rPr>
              <w:t>74</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02</w:t>
            </w:r>
            <w:r>
              <w:rPr>
                <w:rFonts w:hint="eastAsia" w:ascii="仿宋_GB2312" w:hAnsi="仿宋_GB2312" w:eastAsia="仿宋_GB2312" w:cs="仿宋_GB2312"/>
                <w:bCs/>
                <w:sz w:val="28"/>
                <w:szCs w:val="28"/>
              </w:rPr>
              <w:t>%，具体明细情况如下：</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基本支出用于保障单位各科室正常运转、完成日常工作任务而发生支出，包括人员经费和日常公用经费。</w:t>
            </w:r>
          </w:p>
          <w:p>
            <w:pPr>
              <w:spacing w:line="560" w:lineRule="exact"/>
              <w:ind w:left="550" w:leftChars="266"/>
              <w:rPr>
                <w:rFonts w:hint="eastAsia"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rPr>
              <w:t>21年年初部门预算批复的基本支出为</w:t>
            </w:r>
            <w:r>
              <w:rPr>
                <w:rFonts w:hint="eastAsia" w:ascii="仿宋_GB2312" w:hAnsi="仿宋_GB2312" w:eastAsia="仿宋_GB2312" w:cs="仿宋_GB2312"/>
                <w:bCs/>
                <w:sz w:val="28"/>
                <w:szCs w:val="28"/>
                <w:lang w:val="en-US" w:eastAsia="zh-CN"/>
              </w:rPr>
              <w:t>493</w:t>
            </w:r>
            <w:r>
              <w:rPr>
                <w:rFonts w:hint="eastAsia" w:ascii="仿宋_GB2312" w:hAnsi="仿宋_GB2312" w:eastAsia="仿宋_GB2312" w:cs="仿宋_GB2312"/>
                <w:bCs/>
                <w:sz w:val="28"/>
                <w:szCs w:val="28"/>
              </w:rPr>
              <w:t>万元。</w:t>
            </w:r>
          </w:p>
          <w:p>
            <w:pPr>
              <w:spacing w:line="560" w:lineRule="exact"/>
              <w:ind w:firstLine="554"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项目支出是在基本支出之外为完成各项工作任务而发生的支出，主要用于财政评审、知识产权风险补偿资金和财政信息化建设等。</w:t>
            </w:r>
          </w:p>
          <w:p>
            <w:pPr>
              <w:numPr>
                <w:ilvl w:val="0"/>
                <w:numId w:val="3"/>
              </w:num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专项资金安排落实、总投入等情况分析</w:t>
            </w:r>
          </w:p>
          <w:p>
            <w:pPr>
              <w:spacing w:line="560" w:lineRule="exact"/>
              <w:ind w:firstLine="554" w:firstLineChars="200"/>
              <w:rPr>
                <w:rFonts w:hint="eastAsia"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年年初预算批复的项目支出为</w:t>
            </w:r>
            <w:r>
              <w:rPr>
                <w:rFonts w:hint="eastAsia" w:ascii="仿宋_GB2312" w:hAnsi="仿宋_GB2312" w:eastAsia="仿宋_GB2312" w:cs="仿宋_GB2312"/>
                <w:bCs/>
                <w:sz w:val="28"/>
                <w:szCs w:val="28"/>
                <w:lang w:val="en-US" w:eastAsia="zh-CN"/>
              </w:rPr>
              <w:t>1404</w:t>
            </w:r>
            <w:r>
              <w:rPr>
                <w:rFonts w:hint="eastAsia" w:ascii="仿宋_GB2312" w:hAnsi="仿宋_GB2312" w:eastAsia="仿宋_GB2312" w:cs="仿宋_GB2312"/>
                <w:bCs/>
                <w:sz w:val="28"/>
                <w:szCs w:val="28"/>
              </w:rPr>
              <w:t>万元。</w:t>
            </w:r>
          </w:p>
          <w:p>
            <w:pPr>
              <w:numPr>
                <w:ilvl w:val="0"/>
                <w:numId w:val="3"/>
              </w:numPr>
              <w:spacing w:line="560" w:lineRule="exact"/>
              <w:ind w:left="0" w:lef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专项资金实际使用情况分析</w:t>
            </w:r>
          </w:p>
          <w:p>
            <w:pPr>
              <w:spacing w:line="560" w:lineRule="exact"/>
              <w:ind w:firstLine="554" w:firstLineChars="200"/>
              <w:rPr>
                <w:rFonts w:hint="default" w:ascii="仿宋_GB2312" w:hAnsi="仿宋_GB2312" w:eastAsia="仿宋_GB2312" w:cs="仿宋_GB2312"/>
                <w:bCs/>
                <w:sz w:val="28"/>
                <w:szCs w:val="28"/>
                <w:lang w:val="en-US" w:eastAsia="zh-CN"/>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年决算的项目支出为</w:t>
            </w:r>
            <w:r>
              <w:rPr>
                <w:rFonts w:hint="eastAsia" w:ascii="仿宋_GB2312" w:hAnsi="仿宋_GB2312" w:eastAsia="仿宋_GB2312" w:cs="仿宋_GB2312"/>
                <w:bCs/>
                <w:sz w:val="28"/>
                <w:szCs w:val="28"/>
                <w:lang w:val="en-US" w:eastAsia="zh-CN"/>
              </w:rPr>
              <w:t>1404</w:t>
            </w:r>
            <w:r>
              <w:rPr>
                <w:rFonts w:hint="eastAsia" w:ascii="仿宋_GB2312" w:hAnsi="仿宋_GB2312" w:eastAsia="仿宋_GB2312" w:cs="仿宋_GB2312"/>
                <w:bCs/>
                <w:sz w:val="28"/>
                <w:szCs w:val="28"/>
              </w:rPr>
              <w:t>万元，其中</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、财政投资评审等中介服务费</w:t>
            </w:r>
            <w:r>
              <w:rPr>
                <w:rFonts w:hint="eastAsia" w:ascii="仿宋_GB2312" w:hAnsi="仿宋_GB2312" w:eastAsia="仿宋_GB2312" w:cs="仿宋_GB2312"/>
                <w:bCs/>
                <w:sz w:val="28"/>
                <w:szCs w:val="28"/>
                <w:lang w:val="en-US" w:eastAsia="zh-CN"/>
              </w:rPr>
              <w:t>757</w:t>
            </w:r>
            <w:r>
              <w:rPr>
                <w:rFonts w:hint="eastAsia" w:ascii="仿宋_GB2312" w:hAnsi="仿宋_GB2312" w:eastAsia="仿宋_GB2312" w:cs="仿宋_GB2312"/>
                <w:bCs/>
                <w:sz w:val="28"/>
                <w:szCs w:val="28"/>
              </w:rPr>
              <w:t>万元，主要用于财政委托业务等支出；</w:t>
            </w:r>
            <w:r>
              <w:rPr>
                <w:rFonts w:ascii="仿宋_GB2312" w:hAnsi="仿宋_GB2312" w:eastAsia="仿宋_GB2312" w:cs="仿宋_GB2312"/>
                <w:bCs/>
                <w:sz w:val="28"/>
                <w:szCs w:val="28"/>
              </w:rPr>
              <w:t>2</w:t>
            </w:r>
            <w:r>
              <w:rPr>
                <w:rFonts w:hint="eastAsia" w:ascii="仿宋_GB2312" w:hAnsi="仿宋_GB2312" w:eastAsia="仿宋_GB2312" w:cs="仿宋_GB2312"/>
                <w:bCs/>
                <w:sz w:val="28"/>
                <w:szCs w:val="28"/>
              </w:rPr>
              <w:t>、财政综合管理经费支出9万元，主要用于部门日常活动支出；</w:t>
            </w:r>
            <w:r>
              <w:rPr>
                <w:rFonts w:ascii="仿宋_GB2312" w:hAnsi="仿宋_GB2312" w:eastAsia="仿宋_GB2312" w:cs="仿宋_GB2312"/>
                <w:bCs/>
                <w:sz w:val="28"/>
                <w:szCs w:val="28"/>
              </w:rPr>
              <w:t>3</w:t>
            </w:r>
            <w:r>
              <w:rPr>
                <w:rFonts w:hint="eastAsia" w:ascii="仿宋_GB2312" w:hAnsi="仿宋_GB2312" w:eastAsia="仿宋_GB2312" w:cs="仿宋_GB2312"/>
                <w:bCs/>
                <w:sz w:val="28"/>
                <w:szCs w:val="28"/>
              </w:rPr>
              <w:t>、</w:t>
            </w:r>
            <w:r>
              <w:rPr>
                <w:rFonts w:hint="eastAsia" w:ascii="仿宋_GB2312" w:hAnsi="宋体" w:eastAsia="仿宋_GB2312" w:cs="宋体"/>
                <w:color w:val="000000"/>
                <w:kern w:val="0"/>
                <w:sz w:val="28"/>
                <w:szCs w:val="28"/>
              </w:rPr>
              <w:t>财政信息化建设</w:t>
            </w:r>
            <w:r>
              <w:rPr>
                <w:rFonts w:hint="eastAsia" w:ascii="仿宋_GB2312" w:hAnsi="宋体" w:eastAsia="仿宋_GB2312" w:cs="宋体"/>
                <w:color w:val="000000"/>
                <w:kern w:val="0"/>
                <w:sz w:val="28"/>
                <w:szCs w:val="28"/>
                <w:lang w:val="en-US" w:eastAsia="zh-CN"/>
              </w:rPr>
              <w:t>16</w:t>
            </w:r>
            <w:r>
              <w:rPr>
                <w:rFonts w:hint="eastAsia" w:ascii="仿宋_GB2312" w:hAnsi="仿宋_GB2312" w:eastAsia="仿宋_GB2312" w:cs="仿宋_GB2312"/>
                <w:bCs/>
                <w:sz w:val="28"/>
                <w:szCs w:val="28"/>
              </w:rPr>
              <w:t>万元，主要用于新港区财政国库集中支付系统建设支出</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4.知识产权风险补偿资金500万元，主要用于解决企业融资难、融资贵问题、切实提高财政资金使用效率；5.金融政策补贴122万元，主要用于推进企业上市、挂牌工作。</w:t>
            </w:r>
          </w:p>
          <w:p>
            <w:pPr>
              <w:numPr>
                <w:ilvl w:val="0"/>
                <w:numId w:val="3"/>
              </w:numPr>
              <w:spacing w:line="560" w:lineRule="exact"/>
              <w:ind w:left="0" w:leftChars="0"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专项资金管理情况分析</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严格按照和执行资金使用管理的相关规定，对资金实行“专款专用”，严格风险防范，保障资金安全和高效运行。</w:t>
            </w:r>
          </w:p>
          <w:p>
            <w:pPr>
              <w:spacing w:line="560" w:lineRule="exact"/>
              <w:ind w:firstLine="554"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napToGrid w:val="0"/>
              <w:spacing w:line="60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按规定发布奖补申报通知、公开预决算信息；按规定时限公开预决算信息；已制定或具有预算资金管理办法，内部财务管理制度、会计核算制度等管理制度；相关管理制度合法、合规、完整；相关管理制度得到有效执行。</w:t>
            </w:r>
          </w:p>
          <w:p>
            <w:pPr>
              <w:numPr>
                <w:ilvl w:val="0"/>
                <w:numId w:val="4"/>
              </w:numPr>
              <w:spacing w:line="560" w:lineRule="exact"/>
              <w:ind w:firstLine="554" w:firstLineChars="200"/>
              <w:rPr>
                <w:rFonts w:hint="eastAsia" w:ascii="黑体" w:hAnsi="黑体" w:eastAsia="黑体" w:cs="黑体"/>
                <w:bCs/>
                <w:sz w:val="28"/>
                <w:szCs w:val="28"/>
              </w:rPr>
            </w:pPr>
            <w:r>
              <w:rPr>
                <w:rFonts w:hint="eastAsia" w:ascii="黑体" w:hAnsi="黑体" w:eastAsia="黑体" w:cs="黑体"/>
                <w:bCs/>
                <w:sz w:val="28"/>
                <w:szCs w:val="28"/>
              </w:rPr>
              <w:t>部门（单位）整体支出绩效情况</w:t>
            </w:r>
          </w:p>
          <w:p>
            <w:pPr>
              <w:spacing w:line="560" w:lineRule="exact"/>
              <w:ind w:firstLine="416" w:firstLineChars="15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年，根据委会年初工作计划和重点工作，围绕市委、市政府的工作部署，积极履行职责，强化管理，圆满完成了年度工作目标，同时加强预算收支的管理，建立健全内部管理制度，严格内部管理流程，部门整体支出管理得到了根据《部门整体支出绩效评价指标》评分，得分</w:t>
            </w: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7分</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详见附表3-</w:t>
            </w:r>
            <w:r>
              <w:rPr>
                <w:rFonts w:ascii="仿宋_GB2312" w:hAnsi="仿宋_GB2312" w:eastAsia="仿宋_GB2312" w:cs="仿宋_GB2312"/>
                <w:bCs/>
                <w:sz w:val="28"/>
                <w:szCs w:val="28"/>
              </w:rPr>
              <w:t>1)</w:t>
            </w:r>
            <w:r>
              <w:rPr>
                <w:rFonts w:hint="eastAsia" w:ascii="仿宋_GB2312" w:hAnsi="仿宋_GB2312" w:eastAsia="仿宋_GB2312" w:cs="仿宋_GB2312"/>
                <w:bCs/>
                <w:sz w:val="28"/>
                <w:szCs w:val="28"/>
              </w:rPr>
              <w:t>，财政支出绩效为“优”，部门整体支出绩效情况如下：</w:t>
            </w:r>
          </w:p>
          <w:p>
            <w:pPr>
              <w:spacing w:line="560" w:lineRule="exact"/>
              <w:ind w:firstLine="416"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（一）“三公”经费情况分析</w:t>
            </w:r>
          </w:p>
          <w:p>
            <w:pPr>
              <w:spacing w:line="560" w:lineRule="exact"/>
              <w:ind w:firstLine="554"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20</w:t>
            </w:r>
            <w:r>
              <w:rPr>
                <w:rFonts w:hint="eastAsia" w:ascii="仿宋_GB2312" w:hAnsi="仿宋_GB2312" w:eastAsia="仿宋_GB2312" w:cs="仿宋_GB2312"/>
                <w:bCs/>
                <w:sz w:val="28"/>
                <w:szCs w:val="28"/>
              </w:rPr>
              <w:t>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年财政金融部“三公经费”开支</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万元，在预算内开支</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较去年同比下降 67%</w:t>
            </w:r>
            <w:r>
              <w:rPr>
                <w:rFonts w:hint="eastAsia" w:ascii="仿宋_GB2312" w:hAnsi="仿宋_GB2312" w:eastAsia="仿宋_GB2312" w:cs="仿宋_GB2312"/>
                <w:bCs/>
                <w:sz w:val="28"/>
                <w:szCs w:val="28"/>
              </w:rPr>
              <w:t>。其中</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公务接待费</w:t>
            </w: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万元，严格执行八项规定，</w:t>
            </w:r>
            <w:r>
              <w:rPr>
                <w:rFonts w:ascii="仿宋_GB2312" w:hAnsi="仿宋_GB2312" w:eastAsia="仿宋_GB2312" w:cs="仿宋_GB2312"/>
                <w:bCs/>
                <w:sz w:val="28"/>
                <w:szCs w:val="28"/>
              </w:rPr>
              <w:t>无</w:t>
            </w:r>
            <w:r>
              <w:rPr>
                <w:rFonts w:hint="eastAsia" w:ascii="仿宋_GB2312" w:hAnsi="仿宋_GB2312" w:eastAsia="仿宋_GB2312" w:cs="仿宋_GB2312"/>
                <w:bCs/>
                <w:sz w:val="28"/>
                <w:szCs w:val="28"/>
              </w:rPr>
              <w:t>因公出国</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境</w:t>
            </w:r>
            <w:r>
              <w:rPr>
                <w:rFonts w:ascii="仿宋_GB2312" w:hAnsi="仿宋_GB2312" w:eastAsia="仿宋_GB2312" w:cs="仿宋_GB2312"/>
                <w:bCs/>
                <w:sz w:val="28"/>
                <w:szCs w:val="28"/>
              </w:rPr>
              <w:t>)</w:t>
            </w:r>
            <w:r>
              <w:rPr>
                <w:rFonts w:hint="eastAsia" w:ascii="仿宋_GB2312" w:hAnsi="仿宋_GB2312" w:eastAsia="仿宋_GB2312" w:cs="仿宋_GB2312"/>
                <w:bCs/>
                <w:sz w:val="28"/>
                <w:szCs w:val="28"/>
              </w:rPr>
              <w:t>费用支出。</w:t>
            </w:r>
          </w:p>
          <w:p>
            <w:pPr>
              <w:spacing w:line="560" w:lineRule="exact"/>
              <w:ind w:firstLine="416" w:firstLineChars="15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（二）固定资产流程规范化</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新会计制度执行以来，我部对固定资产采取统一建账，统一核算管理，严格执行行政事业单位固定资产采购的流程、资产的处置报废流程，保证资产的安全高效，防止资产流失。</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（三）202</w:t>
            </w: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年工作成效</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1.确保财政收支平衡</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截至12月31</w:t>
            </w:r>
            <w:bookmarkStart w:id="0" w:name="_GoBack"/>
            <w:bookmarkEnd w:id="0"/>
            <w:r>
              <w:rPr>
                <w:rFonts w:hint="eastAsia" w:ascii="仿宋_GB2312" w:hAnsi="仿宋_GB2312" w:eastAsia="仿宋_GB2312" w:cs="仿宋_GB2312"/>
                <w:bCs/>
                <w:sz w:val="28"/>
                <w:szCs w:val="28"/>
              </w:rPr>
              <w:t>日，完成各项财政收入49.64亿元，同比增长8.4%。其中地方税收收入完成7.33亿元，占全年预算7.11亿元的103%，同比增长22.7%；土地出让收入完成29.58亿元，占全年预算23.8亿元的124.3%，同比增长24.3%。全年累计完成财政支出49亿元，主要用于招商合同兑现13.41亿元，项目征拆及报批10.69亿元，基础设施建设5.18亿元，债务还本付息11.43亿元等方面。</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.隐债化解方案科学有效</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按照2022年市本级化债计划分解任务，我区今年需完成化解隐性债务9.36亿元。截至12月31日，利用项目经营收入、财政预算等措施，已完成7.83亿元，完成进度83.7%，全市化债进度名列前茅。</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金融服务</w:t>
            </w:r>
            <w:r>
              <w:rPr>
                <w:rFonts w:hint="eastAsia" w:ascii="仿宋_GB2312" w:hAnsi="仿宋_GB2312" w:eastAsia="仿宋_GB2312" w:cs="仿宋_GB2312"/>
                <w:bCs/>
                <w:sz w:val="28"/>
                <w:szCs w:val="28"/>
                <w:lang w:val="en-US" w:eastAsia="zh-CN"/>
              </w:rPr>
              <w:t>扎实有效。</w:t>
            </w:r>
            <w:r>
              <w:rPr>
                <w:rFonts w:hint="eastAsia" w:ascii="仿宋_GB2312" w:hAnsi="仿宋_GB2312" w:eastAsia="仿宋_GB2312" w:cs="仿宋_GB2312"/>
                <w:bCs/>
                <w:sz w:val="28"/>
                <w:szCs w:val="28"/>
              </w:rPr>
              <w:t>一是加快推动企业上市进程。一方面，加快推动沪、深、北交所上市，新港区作为第一梯度进行上市的企业已有国信6906、中创空天、君泰农科3家企业。另一方面，加强储备上市后备企业，目前已有中创空天、国信6906、复星合力、严格智能、哈工三维等11家企业进入省上市后备企业。二是开展普惠金融服务。我区财政出资1000万元加入市园区信贷风补资金，并将美尼科技、盛亚体育、江泰光电等26家企业纳入首批园区、小微企业信贷支持名单（即“白名单”），白名单内企业的融资问题已得到较好解决。同时，提前启动第二批园区信贷、小微企业信贷支持名录申报，山益科技、鑫源链等二十多家企业将进入名单。</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五、存在的主要问题</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固定资产管理不够规范。</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六、改进措施和有关建议</w:t>
            </w:r>
          </w:p>
          <w:p>
            <w:pPr>
              <w:spacing w:line="560" w:lineRule="exact"/>
              <w:ind w:firstLine="554"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加强固定资产管理，提高固定资产利用率。</w:t>
            </w:r>
          </w:p>
          <w:p>
            <w:pPr>
              <w:rPr>
                <w:rFonts w:eastAsia="楷体_GB2312"/>
                <w:bCs/>
                <w:sz w:val="28"/>
                <w:szCs w:val="28"/>
              </w:rPr>
            </w:pPr>
          </w:p>
        </w:tc>
      </w:tr>
    </w:tbl>
    <w:p>
      <w:r>
        <w:rPr>
          <w:rFonts w:eastAsia="楷体_GB2312"/>
          <w:bCs/>
          <w:sz w:val="28"/>
          <w:szCs w:val="28"/>
        </w:rPr>
        <w:br w:type="page"/>
      </w:r>
    </w:p>
    <w:p>
      <w:pPr>
        <w:rPr>
          <w:rFonts w:ascii="黑体" w:hAnsi="黑体" w:eastAsia="黑体"/>
          <w:sz w:val="32"/>
          <w:szCs w:val="32"/>
        </w:rPr>
      </w:pPr>
      <w:r>
        <w:rPr>
          <w:rFonts w:hint="eastAsia" w:ascii="黑体" w:hAnsi="黑体" w:eastAsia="黑体"/>
          <w:sz w:val="32"/>
          <w:szCs w:val="32"/>
        </w:rPr>
        <w:t>附件3-1</w:t>
      </w:r>
    </w:p>
    <w:p>
      <w:pPr>
        <w:keepNext w:val="0"/>
        <w:keepLines w:val="0"/>
        <w:pageBreakBefore w:val="0"/>
        <w:widowControl w:val="0"/>
        <w:kinsoku/>
        <w:wordWrap/>
        <w:overflowPunct/>
        <w:topLinePunct w:val="0"/>
        <w:autoSpaceDE/>
        <w:autoSpaceDN/>
        <w:bidi w:val="0"/>
        <w:adjustRightInd/>
        <w:snapToGrid/>
        <w:spacing w:before="304" w:beforeLines="50" w:after="304" w:afterLines="50"/>
        <w:jc w:val="center"/>
        <w:textAlignment w:val="auto"/>
        <w:rPr>
          <w:rFonts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1</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tbl>
      <w:tblPr>
        <w:tblStyle w:val="6"/>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184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固定资产配置合理性有待提高</w:t>
            </w:r>
            <w:r>
              <w:rPr>
                <w:rFonts w:hint="eastAsia" w:ascii="仿宋_GB2312" w:hAnsi="宋体" w:eastAsia="仿宋_GB2312" w:cs="宋体"/>
                <w:kern w:val="0"/>
                <w:sz w:val="18"/>
                <w:szCs w:val="18"/>
              </w:rPr>
              <w:t>.</w:t>
            </w:r>
            <w:r>
              <w:rPr>
                <w:rFonts w:ascii="仿宋_GB2312" w:hAnsi="宋体" w:eastAsia="仿宋_GB2312" w:cs="宋体"/>
                <w:kern w:val="0"/>
                <w:sz w:val="18"/>
                <w:szCs w:val="18"/>
              </w:rPr>
              <w:t xml:space="preserve"> 保存有待加强</w:t>
            </w:r>
          </w:p>
        </w:tc>
      </w:tr>
      <w:tr>
        <w:tblPrEx>
          <w:tblCellMar>
            <w:top w:w="0" w:type="dxa"/>
            <w:left w:w="108" w:type="dxa"/>
            <w:bottom w:w="0" w:type="dxa"/>
            <w:right w:w="108" w:type="dxa"/>
          </w:tblCellMar>
        </w:tblPrEx>
        <w:trPr>
          <w:trHeight w:val="59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固定资产利用率有待提高</w:t>
            </w: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2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97</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spacing w:beforeLines="50" w:line="560" w:lineRule="exact"/>
        <w:rPr>
          <w:rFonts w:ascii="黑体" w:hAnsi="黑体" w:eastAsia="黑体"/>
          <w:sz w:val="32"/>
          <w:szCs w:val="32"/>
        </w:rPr>
      </w:pPr>
      <w:r>
        <w:rPr>
          <w:rFonts w:hint="eastAsia" w:ascii="黑体" w:hAnsi="黑体" w:eastAsia="黑体"/>
          <w:sz w:val="32"/>
          <w:szCs w:val="32"/>
        </w:rPr>
        <w:t>附件3-2</w:t>
      </w:r>
    </w:p>
    <w:p>
      <w:pPr>
        <w:keepNext w:val="0"/>
        <w:keepLines w:val="0"/>
        <w:pageBreakBefore w:val="0"/>
        <w:widowControl w:val="0"/>
        <w:kinsoku/>
        <w:wordWrap/>
        <w:overflowPunct/>
        <w:topLinePunct w:val="0"/>
        <w:autoSpaceDE/>
        <w:autoSpaceDN/>
        <w:bidi w:val="0"/>
        <w:adjustRightInd/>
        <w:snapToGrid/>
        <w:spacing w:before="304" w:beforeLines="50" w:after="304" w:afterLines="50" w:line="560" w:lineRule="exact"/>
        <w:jc w:val="center"/>
        <w:textAlignment w:val="auto"/>
        <w:rPr>
          <w:rFonts w:ascii="方正小标宋简体" w:eastAsia="方正小标宋简体"/>
          <w:sz w:val="38"/>
          <w:szCs w:val="38"/>
        </w:rPr>
      </w:pPr>
      <w:r>
        <w:rPr>
          <w:rFonts w:hint="eastAsia" w:ascii="方正小标宋简体" w:eastAsia="方正小标宋简体"/>
          <w:sz w:val="38"/>
          <w:szCs w:val="38"/>
        </w:rPr>
        <w:t>项目支出绩效评价指标体系（参考样表）</w:t>
      </w:r>
    </w:p>
    <w:tbl>
      <w:tblPr>
        <w:tblStyle w:val="6"/>
        <w:tblW w:w="0" w:type="auto"/>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目标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①设有目标（1分）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②目标明确（1分）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③目标细化（1分）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①符合法律法规（1分）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②符合经济社会发展规划（1分）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③部门年度工作计划（1分）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④针对某一实际问题和需求（1分）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①符合申报条件（2分）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②项目申报、批复程序符合管理办法（1分）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①有相应的资金管理办法（1分）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②办法健全、规范（1分）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③因素全面合理（1分）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分配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①符合分配办法（2分）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②分配公平合理（3分）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74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①到位及时（2分）</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②不及时但未影响项目进度 （1分）</w:t>
            </w:r>
            <w:r>
              <w:rPr>
                <w:rFonts w:hint="eastAsia" w:ascii="仿宋_GB2312" w:hAnsi="宋体" w:eastAsia="仿宋_GB2312" w:cs="宋体"/>
                <w:spacing w:val="-10"/>
                <w:kern w:val="0"/>
                <w:sz w:val="18"/>
                <w:szCs w:val="18"/>
              </w:rPr>
              <w:br w:type="textWrapping"/>
            </w: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①虚列套取扣4-7分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②依据不合规扣2分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③截留、挤占、挪用扣3-6分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④超标准开支扣2-5分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①财务制度健全（1分）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②严格执行制度（1分）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③会计核算规范（1分）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552" w:hRule="atLeast"/>
          <w:jc w:val="center"/>
        </w:trPr>
        <w:tc>
          <w:tcPr>
            <w:tcW w:w="702"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项目管理 </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w:t>
            </w: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支撑</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①按计划开工（1分）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②按计划开展（1分）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w:t>
            </w:r>
          </w:p>
        </w:tc>
      </w:tr>
      <w:tr>
        <w:tblPrEx>
          <w:tblCellMar>
            <w:top w:w="0" w:type="dxa"/>
            <w:left w:w="108" w:type="dxa"/>
            <w:bottom w:w="0" w:type="dxa"/>
            <w:right w:w="108" w:type="dxa"/>
          </w:tblCellMar>
        </w:tblPrEx>
        <w:trPr>
          <w:trHeight w:val="745"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①管理制度健全（2分）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②制度执行严格（3分）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w:t>
            </w:r>
            <w:r>
              <w:rPr>
                <w:rFonts w:hint="eastAsia" w:ascii="仿宋_GB2312" w:hAnsi="宋体" w:eastAsia="仿宋_GB2312" w:cs="宋体"/>
                <w:b/>
                <w:bCs/>
                <w:kern w:val="0"/>
                <w:sz w:val="18"/>
                <w:szCs w:val="18"/>
              </w:rPr>
              <w:br w:type="textWrapping"/>
            </w: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指项目对国民经济和区域经济发展所带来的直接或间接效益等</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项目实施是否产生社会综合效益</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环境</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项目实施是否对环境产生积极或消极影响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可持续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项目实施对人、自然、资源是否带来可持续影响</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cs="宋体" w:eastAsiaTheme="minorEastAsia"/>
                <w:kern w:val="0"/>
                <w:sz w:val="24"/>
                <w:lang w:val="en-US" w:eastAsia="zh-CN"/>
              </w:rPr>
            </w:pPr>
            <w:r>
              <w:rPr>
                <w:rFonts w:hint="eastAsia" w:ascii="宋体" w:hAnsi="宋体" w:cs="宋体"/>
                <w:kern w:val="0"/>
                <w:sz w:val="24"/>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cs="宋体" w:eastAsiaTheme="minorEastAsia"/>
                <w:b/>
                <w:bCs/>
                <w:kern w:val="0"/>
                <w:sz w:val="24"/>
                <w:lang w:val="en-US" w:eastAsia="zh-CN"/>
              </w:rPr>
            </w:pPr>
            <w:r>
              <w:rPr>
                <w:rFonts w:hint="eastAsia" w:ascii="宋体" w:hAnsi="宋体" w:cs="宋体"/>
                <w:b/>
                <w:bCs/>
                <w:kern w:val="0"/>
                <w:sz w:val="24"/>
                <w:lang w:val="en-US" w:eastAsia="zh-CN"/>
              </w:rPr>
              <w:t>97</w:t>
            </w:r>
          </w:p>
        </w:tc>
      </w:tr>
    </w:tbl>
    <w:p>
      <w:pPr>
        <w:adjustRightInd w:val="0"/>
        <w:snapToGrid w:val="0"/>
        <w:spacing w:beforeLines="50" w:line="200" w:lineRule="exact"/>
        <w:contextualSpacing/>
        <w:rPr>
          <w:rFonts w:ascii="仿宋_GB2312" w:eastAsia="仿宋_GB2312"/>
        </w:rPr>
      </w:pPr>
    </w:p>
    <w:p>
      <w:pPr>
        <w:adjustRightInd w:val="0"/>
        <w:snapToGrid w:val="0"/>
        <w:spacing w:beforeLines="50"/>
        <w:contextualSpacing/>
        <w:rPr>
          <w:rFonts w:eastAsia="仿宋_GB2312"/>
          <w:sz w:val="32"/>
        </w:rPr>
      </w:pPr>
      <w:r>
        <w:rPr>
          <w:rFonts w:hint="eastAsia" w:ascii="仿宋_GB2312" w:eastAsia="仿宋_GB2312"/>
        </w:rPr>
        <w:t>备注：部门（单位）根据项目实际，在《项目支出绩效评价指标体系（参考样表）》上进一步完善、量化、细化个性指标，形成本项目的指标体系。</w:t>
      </w:r>
    </w:p>
    <w:p>
      <w:pPr>
        <w:adjustRightInd w:val="0"/>
        <w:snapToGrid w:val="0"/>
        <w:spacing w:line="640" w:lineRule="exact"/>
        <w:contextualSpacing/>
        <w:rPr>
          <w:rFonts w:hint="eastAsia"/>
          <w:sz w:val="28"/>
          <w:szCs w:val="28"/>
        </w:rPr>
      </w:pPr>
    </w:p>
    <w:sectPr>
      <w:pgSz w:w="11906" w:h="16838"/>
      <w:pgMar w:top="1588" w:right="1588" w:bottom="1588" w:left="1588" w:header="851" w:footer="992" w:gutter="0"/>
      <w:pgNumType w:start="1"/>
      <w:cols w:space="720" w:num="1"/>
      <w:docGrid w:type="linesAndChars" w:linePitch="602" w:charSpace="-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2616E"/>
    <w:multiLevelType w:val="singleLevel"/>
    <w:tmpl w:val="8802616E"/>
    <w:lvl w:ilvl="0" w:tentative="0">
      <w:start w:val="1"/>
      <w:numFmt w:val="decimal"/>
      <w:suff w:val="nothing"/>
      <w:lvlText w:val="%1、"/>
      <w:lvlJc w:val="left"/>
    </w:lvl>
  </w:abstractNum>
  <w:abstractNum w:abstractNumId="1">
    <w:nsid w:val="987A1B7E"/>
    <w:multiLevelType w:val="singleLevel"/>
    <w:tmpl w:val="987A1B7E"/>
    <w:lvl w:ilvl="0" w:tentative="0">
      <w:start w:val="4"/>
      <w:numFmt w:val="chineseCounting"/>
      <w:suff w:val="nothing"/>
      <w:lvlText w:val="%1、"/>
      <w:lvlJc w:val="left"/>
      <w:rPr>
        <w:rFonts w:hint="eastAsia"/>
      </w:rPr>
    </w:lvl>
  </w:abstractNum>
  <w:abstractNum w:abstractNumId="2">
    <w:nsid w:val="2B8DAE89"/>
    <w:multiLevelType w:val="singleLevel"/>
    <w:tmpl w:val="2B8DAE89"/>
    <w:lvl w:ilvl="0" w:tentative="0">
      <w:start w:val="2"/>
      <w:numFmt w:val="chineseCounting"/>
      <w:suff w:val="nothing"/>
      <w:lvlText w:val="（%1）"/>
      <w:lvlJc w:val="left"/>
      <w:rPr>
        <w:rFonts w:hint="eastAsia"/>
      </w:rPr>
    </w:lvl>
  </w:abstractNum>
  <w:abstractNum w:abstractNumId="3">
    <w:nsid w:val="504C0732"/>
    <w:multiLevelType w:val="singleLevel"/>
    <w:tmpl w:val="504C0732"/>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MGEyYmEwNzFhMWE2YTBjZTY5NTZjMWU4OGVkYWYifQ=="/>
    <w:docVar w:name="KSO_WPS_MARK_KEY" w:val="0ee7d815-2f00-4552-8a69-20e963c2de23"/>
  </w:docVars>
  <w:rsids>
    <w:rsidRoot w:val="00F521AC"/>
    <w:rsid w:val="00005DF5"/>
    <w:rsid w:val="00026EDF"/>
    <w:rsid w:val="000907A7"/>
    <w:rsid w:val="000B10DA"/>
    <w:rsid w:val="000D2C50"/>
    <w:rsid w:val="000D35DF"/>
    <w:rsid w:val="000D6385"/>
    <w:rsid w:val="000E0C52"/>
    <w:rsid w:val="000E44B2"/>
    <w:rsid w:val="000F2261"/>
    <w:rsid w:val="001274A6"/>
    <w:rsid w:val="001477FB"/>
    <w:rsid w:val="001A6003"/>
    <w:rsid w:val="001D0882"/>
    <w:rsid w:val="001D59FA"/>
    <w:rsid w:val="001E757A"/>
    <w:rsid w:val="001F769E"/>
    <w:rsid w:val="002228C6"/>
    <w:rsid w:val="002319A0"/>
    <w:rsid w:val="00241C05"/>
    <w:rsid w:val="002908F0"/>
    <w:rsid w:val="002F390D"/>
    <w:rsid w:val="003B56A9"/>
    <w:rsid w:val="003C08FC"/>
    <w:rsid w:val="003D0A51"/>
    <w:rsid w:val="003F6FBE"/>
    <w:rsid w:val="00497775"/>
    <w:rsid w:val="004A175A"/>
    <w:rsid w:val="004E4D39"/>
    <w:rsid w:val="00532371"/>
    <w:rsid w:val="00557CE8"/>
    <w:rsid w:val="00564E7D"/>
    <w:rsid w:val="005725E6"/>
    <w:rsid w:val="005901A2"/>
    <w:rsid w:val="00595358"/>
    <w:rsid w:val="005961D8"/>
    <w:rsid w:val="005A5CEA"/>
    <w:rsid w:val="00604AE8"/>
    <w:rsid w:val="0066251B"/>
    <w:rsid w:val="0067543D"/>
    <w:rsid w:val="00682829"/>
    <w:rsid w:val="006C4524"/>
    <w:rsid w:val="00700961"/>
    <w:rsid w:val="00701987"/>
    <w:rsid w:val="00736EFE"/>
    <w:rsid w:val="007556ED"/>
    <w:rsid w:val="00773BC9"/>
    <w:rsid w:val="007928AF"/>
    <w:rsid w:val="008613DB"/>
    <w:rsid w:val="008671CE"/>
    <w:rsid w:val="008766B7"/>
    <w:rsid w:val="00893926"/>
    <w:rsid w:val="008F291E"/>
    <w:rsid w:val="00902843"/>
    <w:rsid w:val="00904DA1"/>
    <w:rsid w:val="00914A31"/>
    <w:rsid w:val="00942A92"/>
    <w:rsid w:val="009A306D"/>
    <w:rsid w:val="009A6E11"/>
    <w:rsid w:val="009C67E8"/>
    <w:rsid w:val="00A33916"/>
    <w:rsid w:val="00AA16BE"/>
    <w:rsid w:val="00AD105F"/>
    <w:rsid w:val="00AD574C"/>
    <w:rsid w:val="00B32B1E"/>
    <w:rsid w:val="00B735BC"/>
    <w:rsid w:val="00BC7F9A"/>
    <w:rsid w:val="00BF3858"/>
    <w:rsid w:val="00C111C8"/>
    <w:rsid w:val="00C473A5"/>
    <w:rsid w:val="00CE7209"/>
    <w:rsid w:val="00D41F2D"/>
    <w:rsid w:val="00D7081E"/>
    <w:rsid w:val="00DB2C5A"/>
    <w:rsid w:val="00DC0295"/>
    <w:rsid w:val="00DC5AFB"/>
    <w:rsid w:val="00DF1BBB"/>
    <w:rsid w:val="00E60FCA"/>
    <w:rsid w:val="00EA1E6B"/>
    <w:rsid w:val="00EB2748"/>
    <w:rsid w:val="00F521AC"/>
    <w:rsid w:val="00F74B28"/>
    <w:rsid w:val="00F86472"/>
    <w:rsid w:val="027E75CB"/>
    <w:rsid w:val="02AC2ED8"/>
    <w:rsid w:val="12027489"/>
    <w:rsid w:val="1ABF75DD"/>
    <w:rsid w:val="1B32070E"/>
    <w:rsid w:val="21DE1912"/>
    <w:rsid w:val="29933C3E"/>
    <w:rsid w:val="2A6D1036"/>
    <w:rsid w:val="2A952A67"/>
    <w:rsid w:val="30DF318F"/>
    <w:rsid w:val="35CD46D8"/>
    <w:rsid w:val="3A972975"/>
    <w:rsid w:val="3C12626D"/>
    <w:rsid w:val="4233680D"/>
    <w:rsid w:val="46EF7542"/>
    <w:rsid w:val="46FF659E"/>
    <w:rsid w:val="4E105DDD"/>
    <w:rsid w:val="4FCF119A"/>
    <w:rsid w:val="69D15A9E"/>
    <w:rsid w:val="6AD16123"/>
    <w:rsid w:val="6B320379"/>
    <w:rsid w:val="6F282265"/>
    <w:rsid w:val="79BA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3"/>
    <w:unhideWhenUsed/>
    <w:qFormat/>
    <w:uiPriority w:val="0"/>
    <w:pPr>
      <w:ind w:firstLine="588" w:firstLineChars="200"/>
    </w:pPr>
    <w:rPr>
      <w:rFonts w:ascii="仿宋_GB2312" w:hAnsi="Calibri" w:eastAsia="仿宋_GB2312" w:cs="Times New Roman"/>
      <w:sz w:val="32"/>
      <w:szCs w:val="24"/>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qFormat/>
    <w:uiPriority w:val="0"/>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qFormat/>
    <w:uiPriority w:val="0"/>
    <w:rPr>
      <w:sz w:val="18"/>
      <w:szCs w:val="18"/>
    </w:rPr>
  </w:style>
  <w:style w:type="character" w:customStyle="1" w:styleId="12">
    <w:name w:val="标题 3 Char Char"/>
    <w:qFormat/>
    <w:uiPriority w:val="0"/>
    <w:rPr>
      <w:rFonts w:eastAsia="楷体_GB2312"/>
      <w:b/>
      <w:kern w:val="2"/>
      <w:sz w:val="32"/>
      <w:szCs w:val="24"/>
      <w:lang w:val="en-US" w:eastAsia="zh-CN" w:bidi="ar-SA"/>
    </w:rPr>
  </w:style>
  <w:style w:type="character" w:customStyle="1" w:styleId="13">
    <w:name w:val="正文文本缩进 2 Char"/>
    <w:basedOn w:val="7"/>
    <w:link w:val="2"/>
    <w:qFormat/>
    <w:uiPriority w:val="0"/>
    <w:rPr>
      <w:rFonts w:ascii="仿宋_GB2312" w:hAnsi="Calibri" w:eastAsia="仿宋_GB2312" w:cs="Times New Roman"/>
      <w:sz w:val="32"/>
      <w:szCs w:val="24"/>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8899</Words>
  <Characters>9162</Characters>
  <Lines>19</Lines>
  <Paragraphs>5</Paragraphs>
  <TotalTime>10</TotalTime>
  <ScaleCrop>false</ScaleCrop>
  <LinksUpToDate>false</LinksUpToDate>
  <CharactersWithSpaces>10364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2020-06-02T01:49:00Z</dcterms:created>
  <dc:creator>lenvov</dc:creator>
  <cp:lastModifiedBy>十夜</cp:lastModifiedBy>
  <dcterms:modified xsi:type="dcterms:W3CDTF">2023-10-08T01:32:50Z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3B4EA697CB70412BA6152B7E939FEA5F</vt:lpwstr>
  </property>
</Properties>
</file>