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w:t>
      </w:r>
      <w:r>
        <w:rPr>
          <w:rFonts w:hint="eastAsia" w:eastAsia="方正小标宋简体"/>
          <w:bCs/>
          <w:sz w:val="46"/>
          <w:szCs w:val="46"/>
          <w:u w:val="single"/>
          <w:lang w:val="en-US" w:eastAsia="zh-CN"/>
        </w:rPr>
        <w:t>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lang w:eastAsia="zh-CN"/>
        </w:rPr>
        <w:t>岳阳城陵矶综合保税区管理委员会</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20</w:t>
      </w:r>
      <w:r>
        <w:rPr>
          <w:rFonts w:hint="eastAsia" w:eastAsia="仿宋_GB2312"/>
          <w:sz w:val="32"/>
        </w:rPr>
        <w:t>日</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卢姣</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18273881586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（二）组织参与编制岳阳城陵矶综合保税区中长期发展规划，拟定鼓励重点产业发展的财政扶持政策。</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（三）负责综合保税区招商引资有关工作；协助有关部门审核和批准管理范围内的外资和内资项目，指导和协调招商引资，对外经济技术合作与交流；协助有关部门处理区内有关涉外事务。</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（四）根据市人民政府授权或接受有关部门委托，负责协调区内与民航、海关、检验检疫、口岸、工商、税务、金融、知识产权等有关部门和公安等其他驻区单位的工作，为企业提供指导和服务。                                                                                       （五）负责区内基础设施的建设和维护管理工作。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（六）负责区内的综合、信息、统计及国有资产管理等工作。                                                                                                                                                                           （七）完成市委、市政府交办的其他事项。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400" w:lineRule="exact"/>
              <w:ind w:firstLine="474"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认真贯彻“三高四新”战略部署，助力岳阳“三区一中心”建设，加速将岳阳城陵矶综合保税区建成岳阳对外开放新高地和电子信息产业聚集区、金融服务创新引领区、外贸合作先行示范区。</w:t>
            </w:r>
          </w:p>
          <w:p>
            <w:pPr>
              <w:autoSpaceDN w:val="0"/>
              <w:spacing w:line="400" w:lineRule="exact"/>
              <w:ind w:firstLine="474"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1.以平台优势为着力点，推动高水平开放；</w:t>
            </w:r>
          </w:p>
          <w:p>
            <w:pPr>
              <w:autoSpaceDN w:val="0"/>
              <w:spacing w:line="400" w:lineRule="exact"/>
              <w:ind w:firstLine="474"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2.以产业项目为主攻点，推动高质量发展；</w:t>
            </w:r>
          </w:p>
          <w:p>
            <w:pPr>
              <w:autoSpaceDN w:val="0"/>
              <w:spacing w:line="400" w:lineRule="exact"/>
              <w:ind w:firstLine="474"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3.以金融支撑为发力点，推动高品质服务；</w:t>
            </w:r>
          </w:p>
          <w:p>
            <w:pPr>
              <w:autoSpaceDN w:val="0"/>
              <w:spacing w:line="400" w:lineRule="exact"/>
              <w:ind w:firstLine="474"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4.以创新驱动为突破点，推动高层次引领；</w:t>
            </w:r>
          </w:p>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5.以固本强基为切入点，推动高标准建设。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6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2021年，综保区在市委市政府的坚持领导下，在各级部门单位的帮助和支持下，在全体干部职工的共同努力下，深入贯彻落实“三高四新”战略和省域副中心城市建设要求，奋勇争先，迈上了新台阶，取得了新突破。围绕“三区一中心”建设和“95668”工作目标，真抓实干、主动求为，各项经济指标均实现较快增长，业绩持续排名全省7个海关特殊监管区第一。在2020年度综合保税区发展绩效评估工作中，城陵矶综保区排名全国134个综合保税区第47位，排名中西部地区（含东三省）55个综合保税区第12位，较上年度分别上升35位和11位，为全市乃至全省开放型经济高质量发展作出新的贡献，展示新的担当。</w:t>
            </w:r>
          </w:p>
          <w:p>
            <w:pPr>
              <w:autoSpaceDN w:val="0"/>
              <w:spacing w:line="360" w:lineRule="exact"/>
              <w:ind w:firstLine="474"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rPr>
              <w:t>一、坚持党建引领，激活了新动能。</w:t>
            </w:r>
            <w:r>
              <w:rPr>
                <w:rFonts w:hint="eastAsia" w:ascii="仿宋_GB2312" w:hAnsi="仿宋_GB2312" w:eastAsia="仿宋_GB2312" w:cs="仿宋_GB2312"/>
                <w:color w:val="000000"/>
                <w:sz w:val="24"/>
              </w:rPr>
              <w:t>以党建为引领，围绕主责主业，统筹推进疫情防控、项目建设、外贸业务、金融服务等各项工作。深入开展党史学习教育，不断强化党员的阵地意识和职责意识。特别是机关支部和观盛公司支部分别与省财政厅、省商务厅等相关处室开展联合主题党日活动，既丰富了党员活动，又联系了相关工作。积极开展工会和群团活动，在全市口岸系统和新港区举办的羽毛球赛、乒乓球赛、篮球赛中均取得优异的成绩，不但丰富了干部职工的文化生活，也凝聚了队伍。今年还提拔重用了4名信念坚定、廉洁务实的机关干部和4名业务精湛、敢于担当的平台企业员工走上了重要岗位，并通过招考，引进22名“985”“211”高校毕业生和研究生充实到外贸、财务、法务等岗位，园区干部资源配置得到进一步扩充和加强。</w:t>
            </w:r>
          </w:p>
          <w:p>
            <w:pPr>
              <w:autoSpaceDN w:val="0"/>
              <w:spacing w:line="360" w:lineRule="exact"/>
              <w:ind w:firstLine="474"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rPr>
              <w:t>二、突出目标导向，完成了新跨越。</w:t>
            </w:r>
            <w:r>
              <w:rPr>
                <w:rFonts w:hint="eastAsia" w:ascii="仿宋_GB2312" w:hAnsi="仿宋_GB2312" w:eastAsia="仿宋_GB2312" w:cs="仿宋_GB2312"/>
                <w:color w:val="000000"/>
                <w:sz w:val="24"/>
              </w:rPr>
              <w:t>围绕年初新港区党工委和综保区管委会制定的各项目标任务精准发力，圆满完成各项目标任务。全年园区完成GDP72亿元；实现技工贸总收入364亿元；规上企业32家，形成工业产值161.8亿元；上缴各类税收约22.59亿元（海关税收约19.72亿元，地方税收约2.87亿元）。全年共有汇川科技、中瑞3D打印、卂龙二、三、四期等24家项目签约落地，签约金额超过200亿元。完成进出口贸易额498.7亿元，总量和增幅排名全省海关特殊监管区第一，助力全市进出口总量首次突破600亿元大关。总投资6 亿元的中非工贸产业园（一期）和总投资10亿元的鑫源链项目已全部建成投用。</w:t>
            </w:r>
          </w:p>
          <w:p>
            <w:pPr>
              <w:autoSpaceDN w:val="0"/>
              <w:spacing w:line="360" w:lineRule="exact"/>
              <w:ind w:firstLine="474"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lang w:eastAsia="zh-CN"/>
              </w:rPr>
              <w:t>三、</w:t>
            </w:r>
            <w:r>
              <w:rPr>
                <w:rFonts w:hint="eastAsia" w:ascii="黑体" w:hAnsi="黑体" w:eastAsia="黑体" w:cs="仿宋_GB2312"/>
                <w:color w:val="000000"/>
                <w:sz w:val="24"/>
              </w:rPr>
              <w:t>持续改革创新，实现了新开放</w:t>
            </w:r>
            <w:r>
              <w:rPr>
                <w:rFonts w:hint="eastAsia" w:ascii="仿宋_GB2312" w:hAnsi="仿宋_GB2312" w:eastAsia="仿宋_GB2312" w:cs="仿宋_GB2312"/>
                <w:color w:val="000000"/>
                <w:sz w:val="24"/>
              </w:rPr>
              <w:t>。成立了综保区投资决策委员会，进一步规范投资决策程序，加强国有资产管理。由观盛公司与湖南南粤基金管理有限公司共同出资2.55亿，成立全市首支市场化模式运作的汉图打印机专项基金，专项投资小米打印机项目，破解大项目、好项目推进不畅的困局。将不动产资源用好用活，实现将资源变资产、资产变资金，使综保区作为岳阳市REITs发行工作试点区域。观盛公司成功获批2021年燃料油非国营贸易进口企业。观盛公司、岳阳玉松食品有限公司作为试点企业，在城陵矶口岸开展仅用于食品加工的药食同源产品进口业务。通过与海关协调，在城陵矶港开展集装箱进口原木业务，并积极申报进境原木指定监管场地。全力扶持岳阳邦盛实业有限公司与上海华夏一号公司成立合资公司，并探索成立海外分公司，做大国内、国外两个粮食贸易市场。</w:t>
            </w:r>
          </w:p>
          <w:p>
            <w:pPr>
              <w:autoSpaceDN w:val="0"/>
              <w:spacing w:line="320" w:lineRule="exact"/>
              <w:ind w:firstLine="474"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lang w:eastAsia="zh-CN"/>
              </w:rPr>
              <w:t>四</w:t>
            </w:r>
            <w:r>
              <w:rPr>
                <w:rFonts w:hint="eastAsia" w:ascii="黑体" w:hAnsi="黑体" w:eastAsia="黑体" w:cs="仿宋_GB2312"/>
                <w:color w:val="000000"/>
                <w:sz w:val="24"/>
              </w:rPr>
              <w:t>、聚焦发展提升，开创了新局面。</w:t>
            </w:r>
            <w:r>
              <w:rPr>
                <w:rFonts w:hint="eastAsia" w:ascii="仿宋_GB2312" w:hAnsi="仿宋_GB2312" w:eastAsia="仿宋_GB2312" w:cs="仿宋_GB2312"/>
                <w:color w:val="000000"/>
                <w:sz w:val="24"/>
              </w:rPr>
              <w:t>与上海实业、上海国和成功组建运营规模达50亿元的产业引导基金，并通过“母基金+子基金”的模式，投资13亿元，与汉图科技、深兰科技、赛赫智能设备、谷夫科技、上海盐巴信息科技等5家科技含量高、发展前景好的企业联合在岳合作，建设总投资48亿元的高科技产业新项目。今年来获批新增授信41.12亿元，在22家银行累计获批授信214.12亿元，为园区企业提供外贸融资和供应链金融服务达到500亿元，带动银行现金流超1800亿元，极大降低企业财务成本。聚焦园区企业招工难、用工难，全年共为园区企业招聘20000人，入职近8000人，及时满足了多个企业用工需求，并与岳阳职业技术学院合作共同筹建岳阳自贸片区现代产业学院，切实解决园区人力资源需求和企业专项人才需要。围绕“五好园区”建设目标，全力抓好园区基础设施和配套项目建设、园区管理、安全生产、企业服务及疫情防控等工作，园区的承载力和竞争力不断增强。区内企业君泰农业成功入选2021“三湘民营企业百强”榜单。</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1342.6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1235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1342.6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1342.6</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208.7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208.7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021年的工作任务是：深入贯彻落实“三高四新”战略和中央、省委、市委经济工作会议精神，围绕“十四五”总体发展目标，突出重点，打造亮点，实施“113355”工程。1个1即：力争长江经济带绿色发展产业基金成立运营，通过基金带动产业项目总投资不少于100亿元；3个3即：技工贸总收入突破300亿元、实现自营代理进出口营业额300亿元、综合税收30亿元；5个5即：实现进出口贸易总额500亿元、地区生产总值达到50亿元、一家投资过50亿元的项目建成投产、一家投资过50亿元的项目签约落地、新培育一家产值过50亿元的工业企业。</w:t>
            </w:r>
          </w:p>
        </w:tc>
        <w:tc>
          <w:tcPr>
            <w:tcW w:w="4585" w:type="dxa"/>
            <w:gridSpan w:val="9"/>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2021年园区完成GDP72亿元；实现技工贸总收入364亿元；规上企业32家，形成工业产值161.8亿元；上缴各类税收约22.59亿元（海关税收约19.72亿元，地方税收约2.87亿元）。全年共有汇川科技、中瑞3D打印、</w:t>
            </w:r>
            <w:r>
              <w:rPr>
                <w:rFonts w:hint="eastAsia" w:ascii="宋体" w:hAnsi="宋体" w:cs="宋体"/>
                <w:color w:val="000000"/>
                <w:sz w:val="24"/>
              </w:rPr>
              <w:t>卂</w:t>
            </w:r>
            <w:r>
              <w:rPr>
                <w:rFonts w:hint="eastAsia" w:ascii="仿宋_GB2312" w:hAnsi="仿宋_GB2312" w:eastAsia="仿宋_GB2312" w:cs="仿宋_GB2312"/>
                <w:color w:val="000000"/>
                <w:sz w:val="24"/>
              </w:rPr>
              <w:t>龙二、三、四期等24家项目签约落地，签约金额超过200亿元。完成进出口贸易额498.7亿元，总量和增幅排名湖南省海关特殊监管区第一。</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与上海实业、上海国和成功组建运营规模达50亿元的产业引导基金，并通过“母基金+子基金”的模式，投资13亿元，与汉图科技、深兰科技、赛赫智能设备、谷夫科技、上海盐巴信息科技等5家科技含量高、发展前景好的企业联合在岳合作，建设总投资48亿元的高科技产业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spacing w:line="300" w:lineRule="exact"/>
              <w:jc w:val="left"/>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简化通关流程，提高通关，</w:t>
            </w:r>
          </w:p>
          <w:p>
            <w:pPr>
              <w:spacing w:line="300" w:lineRule="exact"/>
              <w:jc w:val="left"/>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查验效率，缩减通关时间</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通关时效提升90%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基础设施日常维护达标率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kern w:val="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1.平行汽车进口≥2000台；</w:t>
            </w:r>
          </w:p>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2.原材料进出口≥500万吨；</w:t>
            </w:r>
          </w:p>
          <w:p>
            <w:pPr>
              <w:autoSpaceDN w:val="0"/>
              <w:spacing w:line="320" w:lineRule="exact"/>
              <w:jc w:val="left"/>
              <w:textAlignment w:val="center"/>
              <w:rPr>
                <w:rFonts w:ascii="仿宋_GB2312" w:hAnsi="宋体" w:eastAsia="仿宋_GB2312" w:cs="仿宋_GB2312"/>
                <w:color w:val="000000"/>
                <w:spacing w:val="-11"/>
                <w:sz w:val="22"/>
                <w:szCs w:val="22"/>
              </w:rPr>
            </w:pPr>
            <w:r>
              <w:rPr>
                <w:rFonts w:hint="eastAsia" w:ascii="仿宋_GB2312" w:hAnsi="宋体" w:eastAsia="仿宋_GB2312" w:cs="仿宋_GB2312"/>
                <w:color w:val="000000"/>
                <w:sz w:val="22"/>
                <w:szCs w:val="22"/>
              </w:rPr>
              <w:t>3.石化产品进出口≥3</w:t>
            </w:r>
            <w:r>
              <w:rPr>
                <w:rFonts w:hint="eastAsia" w:ascii="仿宋_GB2312" w:hAnsi="宋体" w:eastAsia="仿宋_GB2312" w:cs="仿宋_GB2312"/>
                <w:color w:val="000000"/>
                <w:spacing w:val="-11"/>
                <w:sz w:val="22"/>
                <w:szCs w:val="22"/>
              </w:rPr>
              <w:t>00万吨；</w:t>
            </w:r>
          </w:p>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4.木材进口≥130万方；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5.肉类进口≥13万吨。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kern w:val="0"/>
                <w:sz w:val="24"/>
              </w:rPr>
              <w:t>≥</w:t>
            </w:r>
            <w:r>
              <w:rPr>
                <w:rFonts w:hint="eastAsia" w:ascii="楷体_GB2312" w:eastAsia="楷体_GB2312"/>
                <w:bCs/>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宋体" w:eastAsia="仿宋_GB2312" w:cs="仿宋_GB2312"/>
                <w:color w:val="000000"/>
                <w:sz w:val="22"/>
                <w:szCs w:val="22"/>
              </w:rPr>
              <w:t>带动社会就业</w:t>
            </w:r>
          </w:p>
          <w:p>
            <w:pPr>
              <w:autoSpaceDN w:val="0"/>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仿宋_GB2312" w:eastAsia="仿宋_GB2312" w:cs="仿宋_GB2312"/>
                <w:color w:val="000000"/>
                <w:sz w:val="24"/>
              </w:rPr>
              <w:t>指标2：</w:t>
            </w:r>
            <w:r>
              <w:rPr>
                <w:rFonts w:hint="eastAsia" w:ascii="仿宋_GB2312" w:hAnsi="宋体" w:eastAsia="仿宋_GB2312" w:cs="仿宋_GB2312"/>
                <w:color w:val="000000"/>
                <w:sz w:val="22"/>
                <w:szCs w:val="22"/>
              </w:rPr>
              <w:t>促进地区经济发展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拉动周边地区就业，拉动地方税收</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解决就业2万人</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带动第三产业发展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w:t>
            </w:r>
            <w:r>
              <w:rPr>
                <w:rFonts w:hint="eastAsia" w:ascii="仿宋_GB2312" w:hAnsi="宋体" w:eastAsia="仿宋_GB2312" w:cs="仿宋_GB2312"/>
                <w:color w:val="000000"/>
                <w:sz w:val="22"/>
                <w:szCs w:val="22"/>
              </w:rPr>
              <w:t>社会公众满意度≥95%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宋体" w:eastAsia="仿宋_GB2312" w:cs="仿宋_GB2312"/>
                <w:color w:val="000000"/>
                <w:sz w:val="22"/>
                <w:szCs w:val="22"/>
              </w:rPr>
              <w:t>服务对象满意度≥95%</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宋振权</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管委会副主任（分管财务）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李宗阳</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卢姣</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1、单位人员情况</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w:t>
            </w:r>
            <w:r>
              <w:rPr>
                <w:rFonts w:hint="eastAsia" w:ascii="仿宋_GB2312" w:hAnsi="仿宋_GB2312" w:eastAsia="仿宋_GB2312" w:cs="仿宋_GB2312"/>
                <w:bCs/>
                <w:sz w:val="28"/>
                <w:szCs w:val="28"/>
                <w:lang w:eastAsia="zh-CN"/>
              </w:rPr>
              <w:t>城陵矶综合保税区管理委员会是</w:t>
            </w:r>
            <w:r>
              <w:rPr>
                <w:rFonts w:hint="eastAsia" w:ascii="仿宋_GB2312" w:hAnsi="仿宋_GB2312" w:eastAsia="仿宋_GB2312" w:cs="仿宋_GB2312"/>
                <w:bCs/>
                <w:sz w:val="28"/>
                <w:szCs w:val="28"/>
              </w:rPr>
              <w:t>市财政全额预算拨款</w:t>
            </w:r>
            <w:r>
              <w:rPr>
                <w:rFonts w:hint="eastAsia" w:ascii="仿宋_GB2312" w:hAnsi="仿宋_GB2312" w:eastAsia="仿宋_GB2312" w:cs="仿宋_GB2312"/>
                <w:bCs/>
                <w:sz w:val="28"/>
                <w:szCs w:val="28"/>
                <w:lang w:eastAsia="zh-CN"/>
              </w:rPr>
              <w:t>事业</w:t>
            </w:r>
            <w:r>
              <w:rPr>
                <w:rFonts w:hint="eastAsia" w:ascii="仿宋_GB2312" w:hAnsi="仿宋_GB2312" w:eastAsia="仿宋_GB2312" w:cs="仿宋_GB2312"/>
                <w:bCs/>
                <w:sz w:val="28"/>
                <w:szCs w:val="28"/>
              </w:rPr>
              <w:t>单位。20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年经编制部门核实，人员编制为</w:t>
            </w:r>
            <w:r>
              <w:rPr>
                <w:rFonts w:hint="eastAsia" w:ascii="仿宋_GB2312" w:hAnsi="仿宋_GB2312" w:eastAsia="仿宋_GB2312" w:cs="仿宋_GB2312"/>
                <w:bCs/>
                <w:color w:val="000000" w:themeColor="text1"/>
                <w:sz w:val="28"/>
                <w:szCs w:val="28"/>
                <w:lang w:val="en-US" w:eastAsia="zh-CN"/>
              </w:rPr>
              <w:t>25</w:t>
            </w:r>
            <w:r>
              <w:rPr>
                <w:rFonts w:hint="eastAsia" w:ascii="仿宋_GB2312" w:hAnsi="仿宋_GB2312" w:eastAsia="仿宋_GB2312" w:cs="仿宋_GB2312"/>
                <w:bCs/>
                <w:color w:val="000000" w:themeColor="text1"/>
                <w:sz w:val="28"/>
                <w:szCs w:val="28"/>
              </w:rPr>
              <w:t>人，实有人数为</w:t>
            </w:r>
            <w:r>
              <w:rPr>
                <w:rFonts w:hint="eastAsia" w:ascii="仿宋_GB2312" w:hAnsi="仿宋_GB2312" w:eastAsia="仿宋_GB2312" w:cs="仿宋_GB2312"/>
                <w:bCs/>
                <w:color w:val="000000" w:themeColor="text1"/>
                <w:sz w:val="28"/>
                <w:szCs w:val="28"/>
                <w:lang w:val="en-US" w:eastAsia="zh-CN"/>
              </w:rPr>
              <w:t>18</w:t>
            </w:r>
            <w:r>
              <w:rPr>
                <w:rFonts w:hint="eastAsia" w:ascii="仿宋_GB2312" w:hAnsi="仿宋_GB2312" w:eastAsia="仿宋_GB2312" w:cs="仿宋_GB2312"/>
                <w:bCs/>
                <w:color w:val="000000" w:themeColor="text1"/>
                <w:sz w:val="28"/>
                <w:szCs w:val="28"/>
              </w:rPr>
              <w:t>人</w:t>
            </w:r>
            <w:r>
              <w:rPr>
                <w:rFonts w:hint="eastAsia" w:ascii="仿宋_GB2312" w:hAnsi="仿宋_GB2312" w:eastAsia="仿宋_GB2312" w:cs="仿宋_GB2312"/>
                <w:bCs/>
                <w:sz w:val="28"/>
                <w:szCs w:val="28"/>
              </w:rPr>
              <w:t>，与财政预算人数相符。</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2、单位机构设置情况</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岳阳城陵矶综合保税区管理委员会内设机构</w:t>
            </w:r>
            <w:r>
              <w:rPr>
                <w:rFonts w:hint="eastAsia" w:ascii="仿宋_GB2312" w:hAnsi="仿宋_GB2312" w:eastAsia="仿宋_GB2312" w:cs="仿宋_GB2312"/>
                <w:bCs/>
                <w:sz w:val="28"/>
                <w:szCs w:val="28"/>
                <w:lang w:val="en-US" w:eastAsia="zh-CN"/>
              </w:rPr>
              <w:t>4个，分别为：经济发展局、企业服务局、口岸贸易局、办公室。</w:t>
            </w:r>
          </w:p>
          <w:p>
            <w:pPr>
              <w:keepNext w:val="0"/>
              <w:keepLines w:val="0"/>
              <w:numPr>
                <w:ilvl w:val="0"/>
                <w:numId w:val="0"/>
              </w:numPr>
              <w:suppressLineNumbers w:val="0"/>
              <w:spacing w:before="0" w:beforeAutospacing="0" w:after="0" w:afterAutospacing="0" w:line="400" w:lineRule="exact"/>
              <w:ind w:leftChars="0" w:right="0" w:righ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本年度重点工作计划</w:t>
            </w:r>
          </w:p>
          <w:p>
            <w:pPr>
              <w:numPr>
                <w:ilvl w:val="0"/>
                <w:numId w:val="0"/>
              </w:numPr>
              <w:spacing w:line="560" w:lineRule="exact"/>
              <w:ind w:firstLine="554"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2021年的工作任务是：深入贯彻落实“三高四新”战略和中央、省委、市委经济工作会议精神，围绕“十四五”总体发展目标，突出重点，打造亮点，实施“113355”工程。1个1即：力争长江经济带绿色发展产业基金成立运营，通过基金带动产业项目总投资不少于100亿元；3个3即：技工贸总收入突破300亿元、实现自营代理进出口营业额300亿元、综合税收30亿元；5个5即：实现进出口贸易总额500亿元、地区生产总值达到50亿元、一家投资过50亿元的项目建成投产、一家投资过50亿元的项目签约落地、新培育一家产值过50亿元的工业企业。</w:t>
            </w:r>
          </w:p>
          <w:p>
            <w:pPr>
              <w:numPr>
                <w:ilvl w:val="0"/>
                <w:numId w:val="0"/>
              </w:numPr>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部门（单位）整体支出规模、使用方向和主要内容、涉及范围等</w:t>
            </w:r>
          </w:p>
          <w:p>
            <w:pPr>
              <w:keepNext w:val="0"/>
              <w:keepLines w:val="0"/>
              <w:widowControl w:val="0"/>
              <w:numPr>
                <w:ilvl w:val="0"/>
                <w:numId w:val="0"/>
              </w:numPr>
              <w:suppressLineNumbers w:val="0"/>
              <w:spacing w:before="0" w:beforeAutospacing="0" w:after="0" w:afterAutospacing="0" w:line="560" w:lineRule="exact"/>
              <w:ind w:left="0" w:right="0" w:firstLine="554" w:firstLineChars="200"/>
              <w:jc w:val="both"/>
              <w:rPr>
                <w:rFonts w:hint="default" w:ascii="仿宋_GB2312" w:hAnsi="仿宋_GB2312" w:eastAsia="仿宋_GB2312" w:cs="仿宋_GB2312"/>
                <w:bCs/>
                <w:color w:val="auto"/>
                <w:sz w:val="28"/>
                <w:szCs w:val="28"/>
                <w:lang w:val="en-US"/>
              </w:rPr>
            </w:pPr>
            <w:r>
              <w:rPr>
                <w:rFonts w:hint="eastAsia" w:ascii="仿宋_GB2312" w:hAnsi="仿宋_GB2312" w:eastAsia="仿宋_GB2312" w:cs="仿宋_GB2312"/>
                <w:bCs/>
                <w:color w:val="auto"/>
                <w:sz w:val="28"/>
                <w:szCs w:val="28"/>
                <w:lang w:val="en-US" w:eastAsia="zh-CN"/>
              </w:rPr>
              <w:t xml:space="preserve"> 2021年，全年整体支出合计数为1342.6万元，其中海关辅助系统平台驻场运维服务费支出238万元；综保区及海关运营经费1104.6万元。</w:t>
            </w:r>
          </w:p>
          <w:p>
            <w:pPr>
              <w:spacing w:line="560" w:lineRule="exact"/>
              <w:ind w:firstLine="554" w:firstLineChars="200"/>
              <w:rPr>
                <w:rFonts w:ascii="仿宋_GB2312" w:hAnsi="仿宋_GB2312" w:eastAsia="仿宋_GB2312" w:cs="仿宋_GB2312"/>
                <w:bCs/>
                <w:color w:val="auto"/>
                <w:sz w:val="28"/>
                <w:szCs w:val="28"/>
              </w:rPr>
            </w:pPr>
            <w:r>
              <w:rPr>
                <w:rFonts w:hint="eastAsia" w:ascii="黑体" w:hAnsi="黑体" w:eastAsia="黑体" w:cs="黑体"/>
                <w:bCs/>
                <w:color w:val="auto"/>
                <w:sz w:val="28"/>
                <w:szCs w:val="28"/>
              </w:rPr>
              <w:t>二、部门（单位）整体支出管理及使用情况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54"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eastAsia="zh-CN"/>
              </w:rPr>
              <w:t>全年</w:t>
            </w:r>
            <w:r>
              <w:rPr>
                <w:rFonts w:hint="eastAsia" w:ascii="仿宋_GB2312" w:hAnsi="仿宋_GB2312" w:eastAsia="仿宋_GB2312" w:cs="仿宋_GB2312"/>
                <w:bCs/>
                <w:sz w:val="28"/>
                <w:szCs w:val="28"/>
              </w:rPr>
              <w:t>整体支出</w:t>
            </w:r>
            <w:r>
              <w:rPr>
                <w:rFonts w:hint="eastAsia" w:ascii="仿宋_GB2312" w:hAnsi="仿宋_GB2312" w:eastAsia="仿宋_GB2312" w:cs="仿宋_GB2312"/>
                <w:bCs/>
                <w:sz w:val="28"/>
                <w:szCs w:val="28"/>
                <w:lang w:val="en-US" w:eastAsia="zh-CN"/>
              </w:rPr>
              <w:t>1342.6</w:t>
            </w:r>
            <w:r>
              <w:rPr>
                <w:rFonts w:hint="eastAsia" w:ascii="仿宋_GB2312" w:hAnsi="仿宋_GB2312" w:eastAsia="仿宋_GB2312" w:cs="仿宋_GB2312"/>
                <w:bCs/>
                <w:sz w:val="28"/>
                <w:szCs w:val="28"/>
              </w:rPr>
              <w:t>万元，其中：</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276" w:leftChars="0" w:right="0" w:firstLine="548" w:firstLineChars="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海关辅助系统平台驻场运维服务费</w:t>
            </w:r>
            <w:r>
              <w:rPr>
                <w:rFonts w:hint="eastAsia" w:ascii="仿宋_GB2312" w:hAnsi="仿宋_GB2312" w:eastAsia="仿宋_GB2312" w:cs="仿宋_GB2312"/>
                <w:bCs/>
                <w:sz w:val="28"/>
                <w:szCs w:val="28"/>
                <w:lang w:val="en-US" w:eastAsia="zh-CN"/>
              </w:rPr>
              <w:t>238万元，占总支出的17.73%；</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276" w:leftChars="0" w:right="0" w:firstLine="548" w:firstLineChars="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综保区及海关运营经费1104.6万元，占总支出的82.27%。</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554"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全年整体支出情况基本符合财政相关规定，按照财政部门要求以及单位内部制定的相关流程进行审签报账。建立健全了专项资金管理制度，成立了相应的组织管理机构，明确了专项资金申报程序、申报要求、管理制度、考核机制等制度。严格按照预算科目的规定专款专用，保障单位整体支出趋于规范化、制度化。</w:t>
            </w:r>
          </w:p>
          <w:p>
            <w:pPr>
              <w:spacing w:line="560" w:lineRule="exact"/>
              <w:ind w:firstLine="554" w:firstLineChars="200"/>
              <w:rPr>
                <w:rFonts w:ascii="黑体" w:hAnsi="黑体" w:eastAsia="黑体" w:cs="黑体"/>
                <w:bCs/>
                <w:color w:val="auto"/>
                <w:sz w:val="28"/>
                <w:szCs w:val="28"/>
              </w:rPr>
            </w:pPr>
            <w:r>
              <w:rPr>
                <w:rFonts w:hint="eastAsia" w:ascii="黑体" w:hAnsi="黑体" w:eastAsia="黑体" w:cs="黑体"/>
                <w:bCs/>
                <w:color w:val="auto"/>
                <w:sz w:val="28"/>
                <w:szCs w:val="28"/>
              </w:rPr>
              <w:t>三、部门（单位）专项组织实施情况</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2021年全年项目支出</w:t>
            </w:r>
            <w:r>
              <w:rPr>
                <w:rFonts w:hint="eastAsia" w:ascii="仿宋_GB2312" w:hAnsi="仿宋_GB2312" w:eastAsia="仿宋_GB2312" w:cs="仿宋_GB2312"/>
                <w:bCs/>
                <w:color w:val="auto"/>
                <w:sz w:val="28"/>
                <w:szCs w:val="28"/>
              </w:rPr>
              <w:t>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w:t>
            </w:r>
          </w:p>
          <w:p>
            <w:pPr>
              <w:numPr>
                <w:ilvl w:val="0"/>
                <w:numId w:val="2"/>
              </w:numPr>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部门（单位）整体支出绩效情况</w:t>
            </w:r>
          </w:p>
          <w:p>
            <w:pPr>
              <w:spacing w:line="500" w:lineRule="exact"/>
              <w:ind w:firstLine="554"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2021年，根据年初工作规划和重点工作安排，围绕市委、市政府的工作部署，积极履行职责，强化管理，较好地完成了年度工作目标。同时，通过预算收支的管理、建立内部规章制度、严格规范管理流程等一系列措施，单位年度整体支出管理得到有效提升。具体绩效情况如下：</w:t>
            </w:r>
          </w:p>
          <w:p>
            <w:pPr>
              <w:spacing w:line="500" w:lineRule="exact"/>
              <w:ind w:firstLine="554"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（一）严格按照年初预算来执行，有效防止了超预算；认真学习财经法规，严格执行财经纪律，防止了违法违纪行为的发生；</w:t>
            </w:r>
          </w:p>
          <w:p>
            <w:pPr>
              <w:spacing w:line="500" w:lineRule="exact"/>
              <w:ind w:firstLine="554"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（二）严格按照厉行节约的要求，精打细算，规范机关事务管理工作，提高服务质量，降低运行成本，合理配置，提高保障能力。保障了干部待遇按政策发放落实。</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color w:val="auto"/>
                <w:sz w:val="28"/>
                <w:szCs w:val="28"/>
              </w:rPr>
              <w:t>（三）认真贯彻落实从严治党各项要求，始终坚持把纪律规矩挺在最前面。全面贯彻落实习近平新时代中国特色社会主义思想和党的十九大精神，深化推进党风廉政建设和反腐败工作纵深发展。通过前述对我部门整体支出情况的分析，反映出目前在整体支出的预算编制、执行和管理过程中，依然存在一些问题和不足：因部分工作不可预见性，有些支出无法纳入预算，导致预算执行存在偏差。针对这些不足，我</w:t>
            </w:r>
            <w:r>
              <w:rPr>
                <w:rFonts w:hint="eastAsia" w:ascii="仿宋_GB2312" w:hAnsi="仿宋_GB2312" w:eastAsia="仿宋_GB2312" w:cs="仿宋_GB2312"/>
                <w:bCs/>
                <w:color w:val="auto"/>
                <w:sz w:val="28"/>
                <w:szCs w:val="28"/>
                <w:lang w:eastAsia="zh-CN"/>
              </w:rPr>
              <w:t>单位</w:t>
            </w:r>
            <w:r>
              <w:rPr>
                <w:rFonts w:hint="eastAsia" w:ascii="仿宋_GB2312" w:hAnsi="仿宋_GB2312" w:eastAsia="仿宋_GB2312" w:cs="仿宋_GB2312"/>
                <w:bCs/>
                <w:color w:val="auto"/>
                <w:sz w:val="28"/>
                <w:szCs w:val="28"/>
              </w:rPr>
              <w:t>将积极采取改进措施，持续改进，不断规范和</w:t>
            </w:r>
            <w:r>
              <w:rPr>
                <w:rFonts w:hint="eastAsia" w:ascii="仿宋_GB2312" w:hAnsi="仿宋_GB2312" w:eastAsia="仿宋_GB2312" w:cs="仿宋_GB2312"/>
                <w:bCs/>
                <w:sz w:val="28"/>
                <w:szCs w:val="28"/>
              </w:rPr>
              <w:t>强化管理。</w:t>
            </w:r>
          </w:p>
          <w:p>
            <w:pPr>
              <w:spacing w:line="560" w:lineRule="exact"/>
              <w:ind w:firstLine="554"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54" w:firstLineChars="200"/>
              <w:rPr>
                <w:rFonts w:hint="eastAsia" w:ascii="黑体" w:hAnsi="黑体" w:eastAsia="黑体" w:cs="黑体"/>
                <w:bCs/>
                <w:sz w:val="28"/>
                <w:szCs w:val="28"/>
              </w:rPr>
            </w:pPr>
            <w:r>
              <w:rPr>
                <w:rFonts w:hint="eastAsia" w:ascii="仿宋_GB2312" w:hAnsi="仿宋_GB2312" w:eastAsia="仿宋_GB2312" w:cs="仿宋_GB2312"/>
                <w:bCs/>
                <w:sz w:val="28"/>
                <w:szCs w:val="28"/>
              </w:rPr>
              <w:t>预算编制与实际支出项目存在差异，预算编制有待更严格的执行。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00" w:lineRule="exact"/>
              <w:ind w:firstLine="554" w:firstLineChars="200"/>
            </w:pPr>
            <w:r>
              <w:rPr>
                <w:rFonts w:hint="eastAsia" w:ascii="仿宋_GB2312" w:hAnsi="仿宋_GB2312" w:eastAsia="仿宋_GB2312" w:cs="仿宋_GB2312"/>
                <w:bCs/>
                <w:sz w:val="28"/>
                <w:szCs w:val="28"/>
              </w:rPr>
              <w:t>1.科学合理编制预算，严格执行预算。要按照《预算法》及其实施条例的相关规定，参考上一年的预算执行情况和年度的收支预测科学编制预算，避免年中大幅追加以及超预算。同时严格预算执行，提高资金使用效率。</w:t>
            </w:r>
          </w:p>
          <w:p>
            <w:pPr>
              <w:ind w:firstLine="554" w:firstLineChars="200"/>
              <w:rPr>
                <w:rFonts w:eastAsia="楷体_GB2312"/>
                <w:bCs/>
                <w:sz w:val="28"/>
                <w:szCs w:val="28"/>
              </w:rPr>
            </w:pPr>
            <w:r>
              <w:rPr>
                <w:rFonts w:hint="eastAsia" w:ascii="仿宋_GB2312" w:hAnsi="仿宋_GB2312" w:eastAsia="仿宋_GB2312" w:cs="仿宋_GB2312"/>
                <w:bCs/>
                <w:sz w:val="28"/>
                <w:szCs w:val="28"/>
              </w:rPr>
              <w:t>2.加强机关单位人员的教育培训，增加人员流动，增强单位人员活力，将单位的各项工作落到实处。</w:t>
            </w:r>
          </w:p>
        </w:tc>
      </w:tr>
    </w:tbl>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76"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项目经费</w:t>
      </w:r>
    </w:p>
    <w:p>
      <w:pPr>
        <w:spacing w:beforeLines="50" w:line="760" w:lineRule="exact"/>
        <w:ind w:firstLine="476" w:firstLineChars="150"/>
        <w:rPr>
          <w:rFonts w:hint="eastAsia" w:eastAsia="仿宋_GB2312"/>
          <w:sz w:val="32"/>
          <w:lang w:eastAsia="zh-CN"/>
        </w:rPr>
      </w:pPr>
      <w:r>
        <w:rPr>
          <w:rFonts w:hint="eastAsia" w:eastAsia="仿宋_GB2312"/>
          <w:sz w:val="32"/>
        </w:rPr>
        <w:t>项目单位：</w:t>
      </w:r>
      <w:r>
        <w:rPr>
          <w:rFonts w:hint="eastAsia" w:eastAsia="仿宋_GB2312"/>
          <w:sz w:val="32"/>
          <w:lang w:eastAsia="zh-CN"/>
        </w:rPr>
        <w:t>岳阳城陵矶综合保税区管理委员会</w:t>
      </w:r>
    </w:p>
    <w:p>
      <w:pPr>
        <w:spacing w:beforeLines="50" w:line="760" w:lineRule="exact"/>
        <w:ind w:firstLine="476" w:firstLineChars="150"/>
        <w:rPr>
          <w:rFonts w:eastAsia="仿宋_GB2312"/>
          <w:sz w:val="32"/>
          <w:u w:val="single"/>
        </w:rPr>
      </w:pPr>
      <w:r>
        <w:rPr>
          <w:rFonts w:hint="eastAsia" w:eastAsia="仿宋_GB2312"/>
          <w:sz w:val="32"/>
        </w:rPr>
        <w:t>主管部门：</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20</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339"/>
        <w:gridCol w:w="1579"/>
        <w:gridCol w:w="22"/>
        <w:gridCol w:w="392"/>
        <w:gridCol w:w="536"/>
        <w:gridCol w:w="711"/>
        <w:gridCol w:w="406"/>
        <w:gridCol w:w="579"/>
        <w:gridCol w:w="896"/>
        <w:gridCol w:w="116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470" w:type="dxa"/>
            <w:gridSpan w:val="6"/>
            <w:vAlign w:val="center"/>
          </w:tcPr>
          <w:p>
            <w:pPr>
              <w:rPr>
                <w:rFonts w:hint="eastAsia" w:eastAsia="仿宋_GB2312"/>
                <w:sz w:val="24"/>
                <w:lang w:eastAsia="zh-CN"/>
              </w:rPr>
            </w:pPr>
            <w:r>
              <w:rPr>
                <w:rFonts w:hint="eastAsia" w:eastAsia="仿宋_GB2312"/>
                <w:sz w:val="24"/>
                <w:lang w:eastAsia="zh-CN"/>
              </w:rPr>
              <w:t>李宗阳</w:t>
            </w:r>
          </w:p>
        </w:tc>
        <w:tc>
          <w:tcPr>
            <w:tcW w:w="111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13908401788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470" w:type="dxa"/>
            <w:gridSpan w:val="6"/>
            <w:vAlign w:val="center"/>
          </w:tcPr>
          <w:p>
            <w:pPr>
              <w:rPr>
                <w:rFonts w:hint="eastAsia" w:eastAsia="仿宋_GB2312"/>
                <w:sz w:val="24"/>
                <w:lang w:eastAsia="zh-CN"/>
              </w:rPr>
            </w:pPr>
            <w:r>
              <w:rPr>
                <w:rFonts w:hint="eastAsia" w:eastAsia="仿宋_GB2312"/>
                <w:sz w:val="24"/>
                <w:lang w:eastAsia="zh-CN"/>
              </w:rPr>
              <w:t>岳阳市云溪区通关服务中心</w:t>
            </w:r>
          </w:p>
        </w:tc>
        <w:tc>
          <w:tcPr>
            <w:tcW w:w="111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76" w:firstLineChars="496"/>
              <w:rPr>
                <w:rFonts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941"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1342.6</w:t>
            </w:r>
          </w:p>
        </w:tc>
        <w:tc>
          <w:tcPr>
            <w:tcW w:w="157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5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1342.6</w:t>
            </w:r>
          </w:p>
        </w:tc>
        <w:tc>
          <w:tcPr>
            <w:tcW w:w="169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896"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1342.6</w:t>
            </w:r>
          </w:p>
        </w:tc>
        <w:tc>
          <w:tcPr>
            <w:tcW w:w="1162"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941" w:type="dxa"/>
            <w:gridSpan w:val="2"/>
            <w:tcBorders>
              <w:bottom w:val="single" w:color="auto" w:sz="4" w:space="0"/>
            </w:tcBorders>
            <w:vAlign w:val="center"/>
          </w:tcPr>
          <w:p>
            <w:pPr>
              <w:rPr>
                <w:rFonts w:eastAsia="仿宋_GB2312"/>
                <w:spacing w:val="-6"/>
                <w:sz w:val="24"/>
              </w:rPr>
            </w:pPr>
          </w:p>
        </w:tc>
        <w:tc>
          <w:tcPr>
            <w:tcW w:w="157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950" w:type="dxa"/>
            <w:gridSpan w:val="3"/>
            <w:tcBorders>
              <w:bottom w:val="single" w:color="auto" w:sz="4" w:space="0"/>
            </w:tcBorders>
            <w:vAlign w:val="center"/>
          </w:tcPr>
          <w:p>
            <w:pPr>
              <w:rPr>
                <w:rFonts w:eastAsia="仿宋_GB2312"/>
                <w:spacing w:val="-6"/>
                <w:sz w:val="24"/>
              </w:rPr>
            </w:pPr>
          </w:p>
        </w:tc>
        <w:tc>
          <w:tcPr>
            <w:tcW w:w="169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96" w:type="dxa"/>
            <w:tcBorders>
              <w:bottom w:val="single" w:color="auto" w:sz="4" w:space="0"/>
            </w:tcBorders>
            <w:vAlign w:val="center"/>
          </w:tcPr>
          <w:p>
            <w:pPr>
              <w:rPr>
                <w:rFonts w:eastAsia="仿宋_GB2312"/>
                <w:spacing w:val="-6"/>
                <w:sz w:val="24"/>
              </w:rPr>
            </w:pPr>
          </w:p>
        </w:tc>
        <w:tc>
          <w:tcPr>
            <w:tcW w:w="1162"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941" w:type="dxa"/>
            <w:gridSpan w:val="2"/>
            <w:tcBorders>
              <w:bottom w:val="single" w:color="auto" w:sz="4" w:space="0"/>
            </w:tcBorders>
            <w:vAlign w:val="center"/>
          </w:tcPr>
          <w:p>
            <w:pPr>
              <w:rPr>
                <w:rFonts w:eastAsia="仿宋_GB2312"/>
                <w:sz w:val="24"/>
              </w:rPr>
            </w:pPr>
          </w:p>
        </w:tc>
        <w:tc>
          <w:tcPr>
            <w:tcW w:w="1579" w:type="dxa"/>
            <w:tcBorders>
              <w:bottom w:val="single" w:color="auto" w:sz="4" w:space="0"/>
            </w:tcBorders>
            <w:vAlign w:val="center"/>
          </w:tcPr>
          <w:p>
            <w:pPr>
              <w:rPr>
                <w:rFonts w:eastAsia="仿宋_GB2312"/>
                <w:sz w:val="24"/>
              </w:rPr>
            </w:pPr>
            <w:r>
              <w:rPr>
                <w:rFonts w:hint="eastAsia" w:eastAsia="仿宋_GB2312"/>
                <w:sz w:val="24"/>
              </w:rPr>
              <w:t>省财政</w:t>
            </w:r>
          </w:p>
        </w:tc>
        <w:tc>
          <w:tcPr>
            <w:tcW w:w="950" w:type="dxa"/>
            <w:gridSpan w:val="3"/>
            <w:tcBorders>
              <w:bottom w:val="single" w:color="auto" w:sz="4" w:space="0"/>
            </w:tcBorders>
            <w:vAlign w:val="center"/>
          </w:tcPr>
          <w:p>
            <w:pPr>
              <w:rPr>
                <w:rFonts w:eastAsia="仿宋_GB2312"/>
                <w:sz w:val="24"/>
              </w:rPr>
            </w:pPr>
          </w:p>
        </w:tc>
        <w:tc>
          <w:tcPr>
            <w:tcW w:w="169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896" w:type="dxa"/>
            <w:tcBorders>
              <w:bottom w:val="single" w:color="auto" w:sz="4" w:space="0"/>
            </w:tcBorders>
            <w:vAlign w:val="center"/>
          </w:tcPr>
          <w:p>
            <w:pPr>
              <w:rPr>
                <w:rFonts w:eastAsia="仿宋_GB2312"/>
                <w:sz w:val="24"/>
              </w:rPr>
            </w:pPr>
          </w:p>
        </w:tc>
        <w:tc>
          <w:tcPr>
            <w:tcW w:w="1162"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941" w:type="dxa"/>
            <w:gridSpan w:val="2"/>
            <w:tcBorders>
              <w:bottom w:val="single" w:color="auto" w:sz="4" w:space="0"/>
            </w:tcBorders>
            <w:vAlign w:val="center"/>
          </w:tcPr>
          <w:p>
            <w:pPr>
              <w:rPr>
                <w:rFonts w:eastAsia="仿宋_GB2312"/>
                <w:sz w:val="24"/>
              </w:rPr>
            </w:pPr>
          </w:p>
        </w:tc>
        <w:tc>
          <w:tcPr>
            <w:tcW w:w="1579" w:type="dxa"/>
            <w:tcBorders>
              <w:bottom w:val="single" w:color="auto" w:sz="4" w:space="0"/>
            </w:tcBorders>
            <w:vAlign w:val="center"/>
          </w:tcPr>
          <w:p>
            <w:pPr>
              <w:rPr>
                <w:rFonts w:eastAsia="仿宋_GB2312"/>
                <w:sz w:val="24"/>
              </w:rPr>
            </w:pPr>
            <w:r>
              <w:rPr>
                <w:rFonts w:hint="eastAsia" w:eastAsia="仿宋_GB2312"/>
                <w:sz w:val="24"/>
              </w:rPr>
              <w:t>市财政</w:t>
            </w:r>
          </w:p>
        </w:tc>
        <w:tc>
          <w:tcPr>
            <w:tcW w:w="950" w:type="dxa"/>
            <w:gridSpan w:val="3"/>
            <w:tcBorders>
              <w:bottom w:val="single" w:color="auto" w:sz="4" w:space="0"/>
            </w:tcBorders>
            <w:vAlign w:val="center"/>
          </w:tcPr>
          <w:p>
            <w:pPr>
              <w:rPr>
                <w:rFonts w:eastAsia="仿宋_GB2312"/>
                <w:sz w:val="24"/>
              </w:rPr>
            </w:pPr>
          </w:p>
        </w:tc>
        <w:tc>
          <w:tcPr>
            <w:tcW w:w="169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896" w:type="dxa"/>
            <w:tcBorders>
              <w:bottom w:val="single" w:color="auto" w:sz="4" w:space="0"/>
            </w:tcBorders>
            <w:vAlign w:val="center"/>
          </w:tcPr>
          <w:p>
            <w:pPr>
              <w:rPr>
                <w:rFonts w:eastAsia="仿宋_GB2312"/>
                <w:sz w:val="24"/>
              </w:rPr>
            </w:pPr>
          </w:p>
        </w:tc>
        <w:tc>
          <w:tcPr>
            <w:tcW w:w="1162"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941"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1342.6</w:t>
            </w:r>
          </w:p>
        </w:tc>
        <w:tc>
          <w:tcPr>
            <w:tcW w:w="157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5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1342.6</w:t>
            </w:r>
          </w:p>
        </w:tc>
        <w:tc>
          <w:tcPr>
            <w:tcW w:w="169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896"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1342.6</w:t>
            </w:r>
          </w:p>
        </w:tc>
        <w:tc>
          <w:tcPr>
            <w:tcW w:w="1162"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941" w:type="dxa"/>
            <w:gridSpan w:val="2"/>
            <w:tcBorders>
              <w:bottom w:val="single" w:color="auto" w:sz="4" w:space="0"/>
            </w:tcBorders>
            <w:vAlign w:val="center"/>
          </w:tcPr>
          <w:p>
            <w:pPr>
              <w:rPr>
                <w:rFonts w:eastAsia="仿宋_GB2312"/>
                <w:sz w:val="24"/>
              </w:rPr>
            </w:pPr>
          </w:p>
        </w:tc>
        <w:tc>
          <w:tcPr>
            <w:tcW w:w="1579" w:type="dxa"/>
            <w:tcBorders>
              <w:bottom w:val="single" w:color="auto" w:sz="4" w:space="0"/>
            </w:tcBorders>
            <w:vAlign w:val="center"/>
          </w:tcPr>
          <w:p>
            <w:pPr>
              <w:rPr>
                <w:rFonts w:eastAsia="仿宋_GB2312"/>
                <w:sz w:val="24"/>
              </w:rPr>
            </w:pPr>
            <w:r>
              <w:rPr>
                <w:rFonts w:hint="eastAsia" w:eastAsia="仿宋_GB2312"/>
                <w:sz w:val="24"/>
              </w:rPr>
              <w:t>其它</w:t>
            </w:r>
          </w:p>
        </w:tc>
        <w:tc>
          <w:tcPr>
            <w:tcW w:w="950" w:type="dxa"/>
            <w:gridSpan w:val="3"/>
            <w:tcBorders>
              <w:bottom w:val="single" w:color="auto" w:sz="4" w:space="0"/>
            </w:tcBorders>
            <w:vAlign w:val="center"/>
          </w:tcPr>
          <w:p>
            <w:pPr>
              <w:rPr>
                <w:rFonts w:eastAsia="仿宋_GB2312"/>
                <w:sz w:val="24"/>
              </w:rPr>
            </w:pPr>
          </w:p>
        </w:tc>
        <w:tc>
          <w:tcPr>
            <w:tcW w:w="169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896" w:type="dxa"/>
            <w:tcBorders>
              <w:bottom w:val="single" w:color="auto" w:sz="4" w:space="0"/>
            </w:tcBorders>
            <w:vAlign w:val="center"/>
          </w:tcPr>
          <w:p>
            <w:pPr>
              <w:rPr>
                <w:rFonts w:eastAsia="仿宋_GB2312"/>
                <w:sz w:val="24"/>
              </w:rPr>
            </w:pPr>
          </w:p>
        </w:tc>
        <w:tc>
          <w:tcPr>
            <w:tcW w:w="1162"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60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624"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项目支出</w:t>
            </w:r>
          </w:p>
        </w:tc>
        <w:tc>
          <w:tcPr>
            <w:tcW w:w="160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1342.6</w:t>
            </w:r>
          </w:p>
        </w:tc>
        <w:tc>
          <w:tcPr>
            <w:tcW w:w="2624" w:type="dxa"/>
            <w:gridSpan w:val="5"/>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月3#-14#、16#、17#、19#-23#、28#-30#、2月3#-10#、18#-21#、24#、3月3#-10#、13#-17#、22#-25#、29#-33#、40#-42#、4月6#-13#、18#、25#-27#、5月3#、6#、7#、11#-15#、21#、6月2#-6#、16#-18#、7月1#-4#、6#-10#、18#-21#、23#-26#、29#、32#-33#、8月3#-5#、7#-14#、17#-20#、23#-24#、26#、9月1#、4#、7#-10#、12#-17#、10月7#-9#、12#、14#-16#、18#-20#、24#、26#、11月1#-4#、8#-10#、12#-14#、16#-21#、12月4#-5#、8#-10#、15#-19#、26#-32#、</w:t>
            </w:r>
          </w:p>
        </w:tc>
        <w:tc>
          <w:tcPr>
            <w:tcW w:w="275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601"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1342.6</w:t>
            </w:r>
          </w:p>
        </w:tc>
        <w:tc>
          <w:tcPr>
            <w:tcW w:w="2624" w:type="dxa"/>
            <w:gridSpan w:val="5"/>
            <w:tcBorders>
              <w:bottom w:val="single" w:color="auto" w:sz="4" w:space="0"/>
            </w:tcBorders>
            <w:vAlign w:val="center"/>
          </w:tcPr>
          <w:p>
            <w:pPr>
              <w:jc w:val="center"/>
              <w:rPr>
                <w:rFonts w:eastAsia="仿宋_GB2312"/>
                <w:b/>
                <w:sz w:val="24"/>
              </w:rPr>
            </w:pPr>
          </w:p>
        </w:tc>
        <w:tc>
          <w:tcPr>
            <w:tcW w:w="2754"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55"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75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355" w:type="dxa"/>
            <w:gridSpan w:val="10"/>
            <w:tcBorders>
              <w:bottom w:val="single" w:color="auto" w:sz="4" w:space="0"/>
            </w:tcBorders>
            <w:vAlign w:val="center"/>
          </w:tcPr>
          <w:p>
            <w:pPr>
              <w:jc w:val="center"/>
              <w:rPr>
                <w:rFonts w:eastAsia="仿宋_GB2312"/>
                <w:b/>
                <w:sz w:val="24"/>
              </w:rPr>
            </w:pPr>
            <w:r>
              <w:rPr>
                <w:rFonts w:hint="eastAsia" w:eastAsia="仿宋_GB2312"/>
                <w:b w:val="0"/>
                <w:bCs/>
                <w:sz w:val="24"/>
              </w:rPr>
              <w:t>确保行政工作正常运行</w:t>
            </w:r>
          </w:p>
        </w:tc>
        <w:tc>
          <w:tcPr>
            <w:tcW w:w="2754" w:type="dxa"/>
            <w:gridSpan w:val="3"/>
            <w:tcBorders>
              <w:bottom w:val="single" w:color="auto" w:sz="4" w:space="0"/>
            </w:tcBorders>
            <w:vAlign w:val="center"/>
          </w:tcPr>
          <w:p>
            <w:pPr>
              <w:spacing w:line="400" w:lineRule="exact"/>
              <w:jc w:val="center"/>
              <w:rPr>
                <w:rFonts w:eastAsia="仿宋_GB2312"/>
                <w:b/>
                <w:sz w:val="24"/>
              </w:rPr>
            </w:pPr>
            <w:r>
              <w:rPr>
                <w:rFonts w:hint="eastAsia" w:eastAsia="仿宋_GB2312"/>
                <w:b w:val="0"/>
                <w:bCs/>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130" w:type="dxa"/>
            <w:gridSpan w:val="3"/>
            <w:vAlign w:val="center"/>
          </w:tcPr>
          <w:p>
            <w:pPr>
              <w:jc w:val="center"/>
              <w:rPr>
                <w:rFonts w:eastAsia="仿宋_GB2312"/>
                <w:sz w:val="24"/>
              </w:rPr>
            </w:pPr>
            <w:r>
              <w:rPr>
                <w:rFonts w:hint="eastAsia" w:eastAsia="仿宋_GB2312"/>
                <w:sz w:val="24"/>
              </w:rPr>
              <w:t>一级指标</w:t>
            </w:r>
          </w:p>
        </w:tc>
        <w:tc>
          <w:tcPr>
            <w:tcW w:w="160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639"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98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restart"/>
            <w:vAlign w:val="center"/>
          </w:tcPr>
          <w:p>
            <w:pPr>
              <w:jc w:val="center"/>
              <w:rPr>
                <w:rFonts w:eastAsia="仿宋_GB2312"/>
                <w:sz w:val="24"/>
              </w:rPr>
            </w:pPr>
            <w:r>
              <w:rPr>
                <w:rFonts w:hint="eastAsia" w:eastAsia="仿宋_GB2312"/>
                <w:sz w:val="24"/>
              </w:rPr>
              <w:t>项目产出指标</w:t>
            </w:r>
          </w:p>
        </w:tc>
        <w:tc>
          <w:tcPr>
            <w:tcW w:w="1601" w:type="dxa"/>
            <w:gridSpan w:val="2"/>
            <w:vAlign w:val="center"/>
          </w:tcPr>
          <w:p>
            <w:pPr>
              <w:spacing w:line="360" w:lineRule="exact"/>
              <w:jc w:val="center"/>
              <w:rPr>
                <w:rFonts w:eastAsia="仿宋_GB2312"/>
                <w:sz w:val="24"/>
              </w:rPr>
            </w:pPr>
            <w:r>
              <w:rPr>
                <w:rFonts w:hint="eastAsia" w:eastAsia="仿宋_GB2312"/>
                <w:sz w:val="24"/>
              </w:rPr>
              <w:t>数量指标</w:t>
            </w:r>
          </w:p>
        </w:tc>
        <w:tc>
          <w:tcPr>
            <w:tcW w:w="1639" w:type="dxa"/>
            <w:gridSpan w:val="3"/>
            <w:vAlign w:val="center"/>
          </w:tcPr>
          <w:p>
            <w:pPr>
              <w:spacing w:line="360" w:lineRule="exact"/>
              <w:jc w:val="center"/>
              <w:rPr>
                <w:rFonts w:eastAsia="仿宋_GB2312"/>
                <w:sz w:val="24"/>
              </w:rPr>
            </w:pPr>
            <w:r>
              <w:rPr>
                <w:rFonts w:hint="eastAsia" w:eastAsia="仿宋_GB2312"/>
                <w:sz w:val="24"/>
                <w:lang w:val="en-US" w:eastAsia="zh-CN"/>
              </w:rPr>
              <w:t>完成重点项目招商</w:t>
            </w:r>
          </w:p>
        </w:tc>
        <w:tc>
          <w:tcPr>
            <w:tcW w:w="985" w:type="dxa"/>
            <w:gridSpan w:val="2"/>
            <w:vAlign w:val="center"/>
          </w:tcPr>
          <w:p>
            <w:pPr>
              <w:jc w:val="center"/>
              <w:rPr>
                <w:rFonts w:eastAsia="仿宋_GB2312"/>
                <w:sz w:val="24"/>
              </w:rPr>
            </w:pPr>
            <w:r>
              <w:rPr>
                <w:rFonts w:hint="eastAsia" w:eastAsia="仿宋_GB2312"/>
                <w:color w:val="FF0000"/>
                <w:sz w:val="24"/>
                <w:lang w:val="en-US" w:eastAsia="zh-CN"/>
              </w:rPr>
              <w:t>引进2家重点</w:t>
            </w:r>
            <w:r>
              <w:rPr>
                <w:rFonts w:hint="eastAsia" w:eastAsia="仿宋_GB2312"/>
                <w:sz w:val="24"/>
                <w:lang w:val="en-US" w:eastAsia="zh-CN"/>
              </w:rPr>
              <w:t>项目</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质量指标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kern w:val="2"/>
                <w:sz w:val="24"/>
                <w:szCs w:val="22"/>
                <w:lang w:val="en-US" w:eastAsia="zh-CN" w:bidi="ar-SA"/>
              </w:rPr>
              <w:t>行政工作正常运行</w:t>
            </w:r>
          </w:p>
        </w:tc>
        <w:tc>
          <w:tcPr>
            <w:tcW w:w="985" w:type="dxa"/>
            <w:gridSpan w:val="2"/>
            <w:vAlign w:val="center"/>
          </w:tcPr>
          <w:p>
            <w:pPr>
              <w:jc w:val="center"/>
              <w:rPr>
                <w:rFonts w:eastAsia="仿宋_GB2312"/>
                <w:sz w:val="24"/>
              </w:rPr>
            </w:pPr>
            <w:r>
              <w:rPr>
                <w:rFonts w:hint="eastAsia" w:eastAsia="仿宋_GB2312"/>
                <w:sz w:val="24"/>
                <w:lang w:eastAsia="zh-CN"/>
              </w:rPr>
              <w:t>工作顺畅</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时效指标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kern w:val="2"/>
                <w:sz w:val="24"/>
                <w:szCs w:val="22"/>
                <w:lang w:val="en-US" w:eastAsia="zh-CN" w:bidi="ar-SA"/>
              </w:rPr>
              <w:t>2021年12月底完成</w:t>
            </w:r>
          </w:p>
        </w:tc>
        <w:tc>
          <w:tcPr>
            <w:tcW w:w="985" w:type="dxa"/>
            <w:gridSpan w:val="2"/>
            <w:vAlign w:val="center"/>
          </w:tcPr>
          <w:p>
            <w:pPr>
              <w:jc w:val="center"/>
              <w:rPr>
                <w:rFonts w:eastAsia="仿宋_GB2312"/>
                <w:sz w:val="24"/>
              </w:rPr>
            </w:pPr>
            <w:r>
              <w:rPr>
                <w:rFonts w:hint="eastAsia" w:ascii="仿宋_GB2312" w:hAnsi="仿宋_GB2312" w:eastAsia="仿宋_GB2312" w:cs="仿宋_GB2312"/>
                <w:color w:val="000000"/>
                <w:kern w:val="2"/>
                <w:sz w:val="24"/>
                <w:szCs w:val="22"/>
                <w:lang w:val="en-US" w:eastAsia="zh-CN" w:bidi="ar-SA"/>
              </w:rPr>
              <w:t>2021年12月底完成</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成本指标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kern w:val="2"/>
                <w:sz w:val="24"/>
                <w:szCs w:val="22"/>
                <w:lang w:val="en-US" w:eastAsia="zh-CN" w:bidi="ar-SA"/>
              </w:rPr>
              <w:t>控制在预算内</w:t>
            </w:r>
          </w:p>
        </w:tc>
        <w:tc>
          <w:tcPr>
            <w:tcW w:w="985" w:type="dxa"/>
            <w:gridSpan w:val="2"/>
            <w:vAlign w:val="center"/>
          </w:tcPr>
          <w:p>
            <w:pPr>
              <w:jc w:val="center"/>
              <w:rPr>
                <w:rFonts w:eastAsia="仿宋_GB2312"/>
                <w:sz w:val="24"/>
              </w:rPr>
            </w:pPr>
            <w:r>
              <w:rPr>
                <w:rFonts w:hint="eastAsia" w:eastAsia="仿宋_GB2312"/>
                <w:sz w:val="24"/>
                <w:lang w:eastAsia="zh-CN"/>
              </w:rPr>
              <w:t>预算内</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restart"/>
            <w:vAlign w:val="center"/>
          </w:tcPr>
          <w:p>
            <w:pPr>
              <w:jc w:val="center"/>
              <w:rPr>
                <w:rFonts w:eastAsia="仿宋_GB2312"/>
                <w:sz w:val="24"/>
              </w:rPr>
            </w:pPr>
            <w:r>
              <w:rPr>
                <w:rFonts w:hint="eastAsia" w:eastAsia="仿宋_GB2312"/>
                <w:sz w:val="24"/>
              </w:rPr>
              <w:t>项目效益指标</w:t>
            </w:r>
          </w:p>
        </w:tc>
        <w:tc>
          <w:tcPr>
            <w:tcW w:w="1601" w:type="dxa"/>
            <w:gridSpan w:val="2"/>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kern w:val="2"/>
                <w:sz w:val="24"/>
                <w:szCs w:val="22"/>
                <w:lang w:val="en-US" w:eastAsia="zh-CN" w:bidi="ar-SA"/>
              </w:rPr>
              <w:t>进出口贸易额</w:t>
            </w:r>
          </w:p>
        </w:tc>
        <w:tc>
          <w:tcPr>
            <w:tcW w:w="985" w:type="dxa"/>
            <w:gridSpan w:val="2"/>
            <w:vAlign w:val="center"/>
          </w:tcPr>
          <w:p>
            <w:pPr>
              <w:jc w:val="center"/>
              <w:rPr>
                <w:rFonts w:eastAsia="仿宋_GB2312"/>
                <w:sz w:val="24"/>
              </w:rPr>
            </w:pPr>
            <w:r>
              <w:rPr>
                <w:rFonts w:hint="eastAsia" w:eastAsia="仿宋_GB2312"/>
                <w:color w:val="FF0000"/>
                <w:sz w:val="24"/>
                <w:lang w:val="en-US" w:eastAsia="zh-CN"/>
              </w:rPr>
              <w:t>100亿</w:t>
            </w:r>
          </w:p>
        </w:tc>
        <w:tc>
          <w:tcPr>
            <w:tcW w:w="275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sz w:val="24"/>
              </w:rPr>
              <w:t>促进地区经济发展，拉动周边地区就业，拉动地方税收</w:t>
            </w:r>
          </w:p>
        </w:tc>
        <w:tc>
          <w:tcPr>
            <w:tcW w:w="985" w:type="dxa"/>
            <w:gridSpan w:val="2"/>
            <w:vAlign w:val="center"/>
          </w:tcPr>
          <w:p>
            <w:pPr>
              <w:jc w:val="center"/>
              <w:rPr>
                <w:rFonts w:eastAsia="仿宋_GB2312"/>
                <w:sz w:val="24"/>
              </w:rPr>
            </w:pPr>
            <w:r>
              <w:rPr>
                <w:rFonts w:hint="eastAsia" w:ascii="仿宋_GB2312" w:hAnsi="仿宋_GB2312" w:eastAsia="仿宋_GB2312" w:cs="仿宋_GB2312"/>
                <w:color w:val="FF0000"/>
                <w:sz w:val="24"/>
                <w:highlight w:val="none"/>
                <w:lang w:val="en-US" w:eastAsia="zh-CN"/>
              </w:rPr>
              <w:t>解决就业</w:t>
            </w:r>
            <w:r>
              <w:rPr>
                <w:rFonts w:hint="eastAsia" w:ascii="仿宋_GB2312" w:hAnsi="仿宋_GB2312" w:eastAsia="仿宋_GB2312" w:cs="仿宋_GB2312"/>
                <w:color w:val="FF0000"/>
                <w:sz w:val="24"/>
                <w:highlight w:val="none"/>
                <w:lang w:eastAsia="zh-CN"/>
              </w:rPr>
              <w:t>≥</w:t>
            </w:r>
            <w:r>
              <w:rPr>
                <w:rFonts w:hint="eastAsia" w:ascii="仿宋_GB2312" w:hAnsi="仿宋_GB2312" w:eastAsia="仿宋_GB2312" w:cs="仿宋_GB2312"/>
                <w:color w:val="FF0000"/>
                <w:sz w:val="24"/>
                <w:highlight w:val="none"/>
                <w:lang w:val="en-US" w:eastAsia="zh-CN"/>
              </w:rPr>
              <w:t>3万人</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sz w:val="24"/>
              </w:rPr>
              <w:t>土地资源、水资源、电力等资源能得到最大化利用</w:t>
            </w:r>
          </w:p>
        </w:tc>
        <w:tc>
          <w:tcPr>
            <w:tcW w:w="9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打造低碳节能循环的产业</w:t>
            </w:r>
          </w:p>
          <w:p>
            <w:pPr>
              <w:jc w:val="center"/>
              <w:rPr>
                <w:rFonts w:eastAsia="仿宋_GB2312"/>
                <w:sz w:val="24"/>
              </w:rPr>
            </w:pPr>
            <w:r>
              <w:rPr>
                <w:rFonts w:hint="eastAsia" w:ascii="仿宋_GB2312" w:hAnsi="仿宋_GB2312" w:eastAsia="仿宋_GB2312" w:cs="仿宋_GB2312"/>
                <w:color w:val="000000"/>
                <w:sz w:val="24"/>
                <w:lang w:eastAsia="zh-CN"/>
              </w:rPr>
              <w:t>体系</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1130" w:type="dxa"/>
            <w:gridSpan w:val="3"/>
            <w:vMerge w:val="continue"/>
            <w:vAlign w:val="center"/>
          </w:tcPr>
          <w:p>
            <w:pPr>
              <w:jc w:val="center"/>
              <w:rPr>
                <w:rFonts w:eastAsia="仿宋_GB2312"/>
                <w:sz w:val="24"/>
              </w:rPr>
            </w:pPr>
          </w:p>
        </w:tc>
        <w:tc>
          <w:tcPr>
            <w:tcW w:w="160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639" w:type="dxa"/>
            <w:gridSpan w:val="3"/>
            <w:vAlign w:val="center"/>
          </w:tcPr>
          <w:p>
            <w:pPr>
              <w:spacing w:line="360" w:lineRule="exact"/>
              <w:jc w:val="center"/>
              <w:rPr>
                <w:rFonts w:eastAsia="仿宋_GB2312"/>
                <w:sz w:val="24"/>
              </w:rPr>
            </w:pPr>
            <w:r>
              <w:rPr>
                <w:rFonts w:hint="eastAsia" w:ascii="仿宋_GB2312" w:hAnsi="仿宋_GB2312" w:eastAsia="仿宋_GB2312" w:cs="仿宋_GB2312"/>
                <w:color w:val="000000"/>
                <w:sz w:val="24"/>
                <w:lang w:eastAsia="zh-CN"/>
              </w:rPr>
              <w:t>社会公众满意</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pacing w:val="-23"/>
                <w:sz w:val="24"/>
                <w:lang w:eastAsia="zh-CN"/>
              </w:rPr>
              <w:t>服务对象满意度</w:t>
            </w:r>
          </w:p>
        </w:tc>
        <w:tc>
          <w:tcPr>
            <w:tcW w:w="985" w:type="dxa"/>
            <w:gridSpan w:val="2"/>
            <w:vAlign w:val="center"/>
          </w:tcPr>
          <w:p>
            <w:pPr>
              <w:jc w:val="center"/>
              <w:rPr>
                <w:rFonts w:eastAsia="仿宋_GB2312"/>
                <w:sz w:val="24"/>
              </w:rPr>
            </w:pPr>
            <w:r>
              <w:rPr>
                <w:rFonts w:hint="eastAsia" w:ascii="仿宋_GB2312" w:hAnsi="仿宋_GB2312" w:eastAsia="仿宋_GB2312" w:cs="仿宋_GB2312"/>
                <w:color w:val="000000"/>
                <w:sz w:val="24"/>
                <w:lang w:eastAsia="zh-CN"/>
              </w:rPr>
              <w:t>满意度≥</w:t>
            </w:r>
            <w:r>
              <w:rPr>
                <w:rFonts w:hint="eastAsia" w:ascii="仿宋_GB2312" w:hAnsi="仿宋_GB2312" w:eastAsia="仿宋_GB2312" w:cs="仿宋_GB2312"/>
                <w:color w:val="000000"/>
                <w:sz w:val="24"/>
                <w:lang w:val="en-US" w:eastAsia="zh-CN"/>
              </w:rPr>
              <w:t>95%</w:t>
            </w:r>
          </w:p>
        </w:tc>
        <w:tc>
          <w:tcPr>
            <w:tcW w:w="2754"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3"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6979"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3"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6979"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2232" w:type="dxa"/>
            <w:gridSpan w:val="4"/>
            <w:vAlign w:val="center"/>
          </w:tcPr>
          <w:p>
            <w:pPr>
              <w:jc w:val="center"/>
              <w:rPr>
                <w:rFonts w:eastAsia="仿宋_GB2312"/>
                <w:sz w:val="24"/>
              </w:rPr>
            </w:pPr>
            <w:r>
              <w:rPr>
                <w:rFonts w:hint="eastAsia" w:eastAsia="仿宋_GB2312"/>
                <w:sz w:val="24"/>
              </w:rPr>
              <w:t>单  位</w:t>
            </w:r>
          </w:p>
        </w:tc>
        <w:tc>
          <w:tcPr>
            <w:tcW w:w="2754"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val="en-US" w:eastAsia="zh-CN"/>
              </w:rPr>
            </w:pPr>
            <w:r>
              <w:rPr>
                <w:rFonts w:hint="eastAsia" w:eastAsia="仿宋_GB2312"/>
                <w:sz w:val="24"/>
                <w:lang w:val="en-US" w:eastAsia="zh-CN"/>
              </w:rPr>
              <w:t>宋振权</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eastAsia="zh-CN"/>
              </w:rPr>
              <w:t>管委会副主任（分管财务）</w:t>
            </w:r>
          </w:p>
        </w:tc>
        <w:tc>
          <w:tcPr>
            <w:tcW w:w="2232" w:type="dxa"/>
            <w:gridSpan w:val="4"/>
            <w:vAlign w:val="center"/>
          </w:tcPr>
          <w:p>
            <w:pPr>
              <w:rPr>
                <w:rFonts w:eastAsia="仿宋_GB2312"/>
                <w:sz w:val="24"/>
              </w:rPr>
            </w:pPr>
          </w:p>
        </w:tc>
        <w:tc>
          <w:tcPr>
            <w:tcW w:w="275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李宗阳</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办公室主任</w:t>
            </w:r>
          </w:p>
        </w:tc>
        <w:tc>
          <w:tcPr>
            <w:tcW w:w="2232" w:type="dxa"/>
            <w:gridSpan w:val="4"/>
            <w:vAlign w:val="center"/>
          </w:tcPr>
          <w:p>
            <w:pPr>
              <w:rPr>
                <w:rFonts w:eastAsia="仿宋_GB2312"/>
                <w:sz w:val="24"/>
              </w:rPr>
            </w:pPr>
          </w:p>
        </w:tc>
        <w:tc>
          <w:tcPr>
            <w:tcW w:w="275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卢姣</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办公室科员</w:t>
            </w:r>
          </w:p>
        </w:tc>
        <w:tc>
          <w:tcPr>
            <w:tcW w:w="2232" w:type="dxa"/>
            <w:gridSpan w:val="4"/>
            <w:vAlign w:val="center"/>
          </w:tcPr>
          <w:p>
            <w:pPr>
              <w:rPr>
                <w:rFonts w:eastAsia="仿宋_GB2312"/>
                <w:sz w:val="24"/>
              </w:rPr>
            </w:pPr>
          </w:p>
        </w:tc>
        <w:tc>
          <w:tcPr>
            <w:tcW w:w="275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34" w:firstLineChars="200"/>
              <w:rPr>
                <w:rFonts w:eastAsia="仿宋_GB2312"/>
                <w:sz w:val="32"/>
                <w:szCs w:val="32"/>
              </w:rPr>
            </w:pPr>
          </w:p>
          <w:p>
            <w:pPr>
              <w:numPr>
                <w:ilvl w:val="0"/>
                <w:numId w:val="0"/>
              </w:numPr>
              <w:spacing w:line="560" w:lineRule="exact"/>
              <w:ind w:left="618"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一、项目基本概况</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1、单位人员情况</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w:t>
            </w:r>
            <w:r>
              <w:rPr>
                <w:rFonts w:hint="eastAsia" w:ascii="仿宋_GB2312" w:hAnsi="仿宋_GB2312" w:eastAsia="仿宋_GB2312" w:cs="仿宋_GB2312"/>
                <w:bCs/>
                <w:sz w:val="28"/>
                <w:szCs w:val="28"/>
                <w:lang w:eastAsia="zh-CN"/>
              </w:rPr>
              <w:t>城陵矶综合保税区管理委员会是</w:t>
            </w:r>
            <w:r>
              <w:rPr>
                <w:rFonts w:hint="eastAsia" w:ascii="仿宋_GB2312" w:hAnsi="仿宋_GB2312" w:eastAsia="仿宋_GB2312" w:cs="仿宋_GB2312"/>
                <w:bCs/>
                <w:sz w:val="28"/>
                <w:szCs w:val="28"/>
              </w:rPr>
              <w:t>市财政全额预算拨款</w:t>
            </w:r>
            <w:r>
              <w:rPr>
                <w:rFonts w:hint="eastAsia" w:ascii="仿宋_GB2312" w:hAnsi="仿宋_GB2312" w:eastAsia="仿宋_GB2312" w:cs="仿宋_GB2312"/>
                <w:bCs/>
                <w:sz w:val="28"/>
                <w:szCs w:val="28"/>
                <w:lang w:eastAsia="zh-CN"/>
              </w:rPr>
              <w:t>事业</w:t>
            </w:r>
            <w:r>
              <w:rPr>
                <w:rFonts w:hint="eastAsia" w:ascii="仿宋_GB2312" w:hAnsi="仿宋_GB2312" w:eastAsia="仿宋_GB2312" w:cs="仿宋_GB2312"/>
                <w:bCs/>
                <w:sz w:val="28"/>
                <w:szCs w:val="28"/>
              </w:rPr>
              <w:t>单位。2019年经编制部门核实，人员编制为</w:t>
            </w:r>
            <w:r>
              <w:rPr>
                <w:rFonts w:hint="eastAsia" w:ascii="仿宋_GB2312" w:hAnsi="仿宋_GB2312" w:eastAsia="仿宋_GB2312" w:cs="仿宋_GB2312"/>
                <w:bCs/>
                <w:color w:val="000000" w:themeColor="text1"/>
                <w:sz w:val="28"/>
                <w:szCs w:val="28"/>
                <w:lang w:val="en-US" w:eastAsia="zh-CN"/>
              </w:rPr>
              <w:t>25</w:t>
            </w:r>
            <w:r>
              <w:rPr>
                <w:rFonts w:hint="eastAsia" w:ascii="仿宋_GB2312" w:hAnsi="仿宋_GB2312" w:eastAsia="仿宋_GB2312" w:cs="仿宋_GB2312"/>
                <w:bCs/>
                <w:color w:val="000000" w:themeColor="text1"/>
                <w:sz w:val="28"/>
                <w:szCs w:val="28"/>
              </w:rPr>
              <w:t>人，实有人数为</w:t>
            </w:r>
            <w:r>
              <w:rPr>
                <w:rFonts w:hint="eastAsia" w:ascii="仿宋_GB2312" w:hAnsi="仿宋_GB2312" w:eastAsia="仿宋_GB2312" w:cs="仿宋_GB2312"/>
                <w:bCs/>
                <w:color w:val="000000" w:themeColor="text1"/>
                <w:sz w:val="28"/>
                <w:szCs w:val="28"/>
                <w:lang w:val="en-US" w:eastAsia="zh-CN"/>
              </w:rPr>
              <w:t>18</w:t>
            </w:r>
            <w:r>
              <w:rPr>
                <w:rFonts w:hint="eastAsia" w:ascii="仿宋_GB2312" w:hAnsi="仿宋_GB2312" w:eastAsia="仿宋_GB2312" w:cs="仿宋_GB2312"/>
                <w:bCs/>
                <w:color w:val="000000" w:themeColor="text1"/>
                <w:sz w:val="28"/>
                <w:szCs w:val="28"/>
              </w:rPr>
              <w:t>人</w:t>
            </w:r>
            <w:r>
              <w:rPr>
                <w:rFonts w:hint="eastAsia" w:ascii="仿宋_GB2312" w:hAnsi="仿宋_GB2312" w:eastAsia="仿宋_GB2312" w:cs="仿宋_GB2312"/>
                <w:bCs/>
                <w:sz w:val="28"/>
                <w:szCs w:val="28"/>
              </w:rPr>
              <w:t>，与财政预算人数相符。</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2、单位机构设置情况</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岳阳城陵矶综合保税区管理委员会内设机构</w:t>
            </w:r>
            <w:r>
              <w:rPr>
                <w:rFonts w:hint="eastAsia" w:ascii="仿宋_GB2312" w:hAnsi="仿宋_GB2312" w:eastAsia="仿宋_GB2312" w:cs="仿宋_GB2312"/>
                <w:bCs/>
                <w:sz w:val="28"/>
                <w:szCs w:val="28"/>
                <w:lang w:val="en-US" w:eastAsia="zh-CN"/>
              </w:rPr>
              <w:t>4个，分别为：经济发展局、企业服务局、口岸贸易局、办公室。</w:t>
            </w:r>
          </w:p>
          <w:p>
            <w:pPr>
              <w:keepNext w:val="0"/>
              <w:keepLines w:val="0"/>
              <w:numPr>
                <w:ilvl w:val="0"/>
                <w:numId w:val="0"/>
              </w:numPr>
              <w:suppressLineNumbers w:val="0"/>
              <w:spacing w:before="0" w:beforeAutospacing="0" w:after="0" w:afterAutospacing="0" w:line="400" w:lineRule="exact"/>
              <w:ind w:leftChars="0" w:right="0" w:righ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本年度重点工作计划</w:t>
            </w:r>
          </w:p>
          <w:p>
            <w:pPr>
              <w:numPr>
                <w:ilvl w:val="0"/>
                <w:numId w:val="0"/>
              </w:numPr>
              <w:spacing w:line="560" w:lineRule="exact"/>
              <w:ind w:firstLine="554"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2021年的工作任务是：深入贯彻落实“三高四新”战略和中央、省委、市委经济工作会议精神，围绕“十四五”总体发展目标，突出重点，打造亮点，实施“113355”工程。1个1即：力争长江经济带绿色发展产业基金成立运营，通过基金带动产业项目总投资不少于100亿元；3个3即：技工贸总收入突破300亿元、实现自营代理进出口营业额300亿元、综合税收30亿元；5个5即：实现进出口贸易总额500亿元、地区生产总值达到50亿元、一家投资过50亿元的项目建成投产、一家投资过50亿元的项目签约落地、新培育一家产值过50亿元的工业企业。</w:t>
            </w:r>
          </w:p>
          <w:p>
            <w:pPr>
              <w:numPr>
                <w:ilvl w:val="0"/>
                <w:numId w:val="0"/>
              </w:numPr>
              <w:spacing w:line="560" w:lineRule="exact"/>
              <w:ind w:left="618"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二、项目资金使用及管理情况</w:t>
            </w:r>
          </w:p>
          <w:p>
            <w:pPr>
              <w:keepNext w:val="0"/>
              <w:keepLines w:val="0"/>
              <w:widowControl w:val="0"/>
              <w:numPr>
                <w:ilvl w:val="0"/>
                <w:numId w:val="0"/>
              </w:numPr>
              <w:suppressLineNumbers w:val="0"/>
              <w:spacing w:before="0" w:beforeAutospacing="0" w:after="0" w:afterAutospacing="0" w:line="560" w:lineRule="exact"/>
              <w:ind w:left="0" w:right="0" w:firstLine="554"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2021年项目经费支出1342.6万元，</w:t>
            </w:r>
            <w:r>
              <w:rPr>
                <w:rFonts w:hint="eastAsia" w:ascii="仿宋_GB2312" w:hAnsi="仿宋_GB2312" w:eastAsia="仿宋_GB2312" w:cs="仿宋_GB2312"/>
                <w:bCs/>
                <w:color w:val="auto"/>
                <w:sz w:val="28"/>
                <w:szCs w:val="28"/>
                <w:lang w:val="en-US" w:eastAsia="zh-CN"/>
              </w:rPr>
              <w:t>其中海关辅助系统平台驻场运维服务费支出238万元；综保区及海关运营经费1104.6万元</w:t>
            </w:r>
            <w:r>
              <w:rPr>
                <w:rFonts w:hint="eastAsia" w:ascii="仿宋_GB2312" w:hAnsi="仿宋_GB2312" w:eastAsia="仿宋_GB2312" w:cs="仿宋_GB2312"/>
                <w:bCs/>
                <w:sz w:val="28"/>
                <w:szCs w:val="28"/>
                <w:lang w:val="en-US" w:eastAsia="zh-CN"/>
              </w:rPr>
              <w:t>。</w:t>
            </w:r>
          </w:p>
          <w:p>
            <w:pPr>
              <w:keepNext w:val="0"/>
              <w:keepLines w:val="0"/>
              <w:suppressLineNumbers w:val="0"/>
              <w:spacing w:before="0" w:beforeAutospacing="0" w:after="0" w:afterAutospacing="0" w:line="400" w:lineRule="exact"/>
              <w:ind w:right="0" w:firstLine="554"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全年整体支出情况基本符合财政相关规定，按照财政部门要求以及单位内部制定的相关流程进行审签报账。建立健全了专项资金管理制度，成立了相应的组织管理机构，明确了专项资金申报程序、申报要求、管理制度、考核机制等制度。严格按照预算科目的规定专款专用，保障单位整体支出趋于规范化、制度化。</w:t>
            </w:r>
          </w:p>
          <w:p>
            <w:pPr>
              <w:numPr>
                <w:ilvl w:val="0"/>
                <w:numId w:val="0"/>
              </w:numPr>
              <w:spacing w:line="560" w:lineRule="exact"/>
              <w:ind w:left="618"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三、项目组织实施情况</w:t>
            </w:r>
          </w:p>
          <w:p>
            <w:pPr>
              <w:keepNext w:val="0"/>
              <w:keepLines w:val="0"/>
              <w:suppressLineNumbers w:val="0"/>
              <w:spacing w:before="0" w:beforeAutospacing="0" w:after="0" w:afterAutospacing="0" w:line="400" w:lineRule="exact"/>
              <w:ind w:right="0" w:firstLine="594" w:firstLineChars="200"/>
              <w:rPr>
                <w:rFonts w:ascii="仿宋_GB2312" w:hAnsi="仿宋_GB2312" w:eastAsia="仿宋_GB2312" w:cs="仿宋_GB2312"/>
                <w:bCs/>
                <w:sz w:val="28"/>
                <w:szCs w:val="28"/>
              </w:rPr>
            </w:pPr>
            <w:r>
              <w:rPr>
                <w:rFonts w:hint="eastAsia" w:eastAsia="仿宋_GB2312"/>
                <w:sz w:val="30"/>
                <w:szCs w:val="30"/>
                <w:lang w:val="en-US" w:eastAsia="zh-CN"/>
              </w:rPr>
              <w:t>2021</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项目经费</w:t>
            </w:r>
            <w:r>
              <w:rPr>
                <w:rFonts w:hint="eastAsia" w:ascii="仿宋_GB2312" w:hAnsi="仿宋_GB2312" w:eastAsia="仿宋_GB2312" w:cs="仿宋_GB2312"/>
                <w:bCs/>
                <w:sz w:val="28"/>
                <w:szCs w:val="28"/>
              </w:rPr>
              <w:t>支出</w:t>
            </w:r>
            <w:r>
              <w:rPr>
                <w:rFonts w:hint="eastAsia" w:ascii="仿宋_GB2312" w:hAnsi="仿宋_GB2312" w:eastAsia="仿宋_GB2312" w:cs="仿宋_GB2312"/>
                <w:bCs/>
                <w:sz w:val="28"/>
                <w:szCs w:val="28"/>
                <w:lang w:val="en-US" w:eastAsia="zh-CN"/>
              </w:rPr>
              <w:t>1342.6</w:t>
            </w:r>
            <w:r>
              <w:rPr>
                <w:rFonts w:hint="eastAsia" w:ascii="仿宋_GB2312" w:hAnsi="仿宋_GB2312" w:eastAsia="仿宋_GB2312" w:cs="仿宋_GB2312"/>
                <w:bCs/>
                <w:sz w:val="28"/>
                <w:szCs w:val="28"/>
              </w:rPr>
              <w:t>万元，其中：</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00" w:lineRule="exact"/>
              <w:ind w:left="548" w:leftChars="0" w:right="0" w:rightChars="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fldChar w:fldCharType="begin"/>
            </w:r>
            <w:r>
              <w:rPr>
                <w:rFonts w:hint="eastAsia" w:ascii="仿宋_GB2312" w:hAnsi="仿宋_GB2312" w:eastAsia="仿宋_GB2312" w:cs="仿宋_GB2312"/>
                <w:bCs/>
                <w:sz w:val="28"/>
                <w:szCs w:val="28"/>
                <w:lang w:eastAsia="zh-CN"/>
              </w:rPr>
              <w:instrText xml:space="preserve"> = 1 \* GB3 \* MERGEFORMAT </w:instrText>
            </w:r>
            <w:r>
              <w:rPr>
                <w:rFonts w:hint="eastAsia" w:ascii="仿宋_GB2312" w:hAnsi="仿宋_GB2312" w:eastAsia="仿宋_GB2312" w:cs="仿宋_GB2312"/>
                <w:bCs/>
                <w:sz w:val="28"/>
                <w:szCs w:val="28"/>
                <w:lang w:eastAsia="zh-CN"/>
              </w:rPr>
              <w:fldChar w:fldCharType="separate"/>
            </w:r>
            <w:r>
              <w:t>①</w:t>
            </w:r>
            <w:r>
              <w:rPr>
                <w:rFonts w:hint="eastAsia" w:ascii="仿宋_GB2312" w:hAnsi="仿宋_GB2312" w:eastAsia="仿宋_GB2312" w:cs="仿宋_GB2312"/>
                <w:bCs/>
                <w:sz w:val="28"/>
                <w:szCs w:val="28"/>
                <w:lang w:eastAsia="zh-CN"/>
              </w:rPr>
              <w:fldChar w:fldCharType="end"/>
            </w:r>
            <w:r>
              <w:rPr>
                <w:rFonts w:hint="eastAsia" w:ascii="仿宋_GB2312" w:hAnsi="仿宋_GB2312" w:eastAsia="仿宋_GB2312" w:cs="仿宋_GB2312"/>
                <w:bCs/>
                <w:sz w:val="28"/>
                <w:szCs w:val="28"/>
                <w:lang w:eastAsia="zh-CN"/>
              </w:rPr>
              <w:t>海关辅助系统平台驻场运维服务费</w:t>
            </w:r>
            <w:r>
              <w:rPr>
                <w:rFonts w:hint="eastAsia" w:ascii="仿宋_GB2312" w:hAnsi="仿宋_GB2312" w:eastAsia="仿宋_GB2312" w:cs="仿宋_GB2312"/>
                <w:bCs/>
                <w:sz w:val="28"/>
                <w:szCs w:val="28"/>
                <w:lang w:val="en-US" w:eastAsia="zh-CN"/>
              </w:rPr>
              <w:t>238万元，占总支出的17.73%；</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54"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fldChar w:fldCharType="begin"/>
            </w:r>
            <w:r>
              <w:rPr>
                <w:rFonts w:hint="eastAsia" w:ascii="仿宋_GB2312" w:hAnsi="仿宋_GB2312" w:eastAsia="仿宋_GB2312" w:cs="仿宋_GB2312"/>
                <w:bCs/>
                <w:sz w:val="28"/>
                <w:szCs w:val="28"/>
                <w:lang w:val="en-US" w:eastAsia="zh-CN"/>
              </w:rPr>
              <w:instrText xml:space="preserve"> = 2 \* GB3 \* MERGEFORMAT </w:instrText>
            </w:r>
            <w:r>
              <w:rPr>
                <w:rFonts w:hint="eastAsia" w:ascii="仿宋_GB2312" w:hAnsi="仿宋_GB2312" w:eastAsia="仿宋_GB2312" w:cs="仿宋_GB2312"/>
                <w:bCs/>
                <w:sz w:val="28"/>
                <w:szCs w:val="28"/>
                <w:lang w:val="en-US" w:eastAsia="zh-CN"/>
              </w:rPr>
              <w:fldChar w:fldCharType="separate"/>
            </w:r>
            <w:r>
              <w:t>②</w:t>
            </w:r>
            <w:r>
              <w:rPr>
                <w:rFonts w:hint="eastAsia" w:ascii="仿宋_GB2312" w:hAnsi="仿宋_GB2312" w:eastAsia="仿宋_GB2312" w:cs="仿宋_GB2312"/>
                <w:bCs/>
                <w:sz w:val="28"/>
                <w:szCs w:val="28"/>
                <w:lang w:val="en-US" w:eastAsia="zh-CN"/>
              </w:rPr>
              <w:fldChar w:fldCharType="end"/>
            </w:r>
            <w:r>
              <w:rPr>
                <w:rFonts w:hint="eastAsia" w:ascii="仿宋_GB2312" w:hAnsi="仿宋_GB2312" w:eastAsia="仿宋_GB2312" w:cs="仿宋_GB2312"/>
                <w:bCs/>
                <w:sz w:val="28"/>
                <w:szCs w:val="28"/>
                <w:lang w:val="en-US" w:eastAsia="zh-CN"/>
              </w:rPr>
              <w:t>综保区及海关运营经费1104.6万元，占总支出的82.27%。</w:t>
            </w:r>
          </w:p>
          <w:p>
            <w:pPr>
              <w:numPr>
                <w:ilvl w:val="0"/>
                <w:numId w:val="0"/>
              </w:numPr>
              <w:spacing w:line="560" w:lineRule="exact"/>
              <w:ind w:firstLine="634"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四、综合评价情况及评价结论</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2021年全年项目支出</w:t>
            </w:r>
            <w:r>
              <w:rPr>
                <w:rFonts w:hint="eastAsia" w:ascii="仿宋_GB2312" w:hAnsi="仿宋_GB2312" w:eastAsia="仿宋_GB2312" w:cs="仿宋_GB2312"/>
                <w:bCs/>
                <w:color w:val="auto"/>
                <w:sz w:val="28"/>
                <w:szCs w:val="28"/>
              </w:rPr>
              <w:t>严格按照国家财经法</w:t>
            </w:r>
            <w:bookmarkStart w:id="0" w:name="_GoBack"/>
            <w:bookmarkEnd w:id="0"/>
            <w:r>
              <w:rPr>
                <w:rFonts w:hint="eastAsia" w:ascii="仿宋_GB2312" w:hAnsi="仿宋_GB2312" w:eastAsia="仿宋_GB2312" w:cs="仿宋_GB2312"/>
                <w:bCs/>
                <w:color w:val="auto"/>
                <w:sz w:val="28"/>
                <w:szCs w:val="28"/>
              </w:rPr>
              <w:t>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w:t>
            </w:r>
          </w:p>
          <w:p>
            <w:pPr>
              <w:numPr>
                <w:ilvl w:val="0"/>
                <w:numId w:val="0"/>
              </w:numPr>
              <w:spacing w:line="560" w:lineRule="exact"/>
              <w:ind w:left="618"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五、项目主要绩效情况分析</w:t>
            </w:r>
          </w:p>
          <w:p>
            <w:pPr>
              <w:keepNext w:val="0"/>
              <w:keepLines w:val="0"/>
              <w:suppressLineNumbers w:val="0"/>
              <w:spacing w:before="0" w:beforeAutospacing="0" w:after="0" w:afterAutospacing="0" w:line="400" w:lineRule="exact"/>
              <w:ind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根据年初工作规划和重点工作安排，围绕市委、市政府的工作部署，积极履行职责，强化管理，较好地完成了年度工作目标。同时，通过预算收支的管理、建立内部规章制度、严格规范管理流程等一系列措施，单位年度整体支出管理得到有效提升。具体绩效情况如下：</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严格按照年初预算来执行，有效防止了超预算；认真学习财经法规，严格执行财经纪律，防止了违法违纪行为的发生；</w:t>
            </w:r>
          </w:p>
          <w:p>
            <w:pPr>
              <w:keepNext w:val="0"/>
              <w:keepLines w:val="0"/>
              <w:suppressLineNumbers w:val="0"/>
              <w:spacing w:before="0" w:beforeAutospacing="0" w:after="0" w:afterAutospacing="0" w:line="400" w:lineRule="exact"/>
              <w:ind w:left="0" w:right="0"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（二）、</w:t>
            </w:r>
            <w:r>
              <w:rPr>
                <w:rFonts w:hint="eastAsia" w:ascii="仿宋_GB2312" w:hAnsi="仿宋_GB2312" w:eastAsia="仿宋_GB2312" w:cs="仿宋_GB2312"/>
                <w:bCs/>
                <w:sz w:val="28"/>
                <w:szCs w:val="28"/>
              </w:rPr>
              <w:t>严格按照厉行节约的要求，精打细算，规范机关事务管理工作，提高服务质量，降低运行成本，合理配置，提高保障能力。保障了干部待遇按政策发放落实。</w:t>
            </w:r>
          </w:p>
          <w:p>
            <w:pPr>
              <w:keepNext w:val="0"/>
              <w:keepLines w:val="0"/>
              <w:suppressLineNumbers w:val="0"/>
              <w:spacing w:before="0" w:beforeAutospacing="0" w:after="0" w:afterAutospacing="0" w:line="400" w:lineRule="exact"/>
              <w:ind w:left="0" w:right="0" w:firstLine="554"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认真贯彻落实从严治党各项要求，始终坚持把纪律规矩挺在最前面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全面贯彻落实习近平新时代中国特色社会主义思想和党的十九大精神，深化推进党风廉政建设和反腐败工作纵深发展。</w:t>
            </w:r>
          </w:p>
          <w:p>
            <w:pPr>
              <w:numPr>
                <w:ilvl w:val="0"/>
                <w:numId w:val="0"/>
              </w:numPr>
              <w:spacing w:line="560" w:lineRule="exact"/>
              <w:ind w:left="618" w:leftChars="0"/>
              <w:rPr>
                <w:rFonts w:hint="eastAsia" w:ascii="黑体" w:hAnsi="黑体" w:eastAsia="黑体" w:cs="黑体"/>
                <w:sz w:val="32"/>
                <w:szCs w:val="32"/>
                <w:lang w:eastAsia="zh-CN"/>
              </w:rPr>
            </w:pPr>
            <w:r>
              <w:rPr>
                <w:rFonts w:hint="eastAsia" w:ascii="黑体" w:hAnsi="黑体" w:eastAsia="黑体" w:cs="黑体"/>
                <w:sz w:val="32"/>
                <w:szCs w:val="32"/>
                <w:lang w:eastAsia="zh-CN"/>
              </w:rPr>
              <w:t>六、主要经验及做法、存在问题和建议</w:t>
            </w:r>
          </w:p>
          <w:p>
            <w:pPr>
              <w:spacing w:line="560" w:lineRule="exact"/>
              <w:ind w:firstLine="554" w:firstLineChars="200"/>
              <w:rPr>
                <w:rFonts w:hint="eastAsia" w:eastAsia="仿宋_GB2312"/>
                <w:sz w:val="30"/>
                <w:szCs w:val="30"/>
              </w:rPr>
            </w:pPr>
            <w:r>
              <w:rPr>
                <w:rFonts w:hint="eastAsia" w:ascii="仿宋_GB2312" w:hAnsi="仿宋_GB2312" w:eastAsia="仿宋_GB2312" w:cs="仿宋_GB2312"/>
                <w:bCs/>
                <w:sz w:val="28"/>
                <w:szCs w:val="28"/>
              </w:rPr>
              <w:t>预算编制与实际支出项目存在差异，预算编制有待更严格的执行。</w:t>
            </w:r>
          </w:p>
          <w:p>
            <w:pPr>
              <w:rPr>
                <w:rFonts w:eastAsia="楷体_GB2312"/>
                <w:bCs/>
                <w:sz w:val="28"/>
                <w:szCs w:val="28"/>
              </w:rPr>
            </w:pPr>
          </w:p>
        </w:tc>
      </w:tr>
    </w:tbl>
    <w:p/>
    <w:p>
      <w:pPr>
        <w:rPr>
          <w:rFonts w:ascii="黑体" w:hAnsi="黑体" w:eastAsia="黑体"/>
          <w:sz w:val="32"/>
          <w:szCs w:val="32"/>
        </w:rPr>
      </w:pPr>
      <w:r>
        <w:rPr>
          <w:rFonts w:hint="eastAsia" w:ascii="黑体" w:hAnsi="黑体" w:eastAsia="黑体"/>
          <w:sz w:val="32"/>
          <w:szCs w:val="32"/>
        </w:rPr>
        <w:t>附件3-1</w:t>
      </w:r>
    </w:p>
    <w:p>
      <w:pPr>
        <w:spacing w:beforeLines="50" w:afterLines="5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8"/>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b/>
                <w:bCs/>
                <w:kern w:val="0"/>
                <w:sz w:val="24"/>
                <w:lang w:val="en-US" w:eastAsia="zh-CN"/>
              </w:rPr>
            </w:pPr>
            <w:r>
              <w:rPr>
                <w:rFonts w:hint="eastAsia" w:ascii="宋体" w:hAnsi="宋体" w:cs="宋体"/>
                <w:b/>
                <w:bCs/>
                <w:kern w:val="0"/>
                <w:sz w:val="24"/>
                <w:lang w:val="en-US" w:eastAsia="zh-CN"/>
              </w:rPr>
              <w:t>95</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line="640" w:lineRule="exact"/>
        <w:contextualSpacing/>
        <w:rPr>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523BB"/>
    <w:multiLevelType w:val="multilevel"/>
    <w:tmpl w:val="1E7523BB"/>
    <w:lvl w:ilvl="0" w:tentative="0">
      <w:start w:val="1"/>
      <w:numFmt w:val="decimalEnclosedCircle"/>
      <w:lvlText w:val="%1"/>
      <w:lvlJc w:val="left"/>
      <w:pPr>
        <w:ind w:left="1184" w:hanging="360"/>
      </w:pPr>
      <w:rPr>
        <w:rFonts w:hint="default"/>
      </w:rPr>
    </w:lvl>
    <w:lvl w:ilvl="1" w:tentative="0">
      <w:start w:val="1"/>
      <w:numFmt w:val="lowerLetter"/>
      <w:lvlText w:val="%2)"/>
      <w:lvlJc w:val="left"/>
      <w:pPr>
        <w:ind w:left="1388" w:hanging="420"/>
      </w:pPr>
    </w:lvl>
    <w:lvl w:ilvl="2" w:tentative="0">
      <w:start w:val="1"/>
      <w:numFmt w:val="lowerRoman"/>
      <w:lvlText w:val="%3."/>
      <w:lvlJc w:val="right"/>
      <w:pPr>
        <w:ind w:left="1808" w:hanging="420"/>
      </w:p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abstractNum w:abstractNumId="1">
    <w:nsid w:val="78CC1D7D"/>
    <w:multiLevelType w:val="singleLevel"/>
    <w:tmpl w:val="78CC1D7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hNzZlOTMzNDk4NDFmZTdkMTJhMzk3MDE3NGI1MzIifQ=="/>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0034"/>
    <w:rsid w:val="003F6FBE"/>
    <w:rsid w:val="00497775"/>
    <w:rsid w:val="004A175A"/>
    <w:rsid w:val="004E4D39"/>
    <w:rsid w:val="00532371"/>
    <w:rsid w:val="005549BF"/>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B5A46"/>
    <w:rsid w:val="00DC0295"/>
    <w:rsid w:val="00DC5AFB"/>
    <w:rsid w:val="00DF1BBB"/>
    <w:rsid w:val="00E60FCA"/>
    <w:rsid w:val="00EA1E6B"/>
    <w:rsid w:val="00EB2748"/>
    <w:rsid w:val="00F521AC"/>
    <w:rsid w:val="00F74B28"/>
    <w:rsid w:val="00F86472"/>
    <w:rsid w:val="0B250FAC"/>
    <w:rsid w:val="1EE35069"/>
    <w:rsid w:val="21DE1912"/>
    <w:rsid w:val="2A6D1036"/>
    <w:rsid w:val="30DF318F"/>
    <w:rsid w:val="338D478B"/>
    <w:rsid w:val="35D64937"/>
    <w:rsid w:val="36553EF9"/>
    <w:rsid w:val="37FA35EC"/>
    <w:rsid w:val="383074D5"/>
    <w:rsid w:val="3A4D0C68"/>
    <w:rsid w:val="3C12626D"/>
    <w:rsid w:val="46EF7542"/>
    <w:rsid w:val="474746C9"/>
    <w:rsid w:val="4D1C6BDD"/>
    <w:rsid w:val="5D66289E"/>
    <w:rsid w:val="61C33BFE"/>
    <w:rsid w:val="68A833ED"/>
    <w:rsid w:val="6AD16123"/>
    <w:rsid w:val="6D77300E"/>
    <w:rsid w:val="79BA34E7"/>
    <w:rsid w:val="7AFB5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正文2"/>
    <w:basedOn w:val="1"/>
    <w:qFormat/>
    <w:uiPriority w:val="0"/>
    <w:pPr>
      <w:spacing w:line="360" w:lineRule="auto"/>
      <w:ind w:firstLine="420" w:firstLineChars="200"/>
    </w:pPr>
  </w:style>
  <w:style w:type="paragraph" w:styleId="4">
    <w:name w:val="Body Text Indent 2"/>
    <w:basedOn w:val="1"/>
    <w:link w:val="15"/>
    <w:unhideWhenUsed/>
    <w:qFormat/>
    <w:uiPriority w:val="0"/>
    <w:pPr>
      <w:ind w:firstLine="588" w:firstLineChars="200"/>
    </w:pPr>
    <w:rPr>
      <w:rFonts w:ascii="仿宋_GB2312" w:hAnsi="Calibri" w:eastAsia="仿宋_GB2312" w:cs="Times New Roman"/>
      <w:sz w:val="32"/>
      <w:szCs w:val="24"/>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character" w:customStyle="1" w:styleId="15">
    <w:name w:val="正文文本缩进 2 Char"/>
    <w:basedOn w:val="9"/>
    <w:link w:val="4"/>
    <w:qFormat/>
    <w:uiPriority w:val="0"/>
    <w:rPr>
      <w:rFonts w:ascii="仿宋_GB2312" w:hAnsi="Calibri" w:eastAsia="仿宋_GB2312" w:cs="Times New Roman"/>
      <w:sz w:val="32"/>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9002</Words>
  <Characters>9531</Characters>
  <Lines>83</Lines>
  <Paragraphs>23</Paragraphs>
  <TotalTime>0</TotalTime>
  <ScaleCrop>false</ScaleCrop>
  <LinksUpToDate>false</LinksUpToDate>
  <CharactersWithSpaces>10734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2022-06-14T07:13:00Z</cp:lastPrinted>
  <dcterms:modified xsi:type="dcterms:W3CDTF">2022-06-22T03:45:35Z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7A39C0F03D08436D96AAC10E373ABD04</vt:lpwstr>
  </property>
</Properties>
</file>