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华文中宋" w:eastAsia="方正小标宋简体" w:cs="Times New Roman"/>
          <w:bCs/>
          <w:color w:val="000000"/>
          <w:sz w:val="44"/>
          <w:szCs w:val="44"/>
        </w:rPr>
      </w:pPr>
    </w:p>
    <w:p>
      <w:pPr>
        <w:spacing w:line="640" w:lineRule="exact"/>
        <w:jc w:val="center"/>
        <w:rPr>
          <w:rFonts w:hint="eastAsia" w:ascii="方正小标宋简体" w:hAnsi="华文中宋" w:eastAsia="方正小标宋简体" w:cs="Times New Roman"/>
          <w:bCs/>
          <w:color w:val="000000"/>
          <w:sz w:val="44"/>
          <w:szCs w:val="44"/>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湖南城陵矶新港区202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整体支出绩效评价自评报告</w:t>
      </w:r>
    </w:p>
    <w:p>
      <w:pPr>
        <w:jc w:val="center"/>
        <w:rPr>
          <w:rFonts w:eastAsia="仿宋_GB2312"/>
          <w:b/>
          <w:sz w:val="32"/>
        </w:rPr>
      </w:pPr>
    </w:p>
    <w:p>
      <w:pPr>
        <w:rPr>
          <w:rFonts w:eastAsia="仿宋_GB2312"/>
          <w:b/>
          <w:sz w:val="32"/>
        </w:rPr>
      </w:pPr>
    </w:p>
    <w:p>
      <w:pPr>
        <w:rPr>
          <w:rFonts w:eastAsia="仿宋_GB2312"/>
          <w:b/>
          <w:sz w:val="32"/>
        </w:rPr>
      </w:pPr>
    </w:p>
    <w:p>
      <w:pPr>
        <w:spacing w:beforeLines="50" w:line="348"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_GB2312" w:hAnsi="仿宋_GB2312" w:eastAsia="仿宋_GB2312" w:cs="仿宋_GB2312"/>
          <w:w w:val="100"/>
          <w:sz w:val="32"/>
          <w:szCs w:val="32"/>
          <w:u w:val="single"/>
          <w:lang w:eastAsia="zh-CN"/>
        </w:rPr>
      </w:pPr>
      <w:r>
        <w:rPr>
          <w:rFonts w:hint="eastAsia" w:ascii="仿宋_GB2312" w:hAnsi="仿宋_GB2312" w:eastAsia="仿宋_GB2312" w:cs="仿宋_GB2312"/>
          <w:w w:val="95"/>
          <w:sz w:val="32"/>
          <w:szCs w:val="32"/>
        </w:rPr>
        <w:t>部门(单位)名称：</w:t>
      </w:r>
      <w:r>
        <w:rPr>
          <w:rFonts w:hint="eastAsia" w:ascii="仿宋_GB2312" w:hAnsi="仿宋_GB2312" w:eastAsia="仿宋_GB2312" w:cs="仿宋_GB2312"/>
          <w:w w:val="100"/>
          <w:sz w:val="32"/>
          <w:szCs w:val="32"/>
          <w:lang w:eastAsia="zh-CN"/>
        </w:rPr>
        <w:t>岳阳市住房保障服务中心城陵矶新港区分中心</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w w:val="95"/>
          <w:sz w:val="32"/>
          <w:szCs w:val="32"/>
        </w:rPr>
        <w:t>预</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spacing w:val="30"/>
          <w:w w:val="95"/>
          <w:sz w:val="32"/>
          <w:szCs w:val="32"/>
        </w:rPr>
        <w:t>算</w:t>
      </w:r>
      <w:r>
        <w:rPr>
          <w:rFonts w:hint="eastAsia" w:ascii="仿宋_GB2312" w:hAnsi="仿宋_GB2312" w:eastAsia="仿宋_GB2312" w:cs="仿宋_GB2312"/>
          <w:spacing w:val="30"/>
          <w:w w:val="95"/>
          <w:sz w:val="32"/>
          <w:szCs w:val="32"/>
          <w:lang w:val="en-US" w:eastAsia="zh-CN"/>
        </w:rPr>
        <w:t xml:space="preserve"> </w:t>
      </w:r>
      <w:r>
        <w:rPr>
          <w:rFonts w:hint="eastAsia" w:ascii="仿宋_GB2312" w:hAnsi="仿宋_GB2312" w:eastAsia="仿宋_GB2312" w:cs="仿宋_GB2312"/>
          <w:spacing w:val="30"/>
          <w:w w:val="95"/>
          <w:sz w:val="32"/>
          <w:szCs w:val="32"/>
        </w:rPr>
        <w:t>编</w:t>
      </w:r>
      <w:r>
        <w:rPr>
          <w:rFonts w:hint="eastAsia" w:ascii="仿宋_GB2312" w:hAnsi="仿宋_GB2312" w:eastAsia="仿宋_GB2312" w:cs="仿宋_GB2312"/>
          <w:spacing w:val="30"/>
          <w:w w:val="95"/>
          <w:sz w:val="32"/>
          <w:szCs w:val="32"/>
          <w:lang w:val="en-US" w:eastAsia="zh-CN"/>
        </w:rPr>
        <w:t xml:space="preserve"> </w:t>
      </w:r>
      <w:r>
        <w:rPr>
          <w:rFonts w:hint="eastAsia" w:ascii="仿宋_GB2312" w:hAnsi="仿宋_GB2312" w:eastAsia="仿宋_GB2312" w:cs="仿宋_GB2312"/>
          <w:spacing w:val="30"/>
          <w:w w:val="95"/>
          <w:sz w:val="32"/>
          <w:szCs w:val="32"/>
        </w:rPr>
        <w:t>码：</w:t>
      </w:r>
      <w:r>
        <w:rPr>
          <w:rFonts w:hint="eastAsia" w:ascii="仿宋_GB2312" w:hAnsi="仿宋_GB2312" w:eastAsia="仿宋_GB2312" w:cs="仿宋_GB2312"/>
          <w:spacing w:val="30"/>
          <w:sz w:val="32"/>
          <w:szCs w:val="32"/>
          <w:lang w:val="en-US" w:eastAsia="zh-CN"/>
        </w:rPr>
        <w:t>116001</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评</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价</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方</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式：</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新港区住保分中心</w:t>
      </w:r>
      <w:r>
        <w:rPr>
          <w:rFonts w:hint="eastAsia" w:ascii="仿宋_GB2312" w:hAnsi="仿宋_GB2312" w:eastAsia="仿宋_GB2312" w:cs="仿宋_GB2312"/>
          <w:sz w:val="32"/>
          <w:szCs w:val="32"/>
        </w:rPr>
        <w:t>）绩效自评</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评</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价</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机</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新港区住保分中心</w:t>
      </w:r>
      <w:r>
        <w:rPr>
          <w:rFonts w:hint="eastAsia" w:ascii="仿宋_GB2312" w:hAnsi="仿宋_GB2312" w:eastAsia="仿宋_GB2312" w:cs="仿宋_GB2312"/>
          <w:sz w:val="32"/>
          <w:szCs w:val="32"/>
        </w:rPr>
        <w:t>）评价组</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_GB2312" w:hAnsi="仿宋_GB2312" w:eastAsia="仿宋_GB2312" w:cs="仿宋_GB2312"/>
          <w:sz w:val="32"/>
        </w:rPr>
      </w:pPr>
    </w:p>
    <w:p>
      <w:pPr>
        <w:spacing w:line="720" w:lineRule="exact"/>
        <w:rPr>
          <w:rFonts w:hint="eastAsia" w:ascii="仿宋_GB2312" w:hAnsi="仿宋_GB2312" w:eastAsia="仿宋_GB2312" w:cs="仿宋_GB2312"/>
          <w:sz w:val="32"/>
        </w:rPr>
      </w:pPr>
    </w:p>
    <w:p>
      <w:pPr>
        <w:spacing w:line="348" w:lineRule="auto"/>
        <w:jc w:val="both"/>
        <w:rPr>
          <w:rFonts w:hint="eastAsia" w:ascii="仿宋_GB2312" w:hAnsi="仿宋_GB2312" w:eastAsia="仿宋_GB2312" w:cs="仿宋_GB2312"/>
          <w:sz w:val="32"/>
        </w:rPr>
      </w:pPr>
    </w:p>
    <w:p>
      <w:pPr>
        <w:spacing w:line="348" w:lineRule="auto"/>
        <w:jc w:val="center"/>
        <w:rPr>
          <w:rFonts w:hint="eastAsia" w:ascii="仿宋_GB2312" w:hAnsi="仿宋_GB2312" w:eastAsia="仿宋_GB2312" w:cs="仿宋_GB2312"/>
          <w:sz w:val="32"/>
        </w:rPr>
      </w:pPr>
      <w:r>
        <w:rPr>
          <w:rFonts w:hint="eastAsia" w:ascii="仿宋_GB2312" w:hAnsi="仿宋_GB2312" w:eastAsia="仿宋_GB2312" w:cs="仿宋_GB2312"/>
          <w:sz w:val="32"/>
        </w:rPr>
        <w:t>报告日期：</w:t>
      </w:r>
      <w:r>
        <w:rPr>
          <w:rFonts w:hint="eastAsia" w:ascii="仿宋_GB2312" w:hAnsi="仿宋_GB2312" w:eastAsia="仿宋_GB2312" w:cs="仿宋_GB2312"/>
          <w:sz w:val="32"/>
          <w:lang w:val="en-US" w:eastAsia="zh-CN"/>
        </w:rPr>
        <w:t>2022</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xml:space="preserve">月 </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日</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39"/>
        <w:gridCol w:w="202"/>
        <w:gridCol w:w="1111"/>
        <w:gridCol w:w="438"/>
        <w:gridCol w:w="226"/>
        <w:gridCol w:w="768"/>
        <w:gridCol w:w="118"/>
        <w:gridCol w:w="1423"/>
        <w:gridCol w:w="1591"/>
        <w:gridCol w:w="72"/>
        <w:gridCol w:w="883"/>
        <w:gridCol w:w="384"/>
        <w:gridCol w:w="404"/>
        <w:gridCol w:w="157"/>
        <w:gridCol w:w="95"/>
        <w:gridCol w:w="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863"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陶智明</w:t>
            </w:r>
          </w:p>
        </w:tc>
        <w:tc>
          <w:tcPr>
            <w:tcW w:w="396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13975088720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2863"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396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概述</w:t>
            </w:r>
          </w:p>
        </w:tc>
        <w:tc>
          <w:tcPr>
            <w:tcW w:w="8561" w:type="dxa"/>
            <w:gridSpan w:val="15"/>
            <w:vAlign w:val="center"/>
          </w:tcPr>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承担城陵矶新港区公共租赁住房、保障性租赁住房、共有产权房等保障性住房运       营管理的事务性工作；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承担城陵矶新港区经济适用房上市交易、不完全产权存量公有住房出售的行政辅   助工作；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承担城陵矶新港区房屋租赁登记备案、房屋租赁合同网签、房屋租赁指导价格发布、房屋租赁价格监测等行政辅助工作；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具体组织实施城陵矶新港区保障性住房建设项目申报和资金申报、筹集等事务性工作；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承担城陵矶新港区住房保障、房屋租赁、城市人居环境更新、城市提质改造、物业维修资金等数据统计分析、信息发布等事务性工作；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负责商品房预售资金监管。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561" w:type="dxa"/>
            <w:gridSpan w:val="15"/>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党建工作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保障性住房管理工作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房地产开发服务及协税护税工作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联点服务企业、产业项目工作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其他工作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104"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w:t>
            </w:r>
            <w:r>
              <w:rPr>
                <w:rFonts w:hint="eastAsia" w:ascii="仿宋_GB2312" w:hAnsi="仿宋_GB2312" w:eastAsia="仿宋_GB2312" w:cs="仿宋_GB2312"/>
                <w:color w:val="000000"/>
                <w:spacing w:val="-6"/>
                <w:sz w:val="24"/>
                <w:lang w:val="en-US" w:eastAsia="zh-CN"/>
              </w:rPr>
              <w:t xml:space="preserve">  </w:t>
            </w:r>
            <w:r>
              <w:rPr>
                <w:rFonts w:hint="eastAsia" w:ascii="仿宋_GB2312" w:hAnsi="仿宋_GB2312" w:eastAsia="仿宋_GB2312" w:cs="仿宋_GB2312"/>
                <w:color w:val="000000"/>
                <w:spacing w:val="-6"/>
                <w:sz w:val="24"/>
              </w:rPr>
              <w:t>总体运行</w:t>
            </w:r>
            <w:r>
              <w:rPr>
                <w:rFonts w:hint="eastAsia" w:ascii="仿宋_GB2312" w:hAnsi="仿宋_GB2312" w:eastAsia="仿宋_GB2312" w:cs="仿宋_GB2312"/>
                <w:color w:val="000000"/>
                <w:spacing w:val="-6"/>
                <w:sz w:val="24"/>
                <w:lang w:val="en-US" w:eastAsia="zh-CN"/>
              </w:rPr>
              <w:t xml:space="preserve"> </w:t>
            </w:r>
            <w:r>
              <w:rPr>
                <w:rFonts w:hint="eastAsia" w:ascii="仿宋_GB2312" w:hAnsi="仿宋_GB2312" w:eastAsia="仿宋_GB2312" w:cs="仿宋_GB2312"/>
                <w:color w:val="000000"/>
                <w:spacing w:val="-6"/>
                <w:sz w:val="24"/>
              </w:rPr>
              <w:t>情况及取</w:t>
            </w:r>
            <w:r>
              <w:rPr>
                <w:rFonts w:hint="eastAsia" w:ascii="仿宋_GB2312" w:hAnsi="仿宋_GB2312" w:eastAsia="仿宋_GB2312" w:cs="仿宋_GB2312"/>
                <w:color w:val="000000"/>
                <w:spacing w:val="-6"/>
                <w:sz w:val="24"/>
                <w:lang w:val="en-US" w:eastAsia="zh-CN"/>
              </w:rPr>
              <w:t xml:space="preserve"> </w:t>
            </w:r>
            <w:r>
              <w:rPr>
                <w:rFonts w:hint="eastAsia" w:ascii="仿宋_GB2312" w:hAnsi="仿宋_GB2312" w:eastAsia="仿宋_GB2312" w:cs="仿宋_GB2312"/>
                <w:color w:val="000000"/>
                <w:spacing w:val="-6"/>
                <w:sz w:val="24"/>
              </w:rPr>
              <w:t>得的成绩</w:t>
            </w:r>
          </w:p>
        </w:tc>
        <w:tc>
          <w:tcPr>
            <w:tcW w:w="8561" w:type="dxa"/>
            <w:gridSpan w:val="15"/>
            <w:vAlign w:val="center"/>
          </w:tcPr>
          <w:p>
            <w:p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p>
          <w:p>
            <w:p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p>
          <w:p>
            <w:p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住保中心在党工委、管委会、市住建、住保的正确领导下，各项工作取得了一些成绩。全年在争资争项、协税护税等方面经济指标完成了既定的目标任务；在企业联点帮扶中为企业解决了一些实际问题；全力推进了我区今年保障性安居工程的建设；规范了公租房的后续管理等工作；加强了房地产开发监管和服务。</w:t>
            </w:r>
          </w:p>
          <w:p>
            <w:pPr>
              <w:numPr>
                <w:ilvl w:val="0"/>
                <w:numId w:val="3"/>
              </w:num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党建工作。1、2021年是中国共产党成立100周年。今年3月底，我分中心迅速成立党史学习教育领导小组。扎实开展了党史学习教育活动，深入学习了党的十九大和十九届二中、三中、四中、五中、六中全会精神，并组织全体党员认真学习了《在庆祝中国共产党成立100周年大会上的讲话》。2、为充分发挥全体党员的表率作用，认真落实学党史教育活动，我分中心于6月22日由支部书记李方明同志组织全体党员讲了一堂题目为《中国共产党百年辉煌》的党课。3、为丰富党史学习教育的形式和载体，不断推进党史学习教育向纵深发展。</w:t>
            </w:r>
          </w:p>
          <w:p>
            <w:pPr>
              <w:numPr>
                <w:ilvl w:val="0"/>
                <w:numId w:val="3"/>
              </w:num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性住房管理工作。1、督促已申报的2021年度公租房建设任务1189套及棚户区改造272户加快推进。2、配合省住建厅多次对辖区内公租房及棚改项目的抽查检查。3、加强了公租房信息系统工作的推进。4、完成了2022年度保障性租赁住房的申报。5、签订了政府与企业共建公租房的共有产权意向协议。6、协助自贸区创新协调部探索建立政企共建共有产权公租房产权分割管理制度试点工作。</w:t>
            </w:r>
          </w:p>
          <w:p>
            <w:pPr>
              <w:numPr>
                <w:ilvl w:val="0"/>
                <w:numId w:val="3"/>
              </w:num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房地产开发服务及协税护税工作。1、利用监管系统协征房地产行业税收9822万元（包含退税5753万元），完成全年所定任务的135%。2、及时拨付了预售款资金，确保了农民工工资、工作人员工资的正常发放。3、与财政、税务等部门联动，对各开发项目开展专项税务清查行动。</w:t>
            </w:r>
          </w:p>
          <w:p>
            <w:pPr>
              <w:numPr>
                <w:ilvl w:val="0"/>
                <w:numId w:val="3"/>
              </w:numPr>
              <w:autoSpaceDN w:val="0"/>
              <w:spacing w:line="320" w:lineRule="exact"/>
              <w:ind w:leftChars="100" w:firstLine="474"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联点服务企业、产业项目工作。根据党工委安排，我中心帮扶产业项目一个，重点税源项目13个，字6月份开展帮扶工作以来，班子成员每月做到了下企业两次，收集企业反馈的困难及建议40多条，帮助企业协调相关部门在验收、办证等方面解决了20多个问题。</w:t>
            </w:r>
          </w:p>
          <w:p>
            <w:pPr>
              <w:autoSpaceDN w:val="0"/>
              <w:spacing w:line="320" w:lineRule="exact"/>
              <w:ind w:firstLine="474" w:firstLineChars="200"/>
              <w:jc w:val="left"/>
              <w:textAlignment w:val="center"/>
              <w:rPr>
                <w:rFonts w:hint="eastAsia" w:ascii="仿宋_GB2312" w:hAnsi="仿宋_GB2312" w:eastAsia="仿宋_GB2312" w:cs="仿宋_GB2312"/>
                <w:color w:val="000000"/>
                <w:sz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313"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48"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239"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13"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92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68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239" w:type="dxa"/>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住保中心新港区分中心</w:t>
            </w:r>
          </w:p>
        </w:tc>
        <w:tc>
          <w:tcPr>
            <w:tcW w:w="1313"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46.56</w:t>
            </w:r>
          </w:p>
        </w:tc>
        <w:tc>
          <w:tcPr>
            <w:tcW w:w="1432" w:type="dxa"/>
            <w:gridSpan w:val="3"/>
            <w:tcBorders>
              <w:lef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541"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663"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92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46.56</w:t>
            </w:r>
          </w:p>
        </w:tc>
        <w:tc>
          <w:tcPr>
            <w:tcW w:w="689" w:type="dxa"/>
            <w:vAlign w:val="top"/>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spacing w:line="320" w:lineRule="exact"/>
              <w:rPr>
                <w:rFonts w:hint="eastAsia" w:ascii="仿宋_GB2312" w:hAnsi="仿宋_GB2312" w:eastAsia="仿宋_GB2312" w:cs="仿宋_GB2312"/>
                <w:sz w:val="24"/>
              </w:rPr>
            </w:pPr>
          </w:p>
        </w:tc>
        <w:tc>
          <w:tcPr>
            <w:tcW w:w="1313" w:type="dxa"/>
            <w:gridSpan w:val="2"/>
            <w:tcBorders>
              <w:righ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541"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663"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923" w:type="dxa"/>
            <w:gridSpan w:val="5"/>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689" w:type="dxa"/>
            <w:vAlign w:val="top"/>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spacing w:line="320" w:lineRule="exact"/>
              <w:rPr>
                <w:rFonts w:hint="eastAsia" w:ascii="仿宋_GB2312" w:hAnsi="仿宋_GB2312" w:eastAsia="仿宋_GB2312" w:cs="仿宋_GB2312"/>
                <w:sz w:val="24"/>
              </w:rPr>
            </w:pPr>
          </w:p>
        </w:tc>
        <w:tc>
          <w:tcPr>
            <w:tcW w:w="1313" w:type="dxa"/>
            <w:gridSpan w:val="2"/>
            <w:tcBorders>
              <w:righ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541"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663"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923" w:type="dxa"/>
            <w:gridSpan w:val="5"/>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689" w:type="dxa"/>
            <w:vAlign w:val="top"/>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spacing w:line="320" w:lineRule="exact"/>
              <w:rPr>
                <w:rFonts w:hint="eastAsia" w:ascii="仿宋_GB2312" w:hAnsi="仿宋_GB2312" w:eastAsia="仿宋_GB2312" w:cs="仿宋_GB2312"/>
                <w:sz w:val="24"/>
              </w:rPr>
            </w:pPr>
          </w:p>
        </w:tc>
        <w:tc>
          <w:tcPr>
            <w:tcW w:w="1313" w:type="dxa"/>
            <w:gridSpan w:val="2"/>
            <w:tcBorders>
              <w:righ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541"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663" w:type="dxa"/>
            <w:gridSpan w:val="2"/>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1923" w:type="dxa"/>
            <w:gridSpan w:val="5"/>
            <w:vAlign w:val="top"/>
          </w:tcPr>
          <w:p>
            <w:pPr>
              <w:autoSpaceDN w:val="0"/>
              <w:spacing w:line="320" w:lineRule="exact"/>
              <w:jc w:val="left"/>
              <w:textAlignment w:val="center"/>
              <w:rPr>
                <w:rFonts w:hint="eastAsia" w:ascii="仿宋_GB2312" w:hAnsi="仿宋_GB2312" w:eastAsia="仿宋_GB2312" w:cs="仿宋_GB2312"/>
                <w:color w:val="000000"/>
                <w:sz w:val="24"/>
              </w:rPr>
            </w:pPr>
          </w:p>
        </w:tc>
        <w:tc>
          <w:tcPr>
            <w:tcW w:w="689" w:type="dxa"/>
            <w:vAlign w:val="top"/>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13"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903"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continue"/>
            <w:vAlign w:val="center"/>
          </w:tcPr>
          <w:p>
            <w:pPr>
              <w:spacing w:line="320" w:lineRule="exact"/>
              <w:jc w:val="center"/>
              <w:rPr>
                <w:rFonts w:hint="eastAsia" w:ascii="仿宋_GB2312" w:hAnsi="仿宋_GB2312" w:eastAsia="仿宋_GB2312" w:cs="仿宋_GB2312"/>
                <w:sz w:val="24"/>
              </w:rPr>
            </w:pPr>
          </w:p>
        </w:tc>
        <w:tc>
          <w:tcPr>
            <w:tcW w:w="1313"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04" w:type="dxa"/>
            <w:gridSpan w:val="4"/>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67" w:type="dxa"/>
            <w:gridSpan w:val="2"/>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561" w:type="dxa"/>
            <w:gridSpan w:val="2"/>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84" w:type="dxa"/>
            <w:gridSpan w:val="2"/>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continue"/>
            <w:vAlign w:val="center"/>
          </w:tcPr>
          <w:p>
            <w:pPr>
              <w:spacing w:line="320" w:lineRule="exact"/>
              <w:jc w:val="center"/>
              <w:rPr>
                <w:rFonts w:hint="eastAsia" w:ascii="仿宋_GB2312" w:hAnsi="仿宋_GB2312" w:eastAsia="仿宋_GB2312" w:cs="仿宋_GB2312"/>
                <w:sz w:val="24"/>
              </w:rPr>
            </w:pPr>
          </w:p>
        </w:tc>
        <w:tc>
          <w:tcPr>
            <w:tcW w:w="1313"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人员支出</w:t>
            </w: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67"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561"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84"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239" w:type="dxa"/>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lang w:eastAsia="zh-CN"/>
              </w:rPr>
              <w:t>住保中心新港区分中心</w:t>
            </w: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46.56</w:t>
            </w: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33.33</w:t>
            </w: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13.23</w:t>
            </w:r>
          </w:p>
        </w:tc>
        <w:tc>
          <w:tcPr>
            <w:tcW w:w="126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56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8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color w:val="000000"/>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56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8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color w:val="000000"/>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56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8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color w:val="000000"/>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56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8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13"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248"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continue"/>
            <w:vAlign w:val="center"/>
          </w:tcPr>
          <w:p>
            <w:pPr>
              <w:spacing w:line="320" w:lineRule="exact"/>
              <w:jc w:val="center"/>
              <w:rPr>
                <w:rFonts w:hint="eastAsia" w:ascii="仿宋_GB2312" w:hAnsi="仿宋_GB2312" w:eastAsia="仿宋_GB2312" w:cs="仿宋_GB2312"/>
                <w:sz w:val="24"/>
              </w:rPr>
            </w:pPr>
          </w:p>
        </w:tc>
        <w:tc>
          <w:tcPr>
            <w:tcW w:w="1313"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运维费</w:t>
            </w: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购置费</w:t>
            </w:r>
          </w:p>
        </w:tc>
        <w:tc>
          <w:tcPr>
            <w:tcW w:w="261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239" w:type="dxa"/>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lang w:eastAsia="zh-CN"/>
              </w:rPr>
              <w:t>住保中心新港区分中心</w:t>
            </w: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w:t>
            </w: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w:t>
            </w: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1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1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1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32"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66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12"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313"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307"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Merge w:val="continue"/>
            <w:vAlign w:val="center"/>
          </w:tcPr>
          <w:p>
            <w:pPr>
              <w:spacing w:line="320" w:lineRule="exact"/>
              <w:jc w:val="center"/>
              <w:rPr>
                <w:rFonts w:hint="eastAsia" w:ascii="仿宋_GB2312" w:hAnsi="仿宋_GB2312" w:eastAsia="仿宋_GB2312" w:cs="仿宋_GB2312"/>
                <w:sz w:val="24"/>
              </w:rPr>
            </w:pPr>
          </w:p>
        </w:tc>
        <w:tc>
          <w:tcPr>
            <w:tcW w:w="1313"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4757" w:type="dxa"/>
            <w:gridSpan w:val="6"/>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757"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757"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757"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239" w:type="dxa"/>
            <w:vAlign w:val="center"/>
          </w:tcPr>
          <w:p>
            <w:pPr>
              <w:spacing w:line="320" w:lineRule="exact"/>
              <w:jc w:val="left"/>
              <w:rPr>
                <w:rFonts w:hint="eastAsia" w:ascii="仿宋_GB2312" w:hAnsi="仿宋_GB2312" w:eastAsia="仿宋_GB2312" w:cs="仿宋_GB2312"/>
                <w:sz w:val="24"/>
              </w:rPr>
            </w:pPr>
          </w:p>
        </w:tc>
        <w:tc>
          <w:tcPr>
            <w:tcW w:w="1313"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4757"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26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5698"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gridSpan w:val="2"/>
            <w:vMerge w:val="continue"/>
            <w:vAlign w:val="center"/>
          </w:tcPr>
          <w:p>
            <w:pPr>
              <w:spacing w:line="320" w:lineRule="exact"/>
              <w:rPr>
                <w:rFonts w:hint="eastAsia" w:ascii="仿宋_GB2312" w:hAnsi="仿宋_GB2312" w:eastAsia="仿宋_GB2312" w:cs="仿宋_GB2312"/>
                <w:sz w:val="24"/>
              </w:rPr>
            </w:pPr>
          </w:p>
        </w:tc>
        <w:tc>
          <w:tcPr>
            <w:tcW w:w="2661" w:type="dxa"/>
            <w:gridSpan w:val="5"/>
            <w:vAlign w:val="center"/>
          </w:tcPr>
          <w:p>
            <w:pPr>
              <w:numPr>
                <w:ilvl w:val="0"/>
                <w:numId w:val="0"/>
              </w:num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1.分中心党建工作</w:t>
            </w:r>
          </w:p>
          <w:p>
            <w:pPr>
              <w:numPr>
                <w:ilvl w:val="0"/>
                <w:numId w:val="0"/>
              </w:num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2.保障性住房管理工作</w:t>
            </w:r>
          </w:p>
          <w:p>
            <w:pPr>
              <w:numPr>
                <w:ilvl w:val="0"/>
                <w:numId w:val="0"/>
              </w:numPr>
              <w:autoSpaceDN w:val="0"/>
              <w:spacing w:line="320" w:lineRule="exact"/>
              <w:ind w:left="237" w:hanging="237" w:hangingChars="10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3.房地产开发服务及协税护税工作</w:t>
            </w:r>
          </w:p>
          <w:p>
            <w:pPr>
              <w:autoSpaceDN w:val="0"/>
              <w:spacing w:line="320" w:lineRule="exact"/>
              <w:jc w:val="both"/>
              <w:textAlignment w:val="center"/>
              <w:rPr>
                <w:rFonts w:hint="eastAsia" w:ascii="仿宋_GB2312" w:hAnsi="仿宋_GB2312" w:eastAsia="仿宋_GB2312" w:cs="仿宋_GB2312"/>
                <w:color w:val="000000"/>
                <w:sz w:val="24"/>
              </w:rPr>
            </w:pPr>
          </w:p>
          <w:p>
            <w:pPr>
              <w:autoSpaceDN w:val="0"/>
              <w:spacing w:line="320" w:lineRule="exact"/>
              <w:jc w:val="both"/>
              <w:textAlignment w:val="center"/>
              <w:rPr>
                <w:rFonts w:hint="eastAsia" w:ascii="仿宋_GB2312" w:hAnsi="仿宋_GB2312" w:eastAsia="仿宋_GB2312" w:cs="仿宋_GB2312"/>
                <w:color w:val="000000"/>
                <w:sz w:val="24"/>
              </w:rPr>
            </w:pPr>
          </w:p>
        </w:tc>
        <w:tc>
          <w:tcPr>
            <w:tcW w:w="5698" w:type="dxa"/>
            <w:gridSpan w:val="9"/>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1.积极部署确保党建工作责任全面落实。</w:t>
            </w:r>
          </w:p>
          <w:p>
            <w:pPr>
              <w:numPr>
                <w:ilvl w:val="0"/>
                <w:numId w:val="0"/>
              </w:numPr>
              <w:autoSpaceDN w:val="0"/>
              <w:spacing w:line="320" w:lineRule="exact"/>
              <w:ind w:left="237" w:hanging="237" w:hangingChars="1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2.公租房建设任务1189套各项目实施单位已全部启动建设；棚户区改造已完成272户的货币补偿协议；争取到公租房、棚改专项补贴资金5493.22万元。</w:t>
            </w:r>
          </w:p>
          <w:p>
            <w:pPr>
              <w:numPr>
                <w:ilvl w:val="0"/>
                <w:numId w:val="0"/>
              </w:numPr>
              <w:autoSpaceDN w:val="0"/>
              <w:spacing w:line="320" w:lineRule="exact"/>
              <w:ind w:left="237" w:hanging="237" w:hangingChars="1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3.协征房地产行业税收9822万元；及时回复、处理各种信访投诉95起。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6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01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6" w:hRule="atLeast"/>
          <w:jc w:val="center"/>
        </w:trPr>
        <w:tc>
          <w:tcPr>
            <w:tcW w:w="1441" w:type="dxa"/>
            <w:gridSpan w:val="2"/>
            <w:vMerge w:val="continue"/>
            <w:vAlign w:val="center"/>
          </w:tcPr>
          <w:p>
            <w:pPr>
              <w:spacing w:line="320" w:lineRule="exact"/>
              <w:rPr>
                <w:rFonts w:hint="eastAsia" w:ascii="仿宋_GB2312" w:hAnsi="仿宋_GB2312" w:eastAsia="仿宋_GB2312" w:cs="仿宋_GB2312"/>
                <w:sz w:val="24"/>
              </w:rPr>
            </w:pPr>
          </w:p>
        </w:tc>
        <w:tc>
          <w:tcPr>
            <w:tcW w:w="1549"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112"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014" w:type="dxa"/>
            <w:gridSpan w:val="2"/>
            <w:vAlign w:val="bottom"/>
          </w:tcPr>
          <w:p>
            <w:pPr>
              <w:numPr>
                <w:ilvl w:val="0"/>
                <w:numId w:val="0"/>
              </w:numPr>
              <w:autoSpaceDN w:val="0"/>
              <w:spacing w:line="320" w:lineRule="exact"/>
              <w:ind w:left="237" w:hanging="237" w:hangingChars="10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1.督促公租房建设任务1189 套及棚户区改造272户加快推进完成率</w:t>
            </w:r>
          </w:p>
          <w:p>
            <w:pPr>
              <w:numPr>
                <w:ilvl w:val="0"/>
                <w:numId w:val="0"/>
              </w:numPr>
              <w:autoSpaceDN w:val="0"/>
              <w:spacing w:line="320" w:lineRule="exact"/>
              <w:jc w:val="both"/>
              <w:textAlignment w:val="center"/>
              <w:rPr>
                <w:rFonts w:hint="eastAsia" w:ascii="仿宋_GB2312" w:hAnsi="仿宋_GB2312" w:eastAsia="仿宋_GB2312" w:cs="仿宋_GB2312"/>
                <w:color w:val="000000"/>
                <w:sz w:val="24"/>
                <w:lang w:val="en-US" w:eastAsia="zh-CN"/>
              </w:rPr>
            </w:pP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完成率</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hint="eastAsia" w:ascii="仿宋_GB2312" w:hAnsi="仿宋_GB2312" w:eastAsia="仿宋_GB2312" w:cs="仿宋_GB2312"/>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sz w:val="24"/>
              </w:rPr>
            </w:pPr>
          </w:p>
        </w:tc>
        <w:tc>
          <w:tcPr>
            <w:tcW w:w="1112" w:type="dxa"/>
            <w:gridSpan w:val="3"/>
            <w:vMerge w:val="continue"/>
            <w:vAlign w:val="center"/>
          </w:tcPr>
          <w:p>
            <w:pPr>
              <w:spacing w:line="320" w:lineRule="exact"/>
              <w:rPr>
                <w:rFonts w:hint="eastAsia" w:ascii="仿宋_GB2312" w:hAnsi="仿宋_GB2312" w:eastAsia="仿宋_GB2312" w:cs="仿宋_GB2312"/>
                <w:sz w:val="24"/>
              </w:rPr>
            </w:pPr>
          </w:p>
        </w:tc>
        <w:tc>
          <w:tcPr>
            <w:tcW w:w="3014" w:type="dxa"/>
            <w:gridSpan w:val="2"/>
            <w:vAlign w:val="center"/>
          </w:tcPr>
          <w:p>
            <w:pPr>
              <w:autoSpaceDN w:val="0"/>
              <w:spacing w:line="320" w:lineRule="exact"/>
              <w:ind w:left="237" w:hanging="237" w:hangingChars="1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2.争资争项任务2000万元完成率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完成率</w:t>
            </w:r>
            <w:r>
              <w:rPr>
                <w:rFonts w:hint="eastAsia" w:ascii="仿宋_GB2312" w:hAnsi="仿宋_GB2312" w:eastAsia="仿宋_GB2312" w:cs="仿宋_GB2312"/>
                <w:b w:val="0"/>
                <w:bCs/>
                <w:color w:val="000000"/>
                <w:sz w:val="24"/>
                <w:lang w:val="en-US" w:eastAsia="zh-CN"/>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hint="eastAsia" w:ascii="仿宋_GB2312" w:hAnsi="仿宋_GB2312" w:eastAsia="仿宋_GB2312" w:cs="仿宋_GB2312"/>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sz w:val="24"/>
              </w:rPr>
            </w:pPr>
          </w:p>
        </w:tc>
        <w:tc>
          <w:tcPr>
            <w:tcW w:w="1112" w:type="dxa"/>
            <w:gridSpan w:val="3"/>
            <w:vMerge w:val="continue"/>
            <w:vAlign w:val="center"/>
          </w:tcPr>
          <w:p>
            <w:pPr>
              <w:spacing w:line="320" w:lineRule="exact"/>
              <w:rPr>
                <w:rFonts w:hint="eastAsia" w:ascii="仿宋_GB2312" w:hAnsi="仿宋_GB2312" w:eastAsia="仿宋_GB2312" w:cs="仿宋_GB2312"/>
                <w:sz w:val="24"/>
              </w:rPr>
            </w:pPr>
          </w:p>
        </w:tc>
        <w:tc>
          <w:tcPr>
            <w:tcW w:w="3014" w:type="dxa"/>
            <w:gridSpan w:val="2"/>
            <w:vAlign w:val="center"/>
          </w:tcPr>
          <w:p>
            <w:pPr>
              <w:autoSpaceDN w:val="0"/>
              <w:spacing w:line="320" w:lineRule="exact"/>
              <w:ind w:left="237" w:hanging="237" w:hangingChars="1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3.协征房地产行业税收万元完成率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完成率</w:t>
            </w:r>
            <w:r>
              <w:rPr>
                <w:rFonts w:hint="eastAsia" w:ascii="仿宋_GB2312" w:hAnsi="仿宋_GB2312" w:eastAsia="仿宋_GB2312" w:cs="仿宋_GB2312"/>
                <w:b w:val="0"/>
                <w:bCs/>
                <w:color w:val="000000"/>
                <w:sz w:val="24"/>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hint="eastAsia" w:ascii="仿宋_GB2312" w:hAnsi="仿宋_GB2312" w:eastAsia="仿宋_GB2312" w:cs="仿宋_GB2312"/>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sz w:val="24"/>
              </w:rPr>
            </w:pPr>
          </w:p>
        </w:tc>
        <w:tc>
          <w:tcPr>
            <w:tcW w:w="1112" w:type="dxa"/>
            <w:gridSpan w:val="3"/>
            <w:vMerge w:val="continue"/>
            <w:vAlign w:val="center"/>
          </w:tcPr>
          <w:p>
            <w:pPr>
              <w:spacing w:line="320" w:lineRule="exact"/>
              <w:rPr>
                <w:rFonts w:hint="eastAsia" w:ascii="仿宋_GB2312" w:hAnsi="仿宋_GB2312" w:eastAsia="仿宋_GB2312" w:cs="仿宋_GB2312"/>
                <w:sz w:val="24"/>
              </w:rPr>
            </w:pPr>
          </w:p>
        </w:tc>
        <w:tc>
          <w:tcPr>
            <w:tcW w:w="3014" w:type="dxa"/>
            <w:gridSpan w:val="2"/>
            <w:vAlign w:val="center"/>
          </w:tcPr>
          <w:p>
            <w:pPr>
              <w:autoSpaceDN w:val="0"/>
              <w:spacing w:line="320" w:lineRule="exact"/>
              <w:ind w:left="237" w:hanging="237" w:hangingChars="1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4.矛盾纠纷、群访、信访问题件件有回复</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办结率</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6"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数量指标</w:t>
            </w:r>
          </w:p>
        </w:tc>
        <w:tc>
          <w:tcPr>
            <w:tcW w:w="3014" w:type="dxa"/>
            <w:gridSpan w:val="2"/>
            <w:vAlign w:val="bottom"/>
          </w:tcPr>
          <w:p>
            <w:pPr>
              <w:numPr>
                <w:ilvl w:val="0"/>
                <w:numId w:val="0"/>
              </w:numPr>
              <w:autoSpaceDN w:val="0"/>
              <w:spacing w:line="320" w:lineRule="exact"/>
              <w:ind w:left="237" w:hanging="237" w:hangingChars="100"/>
              <w:jc w:val="both"/>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1.督促公租房建设任务1189套及棚户区改造272户加快推进</w:t>
            </w:r>
          </w:p>
          <w:p>
            <w:pPr>
              <w:autoSpaceDN w:val="0"/>
              <w:spacing w:line="320" w:lineRule="exact"/>
              <w:jc w:val="both"/>
              <w:textAlignment w:val="center"/>
              <w:rPr>
                <w:rFonts w:hint="eastAsia" w:ascii="仿宋_GB2312" w:hAnsi="仿宋_GB2312" w:eastAsia="仿宋_GB2312" w:cs="仿宋_GB2312"/>
                <w:b w:val="0"/>
                <w:bCs w:val="0"/>
                <w:color w:val="000000"/>
                <w:sz w:val="24"/>
              </w:rPr>
            </w:pP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各项目实施单位已全部启动建设，棚户区改造已完成</w:t>
            </w:r>
            <w:r>
              <w:rPr>
                <w:rFonts w:hint="eastAsia" w:ascii="仿宋_GB2312" w:hAnsi="仿宋_GB2312" w:eastAsia="仿宋_GB2312" w:cs="仿宋_GB2312"/>
                <w:b w:val="0"/>
                <w:bCs w:val="0"/>
                <w:color w:val="000000"/>
                <w:sz w:val="24"/>
                <w:lang w:val="en-US" w:eastAsia="zh-CN"/>
              </w:rPr>
              <w:t>272户的货币补偿协议。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b w:val="0"/>
                <w:bCs w:val="0"/>
                <w:sz w:val="24"/>
              </w:rPr>
            </w:pPr>
          </w:p>
        </w:tc>
        <w:tc>
          <w:tcPr>
            <w:tcW w:w="3014" w:type="dxa"/>
            <w:gridSpan w:val="2"/>
            <w:vAlign w:val="center"/>
          </w:tcPr>
          <w:p>
            <w:pPr>
              <w:autoSpaceDN w:val="0"/>
              <w:spacing w:line="320" w:lineRule="exact"/>
              <w:ind w:left="237" w:hanging="237" w:hangingChars="100"/>
              <w:jc w:val="left"/>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2.完成争资争项任务2000万元</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争取到公租房、棚改专项补贴资金</w:t>
            </w:r>
            <w:r>
              <w:rPr>
                <w:rFonts w:hint="eastAsia" w:ascii="仿宋_GB2312" w:hAnsi="仿宋_GB2312" w:eastAsia="仿宋_GB2312" w:cs="仿宋_GB2312"/>
                <w:b w:val="0"/>
                <w:bCs w:val="0"/>
                <w:color w:val="000000"/>
                <w:sz w:val="24"/>
                <w:lang w:val="en-US" w:eastAsia="zh-CN"/>
              </w:rPr>
              <w:t>5493.22万余元。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b w:val="0"/>
                <w:bCs w:val="0"/>
                <w:sz w:val="24"/>
              </w:rPr>
            </w:pP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3.协征房地产行业税收7300万元</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协征房地产行业税收</w:t>
            </w:r>
            <w:r>
              <w:rPr>
                <w:rFonts w:hint="eastAsia" w:ascii="仿宋_GB2312" w:hAnsi="仿宋_GB2312" w:eastAsia="仿宋_GB2312" w:cs="仿宋_GB2312"/>
                <w:b w:val="0"/>
                <w:bCs w:val="0"/>
                <w:color w:val="000000"/>
                <w:sz w:val="24"/>
                <w:lang w:val="en-US" w:eastAsia="zh-CN"/>
              </w:rPr>
              <w:t>9822万元。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b w:val="0"/>
                <w:bCs w:val="0"/>
                <w:sz w:val="24"/>
              </w:rPr>
            </w:pPr>
          </w:p>
        </w:tc>
        <w:tc>
          <w:tcPr>
            <w:tcW w:w="3014" w:type="dxa"/>
            <w:gridSpan w:val="2"/>
            <w:vAlign w:val="center"/>
          </w:tcPr>
          <w:p>
            <w:pPr>
              <w:autoSpaceDN w:val="0"/>
              <w:spacing w:line="320" w:lineRule="exact"/>
              <w:ind w:left="237" w:hanging="237" w:hangingChars="100"/>
              <w:jc w:val="left"/>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4.矛盾纠纷、群访、信访问题件件有回复</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受理信访投诉</w:t>
            </w:r>
            <w:r>
              <w:rPr>
                <w:rFonts w:hint="eastAsia" w:ascii="仿宋_GB2312" w:hAnsi="仿宋_GB2312" w:eastAsia="仿宋_GB2312" w:cs="仿宋_GB2312"/>
                <w:b w:val="0"/>
                <w:bCs w:val="0"/>
                <w:color w:val="000000"/>
                <w:sz w:val="24"/>
                <w:lang w:val="en-US" w:eastAsia="zh-CN"/>
              </w:rPr>
              <w:t>95起，并及时办结。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7"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时效指标</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2021.1.1-2021.12.31</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6"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成本指标</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按预算执行、控制成本</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执行率</w:t>
            </w:r>
            <w:r>
              <w:rPr>
                <w:rFonts w:hint="eastAsia" w:ascii="仿宋_GB2312" w:hAnsi="仿宋_GB2312" w:eastAsia="仿宋_GB2312" w:cs="仿宋_GB2312"/>
                <w:b w:val="0"/>
                <w:bCs w:val="0"/>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6"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效益目标</w:t>
            </w:r>
          </w:p>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（预期实现的效益）</w:t>
            </w: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社会效益</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获社会肯定</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满意度</w:t>
            </w:r>
            <w:r>
              <w:rPr>
                <w:rFonts w:hint="eastAsia" w:ascii="仿宋_GB2312" w:hAnsi="仿宋_GB2312" w:eastAsia="仿宋_GB2312" w:cs="仿宋_GB2312"/>
                <w:b w:val="0"/>
                <w:bCs w:val="0"/>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2"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经济效益</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为低收入人群和服务对象提供帮助</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eastAsia="zh-CN"/>
              </w:rPr>
              <w:t>满意度</w:t>
            </w:r>
            <w:r>
              <w:rPr>
                <w:rFonts w:hint="eastAsia" w:ascii="仿宋_GB2312" w:hAnsi="仿宋_GB2312" w:eastAsia="仿宋_GB2312" w:cs="仿宋_GB2312"/>
                <w:b w:val="0"/>
                <w:bCs w:val="0"/>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6"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生态效益</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eastAsia="zh-CN"/>
              </w:rPr>
            </w:pPr>
          </w:p>
          <w:p>
            <w:pPr>
              <w:autoSpaceDN w:val="0"/>
              <w:spacing w:line="320" w:lineRule="exact"/>
              <w:jc w:val="left"/>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eastAsia="zh-CN"/>
              </w:rPr>
              <w:t>实现可持续发展，打造宜居城市</w:t>
            </w:r>
          </w:p>
          <w:p>
            <w:pPr>
              <w:autoSpaceDN w:val="0"/>
              <w:spacing w:line="320" w:lineRule="exact"/>
              <w:jc w:val="left"/>
              <w:textAlignment w:val="center"/>
              <w:rPr>
                <w:rFonts w:hint="eastAsia" w:ascii="仿宋_GB2312" w:hAnsi="仿宋_GB2312" w:eastAsia="仿宋_GB2312" w:cs="仿宋_GB2312"/>
                <w:b w:val="0"/>
                <w:bCs w:val="0"/>
                <w:color w:val="000000"/>
                <w:sz w:val="24"/>
              </w:rPr>
            </w:pP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eastAsia="zh-CN"/>
              </w:rPr>
              <w:t>满意度</w:t>
            </w:r>
            <w:r>
              <w:rPr>
                <w:rFonts w:hint="eastAsia" w:ascii="仿宋_GB2312" w:hAnsi="仿宋_GB2312" w:eastAsia="仿宋_GB2312" w:cs="仿宋_GB2312"/>
                <w:b w:val="0"/>
                <w:bCs w:val="0"/>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hint="eastAsia" w:ascii="仿宋_GB2312" w:hAnsi="仿宋_GB2312" w:eastAsia="仿宋_GB2312" w:cs="仿宋_GB2312"/>
                <w:b w:val="0"/>
                <w:bCs w:val="0"/>
                <w:sz w:val="24"/>
              </w:rPr>
            </w:pPr>
          </w:p>
        </w:tc>
        <w:tc>
          <w:tcPr>
            <w:tcW w:w="1549" w:type="dxa"/>
            <w:gridSpan w:val="2"/>
            <w:vMerge w:val="continue"/>
            <w:vAlign w:val="center"/>
          </w:tcPr>
          <w:p>
            <w:pPr>
              <w:autoSpaceDN w:val="0"/>
              <w:spacing w:line="320" w:lineRule="exact"/>
              <w:rPr>
                <w:rFonts w:hint="eastAsia" w:ascii="仿宋_GB2312" w:hAnsi="仿宋_GB2312" w:eastAsia="仿宋_GB2312" w:cs="仿宋_GB2312"/>
                <w:b w:val="0"/>
                <w:bCs w:val="0"/>
                <w:sz w:val="24"/>
              </w:rPr>
            </w:pPr>
          </w:p>
        </w:tc>
        <w:tc>
          <w:tcPr>
            <w:tcW w:w="1112" w:type="dxa"/>
            <w:gridSpan w:val="3"/>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社会公众或服务对象满意度</w:t>
            </w:r>
          </w:p>
        </w:tc>
        <w:tc>
          <w:tcPr>
            <w:tcW w:w="3014" w:type="dxa"/>
            <w:gridSpan w:val="2"/>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获租住人群和服务对象满意度</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eastAsia="zh-CN"/>
              </w:rPr>
              <w:t>满意度</w:t>
            </w:r>
            <w:r>
              <w:rPr>
                <w:rFonts w:hint="eastAsia" w:ascii="仿宋_GB2312" w:hAnsi="仿宋_GB2312" w:eastAsia="仿宋_GB2312" w:cs="仿宋_GB2312"/>
                <w:b w:val="0"/>
                <w:bCs w:val="0"/>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李方明</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分中心主任</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岳阳市住房保障服务中心城陵矶新港区分中心</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荻</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分中心副主任</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岳阳市住房保障服务中心城陵矶新港区分中心</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付林传</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分中心副主任</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岳阳市住房保障服务中心城陵矶新港区分中心</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敏</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分中心办公室主任</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岳阳市住房保障服务中心城陵矶新港区分中心</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3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陶智明</w:t>
            </w:r>
          </w:p>
        </w:tc>
        <w:tc>
          <w:tcPr>
            <w:tcW w:w="1977"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分中心会计</w:t>
            </w:r>
          </w:p>
        </w:tc>
        <w:tc>
          <w:tcPr>
            <w:tcW w:w="485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岳阳市住房保障服务中心城陵矶新港区分中心</w:t>
            </w:r>
          </w:p>
        </w:tc>
        <w:tc>
          <w:tcPr>
            <w:tcW w:w="172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财政部门归口业务科室意见：</w:t>
            </w:r>
          </w:p>
          <w:p>
            <w:pPr>
              <w:spacing w:line="320" w:lineRule="exact"/>
              <w:rPr>
                <w:rFonts w:hint="eastAsia" w:ascii="仿宋_GB2312" w:hAnsi="仿宋_GB2312" w:eastAsia="仿宋_GB2312" w:cs="仿宋_GB2312"/>
                <w:b w:val="0"/>
                <w:bCs w:val="0"/>
                <w:sz w:val="24"/>
              </w:rPr>
            </w:pPr>
          </w:p>
          <w:p>
            <w:pPr>
              <w:spacing w:line="320" w:lineRule="exact"/>
              <w:rPr>
                <w:rFonts w:hint="eastAsia" w:ascii="仿宋_GB2312" w:hAnsi="仿宋_GB2312" w:eastAsia="仿宋_GB2312" w:cs="仿宋_GB2312"/>
                <w:b w:val="0"/>
                <w:bCs w:val="0"/>
                <w:sz w:val="24"/>
              </w:rPr>
            </w:pPr>
          </w:p>
          <w:p>
            <w:pPr>
              <w:spacing w:line="320" w:lineRule="exact"/>
              <w:rPr>
                <w:rFonts w:hint="eastAsia" w:ascii="仿宋_GB2312" w:hAnsi="仿宋_GB2312" w:eastAsia="仿宋_GB2312" w:cs="仿宋_GB2312"/>
                <w:b w:val="0"/>
                <w:bCs w:val="0"/>
                <w:sz w:val="24"/>
              </w:rPr>
            </w:pPr>
          </w:p>
          <w:p>
            <w:pPr>
              <w:spacing w:line="320" w:lineRule="exact"/>
              <w:rPr>
                <w:rFonts w:hint="eastAsia" w:ascii="仿宋_GB2312" w:hAnsi="仿宋_GB2312" w:eastAsia="仿宋_GB2312" w:cs="仿宋_GB2312"/>
                <w:b w:val="0"/>
                <w:bCs w:val="0"/>
                <w:sz w:val="24"/>
              </w:rPr>
            </w:pPr>
          </w:p>
          <w:p>
            <w:pPr>
              <w:spacing w:line="32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sz w:val="24"/>
              </w:rPr>
              <w:t xml:space="preserve">                                                                 年    月   日</w:t>
            </w:r>
          </w:p>
        </w:tc>
      </w:tr>
    </w:tbl>
    <w:p>
      <w:p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rPr>
        <w:t xml:space="preserve">填报人（签名）：  </w:t>
      </w:r>
      <w:r>
        <w:rPr>
          <w:rFonts w:hint="eastAsia" w:ascii="仿宋_GB2312" w:hAnsi="仿宋_GB2312" w:eastAsia="仿宋_GB2312" w:cs="仿宋_GB2312"/>
          <w:bCs/>
          <w:sz w:val="28"/>
          <w:szCs w:val="28"/>
          <w:lang w:eastAsia="zh-CN"/>
        </w:rPr>
        <w:t>陶智明</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联系电话：</w:t>
      </w:r>
      <w:r>
        <w:rPr>
          <w:rFonts w:hint="eastAsia" w:ascii="仿宋_GB2312" w:hAnsi="仿宋_GB2312" w:eastAsia="仿宋_GB2312" w:cs="仿宋_GB2312"/>
          <w:b w:val="0"/>
          <w:bCs/>
          <w:sz w:val="28"/>
          <w:szCs w:val="28"/>
          <w:lang w:val="en-US" w:eastAsia="zh-CN"/>
        </w:rPr>
        <w:t>13975088720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岳阳市住房保障服务中心城陵矶</w:t>
            </w:r>
          </w:p>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新港区分中心绩效自评报告</w:t>
            </w:r>
          </w:p>
          <w:p>
            <w:pPr>
              <w:spacing w:line="560" w:lineRule="exact"/>
              <w:jc w:val="center"/>
              <w:rPr>
                <w:rFonts w:hint="eastAsia" w:ascii="仿宋_GB2312" w:hAnsi="仿宋_GB2312" w:eastAsia="仿宋_GB2312" w:cs="仿宋_GB2312"/>
                <w:b/>
                <w:sz w:val="32"/>
                <w:szCs w:val="32"/>
              </w:rPr>
            </w:pP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lang w:eastAsia="zh-CN"/>
              </w:rPr>
              <w:t>为贯彻落实《中共中央国务院关于全面实施预算绩效管理的意见》精神，</w:t>
            </w:r>
            <w:r>
              <w:rPr>
                <w:rFonts w:hint="eastAsia" w:ascii="仿宋_GB2312" w:hAnsi="仿宋_GB2312" w:eastAsia="仿宋_GB2312" w:cs="仿宋_GB2312"/>
                <w:sz w:val="28"/>
                <w:szCs w:val="28"/>
              </w:rPr>
              <w:t>切实做好20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度部门整体支出绩效自评工作，提高单位资金使用效益，分中心成立了绩效评价工作小组，对一年来整体支出绩效工作进行评定。评价小组通过检查基本支出、项目支出有关账目，收集整理支出相关资料，并根据各部门报送的绩效自评材料进行分析、总结，现将我单位整体支出绩效自评结果报告如下：</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一、单位基本情况</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sz w:val="28"/>
                <w:szCs w:val="28"/>
              </w:rPr>
              <w:t xml:space="preserve"> （一）机构、人员构成</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我单位是隶属于岳阳市住房保障服务中心的全额拨款正科级事业单位。分中心现有在职人员</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人，临聘人员</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人，退休人员2人。</w:t>
            </w:r>
          </w:p>
          <w:p>
            <w:pPr>
              <w:numPr>
                <w:ilvl w:val="0"/>
                <w:numId w:val="4"/>
              </w:numPr>
              <w:spacing w:line="560" w:lineRule="exact"/>
              <w:ind w:left="632" w:leftChars="0" w:firstLine="0" w:firstLineChars="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单位主要职责</w:t>
            </w:r>
          </w:p>
          <w:p>
            <w:pPr>
              <w:numPr>
                <w:ilvl w:val="0"/>
                <w:numId w:val="0"/>
              </w:numPr>
              <w:spacing w:line="560" w:lineRule="exact"/>
              <w:ind w:firstLine="554" w:firstLineChars="200"/>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sz w:val="28"/>
                <w:szCs w:val="28"/>
                <w:lang w:val="en-US" w:eastAsia="zh-CN"/>
              </w:rPr>
              <w:t>1.承担</w:t>
            </w:r>
            <w:r>
              <w:rPr>
                <w:rFonts w:hint="eastAsia" w:ascii="仿宋_GB2312" w:hAnsi="仿宋_GB2312" w:eastAsia="仿宋_GB2312" w:cs="仿宋_GB2312"/>
                <w:i w:val="0"/>
                <w:iCs w:val="0"/>
                <w:color w:val="000000"/>
                <w:kern w:val="0"/>
                <w:sz w:val="28"/>
                <w:szCs w:val="28"/>
                <w:u w:val="none"/>
                <w:lang w:val="en-US" w:eastAsia="zh-CN" w:bidi="ar"/>
              </w:rPr>
              <w:t xml:space="preserve">城陵矶新港区公共租赁住房、保障性租赁住房、共有产权房等保障性住房运营管理的事务性工作；      </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2.承担城陵矶新港区经济适用房上市交易、不完全产权存量公有住房出售的行政辅助工作；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3.承担城陵矶新港区房屋租赁登记备案、房屋租赁合同网签、房屋租赁指导价格发布、房屋租赁价格监测等行政辅助工作；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4.具体组织实施城陵矶新港区保障性住房建设项目申报和资金申报、筹集等事务性工作；                      </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5.承担城陵矶新港区住房保障、房屋租赁、城市人居环境更新、城市提质改造、物业维修资金等数据统计分析、信息发布等事务性工作；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6.负责商品房预售资金监管。</w:t>
            </w:r>
          </w:p>
          <w:p>
            <w:pPr>
              <w:spacing w:line="560" w:lineRule="exact"/>
              <w:ind w:firstLine="554" w:firstLineChars="200"/>
              <w:jc w:val="left"/>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（三）整体支出情况</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我分中心20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年总支出为</w:t>
            </w:r>
            <w:r>
              <w:rPr>
                <w:rFonts w:hint="eastAsia" w:ascii="仿宋_GB2312" w:hAnsi="仿宋_GB2312" w:eastAsia="仿宋_GB2312" w:cs="仿宋_GB2312"/>
                <w:sz w:val="28"/>
                <w:szCs w:val="28"/>
                <w:lang w:val="en-US" w:eastAsia="zh-CN"/>
              </w:rPr>
              <w:t>46.56</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46.56</w:t>
            </w:r>
            <w:r>
              <w:rPr>
                <w:rFonts w:hint="eastAsia" w:ascii="仿宋_GB2312" w:hAnsi="仿宋_GB2312" w:eastAsia="仿宋_GB2312" w:cs="仿宋_GB2312"/>
                <w:sz w:val="28"/>
                <w:szCs w:val="28"/>
              </w:rPr>
              <w:t>万元。</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基本支出</w:t>
            </w:r>
            <w:r>
              <w:rPr>
                <w:rFonts w:hint="eastAsia" w:ascii="仿宋_GB2312" w:hAnsi="仿宋_GB2312" w:eastAsia="仿宋_GB2312" w:cs="仿宋_GB2312"/>
                <w:sz w:val="28"/>
                <w:szCs w:val="28"/>
                <w:lang w:val="en-US" w:eastAsia="zh-CN"/>
              </w:rPr>
              <w:t>46.56</w:t>
            </w:r>
            <w:r>
              <w:rPr>
                <w:rFonts w:hint="eastAsia" w:ascii="仿宋_GB2312" w:hAnsi="仿宋_GB2312" w:eastAsia="仿宋_GB2312" w:cs="仿宋_GB2312"/>
                <w:sz w:val="28"/>
                <w:szCs w:val="28"/>
              </w:rPr>
              <w:t>万元，其中：</w:t>
            </w:r>
            <w:r>
              <w:rPr>
                <w:rFonts w:hint="eastAsia" w:ascii="仿宋_GB2312" w:hAnsi="仿宋_GB2312" w:eastAsia="仿宋_GB2312" w:cs="仿宋_GB2312"/>
                <w:sz w:val="28"/>
                <w:szCs w:val="28"/>
                <w:lang w:eastAsia="zh-CN"/>
              </w:rPr>
              <w:t>人员支出</w:t>
            </w:r>
            <w:r>
              <w:rPr>
                <w:rFonts w:hint="eastAsia" w:ascii="仿宋_GB2312" w:hAnsi="仿宋_GB2312" w:eastAsia="仿宋_GB2312" w:cs="仿宋_GB2312"/>
                <w:sz w:val="28"/>
                <w:szCs w:val="28"/>
                <w:lang w:val="en-US" w:eastAsia="zh-CN"/>
              </w:rPr>
              <w:t>33.33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公用</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13.23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（公务用车运行维护费</w:t>
            </w:r>
            <w:r>
              <w:rPr>
                <w:rFonts w:hint="eastAsia" w:ascii="仿宋_GB2312" w:hAnsi="仿宋_GB2312" w:eastAsia="仿宋_GB2312" w:cs="仿宋_GB2312"/>
                <w:sz w:val="28"/>
                <w:szCs w:val="28"/>
                <w:lang w:val="en-US" w:eastAsia="zh-CN"/>
              </w:rPr>
              <w:t>2.06万元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sz w:val="28"/>
                <w:szCs w:val="28"/>
              </w:rPr>
              <w:t>（四）加强内部控制，厉行节约制度</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加强内部控制。我单位历来重视单位内部管理制度建设及监督，加强财务管理，强化财务监督，增强法纪观念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遵守规章制度。为保证财务管理工作规范有序进行，我单位修改完善了相关财务管理的制度、规定，对各项经费支出实行限额把关、一支笔审批制度。</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厉行节约制度。为切实做好厉行节约工作，全面落实各项管理制度要求，我单位严格公务接待费、差旅费、会议费和培训费审核审批程序，加强对公务用车的管理，做到一事一公函、一事一审批、一事一结账。</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二、单位整体支出绩效情况</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年，为更好地落实部门整体支出绩效情况，我单位成立了绩效评价工作小组，分中心主任李方明任组长、副主任吴荻</w:t>
            </w:r>
            <w:r>
              <w:rPr>
                <w:rFonts w:hint="eastAsia" w:ascii="仿宋_GB2312" w:hAnsi="仿宋_GB2312" w:eastAsia="仿宋_GB2312" w:cs="仿宋_GB2312"/>
                <w:sz w:val="28"/>
                <w:szCs w:val="28"/>
                <w:lang w:eastAsia="zh-CN"/>
              </w:rPr>
              <w:t>、付林传</w:t>
            </w:r>
            <w:r>
              <w:rPr>
                <w:rFonts w:hint="eastAsia" w:ascii="仿宋_GB2312" w:hAnsi="仿宋_GB2312" w:eastAsia="仿宋_GB2312" w:cs="仿宋_GB2312"/>
                <w:sz w:val="28"/>
                <w:szCs w:val="28"/>
              </w:rPr>
              <w:t>任副组长、刘敏、陶智明任成员。根据部门整体支出绩效评价指标体系，我单位20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年度评价得分为</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分。单位整体支出绩效情况如下：</w:t>
            </w:r>
          </w:p>
          <w:p>
            <w:pPr>
              <w:numPr>
                <w:ilvl w:val="0"/>
                <w:numId w:val="0"/>
              </w:numPr>
              <w:spacing w:line="560" w:lineRule="exact"/>
              <w:ind w:firstLine="554"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预算配置（</w:t>
            </w:r>
            <w:r>
              <w:rPr>
                <w:rFonts w:hint="eastAsia" w:ascii="仿宋_GB2312" w:hAnsi="仿宋_GB2312" w:eastAsia="仿宋_GB2312" w:cs="仿宋_GB2312"/>
                <w:sz w:val="28"/>
                <w:szCs w:val="28"/>
                <w:lang w:val="en-US" w:eastAsia="zh-CN"/>
              </w:rPr>
              <w:t>15分</w:t>
            </w:r>
            <w:r>
              <w:rPr>
                <w:rFonts w:hint="eastAsia" w:ascii="仿宋_GB2312" w:hAnsi="仿宋_GB2312" w:eastAsia="仿宋_GB2312" w:cs="仿宋_GB2312"/>
                <w:sz w:val="28"/>
                <w:szCs w:val="28"/>
                <w:lang w:eastAsia="zh-CN"/>
              </w:rPr>
              <w:t>）。我分中心在职人员编制</w:t>
            </w:r>
            <w:r>
              <w:rPr>
                <w:rFonts w:hint="eastAsia" w:ascii="仿宋_GB2312" w:hAnsi="仿宋_GB2312" w:eastAsia="仿宋_GB2312" w:cs="仿宋_GB2312"/>
                <w:sz w:val="28"/>
                <w:szCs w:val="28"/>
                <w:lang w:val="en-US" w:eastAsia="zh-CN"/>
              </w:rPr>
              <w:t>9人，实际人数9人，在职人员控制在编制之内，控制率为100%</w:t>
            </w:r>
            <w:r>
              <w:rPr>
                <w:rFonts w:hint="eastAsia" w:ascii="仿宋_GB2312" w:hAnsi="仿宋_GB2312" w:eastAsia="仿宋_GB2312" w:cs="仿宋_GB2312"/>
                <w:sz w:val="28"/>
                <w:szCs w:val="28"/>
                <w:lang w:eastAsia="zh-CN"/>
              </w:rPr>
              <w:t>。</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预算执行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15分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年预算制度执行总体较为有效，</w:t>
            </w:r>
            <w:r>
              <w:rPr>
                <w:rFonts w:hint="eastAsia" w:ascii="仿宋_GB2312" w:hAnsi="仿宋_GB2312" w:eastAsia="仿宋_GB2312" w:cs="仿宋_GB2312"/>
                <w:sz w:val="28"/>
                <w:szCs w:val="28"/>
                <w:lang w:eastAsia="zh-CN"/>
              </w:rPr>
              <w:t>严格控制“三公”经费。</w:t>
            </w:r>
          </w:p>
          <w:p>
            <w:pPr>
              <w:spacing w:line="560" w:lineRule="exact"/>
              <w:ind w:firstLine="63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3.预算管理（15分）。分中心制订了内部财务制度，</w:t>
            </w:r>
            <w:r>
              <w:rPr>
                <w:rFonts w:hint="eastAsia" w:ascii="仿宋_GB2312" w:hAnsi="仿宋_GB2312" w:eastAsia="仿宋_GB2312" w:cs="仿宋_GB2312"/>
                <w:sz w:val="28"/>
                <w:szCs w:val="28"/>
              </w:rPr>
              <w:t>内部控制制度、会计核算制度等管理制度，并得到有效执行。资金使用无截留、挤占、挪用、虚列等情况。严格按照政府采购制度执行，与政府采购预算金额一致。基础数据信息和会计信息资料真实、完整、准确。并做到公开制。</w:t>
            </w:r>
          </w:p>
          <w:p>
            <w:pPr>
              <w:spacing w:line="560" w:lineRule="exact"/>
              <w:ind w:firstLine="63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4.资产管理（10分）。严格按照资产管理制度合理配置和处置资产，</w:t>
            </w:r>
            <w:r>
              <w:rPr>
                <w:rFonts w:hint="eastAsia" w:ascii="仿宋_GB2312" w:hAnsi="仿宋_GB2312" w:eastAsia="仿宋_GB2312" w:cs="仿宋_GB2312"/>
                <w:kern w:val="0"/>
                <w:sz w:val="28"/>
                <w:szCs w:val="28"/>
              </w:rPr>
              <w:t>资产账务管理合规，帐实相符</w:t>
            </w:r>
            <w:r>
              <w:rPr>
                <w:rFonts w:hint="eastAsia" w:ascii="仿宋_GB2312" w:hAnsi="仿宋_GB2312" w:eastAsia="仿宋_GB2312" w:cs="仿宋_GB2312"/>
                <w:kern w:val="0"/>
                <w:sz w:val="28"/>
                <w:szCs w:val="28"/>
                <w:lang w:eastAsia="zh-CN"/>
              </w:rPr>
              <w:t>。</w:t>
            </w:r>
          </w:p>
          <w:p>
            <w:pPr>
              <w:spacing w:line="560" w:lineRule="exact"/>
              <w:ind w:firstLine="63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职责履行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年我单位在全体干部职工的共同努力下圆满出色完成了各项工作目标和任务。</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履职效益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分。今年我单位的各方面工作都得到社会大众和服务对象的肯定和好评。</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三、存在的问题</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预算编制工作有待细化。预算编制不够明确和细化，预算编制的合理性需要提高，预算执行力度还要进一步加强。</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0" w:name="_GoBack"/>
            <w:bookmarkEnd w:id="0"/>
            <w:r>
              <w:rPr>
                <w:rFonts w:hint="eastAsia" w:ascii="黑体" w:hAnsi="黑体" w:eastAsia="黑体" w:cs="黑体"/>
                <w:sz w:val="28"/>
                <w:szCs w:val="28"/>
              </w:rPr>
              <w:t>四、改进措施和有关建议</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细化预算编制工作，认真做好预算的编制。进一步加强单位内部机构的预算管理意识，严格按照预算编制的相关制度和要求进行预算编制，优先保障固定性、相对刚性的费用支出项目，尽量压缩变动性的、有控制空间的费用项目。</w:t>
            </w:r>
          </w:p>
          <w:p>
            <w:pPr>
              <w:spacing w:line="5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 xml:space="preserve">    </w:t>
            </w:r>
          </w:p>
        </w:tc>
      </w:tr>
    </w:tbl>
    <w:p>
      <w:pPr>
        <w:rPr>
          <w:rFonts w:hint="eastAsia" w:ascii="仿宋_GB2312" w:hAnsi="仿宋_GB2312" w:eastAsia="仿宋_GB2312" w:cs="仿宋_GB2312"/>
        </w:rPr>
      </w:pPr>
      <w:r>
        <w:rPr>
          <w:rFonts w:hint="eastAsia" w:ascii="仿宋_GB2312" w:hAnsi="仿宋_GB2312" w:eastAsia="仿宋_GB2312" w:cs="仿宋_GB2312"/>
          <w:bCs/>
          <w:sz w:val="28"/>
          <w:szCs w:val="28"/>
        </w:rPr>
        <w:br w:type="page"/>
      </w:r>
    </w:p>
    <w:p>
      <w:pPr>
        <w:rPr>
          <w:rFonts w:hint="eastAsia" w:ascii="仿宋_GB2312" w:hAnsi="仿宋_GB2312" w:eastAsia="仿宋_GB2312" w:cs="仿宋_GB2312"/>
          <w:sz w:val="32"/>
          <w:szCs w:val="32"/>
        </w:rPr>
      </w:pPr>
    </w:p>
    <w:p>
      <w:pPr>
        <w:spacing w:beforeLines="50" w:afterLines="50"/>
        <w:jc w:val="center"/>
        <w:rPr>
          <w:rFonts w:hint="eastAsia" w:ascii="仿宋_GB2312" w:hAnsi="仿宋_GB2312" w:eastAsia="仿宋_GB2312" w:cs="仿宋_GB2312"/>
          <w:sz w:val="38"/>
          <w:szCs w:val="38"/>
        </w:rPr>
      </w:pPr>
      <w:r>
        <w:rPr>
          <w:rFonts w:hint="eastAsia" w:ascii="仿宋_GB2312" w:hAnsi="仿宋_GB2312" w:eastAsia="仿宋_GB2312" w:cs="仿宋_GB2312"/>
          <w:b/>
          <w:bCs/>
          <w:sz w:val="32"/>
          <w:szCs w:val="32"/>
          <w:lang w:eastAsia="zh-CN"/>
        </w:rPr>
        <w:t>住保中心新港区分中心</w:t>
      </w:r>
      <w:r>
        <w:rPr>
          <w:rFonts w:hint="eastAsia" w:ascii="仿宋_GB2312" w:hAnsi="仿宋_GB2312" w:eastAsia="仿宋_GB2312" w:cs="仿宋_GB2312"/>
          <w:b/>
          <w:bCs/>
          <w:sz w:val="32"/>
          <w:szCs w:val="32"/>
        </w:rPr>
        <w:t>整体支出绩效评价评分表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0"/>
                <w:kern w:val="0"/>
                <w:sz w:val="18"/>
                <w:szCs w:val="18"/>
              </w:rPr>
            </w:pPr>
            <w:r>
              <w:rPr>
                <w:rFonts w:hint="eastAsia" w:ascii="仿宋_GB2312" w:hAnsi="仿宋_GB2312" w:eastAsia="仿宋_GB2312" w:cs="仿宋_GB2312"/>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  入</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预算配置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财政供养人员</w:t>
            </w:r>
          </w:p>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以100%为标准。在职人员控制率≦100%，计5分；每超过一个百分点扣0.5分，扣完为止。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“三公经费”</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“三公经费”变动率≦0,计5分；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重点支出</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过  程</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预算执行</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春节前下达全部专项资金的50%；6月底前所有专项资金指标全部下达完。</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“三公经费”</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以100%为标准。三公经费控制率≦100%，计6分；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预算管理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管理制度</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①已制定或具有预算资金管理办法，内部财务管理制度、会计核算制度等管理制度，1分；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②相关管理制度合法、合规、完整，1分；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资金使用</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①支出符合国家财经法规和财务管理制度规定以及有关专项资金管理办法的规定；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②资金拨付有完整的审批程序和手续；</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③项目支出按规定经过评估论证；</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④支出符合部门预算批复的用途；</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spacing w:val="-6"/>
                <w:kern w:val="0"/>
                <w:sz w:val="18"/>
                <w:szCs w:val="18"/>
              </w:rPr>
              <w:t>⑤资金使用无截留、挤占、挪用、虚列支出等情况。</w:t>
            </w:r>
            <w:r>
              <w:rPr>
                <w:rFonts w:hint="eastAsia" w:ascii="仿宋_GB2312" w:hAnsi="仿宋_GB2312" w:eastAsia="仿宋_GB2312" w:cs="仿宋_GB2312"/>
                <w:spacing w:val="-6"/>
                <w:kern w:val="0"/>
                <w:sz w:val="18"/>
                <w:szCs w:val="18"/>
              </w:rPr>
              <w:br w:type="textWrapping"/>
            </w:r>
            <w:r>
              <w:rPr>
                <w:rFonts w:hint="eastAsia" w:ascii="仿宋_GB2312" w:hAnsi="仿宋_GB2312" w:eastAsia="仿宋_GB2312" w:cs="仿宋_GB2312"/>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①按规定内容公开预决算信息，1分；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②按规定时限公开预决算信息，0.5分；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③基础数据信息和会计信息资料真实，0.5分；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④基础数据信息和会计信息资料完整，0.5分；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政府采购</w:t>
            </w:r>
          </w:p>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政府采购执行率等于100%的，得3分；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公务卡刷卡率达50％以上的，得3分。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资产管理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管理制度</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①已制定或具有资产管理制度，且相关资产管理制度合法、合规、完整，2分；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bl>
    <w:p>
      <w:pPr>
        <w:rPr>
          <w:rFonts w:hint="eastAsia" w:ascii="仿宋_GB2312" w:hAnsi="仿宋_GB2312" w:eastAsia="仿宋_GB2312" w:cs="仿宋_GB2312"/>
        </w:rPr>
      </w:pP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2"/>
                <w:kern w:val="0"/>
                <w:sz w:val="18"/>
                <w:szCs w:val="18"/>
              </w:rPr>
            </w:pPr>
            <w:r>
              <w:rPr>
                <w:rFonts w:hint="eastAsia" w:ascii="仿宋_GB2312" w:hAnsi="仿宋_GB2312" w:eastAsia="仿宋_GB2312" w:cs="仿宋_GB2312"/>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过  程</w:t>
            </w:r>
          </w:p>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资产管理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资产管理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①资产保存完整；</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②资产配置合理；</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 xml:space="preserve">③资产处置规范； </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④资产账务管理合规，帐实相符；</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⑤资产有偿使用及处置收入及时足额上缴；</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固定资产</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职责履行</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效  果</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履职效益</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此三项指标为设置部门整体支出绩效评价指标时必须考虑的共性要素。</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95%（含）以上计5分；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85%（含）-95%，计3分；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75%（含）-85%，计1分；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val="0"/>
                <w:bCs w:val="0"/>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spacing w:val="-8"/>
                <w:kern w:val="0"/>
                <w:sz w:val="18"/>
                <w:szCs w:val="18"/>
              </w:rPr>
            </w:pPr>
            <w:r>
              <w:rPr>
                <w:rFonts w:hint="eastAsia" w:ascii="仿宋_GB2312" w:hAnsi="仿宋_GB2312" w:eastAsia="仿宋_GB2312" w:cs="仿宋_GB2312"/>
                <w:b/>
                <w:bCs/>
                <w:spacing w:val="-8"/>
                <w:kern w:val="0"/>
                <w:sz w:val="18"/>
                <w:szCs w:val="18"/>
              </w:rPr>
              <w:t>1</w:t>
            </w:r>
            <w:r>
              <w:rPr>
                <w:rFonts w:hint="eastAsia" w:ascii="仿宋_GB2312" w:hAnsi="仿宋_GB2312" w:eastAsia="仿宋_GB2312" w:cs="仿宋_GB2312"/>
                <w:b w:val="0"/>
                <w:bCs w:val="0"/>
                <w:spacing w:val="-8"/>
                <w:kern w:val="0"/>
                <w:sz w:val="18"/>
                <w:szCs w:val="18"/>
              </w:rPr>
              <w:t>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b/>
                <w:bCs/>
                <w:kern w:val="0"/>
                <w:sz w:val="18"/>
                <w:szCs w:val="18"/>
                <w:lang w:val="en-US" w:eastAsia="zh-CN"/>
              </w:rPr>
            </w:pPr>
            <w:r>
              <w:rPr>
                <w:rFonts w:hint="eastAsia" w:ascii="仿宋_GB2312" w:hAnsi="仿宋_GB2312" w:eastAsia="仿宋_GB2312" w:cs="仿宋_GB2312"/>
                <w:b w:val="0"/>
                <w:bCs w:val="0"/>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18"/>
                <w:szCs w:val="18"/>
              </w:rPr>
            </w:pPr>
          </w:p>
        </w:tc>
      </w:tr>
    </w:tbl>
    <w:p>
      <w:pPr>
        <w:spacing w:beforeLines="50"/>
        <w:jc w:val="left"/>
        <w:rPr>
          <w:rFonts w:hint="eastAsia" w:ascii="仿宋_GB2312" w:hAnsi="仿宋_GB2312" w:eastAsia="仿宋_GB2312" w:cs="仿宋_GB2312"/>
          <w:w w:val="95"/>
          <w:sz w:val="28"/>
          <w:szCs w:val="28"/>
        </w:rPr>
      </w:pPr>
      <w:r>
        <w:rPr>
          <w:rFonts w:hint="eastAsia" w:ascii="仿宋_GB2312" w:hAnsi="仿宋_GB2312" w:eastAsia="仿宋_GB2312" w:cs="仿宋_GB2312"/>
          <w:w w:val="95"/>
          <w:kern w:val="0"/>
          <w:sz w:val="28"/>
          <w:szCs w:val="28"/>
        </w:rPr>
        <w:t>备注：如部门（单位）根据本部门实际情况修改调整了附件3《部门整体支出绩效评价指标体系（参考样表）》，须相应修改调整本表中的对应部分。</w:t>
      </w: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714D0"/>
    <w:multiLevelType w:val="singleLevel"/>
    <w:tmpl w:val="C60714D0"/>
    <w:lvl w:ilvl="0" w:tentative="0">
      <w:start w:val="1"/>
      <w:numFmt w:val="chineseCounting"/>
      <w:suff w:val="nothing"/>
      <w:lvlText w:val="（%1）"/>
      <w:lvlJc w:val="left"/>
      <w:rPr>
        <w:rFonts w:hint="eastAsia"/>
      </w:rPr>
    </w:lvl>
  </w:abstractNum>
  <w:abstractNum w:abstractNumId="1">
    <w:nsid w:val="CED04FA8"/>
    <w:multiLevelType w:val="singleLevel"/>
    <w:tmpl w:val="CED04FA8"/>
    <w:lvl w:ilvl="0" w:tentative="0">
      <w:start w:val="1"/>
      <w:numFmt w:val="chineseCounting"/>
      <w:suff w:val="nothing"/>
      <w:lvlText w:val="%1、"/>
      <w:lvlJc w:val="left"/>
      <w:rPr>
        <w:rFonts w:hint="eastAsia"/>
      </w:rPr>
    </w:lvl>
  </w:abstractNum>
  <w:abstractNum w:abstractNumId="2">
    <w:nsid w:val="E60C693D"/>
    <w:multiLevelType w:val="singleLevel"/>
    <w:tmpl w:val="E60C693D"/>
    <w:lvl w:ilvl="0" w:tentative="0">
      <w:start w:val="1"/>
      <w:numFmt w:val="decimal"/>
      <w:lvlText w:val="%1."/>
      <w:lvlJc w:val="left"/>
      <w:pPr>
        <w:tabs>
          <w:tab w:val="left" w:pos="312"/>
        </w:tabs>
      </w:pPr>
    </w:lvl>
  </w:abstractNum>
  <w:abstractNum w:abstractNumId="3">
    <w:nsid w:val="6121E513"/>
    <w:multiLevelType w:val="singleLevel"/>
    <w:tmpl w:val="6121E513"/>
    <w:lvl w:ilvl="0" w:tentative="0">
      <w:start w:val="2"/>
      <w:numFmt w:val="chineseCounting"/>
      <w:suff w:val="nothing"/>
      <w:lvlText w:val="（%1）"/>
      <w:lvlJc w:val="left"/>
      <w:pPr>
        <w:ind w:left="632" w:leftChars="0" w:firstLine="0" w:firstLineChars="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2RjZmEzZjNhOTcwNGQyMWNkOThiZjA0Mzc4MmUifQ=="/>
  </w:docVars>
  <w:rsids>
    <w:rsidRoot w:val="00000000"/>
    <w:rsid w:val="00975D66"/>
    <w:rsid w:val="019404F8"/>
    <w:rsid w:val="02624152"/>
    <w:rsid w:val="03617FD7"/>
    <w:rsid w:val="05655EA2"/>
    <w:rsid w:val="0645433B"/>
    <w:rsid w:val="06FF01C2"/>
    <w:rsid w:val="0777244E"/>
    <w:rsid w:val="08253C58"/>
    <w:rsid w:val="0A466107"/>
    <w:rsid w:val="0BE76D86"/>
    <w:rsid w:val="0C9E58DC"/>
    <w:rsid w:val="0D821B4C"/>
    <w:rsid w:val="0EA63619"/>
    <w:rsid w:val="0FB029A1"/>
    <w:rsid w:val="10B169D0"/>
    <w:rsid w:val="131772E3"/>
    <w:rsid w:val="136E131A"/>
    <w:rsid w:val="17EF768C"/>
    <w:rsid w:val="18AE127C"/>
    <w:rsid w:val="18CD45C3"/>
    <w:rsid w:val="19E971DB"/>
    <w:rsid w:val="1AF063F9"/>
    <w:rsid w:val="22496DB6"/>
    <w:rsid w:val="277D2C0C"/>
    <w:rsid w:val="28591D6E"/>
    <w:rsid w:val="28A73C42"/>
    <w:rsid w:val="28BC5F2E"/>
    <w:rsid w:val="2A763A3B"/>
    <w:rsid w:val="2AA02A1F"/>
    <w:rsid w:val="2C9805ED"/>
    <w:rsid w:val="2E5C533B"/>
    <w:rsid w:val="2F4A2072"/>
    <w:rsid w:val="31BD2FCF"/>
    <w:rsid w:val="32244DFC"/>
    <w:rsid w:val="32E7702F"/>
    <w:rsid w:val="343155AF"/>
    <w:rsid w:val="34AA1521"/>
    <w:rsid w:val="34D826CA"/>
    <w:rsid w:val="361F0A79"/>
    <w:rsid w:val="39875C71"/>
    <w:rsid w:val="3A8B20E6"/>
    <w:rsid w:val="3BEC07D9"/>
    <w:rsid w:val="3CD17087"/>
    <w:rsid w:val="3D1E66CA"/>
    <w:rsid w:val="3EC11C25"/>
    <w:rsid w:val="3FB62E0C"/>
    <w:rsid w:val="416B7BC5"/>
    <w:rsid w:val="43D16466"/>
    <w:rsid w:val="4506146D"/>
    <w:rsid w:val="46627FC6"/>
    <w:rsid w:val="474B29D4"/>
    <w:rsid w:val="48A51A19"/>
    <w:rsid w:val="49ED38CE"/>
    <w:rsid w:val="4A62250E"/>
    <w:rsid w:val="4B4C763E"/>
    <w:rsid w:val="4BA803F5"/>
    <w:rsid w:val="4BCB42A8"/>
    <w:rsid w:val="4C9D5A7F"/>
    <w:rsid w:val="4CBA015A"/>
    <w:rsid w:val="4D2C3D5B"/>
    <w:rsid w:val="4D72378A"/>
    <w:rsid w:val="4E0D2791"/>
    <w:rsid w:val="4ED80A50"/>
    <w:rsid w:val="52D614C1"/>
    <w:rsid w:val="534F1156"/>
    <w:rsid w:val="54B24092"/>
    <w:rsid w:val="55F71472"/>
    <w:rsid w:val="57266671"/>
    <w:rsid w:val="57EC535D"/>
    <w:rsid w:val="58514E39"/>
    <w:rsid w:val="58EF48E5"/>
    <w:rsid w:val="59D966F4"/>
    <w:rsid w:val="5AAE2C06"/>
    <w:rsid w:val="5B0D49A5"/>
    <w:rsid w:val="5EAE22B1"/>
    <w:rsid w:val="5EFF7895"/>
    <w:rsid w:val="5F1C2FDD"/>
    <w:rsid w:val="604069F6"/>
    <w:rsid w:val="6289255C"/>
    <w:rsid w:val="66680A54"/>
    <w:rsid w:val="680546EA"/>
    <w:rsid w:val="681F3395"/>
    <w:rsid w:val="69434E61"/>
    <w:rsid w:val="6BD3279A"/>
    <w:rsid w:val="6CFF5543"/>
    <w:rsid w:val="6D313567"/>
    <w:rsid w:val="6E1A681E"/>
    <w:rsid w:val="6E733508"/>
    <w:rsid w:val="6EC802E2"/>
    <w:rsid w:val="6EFF182A"/>
    <w:rsid w:val="70E52DA9"/>
    <w:rsid w:val="71406A00"/>
    <w:rsid w:val="71FB452B"/>
    <w:rsid w:val="74C533CC"/>
    <w:rsid w:val="756B7C19"/>
    <w:rsid w:val="780166AB"/>
    <w:rsid w:val="7A724CFF"/>
    <w:rsid w:val="7BD858DD"/>
    <w:rsid w:val="7C2A25DC"/>
    <w:rsid w:val="7DCC4E02"/>
    <w:rsid w:val="7FE0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unhideWhenUsed/>
    <w:qFormat/>
    <w:uiPriority w:val="0"/>
    <w:pPr>
      <w:ind w:firstLine="588" w:firstLineChars="200"/>
    </w:pPr>
    <w:rPr>
      <w:rFonts w:ascii="仿宋_GB2312" w:hAnsi="Calibri" w:eastAsia="仿宋_GB2312" w:cs="Times New Roman"/>
      <w:sz w:val="32"/>
      <w:szCs w:val="24"/>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5540</Words>
  <Characters>5936</Characters>
  <Lines>0</Lines>
  <Paragraphs>0</Paragraphs>
  <TotalTime>80</TotalTime>
  <ScaleCrop>false</ScaleCrop>
  <LinksUpToDate>false</LinksUpToDate>
  <CharactersWithSpaces>6554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2022-06-16T02:50:00Z</dcterms:created>
  <dc:creator>Administrator</dc:creator>
  <cp:lastModifiedBy>Administrator</cp:lastModifiedBy>
  <cp:lastPrinted>2022-06-22T03:37:21Z</cp:lastPrinted>
  <dcterms:modified xsi:type="dcterms:W3CDTF">2022-06-22T03:38:28Z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FA379672F8EA4387BB3E039686D850C9</vt:lpwstr>
  </property>
</Properties>
</file>