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w:t>
      </w:r>
      <w:r>
        <w:rPr>
          <w:rFonts w:hint="eastAsia" w:eastAsia="方正小标宋简体"/>
          <w:bCs/>
          <w:sz w:val="46"/>
          <w:szCs w:val="46"/>
          <w:u w:val="single"/>
          <w:lang w:val="en-US" w:eastAsia="zh-CN"/>
        </w:rPr>
        <w:t>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317" w:firstLineChars="100"/>
        <w:rPr>
          <w:rFonts w:hint="eastAsia" w:eastAsia="仿宋_GB2312"/>
          <w:sz w:val="32"/>
          <w:szCs w:val="32"/>
          <w:u w:val="single"/>
          <w:lang w:eastAsia="zh-CN"/>
        </w:rPr>
      </w:pPr>
      <w:r>
        <w:rPr>
          <w:rFonts w:hint="eastAsia" w:eastAsia="仿宋_GB2312"/>
          <w:sz w:val="32"/>
          <w:szCs w:val="32"/>
        </w:rPr>
        <w:t>部门(单位)名称：</w:t>
      </w:r>
      <w:r>
        <w:rPr>
          <w:rFonts w:hint="eastAsia" w:eastAsia="仿宋_GB2312"/>
          <w:sz w:val="32"/>
          <w:szCs w:val="32"/>
          <w:u w:val="single"/>
          <w:lang w:eastAsia="zh-CN"/>
        </w:rPr>
        <w:t>湖南城陵矶临港产业新区土地储备开发中心</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014001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08</w:t>
      </w:r>
      <w:r>
        <w:rPr>
          <w:rFonts w:hint="eastAsia" w:eastAsia="仿宋_GB2312"/>
          <w:sz w:val="32"/>
        </w:rPr>
        <w:t xml:space="preserve"> 月</w:t>
      </w:r>
      <w:r>
        <w:rPr>
          <w:rFonts w:hint="eastAsia" w:eastAsia="仿宋_GB2312"/>
          <w:sz w:val="32"/>
          <w:lang w:val="en-US" w:eastAsia="zh-CN"/>
        </w:rPr>
        <w:t>15</w:t>
      </w:r>
      <w:r>
        <w:rPr>
          <w:rFonts w:hint="eastAsia" w:eastAsia="仿宋_GB2312"/>
          <w:sz w:val="32"/>
        </w:rPr>
        <w:t xml:space="preserve"> 日</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47"/>
        <w:gridCol w:w="212"/>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27" w:type="dxa"/>
            <w:gridSpan w:val="6"/>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何四海</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13607306543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27" w:type="dxa"/>
            <w:gridSpan w:val="6"/>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w:t>
            </w:r>
            <w:r>
              <w:rPr>
                <w:rFonts w:hint="eastAsia" w:ascii="仿宋_GB2312" w:hAnsi="仿宋_GB2312" w:eastAsia="仿宋_GB2312" w:cs="仿宋_GB2312"/>
                <w:color w:val="000000"/>
                <w:sz w:val="24"/>
                <w:szCs w:val="24"/>
              </w:rPr>
              <w:t>人</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w:t>
            </w:r>
            <w:r>
              <w:rPr>
                <w:rFonts w:hint="eastAsia" w:ascii="仿宋_GB2312" w:hAnsi="仿宋_GB2312" w:eastAsia="仿宋_GB2312" w:cs="仿宋_GB2312"/>
                <w:color w:val="00000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12" w:type="dxa"/>
            <w:gridSpan w:val="15"/>
            <w:vAlign w:val="center"/>
          </w:tcPr>
          <w:p>
            <w:pPr>
              <w:autoSpaceDN w:val="0"/>
              <w:spacing w:line="32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负责编制湖南城陵矶新港区规划范围内中长期土地储备规划和年度计划；负责辖区内土地收购</w:t>
            </w:r>
            <w:r>
              <w:rPr>
                <w:rFonts w:hint="eastAsia" w:ascii="仿宋_GB2312" w:hAnsi="仿宋_GB2312" w:eastAsia="仿宋_GB2312" w:cs="仿宋_GB2312"/>
                <w:color w:val="000000"/>
                <w:sz w:val="24"/>
                <w:szCs w:val="24"/>
                <w:lang w:eastAsia="zh-CN"/>
              </w:rPr>
              <w:t>、征拆</w:t>
            </w:r>
            <w:r>
              <w:rPr>
                <w:rFonts w:hint="eastAsia" w:ascii="仿宋_GB2312" w:hAnsi="仿宋_GB2312" w:eastAsia="仿宋_GB2312" w:cs="仿宋_GB2312"/>
                <w:color w:val="000000"/>
                <w:sz w:val="24"/>
                <w:szCs w:val="24"/>
              </w:rPr>
              <w:t>、报批、储备和土地出让的前期工作；负责储备土地的管护、临时利用和前期开发；负责土地储备资金管理等工作。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69"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12"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、充分保障</w:t>
            </w:r>
            <w:r>
              <w:rPr>
                <w:rFonts w:hint="eastAsia" w:ascii="仿宋_GB2312" w:hAnsi="仿宋_GB2312" w:eastAsia="仿宋_GB2312" w:cs="仿宋_GB2312"/>
                <w:color w:val="000000"/>
                <w:sz w:val="24"/>
                <w:szCs w:val="24"/>
              </w:rPr>
              <w:t>项目用地</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安置难题逐步化解</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土地报批科学有序</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szCs w:val="24"/>
                <w:lang w:eastAsia="zh-CN"/>
              </w:rPr>
              <w:t>土地出让成效显著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12" w:type="dxa"/>
            <w:gridSpan w:val="15"/>
            <w:vAlign w:val="center"/>
          </w:tcPr>
          <w:p>
            <w:pPr>
              <w:autoSpaceDN w:val="0"/>
              <w:spacing w:line="320" w:lineRule="exact"/>
              <w:ind w:firstLine="474" w:firstLineChars="20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2021年</w:t>
            </w:r>
            <w:r>
              <w:rPr>
                <w:rFonts w:hint="eastAsia" w:ascii="仿宋_GB2312" w:hAnsi="仿宋_GB2312" w:eastAsia="仿宋_GB2312" w:cs="仿宋_GB2312"/>
                <w:color w:val="000000"/>
                <w:sz w:val="24"/>
                <w:szCs w:val="24"/>
                <w:lang w:eastAsia="zh-CN"/>
              </w:rPr>
              <w:t>在党工委、管委会的正确领导下，在各兄弟单位及两区的大力支持下，我中心紧紧围绕党工委、管委会提出的“95668”目标任务，充分发扬“敢为人先、开放包容、攻坚克难、争创一流”的新港精神，团结协作、攻坚克难、奋勇拼搏，较好的完成各项工作任务。</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（一）项目用地充分保障</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全中心始终坚持“一切为了项目，为了项目的一切”中心思想，创新工作方法，加大工作力度，为项目用地提供了坚实的保障。一是紧盯目标，不打折扣。克服资金不足、人手不够、关系不顺、遗留问题众多等困难，共完成土地收储2585.86亩（其中集体土地1776.6亩，国有土地809.26亩），完成目标任务129%，拆除房屋472栋（户），完成目标任务118%，全面超额完成年初目标工作任务。二是突出重点，强化保障。在未支付征拆款的情况下，做通凯门科技的工作，确保了攀华项目顺利开工建设。沿江环湖生态旅游廊道项目49户自今年8月启动征拆起，从签订协议到房屋拆除仅花费35天，确保了该项目的正常推进；城陵矶片区胜利组112户用时2个月，梅溪片区任家组22户用时15天，市城投芭蕉湖项目155户用时3个月，以上项目均全面完成工作任务。另外，我中心全面完成限时撤批斑竹垅、肉联厂周边地段等3个项目征拆任务，EOD数字经济总部及融盛电力二期目前仅剩2栋房屋未签订征收补偿协议，预计在2022年1月可全面实现腾地清零。</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三是攻坚克难，敢于碰硬。充分发扬“敢于碰硬、善于碰硬”的优良作风，处理解决历时近十年的征拆遗留问题13个，妥善解决了2009年以来一直征而未拆的李元科、李群科等五户居民的房屋征收问题，从而顺利推进了多式联运物流园二期项目的开工建设和华能热力管道的改迁工作；采取保护性施工措施，确保了6906二期、江陵中路（刘青焱问题持续七年未解决）的项目的顺利推进；针对一直困扰综保区发展的宋先肆四兄弟土地及房屋征收问题和阻碍城陵矶路建设的罗云岗户，已做好司法强拆全部前期准备工作，将择时组织实施。</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（二）安置难题逐步化解</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安置工作滞后，是我区乃至全市的共同难题，为了保障被征拆群众的切身利益，在确保被征拆居民拆有所居方面，我中心在化解安置难题上下足功夫。一是加大协调力度，确保安置房项目顺利开工建设。谭家湖安置小区、松阳湖安置小区因各种原因，在完成招投标后迟迟不能动工建设。我中心明确目标任务、严格落实责任，及时化解了累计多年的矛盾，确保了两个安置小区的顺利开工。二是积极主动作为，确保已建成安置房分配到位。新港区2021年共计完成选房762套，实物安置1488人，货币补贴544户，货币安置1697人。其中，云溪区完成选房762套，安置1488人，实行货币补贴安置143户，452人；岳阳楼区实行货币补贴安置401户，1245人。菱泊湖五期安置房选房工作于2021年8月26日启动，至10月15日顺利结束，共有330户被征收人参加选房，选定房源732套，整个选房过程平稳顺利，取得了良好社会效果。三是严格把关审核，多途径化解安置难题。首先是严格核对安置人口，做到严进严分。今年我中心联合相关职能部门及各项目部，严格依法依规，认定了市城投芭蕉湖收储、攀华、中储粮等12个项目3869人的安置资格审查认定工作。其次在项目实施过程中，大力推行货币化安置，及时化解我区的安置难题。</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（三）土地报批科学有序</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由于今年新的法律法规及空间用途管制的实施，行政审批制度发生重大变革，征拆工作与用地报批工作必须同步上报审批，工作难度成倍增加。面对困难，中心集思广益、科学部署、敢于破冰，超额完成目标任务。首先是打通绿色通道，打开报批新局面。根据新政策新要求，我中心与资规分局积极联动，通过向省自然资源厅汇报，申请到了在用地报批项目以自贸区名义直报省自然资源厅审批，打开了新的用地报批绿色通道。同时利用政策红利，努力降低报批成本。通过向省厅积极对接，我区全年用地报批全部使用省厅新增建设用地年度计划，购买耕地占补平衡指标采用“最低等级耕地+粮食产能+省厅最低限价+分期付款”方式，最大幅度降低土地报批成本。截止目前，累计已完成省厅审批11个批次，合计2793.642亩，完成率为140%（年初目标为2000亩）。</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（四）土地出让成效显著</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今年我中心组织编制了北环线南地块、环白杨湖公园东、西、南地块、糖粒子幼儿园五个项目的概念性规划，完成了58宗土地确权测绘工作。全年提供净地资料52宗，配合资源规划分局出让土地37宗，完成成交25宗，共计3051亩，成交额为19.8亿元。目前尚有8宗土地正在挂牌出让中，土地出让价款为5.2亿元，全面完成管委会10月份下达的出让收入25亿元任务，完成年初17亿目标的147%。另外还有6宗土地1200亩拟按土地成本划拨港建投，预计可化债8.4亿元。</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57650.07</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49615.97</w:t>
            </w:r>
          </w:p>
        </w:tc>
        <w:tc>
          <w:tcPr>
            <w:tcW w:w="1705"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8034.10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57650.07</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49615.97</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8034.10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57650.07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206.22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68.56</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137.66</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57443.85</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57650.07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206.22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68.56</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137.66</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57443.85</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1、完成年度土地储备计划的编制；</w:t>
            </w: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2、承担临港产业新区范围内分批次征用储备土地的具体事务；</w:t>
            </w:r>
          </w:p>
          <w:p>
            <w:pPr>
              <w:autoSpaceDN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3、对收回的存量土地实施储备、管理，建好土地储备库；</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4、向管委会提供储备土地与土地开发的有关情况</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均已按照年初党工委、管委会要求完成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指标：商业地块履约保证金100%收缴到位</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指标1：保障土地</w:t>
            </w:r>
            <w:r>
              <w:rPr>
                <w:rFonts w:hint="eastAsia" w:ascii="仿宋_GB2312" w:hAnsi="仿宋_GB2312" w:eastAsia="仿宋_GB2312" w:cs="仿宋_GB2312"/>
                <w:color w:val="000000"/>
                <w:sz w:val="24"/>
                <w:szCs w:val="24"/>
                <w:lang w:eastAsia="zh-CN"/>
              </w:rPr>
              <w:t>出让</w:t>
            </w:r>
            <w:r>
              <w:rPr>
                <w:rFonts w:hint="eastAsia" w:ascii="仿宋_GB2312" w:hAnsi="仿宋_GB2312" w:eastAsia="仿宋_GB2312" w:cs="仿宋_GB2312"/>
                <w:color w:val="000000"/>
                <w:sz w:val="24"/>
                <w:szCs w:val="24"/>
              </w:rPr>
              <w:t>资金</w:t>
            </w:r>
            <w:r>
              <w:rPr>
                <w:rFonts w:hint="eastAsia" w:ascii="仿宋_GB2312" w:hAnsi="仿宋_GB2312" w:eastAsia="仿宋_GB2312" w:cs="仿宋_GB2312"/>
                <w:color w:val="000000"/>
                <w:sz w:val="24"/>
                <w:szCs w:val="24"/>
                <w:lang w:val="en-US" w:eastAsia="zh-CN"/>
              </w:rPr>
              <w:t>17</w:t>
            </w:r>
            <w:r>
              <w:rPr>
                <w:rFonts w:hint="eastAsia" w:ascii="仿宋_GB2312" w:hAnsi="仿宋_GB2312" w:eastAsia="仿宋_GB2312" w:cs="仿宋_GB2312"/>
                <w:color w:val="000000"/>
                <w:sz w:val="24"/>
                <w:szCs w:val="24"/>
              </w:rPr>
              <w:t>亿元的到位；</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指标2：完成土地</w:t>
            </w:r>
            <w:r>
              <w:rPr>
                <w:rFonts w:hint="eastAsia" w:ascii="仿宋_GB2312" w:hAnsi="仿宋_GB2312" w:eastAsia="仿宋_GB2312" w:cs="仿宋_GB2312"/>
                <w:color w:val="000000"/>
                <w:sz w:val="24"/>
                <w:szCs w:val="24"/>
                <w:lang w:eastAsia="zh-CN"/>
              </w:rPr>
              <w:t>报批</w:t>
            </w:r>
            <w:r>
              <w:rPr>
                <w:rFonts w:hint="eastAsia" w:ascii="仿宋_GB2312" w:hAnsi="仿宋_GB2312" w:eastAsia="仿宋_GB2312" w:cs="仿宋_GB2312"/>
                <w:color w:val="000000"/>
                <w:sz w:val="24"/>
                <w:szCs w:val="24"/>
                <w:lang w:val="en-US" w:eastAsia="zh-CN"/>
              </w:rPr>
              <w:t>2000亩</w:t>
            </w:r>
            <w:r>
              <w:rPr>
                <w:rFonts w:hint="eastAsia" w:ascii="仿宋_GB2312" w:hAnsi="仿宋_GB2312" w:eastAsia="仿宋_GB2312" w:cs="仿宋_GB2312"/>
                <w:color w:val="000000"/>
                <w:sz w:val="24"/>
                <w:szCs w:val="24"/>
              </w:rPr>
              <w:t>；</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2021年内完成</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指标：严格控制预算开支</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指标：规范土地使用、开发，保证储备土地升值；</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指标：实现土地出让竞买保证金按评估地价的100%缴纳，保障土地收入入账；</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指标：支持新港区</w:t>
            </w:r>
            <w:r>
              <w:rPr>
                <w:rFonts w:hint="eastAsia" w:ascii="仿宋_GB2312" w:hAnsi="仿宋_GB2312" w:eastAsia="仿宋_GB2312" w:cs="仿宋_GB2312"/>
                <w:color w:val="000000"/>
                <w:sz w:val="24"/>
                <w:szCs w:val="24"/>
                <w:lang w:eastAsia="zh-CN"/>
              </w:rPr>
              <w:t>蓬勃发展</w:t>
            </w:r>
            <w:r>
              <w:rPr>
                <w:rFonts w:hint="eastAsia" w:ascii="仿宋_GB2312" w:hAnsi="仿宋_GB2312" w:eastAsia="仿宋_GB2312" w:cs="仿宋_GB2312"/>
                <w:color w:val="000000"/>
                <w:sz w:val="24"/>
                <w:szCs w:val="24"/>
              </w:rPr>
              <w:t>；</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指标：服务对象满意度达到95%；群众满意度达到95%</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2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李汉武</w:t>
            </w:r>
          </w:p>
        </w:tc>
        <w:tc>
          <w:tcPr>
            <w:tcW w:w="372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土地储备中心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宇</w:t>
            </w:r>
          </w:p>
        </w:tc>
        <w:tc>
          <w:tcPr>
            <w:tcW w:w="372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土地储备中心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何四海</w:t>
            </w:r>
          </w:p>
        </w:tc>
        <w:tc>
          <w:tcPr>
            <w:tcW w:w="372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lang w:val="en-US" w:eastAsia="zh-CN"/>
              </w:rPr>
              <w:t>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土地储备中心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一、部门（单位）概况</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（一）中心职能职责</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土地储备中心为新港区管委会下属正科级公益一类事业单位，设主任1名，副主任2名。</w:t>
            </w:r>
            <w:r>
              <w:rPr>
                <w:rFonts w:hint="eastAsia" w:ascii="仿宋_GB2312" w:hAnsi="仿宋_GB2312" w:eastAsia="仿宋_GB2312" w:cs="仿宋_GB2312"/>
                <w:bCs/>
                <w:sz w:val="24"/>
                <w:szCs w:val="24"/>
                <w:lang w:eastAsia="zh-CN"/>
              </w:rPr>
              <w:t>根据党工委、管委会的安排</w:t>
            </w:r>
            <w:r>
              <w:rPr>
                <w:rFonts w:hint="eastAsia" w:ascii="仿宋_GB2312" w:hAnsi="仿宋_GB2312" w:eastAsia="仿宋_GB2312" w:cs="仿宋_GB2312"/>
                <w:bCs/>
                <w:sz w:val="24"/>
                <w:szCs w:val="24"/>
              </w:rPr>
              <w:t>目前</w:t>
            </w:r>
            <w:r>
              <w:rPr>
                <w:rFonts w:hint="eastAsia" w:ascii="仿宋_GB2312" w:hAnsi="仿宋_GB2312" w:eastAsia="仿宋_GB2312" w:cs="仿宋_GB2312"/>
                <w:bCs/>
                <w:sz w:val="24"/>
                <w:szCs w:val="24"/>
                <w:lang w:eastAsia="zh-CN"/>
              </w:rPr>
              <w:t>中心职能</w:t>
            </w:r>
            <w:r>
              <w:rPr>
                <w:rFonts w:hint="eastAsia" w:ascii="仿宋_GB2312" w:hAnsi="仿宋_GB2312" w:eastAsia="仿宋_GB2312" w:cs="仿宋_GB2312"/>
                <w:bCs/>
                <w:sz w:val="24"/>
                <w:szCs w:val="24"/>
              </w:rPr>
              <w:t>职责</w:t>
            </w:r>
            <w:r>
              <w:rPr>
                <w:rFonts w:hint="eastAsia" w:ascii="仿宋_GB2312" w:hAnsi="仿宋_GB2312" w:eastAsia="仿宋_GB2312" w:cs="仿宋_GB2312"/>
                <w:bCs/>
                <w:sz w:val="24"/>
                <w:szCs w:val="24"/>
                <w:lang w:eastAsia="zh-CN"/>
              </w:rPr>
              <w:t>为：</w:t>
            </w:r>
            <w:r>
              <w:rPr>
                <w:rFonts w:hint="eastAsia" w:ascii="仿宋_GB2312" w:hAnsi="仿宋_GB2312" w:eastAsia="仿宋_GB2312" w:cs="仿宋_GB2312"/>
                <w:bCs/>
                <w:sz w:val="24"/>
                <w:szCs w:val="24"/>
              </w:rPr>
              <w:t>负责编制新港区规划范围内土地储备计划和供应计划、承担储备项目监测监管平台年报和维护等工作；负责新港区规划范围内的集体土地报批、使用林地可行性论证报告、集体土地征拆与安置、征拆成本概算编制、国有土地使用权收购等工作；负责新港区规划范围内储备土地的前期开发（土地一级开发）管理、临时利用等工作；负责新港区规划范围内的储备土地的出让前期工作，包括确权、出库、净地资料准备等相关技术支持与服务保障等工作；负责新港区规划范围内的土地出库经营性用地的概念性规划及方案调整等工作；负责新港区土地储备资金运用与管理等工作；</w:t>
            </w:r>
          </w:p>
          <w:p>
            <w:pPr>
              <w:numPr>
                <w:ilvl w:val="0"/>
                <w:numId w:val="1"/>
              </w:num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人员配备与分工情况</w:t>
            </w:r>
          </w:p>
          <w:p>
            <w:pPr>
              <w:numPr>
                <w:ilvl w:val="0"/>
                <w:numId w:val="0"/>
              </w:num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截止目前，我中心现有工作人员1</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名。按业务板块分为4个科室，分别为综合计划科主要负责建设用地报批、办公室等工作；征拆安置科主要负责港区范围内土地征拆与安置；财务管理科主要负责储备资金的运用与管理；土地储备管理科主要负责土地储备和供应计划，以及土地出让前期等工作</w:t>
            </w:r>
            <w:r>
              <w:rPr>
                <w:rFonts w:hint="eastAsia" w:ascii="仿宋_GB2312" w:hAnsi="仿宋_GB2312" w:eastAsia="仿宋_GB2312" w:cs="仿宋_GB2312"/>
                <w:bCs/>
                <w:sz w:val="24"/>
                <w:szCs w:val="24"/>
                <w:lang w:eastAsia="zh-CN"/>
              </w:rPr>
              <w:t>。</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二、部门（单位）整体支出管理及使用情况</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（一）基本支出</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2021</w:t>
            </w:r>
            <w:r>
              <w:rPr>
                <w:rFonts w:hint="eastAsia" w:ascii="仿宋_GB2312" w:hAnsi="仿宋_GB2312" w:eastAsia="仿宋_GB2312" w:cs="仿宋_GB2312"/>
                <w:bCs/>
                <w:sz w:val="24"/>
                <w:szCs w:val="24"/>
              </w:rPr>
              <w:t>年土地储备中心基本支出预算安排</w:t>
            </w:r>
            <w:r>
              <w:rPr>
                <w:rFonts w:hint="eastAsia" w:ascii="仿宋_GB2312" w:hAnsi="仿宋_GB2312" w:eastAsia="仿宋_GB2312" w:cs="仿宋_GB2312"/>
                <w:bCs/>
                <w:sz w:val="24"/>
                <w:szCs w:val="24"/>
                <w:lang w:val="en-US" w:eastAsia="zh-CN"/>
              </w:rPr>
              <w:t>206.22</w:t>
            </w:r>
            <w:r>
              <w:rPr>
                <w:rFonts w:hint="eastAsia" w:ascii="仿宋_GB2312" w:hAnsi="仿宋_GB2312" w:eastAsia="仿宋_GB2312" w:cs="仿宋_GB2312"/>
                <w:bCs/>
                <w:sz w:val="24"/>
                <w:szCs w:val="24"/>
              </w:rPr>
              <w:t>万元，实际使用</w:t>
            </w:r>
            <w:r>
              <w:rPr>
                <w:rFonts w:hint="eastAsia" w:ascii="仿宋_GB2312" w:hAnsi="仿宋_GB2312" w:eastAsia="仿宋_GB2312" w:cs="仿宋_GB2312"/>
                <w:bCs/>
                <w:sz w:val="24"/>
                <w:szCs w:val="24"/>
                <w:lang w:val="en-US" w:eastAsia="zh-CN"/>
              </w:rPr>
              <w:t>206.22</w:t>
            </w:r>
            <w:r>
              <w:rPr>
                <w:rFonts w:hint="eastAsia" w:ascii="仿宋_GB2312" w:hAnsi="仿宋_GB2312" w:eastAsia="仿宋_GB2312" w:cs="仿宋_GB2312"/>
                <w:bCs/>
                <w:sz w:val="24"/>
                <w:szCs w:val="24"/>
              </w:rPr>
              <w:t>万元；结余为</w:t>
            </w:r>
            <w:r>
              <w:rPr>
                <w:rFonts w:hint="eastAsia" w:ascii="仿宋_GB2312" w:hAnsi="仿宋_GB2312" w:eastAsia="仿宋_GB2312" w:cs="仿宋_GB2312"/>
                <w:bCs/>
                <w:sz w:val="24"/>
                <w:szCs w:val="24"/>
                <w:lang w:val="en-US" w:eastAsia="zh-CN"/>
              </w:rPr>
              <w:t>0</w:t>
            </w:r>
            <w:r>
              <w:rPr>
                <w:rFonts w:hint="eastAsia" w:ascii="仿宋_GB2312" w:hAnsi="仿宋_GB2312" w:eastAsia="仿宋_GB2312" w:cs="仿宋_GB2312"/>
                <w:bCs/>
                <w:sz w:val="24"/>
                <w:szCs w:val="24"/>
              </w:rPr>
              <w:t>。</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（二）专项支出</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项目专项资金</w:t>
            </w:r>
            <w:r>
              <w:rPr>
                <w:rFonts w:hint="eastAsia" w:ascii="仿宋_GB2312" w:hAnsi="仿宋_GB2312" w:eastAsia="仿宋_GB2312" w:cs="仿宋_GB2312"/>
                <w:bCs/>
                <w:sz w:val="24"/>
                <w:szCs w:val="24"/>
                <w:lang w:val="en-US" w:eastAsia="zh-CN"/>
              </w:rPr>
              <w:t>2021</w:t>
            </w:r>
            <w:r>
              <w:rPr>
                <w:rFonts w:hint="eastAsia" w:ascii="仿宋_GB2312" w:hAnsi="仿宋_GB2312" w:eastAsia="仿宋_GB2312" w:cs="仿宋_GB2312"/>
                <w:bCs/>
                <w:sz w:val="24"/>
                <w:szCs w:val="24"/>
              </w:rPr>
              <w:t>年预算安排</w:t>
            </w:r>
            <w:r>
              <w:rPr>
                <w:rFonts w:hint="eastAsia" w:ascii="仿宋_GB2312" w:hAnsi="仿宋_GB2312" w:eastAsia="仿宋_GB2312" w:cs="仿宋_GB2312"/>
                <w:bCs/>
                <w:sz w:val="24"/>
                <w:szCs w:val="24"/>
                <w:lang w:val="en-US" w:eastAsia="zh-CN"/>
              </w:rPr>
              <w:t>57443.85</w:t>
            </w:r>
            <w:r>
              <w:rPr>
                <w:rFonts w:hint="eastAsia" w:ascii="仿宋_GB2312" w:hAnsi="仿宋_GB2312" w:eastAsia="仿宋_GB2312" w:cs="仿宋_GB2312"/>
                <w:bCs/>
                <w:sz w:val="24"/>
                <w:szCs w:val="24"/>
              </w:rPr>
              <w:t>万元，实际使用</w:t>
            </w:r>
            <w:r>
              <w:rPr>
                <w:rFonts w:hint="eastAsia" w:ascii="仿宋_GB2312" w:hAnsi="仿宋_GB2312" w:eastAsia="仿宋_GB2312" w:cs="仿宋_GB2312"/>
                <w:bCs/>
                <w:sz w:val="24"/>
                <w:szCs w:val="24"/>
                <w:lang w:val="en-US" w:eastAsia="zh-CN"/>
              </w:rPr>
              <w:t>57443.85</w:t>
            </w:r>
            <w:r>
              <w:rPr>
                <w:rFonts w:hint="eastAsia" w:ascii="仿宋_GB2312" w:hAnsi="仿宋_GB2312" w:eastAsia="仿宋_GB2312" w:cs="仿宋_GB2312"/>
                <w:bCs/>
                <w:sz w:val="24"/>
                <w:szCs w:val="24"/>
              </w:rPr>
              <w:t>万元，结余</w:t>
            </w:r>
            <w:r>
              <w:rPr>
                <w:rFonts w:hint="eastAsia" w:ascii="仿宋_GB2312" w:hAnsi="仿宋_GB2312" w:eastAsia="仿宋_GB2312" w:cs="仿宋_GB2312"/>
                <w:bCs/>
                <w:sz w:val="24"/>
                <w:szCs w:val="24"/>
                <w:lang w:eastAsia="zh-CN"/>
              </w:rPr>
              <w:t>为</w:t>
            </w:r>
            <w:r>
              <w:rPr>
                <w:rFonts w:hint="eastAsia" w:ascii="仿宋_GB2312" w:hAnsi="仿宋_GB2312" w:eastAsia="仿宋_GB2312" w:cs="仿宋_GB2312"/>
                <w:bCs/>
                <w:sz w:val="24"/>
                <w:szCs w:val="24"/>
                <w:lang w:val="en-US" w:eastAsia="zh-CN"/>
              </w:rPr>
              <w:t>0</w:t>
            </w:r>
            <w:r>
              <w:rPr>
                <w:rFonts w:hint="eastAsia" w:ascii="仿宋_GB2312" w:hAnsi="仿宋_GB2312" w:eastAsia="仿宋_GB2312" w:cs="仿宋_GB2312"/>
                <w:bCs/>
                <w:sz w:val="24"/>
                <w:szCs w:val="24"/>
              </w:rPr>
              <w:t xml:space="preserve">。 </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三、部门（单位）专项组织实施情况</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土地储备中心严格按照财政资金管理办法，使用各项资金，专款专用，做好了资金使用台账。经统计，</w:t>
            </w:r>
            <w:r>
              <w:rPr>
                <w:rFonts w:hint="eastAsia" w:ascii="仿宋_GB2312" w:hAnsi="仿宋_GB2312" w:eastAsia="仿宋_GB2312" w:cs="仿宋_GB2312"/>
                <w:bCs/>
                <w:sz w:val="24"/>
                <w:szCs w:val="24"/>
                <w:lang w:val="en-US" w:eastAsia="zh-CN"/>
              </w:rPr>
              <w:t>2021</w:t>
            </w:r>
            <w:r>
              <w:rPr>
                <w:rFonts w:hint="eastAsia" w:ascii="仿宋_GB2312" w:hAnsi="仿宋_GB2312" w:eastAsia="仿宋_GB2312" w:cs="仿宋_GB2312"/>
                <w:bCs/>
                <w:sz w:val="24"/>
                <w:szCs w:val="24"/>
              </w:rPr>
              <w:t>年预算安排实际使用</w:t>
            </w:r>
            <w:r>
              <w:rPr>
                <w:rFonts w:hint="eastAsia" w:ascii="仿宋_GB2312" w:hAnsi="仿宋_GB2312" w:eastAsia="仿宋_GB2312" w:cs="仿宋_GB2312"/>
                <w:bCs/>
                <w:sz w:val="24"/>
                <w:szCs w:val="24"/>
                <w:lang w:val="en-US" w:eastAsia="zh-CN"/>
              </w:rPr>
              <w:t>57443.85</w:t>
            </w:r>
            <w:r>
              <w:rPr>
                <w:rFonts w:hint="eastAsia" w:ascii="仿宋_GB2312" w:hAnsi="仿宋_GB2312" w:eastAsia="仿宋_GB2312" w:cs="仿宋_GB2312"/>
                <w:bCs/>
                <w:sz w:val="24"/>
                <w:szCs w:val="24"/>
              </w:rPr>
              <w:t>万元，</w:t>
            </w:r>
            <w:r>
              <w:rPr>
                <w:rFonts w:hint="eastAsia" w:ascii="仿宋_GB2312" w:hAnsi="仿宋_GB2312" w:eastAsia="仿宋_GB2312" w:cs="仿宋_GB2312"/>
                <w:bCs/>
                <w:sz w:val="24"/>
                <w:szCs w:val="24"/>
                <w:lang w:eastAsia="zh-CN"/>
              </w:rPr>
              <w:t>无</w:t>
            </w:r>
            <w:r>
              <w:rPr>
                <w:rFonts w:hint="eastAsia" w:ascii="仿宋_GB2312" w:hAnsi="仿宋_GB2312" w:eastAsia="仿宋_GB2312" w:cs="仿宋_GB2312"/>
                <w:bCs/>
                <w:sz w:val="24"/>
                <w:szCs w:val="24"/>
              </w:rPr>
              <w:t>结余</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节省了财政资金，提高了财政资金使用效率。</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四、部门（单位）整体支出绩效情况</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土地储备中心严格按照财政资金管理办法，使用各项基本支出、项目支出等专用资金，做好了资金使用台账。经统计，</w:t>
            </w:r>
            <w:r>
              <w:rPr>
                <w:rFonts w:hint="eastAsia" w:ascii="仿宋_GB2312" w:hAnsi="仿宋_GB2312" w:eastAsia="仿宋_GB2312" w:cs="仿宋_GB2312"/>
                <w:bCs/>
                <w:sz w:val="24"/>
                <w:szCs w:val="24"/>
                <w:lang w:val="en-US" w:eastAsia="zh-CN"/>
              </w:rPr>
              <w:t>2021</w:t>
            </w:r>
            <w:r>
              <w:rPr>
                <w:rFonts w:hint="eastAsia" w:ascii="仿宋_GB2312" w:hAnsi="仿宋_GB2312" w:eastAsia="仿宋_GB2312" w:cs="仿宋_GB2312"/>
                <w:bCs/>
                <w:sz w:val="24"/>
                <w:szCs w:val="24"/>
              </w:rPr>
              <w:t>年土地储备中心基本支出预算安排</w:t>
            </w:r>
            <w:r>
              <w:rPr>
                <w:rFonts w:hint="eastAsia" w:ascii="仿宋_GB2312" w:hAnsi="仿宋_GB2312" w:eastAsia="仿宋_GB2312" w:cs="仿宋_GB2312"/>
                <w:bCs/>
                <w:sz w:val="24"/>
                <w:szCs w:val="24"/>
                <w:lang w:val="en-US" w:eastAsia="zh-CN"/>
              </w:rPr>
              <w:t>206.22</w:t>
            </w:r>
            <w:r>
              <w:rPr>
                <w:rFonts w:hint="eastAsia" w:ascii="仿宋_GB2312" w:hAnsi="仿宋_GB2312" w:eastAsia="仿宋_GB2312" w:cs="仿宋_GB2312"/>
                <w:bCs/>
                <w:sz w:val="24"/>
                <w:szCs w:val="24"/>
              </w:rPr>
              <w:t>万元，实际使用</w:t>
            </w:r>
            <w:r>
              <w:rPr>
                <w:rFonts w:hint="eastAsia" w:ascii="仿宋_GB2312" w:hAnsi="仿宋_GB2312" w:eastAsia="仿宋_GB2312" w:cs="仿宋_GB2312"/>
                <w:bCs/>
                <w:sz w:val="24"/>
                <w:szCs w:val="24"/>
                <w:lang w:val="en-US" w:eastAsia="zh-CN"/>
              </w:rPr>
              <w:t>206.22</w:t>
            </w:r>
            <w:r>
              <w:rPr>
                <w:rFonts w:hint="eastAsia" w:ascii="仿宋_GB2312" w:hAnsi="仿宋_GB2312" w:eastAsia="仿宋_GB2312" w:cs="仿宋_GB2312"/>
                <w:bCs/>
                <w:sz w:val="24"/>
                <w:szCs w:val="24"/>
              </w:rPr>
              <w:t>万元；结余为</w:t>
            </w:r>
            <w:r>
              <w:rPr>
                <w:rFonts w:hint="eastAsia" w:ascii="仿宋_GB2312" w:hAnsi="仿宋_GB2312" w:eastAsia="仿宋_GB2312" w:cs="仿宋_GB2312"/>
                <w:bCs/>
                <w:sz w:val="24"/>
                <w:szCs w:val="24"/>
                <w:lang w:val="en-US" w:eastAsia="zh-CN"/>
              </w:rPr>
              <w:t>0</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项目专项资金</w:t>
            </w:r>
            <w:r>
              <w:rPr>
                <w:rFonts w:hint="eastAsia" w:ascii="仿宋_GB2312" w:hAnsi="仿宋_GB2312" w:eastAsia="仿宋_GB2312" w:cs="仿宋_GB2312"/>
                <w:bCs/>
                <w:sz w:val="24"/>
                <w:szCs w:val="24"/>
                <w:lang w:val="en-US" w:eastAsia="zh-CN"/>
              </w:rPr>
              <w:t>2021</w:t>
            </w:r>
            <w:r>
              <w:rPr>
                <w:rFonts w:hint="eastAsia" w:ascii="仿宋_GB2312" w:hAnsi="仿宋_GB2312" w:eastAsia="仿宋_GB2312" w:cs="仿宋_GB2312"/>
                <w:bCs/>
                <w:sz w:val="24"/>
                <w:szCs w:val="24"/>
              </w:rPr>
              <w:t>年预算安排</w:t>
            </w:r>
            <w:r>
              <w:rPr>
                <w:rFonts w:hint="eastAsia" w:ascii="仿宋_GB2312" w:hAnsi="仿宋_GB2312" w:eastAsia="仿宋_GB2312" w:cs="仿宋_GB2312"/>
                <w:bCs/>
                <w:sz w:val="24"/>
                <w:szCs w:val="24"/>
                <w:lang w:val="en-US" w:eastAsia="zh-CN"/>
              </w:rPr>
              <w:t>57443.85</w:t>
            </w:r>
            <w:r>
              <w:rPr>
                <w:rFonts w:hint="eastAsia" w:ascii="仿宋_GB2312" w:hAnsi="仿宋_GB2312" w:eastAsia="仿宋_GB2312" w:cs="仿宋_GB2312"/>
                <w:bCs/>
                <w:sz w:val="24"/>
                <w:szCs w:val="24"/>
              </w:rPr>
              <w:t>万元，实际使用</w:t>
            </w:r>
            <w:r>
              <w:rPr>
                <w:rFonts w:hint="eastAsia" w:ascii="仿宋_GB2312" w:hAnsi="仿宋_GB2312" w:eastAsia="仿宋_GB2312" w:cs="仿宋_GB2312"/>
                <w:bCs/>
                <w:sz w:val="24"/>
                <w:szCs w:val="24"/>
                <w:lang w:val="en-US" w:eastAsia="zh-CN"/>
              </w:rPr>
              <w:t>57443.85</w:t>
            </w:r>
            <w:r>
              <w:rPr>
                <w:rFonts w:hint="eastAsia" w:ascii="仿宋_GB2312" w:hAnsi="仿宋_GB2312" w:eastAsia="仿宋_GB2312" w:cs="仿宋_GB2312"/>
                <w:bCs/>
                <w:sz w:val="24"/>
                <w:szCs w:val="24"/>
              </w:rPr>
              <w:t>万元，结余</w:t>
            </w:r>
            <w:r>
              <w:rPr>
                <w:rFonts w:hint="eastAsia" w:ascii="仿宋_GB2312" w:hAnsi="仿宋_GB2312" w:eastAsia="仿宋_GB2312" w:cs="仿宋_GB2312"/>
                <w:bCs/>
                <w:sz w:val="24"/>
                <w:szCs w:val="24"/>
                <w:lang w:eastAsia="zh-CN"/>
              </w:rPr>
              <w:t>为</w:t>
            </w:r>
            <w:r>
              <w:rPr>
                <w:rFonts w:hint="eastAsia" w:ascii="仿宋_GB2312" w:hAnsi="仿宋_GB2312" w:eastAsia="仿宋_GB2312" w:cs="仿宋_GB2312"/>
                <w:bCs/>
                <w:sz w:val="24"/>
                <w:szCs w:val="24"/>
                <w:lang w:val="en-US" w:eastAsia="zh-CN"/>
              </w:rPr>
              <w:t>0</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节省了财政资金，提高了财政资金使用效率。</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五、存在的主要问题</w:t>
            </w:r>
          </w:p>
          <w:p>
            <w:pPr>
              <w:spacing w:line="560" w:lineRule="exact"/>
              <w:ind w:firstLine="830" w:firstLineChars="35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无</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六、改进措施和有关建议</w:t>
            </w:r>
          </w:p>
          <w:p>
            <w:pPr>
              <w:spacing w:line="560" w:lineRule="exact"/>
              <w:ind w:firstLine="474"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无</w:t>
            </w:r>
          </w:p>
          <w:p>
            <w:pPr>
              <w:rPr>
                <w:rFonts w:eastAsia="楷体_GB2312"/>
                <w:bCs/>
                <w:sz w:val="28"/>
                <w:szCs w:val="28"/>
              </w:rPr>
            </w:pPr>
          </w:p>
        </w:tc>
      </w:tr>
    </w:tbl>
    <w:p>
      <w:pPr>
        <w:spacing w:line="348" w:lineRule="auto"/>
        <w:rPr>
          <w:rFonts w:eastAsia="楷体_GB2312"/>
          <w:bCs/>
          <w:sz w:val="28"/>
          <w:szCs w:val="28"/>
        </w:rPr>
      </w:pPr>
      <w:r>
        <w:rPr>
          <w:rFonts w:eastAsia="楷体_GB2312"/>
          <w:bCs/>
          <w:sz w:val="28"/>
          <w:szCs w:val="28"/>
        </w:rPr>
        <w:br w:type="page"/>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348" w:lineRule="auto"/>
        <w:rPr>
          <w:rFonts w:eastAsia="黑体" w:cs="黑体"/>
          <w:bCs/>
          <w:sz w:val="32"/>
          <w:szCs w:val="32"/>
        </w:rPr>
      </w:pP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w:t>
      </w:r>
      <w:r>
        <w:rPr>
          <w:rFonts w:hint="eastAsia" w:eastAsia="方正小标宋简体"/>
          <w:bCs/>
          <w:sz w:val="44"/>
          <w:szCs w:val="44"/>
          <w:lang w:val="en-US" w:eastAsia="zh-CN"/>
        </w:rPr>
        <w:t>2021年</w:t>
      </w:r>
      <w:r>
        <w:rPr>
          <w:rFonts w:hint="eastAsia" w:eastAsia="方正小标宋简体"/>
          <w:bCs/>
          <w:sz w:val="44"/>
          <w:szCs w:val="44"/>
        </w:rPr>
        <w:t>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66"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76"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土地储备管理工作经费</w:t>
      </w:r>
      <w:r>
        <w:rPr>
          <w:rFonts w:hint="eastAsia" w:eastAsia="仿宋_GB2312"/>
          <w:sz w:val="32"/>
          <w:u w:val="single"/>
        </w:rPr>
        <w:t xml:space="preserve">  </w:t>
      </w:r>
    </w:p>
    <w:p>
      <w:pPr>
        <w:spacing w:beforeLines="50" w:line="760" w:lineRule="exact"/>
        <w:ind w:firstLine="476" w:firstLineChars="150"/>
        <w:rPr>
          <w:rFonts w:eastAsia="仿宋_GB2312"/>
          <w:sz w:val="32"/>
        </w:rPr>
      </w:pPr>
      <w:r>
        <w:rPr>
          <w:rFonts w:hint="eastAsia" w:eastAsia="仿宋_GB2312"/>
          <w:sz w:val="32"/>
        </w:rPr>
        <w:t>项目单位：</w:t>
      </w:r>
      <w:r>
        <w:rPr>
          <w:rFonts w:hint="eastAsia" w:eastAsia="仿宋_GB2312"/>
          <w:sz w:val="32"/>
          <w:u w:val="single"/>
        </w:rPr>
        <w:t xml:space="preserve">湖南城陵矶临港产业新区土地储备开发中心 </w:t>
      </w:r>
    </w:p>
    <w:p>
      <w:pPr>
        <w:spacing w:beforeLines="50" w:line="760" w:lineRule="exact"/>
        <w:ind w:firstLine="476"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湖南城陵矶新港区管理委员会 </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8</w:t>
      </w:r>
      <w:r>
        <w:rPr>
          <w:rFonts w:hint="eastAsia" w:eastAsia="仿宋_GB2312"/>
          <w:sz w:val="32"/>
        </w:rPr>
        <w:t>月</w:t>
      </w:r>
      <w:r>
        <w:rPr>
          <w:rFonts w:hint="eastAsia" w:eastAsia="仿宋_GB2312"/>
          <w:sz w:val="32"/>
          <w:lang w:val="en-US" w:eastAsia="zh-CN"/>
        </w:rPr>
        <w:t>15</w:t>
      </w:r>
      <w:r>
        <w:rPr>
          <w:rFonts w:hint="eastAsia" w:eastAsia="仿宋_GB2312"/>
          <w:sz w:val="32"/>
        </w:rPr>
        <w:t xml:space="preserve"> 日</w:t>
      </w: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696"/>
        <w:gridCol w:w="651"/>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jc w:val="center"/>
              <w:rPr>
                <w:rFonts w:hint="eastAsia" w:eastAsia="仿宋_GB2312"/>
                <w:sz w:val="24"/>
                <w:lang w:eastAsia="zh-CN"/>
              </w:rPr>
            </w:pPr>
            <w:r>
              <w:rPr>
                <w:rFonts w:hint="eastAsia" w:eastAsia="仿宋_GB2312"/>
                <w:sz w:val="24"/>
                <w:lang w:eastAsia="zh-CN"/>
              </w:rPr>
              <w:t>李汉武</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13974013618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hint="eastAsia" w:eastAsia="仿宋_GB2312"/>
                <w:sz w:val="24"/>
                <w:lang w:eastAsia="zh-CN"/>
              </w:rPr>
            </w:pPr>
            <w:r>
              <w:rPr>
                <w:rFonts w:hint="eastAsia" w:ascii="仿宋_GB2312" w:eastAsia="仿宋_GB2312"/>
                <w:sz w:val="24"/>
                <w:szCs w:val="24"/>
              </w:rPr>
              <w:t>城陵矶新港区</w:t>
            </w:r>
            <w:r>
              <w:rPr>
                <w:rFonts w:hint="eastAsia" w:ascii="仿宋_GB2312" w:eastAsia="仿宋_GB2312"/>
                <w:sz w:val="24"/>
                <w:szCs w:val="24"/>
                <w:lang w:eastAsia="zh-CN"/>
              </w:rPr>
              <w:t>通关服务中心</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76" w:firstLineChars="496"/>
              <w:rPr>
                <w:rFonts w:eastAsia="仿宋_GB2312"/>
                <w:sz w:val="24"/>
              </w:rPr>
            </w:pP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2021</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w:t>
            </w: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w:t>
            </w: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20</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w:t>
            </w: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w:t>
            </w: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w:t>
            </w: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工作经费</w:t>
            </w:r>
          </w:p>
        </w:tc>
        <w:tc>
          <w:tcPr>
            <w:tcW w:w="182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w:t>
            </w:r>
          </w:p>
        </w:tc>
        <w:tc>
          <w:tcPr>
            <w:tcW w:w="2342" w:type="dxa"/>
            <w:gridSpan w:val="5"/>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20</w:t>
            </w:r>
          </w:p>
        </w:tc>
        <w:tc>
          <w:tcPr>
            <w:tcW w:w="2342" w:type="dxa"/>
            <w:gridSpan w:val="5"/>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w:t>
            </w: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eastAsia="zh-CN"/>
              </w:rPr>
              <w:t>保证土地储备中心工作人员经费正常支出</w:t>
            </w:r>
          </w:p>
        </w:tc>
        <w:tc>
          <w:tcPr>
            <w:tcW w:w="3036" w:type="dxa"/>
            <w:gridSpan w:val="3"/>
            <w:tcBorders>
              <w:bottom w:val="single" w:color="auto" w:sz="4" w:space="0"/>
            </w:tcBorders>
            <w:vAlign w:val="center"/>
          </w:tcPr>
          <w:p>
            <w:pPr>
              <w:spacing w:line="40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9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948"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Align w:val="center"/>
          </w:tcPr>
          <w:p>
            <w:pPr>
              <w:spacing w:line="360" w:lineRule="exact"/>
              <w:jc w:val="center"/>
              <w:rPr>
                <w:rFonts w:eastAsia="仿宋_GB2312"/>
                <w:sz w:val="24"/>
              </w:rPr>
            </w:pPr>
            <w:r>
              <w:rPr>
                <w:rFonts w:hint="eastAsia" w:eastAsia="仿宋_GB2312"/>
                <w:sz w:val="24"/>
              </w:rPr>
              <w:t>数量指标</w:t>
            </w:r>
          </w:p>
        </w:tc>
        <w:tc>
          <w:tcPr>
            <w:tcW w:w="1394"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工作经费</w:t>
            </w:r>
          </w:p>
        </w:tc>
        <w:tc>
          <w:tcPr>
            <w:tcW w:w="948"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20万元</w:t>
            </w:r>
          </w:p>
        </w:tc>
        <w:tc>
          <w:tcPr>
            <w:tcW w:w="3036"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成本指标</w:t>
            </w:r>
          </w:p>
        </w:tc>
        <w:tc>
          <w:tcPr>
            <w:tcW w:w="1394"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eastAsia="仿宋_GB2312"/>
                <w:sz w:val="24"/>
                <w:szCs w:val="24"/>
              </w:rPr>
              <w:t>严格按照</w:t>
            </w:r>
            <w:r>
              <w:rPr>
                <w:rFonts w:hint="eastAsia" w:ascii="仿宋_GB2312" w:eastAsia="仿宋_GB2312"/>
                <w:sz w:val="24"/>
                <w:szCs w:val="24"/>
                <w:lang w:eastAsia="zh-CN"/>
              </w:rPr>
              <w:t>支出</w:t>
            </w:r>
            <w:r>
              <w:rPr>
                <w:rFonts w:hint="eastAsia" w:ascii="仿宋_GB2312" w:eastAsia="仿宋_GB2312"/>
                <w:sz w:val="24"/>
                <w:szCs w:val="24"/>
              </w:rPr>
              <w:t>标准</w:t>
            </w:r>
            <w:r>
              <w:rPr>
                <w:rFonts w:hint="eastAsia" w:ascii="仿宋_GB2312" w:eastAsia="仿宋_GB2312"/>
                <w:sz w:val="24"/>
                <w:szCs w:val="24"/>
                <w:lang w:eastAsia="zh-CN"/>
              </w:rPr>
              <w:t>开支</w:t>
            </w:r>
          </w:p>
        </w:tc>
        <w:tc>
          <w:tcPr>
            <w:tcW w:w="948"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94"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eastAsia="仿宋_GB2312"/>
                <w:sz w:val="24"/>
                <w:szCs w:val="24"/>
              </w:rPr>
              <w:t>保证土地出让不出权属纠纷，保证土地出让收入到位</w:t>
            </w:r>
          </w:p>
        </w:tc>
        <w:tc>
          <w:tcPr>
            <w:tcW w:w="948"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94"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eastAsia="仿宋_GB2312"/>
                <w:sz w:val="24"/>
                <w:szCs w:val="24"/>
              </w:rPr>
              <w:t>保证土地出让不出权属纠纷，保证土地出让收入到位</w:t>
            </w:r>
          </w:p>
        </w:tc>
        <w:tc>
          <w:tcPr>
            <w:tcW w:w="948"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94"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hAnsi="仿宋_GB2312" w:eastAsia="仿宋_GB2312" w:cs="仿宋_GB2312"/>
                <w:color w:val="000000"/>
                <w:sz w:val="24"/>
                <w:szCs w:val="24"/>
              </w:rPr>
              <w:t>支持新港区范围内生态保护建设</w:t>
            </w:r>
          </w:p>
        </w:tc>
        <w:tc>
          <w:tcPr>
            <w:tcW w:w="948"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394"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hAnsi="仿宋_GB2312" w:eastAsia="仿宋_GB2312" w:cs="仿宋_GB2312"/>
                <w:color w:val="000000"/>
                <w:sz w:val="24"/>
                <w:szCs w:val="24"/>
              </w:rPr>
              <w:t>服务对象满意度达到95%；群众满意度达到95%</w:t>
            </w:r>
          </w:p>
        </w:tc>
        <w:tc>
          <w:tcPr>
            <w:tcW w:w="948"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lang w:eastAsia="zh-CN"/>
              </w:rPr>
              <w:t>李汉武</w:t>
            </w:r>
          </w:p>
        </w:tc>
        <w:tc>
          <w:tcPr>
            <w:tcW w:w="233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主任</w:t>
            </w:r>
          </w:p>
        </w:tc>
        <w:tc>
          <w:tcPr>
            <w:tcW w:w="1950"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土地储备中心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lang w:eastAsia="zh-CN"/>
              </w:rPr>
              <w:t>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宇</w:t>
            </w:r>
          </w:p>
        </w:tc>
        <w:tc>
          <w:tcPr>
            <w:tcW w:w="233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副主任</w:t>
            </w:r>
          </w:p>
        </w:tc>
        <w:tc>
          <w:tcPr>
            <w:tcW w:w="1950"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土地储备中心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何四海</w:t>
            </w:r>
          </w:p>
        </w:tc>
        <w:tc>
          <w:tcPr>
            <w:tcW w:w="233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lang w:eastAsia="zh-CN"/>
              </w:rPr>
              <w:t>科长</w:t>
            </w:r>
          </w:p>
        </w:tc>
        <w:tc>
          <w:tcPr>
            <w:tcW w:w="1950"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土地储备中心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何四海</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13607306543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34" w:firstLineChars="200"/>
              <w:rPr>
                <w:rFonts w:eastAsia="仿宋_GB2312"/>
                <w:sz w:val="32"/>
                <w:szCs w:val="32"/>
              </w:rPr>
            </w:pPr>
          </w:p>
          <w:p>
            <w:pPr>
              <w:pStyle w:val="14"/>
              <w:numPr>
                <w:ilvl w:val="0"/>
                <w:numId w:val="2"/>
              </w:numPr>
              <w:spacing w:line="560" w:lineRule="exact"/>
              <w:ind w:left="1492" w:leftChars="0" w:firstLineChars="0"/>
              <w:rPr>
                <w:rFonts w:ascii="仿宋_GB2312" w:eastAsia="仿宋_GB2312"/>
                <w:sz w:val="24"/>
                <w:szCs w:val="24"/>
              </w:rPr>
            </w:pPr>
            <w:r>
              <w:rPr>
                <w:rFonts w:hint="eastAsia" w:ascii="仿宋_GB2312" w:eastAsia="仿宋_GB2312"/>
                <w:sz w:val="24"/>
                <w:szCs w:val="24"/>
              </w:rPr>
              <w:t>项目基本概况</w:t>
            </w:r>
          </w:p>
          <w:p>
            <w:pPr>
              <w:spacing w:line="560" w:lineRule="exact"/>
              <w:rPr>
                <w:rFonts w:ascii="仿宋_GB2312" w:eastAsia="仿宋_GB2312"/>
                <w:sz w:val="24"/>
                <w:szCs w:val="24"/>
              </w:rPr>
            </w:pPr>
            <w:r>
              <w:rPr>
                <w:rFonts w:hint="eastAsia" w:ascii="仿宋_GB2312" w:eastAsia="仿宋_GB2312"/>
                <w:sz w:val="24"/>
                <w:szCs w:val="24"/>
              </w:rPr>
              <w:t xml:space="preserve">     为了保障</w:t>
            </w:r>
            <w:r>
              <w:rPr>
                <w:rFonts w:hint="eastAsia" w:ascii="仿宋_GB2312" w:eastAsia="仿宋_GB2312"/>
                <w:sz w:val="24"/>
                <w:szCs w:val="24"/>
                <w:lang w:eastAsia="zh-CN"/>
              </w:rPr>
              <w:t>土地储备中心人员经费正常支出，坚持保民生、保工资的总体原则。严格依法依归，保证资金支出审批合理合规。</w:t>
            </w:r>
          </w:p>
          <w:p>
            <w:pPr>
              <w:pStyle w:val="14"/>
              <w:numPr>
                <w:ilvl w:val="0"/>
                <w:numId w:val="2"/>
              </w:numPr>
              <w:spacing w:line="560" w:lineRule="exact"/>
              <w:ind w:left="1492" w:leftChars="0" w:firstLineChars="0"/>
              <w:rPr>
                <w:rFonts w:ascii="仿宋_GB2312" w:eastAsia="仿宋_GB2312"/>
                <w:sz w:val="24"/>
                <w:szCs w:val="24"/>
              </w:rPr>
            </w:pPr>
            <w:r>
              <w:rPr>
                <w:rFonts w:hint="eastAsia" w:ascii="仿宋_GB2312" w:eastAsia="仿宋_GB2312"/>
                <w:sz w:val="24"/>
                <w:szCs w:val="24"/>
              </w:rPr>
              <w:t>项目资金使用及管理情况</w:t>
            </w:r>
          </w:p>
          <w:p>
            <w:pPr>
              <w:spacing w:line="560" w:lineRule="exact"/>
              <w:ind w:firstLine="593" w:firstLineChars="250"/>
              <w:rPr>
                <w:rFonts w:ascii="仿宋_GB2312" w:eastAsia="仿宋_GB2312"/>
                <w:sz w:val="24"/>
                <w:szCs w:val="24"/>
              </w:rPr>
            </w:pPr>
            <w:r>
              <w:rPr>
                <w:rFonts w:hint="eastAsia" w:ascii="仿宋_GB2312" w:eastAsia="仿宋_GB2312"/>
                <w:sz w:val="24"/>
                <w:szCs w:val="24"/>
              </w:rPr>
              <w:t>该项目资金年初财政安排预算</w:t>
            </w:r>
            <w:r>
              <w:rPr>
                <w:rFonts w:hint="eastAsia" w:ascii="仿宋_GB2312" w:eastAsia="仿宋_GB2312"/>
                <w:sz w:val="24"/>
                <w:szCs w:val="24"/>
                <w:lang w:val="en-US" w:eastAsia="zh-CN"/>
              </w:rPr>
              <w:t>20</w:t>
            </w:r>
            <w:r>
              <w:rPr>
                <w:rFonts w:hint="eastAsia" w:ascii="仿宋_GB2312" w:eastAsia="仿宋_GB2312"/>
                <w:sz w:val="24"/>
                <w:szCs w:val="24"/>
              </w:rPr>
              <w:t>万元，土地储备中心严格控制资金预算，从严审批流程，实际支付</w:t>
            </w:r>
            <w:r>
              <w:rPr>
                <w:rFonts w:hint="eastAsia" w:ascii="仿宋_GB2312" w:eastAsia="仿宋_GB2312"/>
                <w:sz w:val="24"/>
                <w:szCs w:val="24"/>
                <w:lang w:val="en-US" w:eastAsia="zh-CN"/>
              </w:rPr>
              <w:t>20</w:t>
            </w:r>
            <w:r>
              <w:rPr>
                <w:rFonts w:hint="eastAsia" w:ascii="仿宋_GB2312" w:eastAsia="仿宋_GB2312"/>
                <w:sz w:val="24"/>
                <w:szCs w:val="24"/>
              </w:rPr>
              <w:t>万元，</w:t>
            </w:r>
            <w:r>
              <w:rPr>
                <w:rFonts w:hint="eastAsia" w:ascii="仿宋_GB2312" w:eastAsia="仿宋_GB2312"/>
                <w:sz w:val="24"/>
                <w:szCs w:val="24"/>
                <w:lang w:eastAsia="zh-CN"/>
              </w:rPr>
              <w:t>无结余</w:t>
            </w:r>
            <w:r>
              <w:rPr>
                <w:rFonts w:hint="eastAsia" w:ascii="仿宋_GB2312" w:eastAsia="仿宋_GB2312"/>
                <w:sz w:val="24"/>
                <w:szCs w:val="24"/>
              </w:rPr>
              <w:t>。</w:t>
            </w:r>
          </w:p>
          <w:p>
            <w:pPr>
              <w:pStyle w:val="14"/>
              <w:numPr>
                <w:ilvl w:val="0"/>
                <w:numId w:val="2"/>
              </w:numPr>
              <w:spacing w:line="560" w:lineRule="exact"/>
              <w:ind w:left="1492" w:leftChars="0" w:firstLineChars="0"/>
              <w:rPr>
                <w:rFonts w:ascii="仿宋_GB2312" w:eastAsia="仿宋_GB2312"/>
                <w:sz w:val="24"/>
                <w:szCs w:val="24"/>
              </w:rPr>
            </w:pPr>
            <w:r>
              <w:rPr>
                <w:rFonts w:hint="eastAsia" w:ascii="仿宋_GB2312" w:eastAsia="仿宋_GB2312"/>
                <w:sz w:val="24"/>
                <w:szCs w:val="24"/>
              </w:rPr>
              <w:t>项目组织实施情况</w:t>
            </w:r>
          </w:p>
          <w:p>
            <w:pPr>
              <w:spacing w:line="560" w:lineRule="exact"/>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val="en-US" w:eastAsia="zh-CN"/>
              </w:rPr>
              <w:t>2021</w:t>
            </w:r>
            <w:r>
              <w:rPr>
                <w:rFonts w:hint="eastAsia" w:ascii="仿宋_GB2312" w:eastAsia="仿宋_GB2312"/>
                <w:sz w:val="24"/>
                <w:szCs w:val="24"/>
              </w:rPr>
              <w:t>年土地储备中心根据用地需求，及时完成了宗地确权、放线工作，保障了重点项目用地、土地出让用地等需求。</w:t>
            </w:r>
          </w:p>
          <w:p>
            <w:pPr>
              <w:pStyle w:val="14"/>
              <w:numPr>
                <w:ilvl w:val="0"/>
                <w:numId w:val="2"/>
              </w:numPr>
              <w:spacing w:line="560" w:lineRule="exact"/>
              <w:ind w:left="1492" w:leftChars="0" w:firstLineChars="0"/>
              <w:rPr>
                <w:rFonts w:ascii="仿宋_GB2312" w:eastAsia="仿宋_GB2312"/>
                <w:sz w:val="24"/>
                <w:szCs w:val="24"/>
              </w:rPr>
            </w:pPr>
            <w:r>
              <w:rPr>
                <w:rFonts w:hint="eastAsia" w:ascii="仿宋_GB2312" w:eastAsia="仿宋_GB2312"/>
                <w:sz w:val="24"/>
                <w:szCs w:val="24"/>
              </w:rPr>
              <w:t>综合评价情况及评价结论</w:t>
            </w:r>
          </w:p>
          <w:p>
            <w:pPr>
              <w:spacing w:line="560" w:lineRule="exact"/>
              <w:ind w:left="592" w:leftChars="286" w:firstLine="119" w:firstLineChars="50"/>
              <w:rPr>
                <w:rFonts w:ascii="仿宋_GB2312" w:eastAsia="仿宋_GB2312"/>
                <w:sz w:val="24"/>
                <w:szCs w:val="24"/>
              </w:rPr>
            </w:pPr>
            <w:r>
              <w:rPr>
                <w:rFonts w:hint="eastAsia" w:ascii="仿宋_GB2312" w:eastAsia="仿宋_GB2312"/>
                <w:sz w:val="24"/>
                <w:szCs w:val="24"/>
              </w:rPr>
              <w:t>严格按照资金拨付流程，及时拨付服务费。</w:t>
            </w:r>
          </w:p>
          <w:p>
            <w:pPr>
              <w:pStyle w:val="14"/>
              <w:numPr>
                <w:ilvl w:val="0"/>
                <w:numId w:val="2"/>
              </w:numPr>
              <w:spacing w:line="560" w:lineRule="exact"/>
              <w:ind w:left="1492" w:leftChars="0" w:firstLineChars="0"/>
              <w:rPr>
                <w:rFonts w:ascii="仿宋_GB2312" w:eastAsia="仿宋_GB2312"/>
                <w:sz w:val="24"/>
                <w:szCs w:val="24"/>
              </w:rPr>
            </w:pPr>
            <w:r>
              <w:rPr>
                <w:rFonts w:hint="eastAsia" w:ascii="仿宋_GB2312" w:eastAsia="仿宋_GB2312"/>
                <w:sz w:val="24"/>
                <w:szCs w:val="24"/>
              </w:rPr>
              <w:t>项目主要绩效情况分析</w:t>
            </w:r>
          </w:p>
          <w:p>
            <w:pPr>
              <w:spacing w:line="560" w:lineRule="exact"/>
              <w:rPr>
                <w:rFonts w:ascii="仿宋_GB2312" w:eastAsia="仿宋_GB2312"/>
                <w:sz w:val="24"/>
                <w:szCs w:val="24"/>
              </w:rPr>
            </w:pPr>
            <w:r>
              <w:rPr>
                <w:rFonts w:hint="eastAsia" w:ascii="仿宋_GB2312" w:eastAsia="仿宋_GB2312"/>
                <w:sz w:val="24"/>
                <w:szCs w:val="24"/>
              </w:rPr>
              <w:t xml:space="preserve">     及时完成了宗地确权、放线工作，保证土地权属无争议，保障了重点项目用地、土地出让用地等需求。</w:t>
            </w:r>
          </w:p>
          <w:p>
            <w:pPr>
              <w:pStyle w:val="14"/>
              <w:numPr>
                <w:ilvl w:val="0"/>
                <w:numId w:val="2"/>
              </w:numPr>
              <w:spacing w:line="560" w:lineRule="exact"/>
              <w:ind w:left="1492" w:leftChars="0" w:firstLineChars="0"/>
              <w:rPr>
                <w:rFonts w:ascii="仿宋_GB2312" w:eastAsia="仿宋_GB2312"/>
                <w:sz w:val="24"/>
                <w:szCs w:val="24"/>
              </w:rPr>
            </w:pPr>
            <w:r>
              <w:rPr>
                <w:rFonts w:hint="eastAsia" w:ascii="仿宋_GB2312" w:eastAsia="仿宋_GB2312"/>
                <w:sz w:val="24"/>
                <w:szCs w:val="24"/>
              </w:rPr>
              <w:t>主要经验及做法、存在问题和建议</w:t>
            </w:r>
          </w:p>
          <w:p>
            <w:pPr>
              <w:spacing w:line="560" w:lineRule="exact"/>
              <w:ind w:left="600"/>
              <w:rPr>
                <w:rFonts w:ascii="仿宋_GB2312" w:eastAsia="仿宋_GB2312"/>
                <w:sz w:val="24"/>
                <w:szCs w:val="24"/>
              </w:rPr>
            </w:pPr>
            <w:r>
              <w:rPr>
                <w:rFonts w:hint="eastAsia" w:ascii="仿宋_GB2312" w:eastAsia="仿宋_GB2312"/>
                <w:sz w:val="24"/>
                <w:szCs w:val="24"/>
              </w:rPr>
              <w:t xml:space="preserve"> 无。</w:t>
            </w:r>
          </w:p>
          <w:p>
            <w:pPr>
              <w:spacing w:line="560" w:lineRule="exact"/>
              <w:ind w:firstLine="474" w:firstLineChars="200"/>
              <w:rPr>
                <w:rFonts w:ascii="仿宋_GB2312" w:eastAsia="仿宋_GB2312"/>
                <w:sz w:val="24"/>
                <w:szCs w:val="24"/>
              </w:rPr>
            </w:pPr>
            <w:r>
              <w:rPr>
                <w:rFonts w:hint="eastAsia" w:ascii="仿宋_GB2312" w:eastAsia="仿宋_GB2312"/>
                <w:sz w:val="24"/>
                <w:szCs w:val="24"/>
              </w:rPr>
              <w:t>（七）附件</w:t>
            </w:r>
          </w:p>
          <w:p>
            <w:pPr>
              <w:ind w:firstLine="711" w:firstLineChars="300"/>
              <w:rPr>
                <w:rFonts w:eastAsia="楷体_GB2312"/>
                <w:bCs/>
                <w:sz w:val="28"/>
                <w:szCs w:val="28"/>
              </w:rPr>
            </w:pPr>
            <w:r>
              <w:rPr>
                <w:rFonts w:hint="eastAsia" w:ascii="仿宋_GB2312" w:eastAsia="仿宋_GB2312"/>
                <w:bCs/>
                <w:sz w:val="24"/>
                <w:szCs w:val="24"/>
              </w:rPr>
              <w:t>无。</w:t>
            </w:r>
          </w:p>
        </w:tc>
      </w:tr>
    </w:tbl>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 xml:space="preserve">   项目支出绩效评价指标体系</w:t>
      </w:r>
    </w:p>
    <w:tbl>
      <w:tblPr>
        <w:tblStyle w:val="6"/>
        <w:tblW w:w="0" w:type="auto"/>
        <w:tblInd w:w="0" w:type="dxa"/>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r>
      <w:tr>
        <w:tblPrEx>
          <w:tblCellMar>
            <w:top w:w="0" w:type="dxa"/>
            <w:left w:w="108" w:type="dxa"/>
            <w:bottom w:w="0" w:type="dxa"/>
            <w:right w:w="108" w:type="dxa"/>
          </w:tblCellMar>
        </w:tblPrEx>
        <w:trPr>
          <w:trHeight w:val="1041"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pStyle w:val="14"/>
              <w:widowControl/>
              <w:numPr>
                <w:ilvl w:val="0"/>
                <w:numId w:val="3"/>
              </w:numPr>
              <w:spacing w:line="240" w:lineRule="exact"/>
              <w:ind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spacing w:line="348" w:lineRule="auto"/>
        <w:rPr>
          <w:rFonts w:hint="eastAsia" w:ascii="黑体" w:hAnsi="黑体" w:eastAsia="黑体" w:cs="黑体"/>
          <w:bCs/>
          <w:sz w:val="32"/>
          <w:szCs w:val="32"/>
        </w:rPr>
      </w:pPr>
    </w:p>
    <w:p>
      <w:pPr>
        <w:spacing w:line="348" w:lineRule="auto"/>
        <w:rPr>
          <w:rFonts w:eastAsia="黑体" w:cs="黑体"/>
          <w:bCs/>
          <w:sz w:val="32"/>
          <w:szCs w:val="32"/>
        </w:rPr>
      </w:pP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w:t>
      </w:r>
      <w:r>
        <w:rPr>
          <w:rFonts w:hint="eastAsia" w:eastAsia="方正小标宋简体"/>
          <w:bCs/>
          <w:sz w:val="44"/>
          <w:szCs w:val="44"/>
          <w:lang w:val="en-US" w:eastAsia="zh-CN"/>
        </w:rPr>
        <w:t>2021年</w:t>
      </w:r>
      <w:bookmarkStart w:id="0" w:name="_GoBack"/>
      <w:bookmarkEnd w:id="0"/>
      <w:r>
        <w:rPr>
          <w:rFonts w:hint="eastAsia" w:eastAsia="方正小标宋简体"/>
          <w:bCs/>
          <w:sz w:val="44"/>
          <w:szCs w:val="44"/>
        </w:rPr>
        <w:t>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66"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76"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土地储备征拆与报批</w:t>
      </w:r>
      <w:r>
        <w:rPr>
          <w:rFonts w:hint="eastAsia" w:eastAsia="仿宋_GB2312"/>
          <w:sz w:val="32"/>
          <w:u w:val="single"/>
        </w:rPr>
        <w:t xml:space="preserve">  </w:t>
      </w:r>
    </w:p>
    <w:p>
      <w:pPr>
        <w:spacing w:beforeLines="50" w:line="760" w:lineRule="exact"/>
        <w:ind w:firstLine="476" w:firstLineChars="150"/>
        <w:rPr>
          <w:rFonts w:eastAsia="仿宋_GB2312"/>
          <w:sz w:val="32"/>
        </w:rPr>
      </w:pPr>
      <w:r>
        <w:rPr>
          <w:rFonts w:hint="eastAsia" w:eastAsia="仿宋_GB2312"/>
          <w:sz w:val="32"/>
        </w:rPr>
        <w:t>项目单位：</w:t>
      </w:r>
      <w:r>
        <w:rPr>
          <w:rFonts w:hint="eastAsia" w:eastAsia="仿宋_GB2312"/>
          <w:sz w:val="32"/>
          <w:u w:val="single"/>
        </w:rPr>
        <w:t xml:space="preserve">湖南城陵矶临港产业新区土地储备开发中心 </w:t>
      </w:r>
    </w:p>
    <w:p>
      <w:pPr>
        <w:spacing w:beforeLines="50" w:line="760" w:lineRule="exact"/>
        <w:ind w:firstLine="476"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湖南城陵矶新港区管理委员会 </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8</w:t>
      </w:r>
      <w:r>
        <w:rPr>
          <w:rFonts w:hint="eastAsia" w:eastAsia="仿宋_GB2312"/>
          <w:sz w:val="32"/>
        </w:rPr>
        <w:t>月</w:t>
      </w:r>
      <w:r>
        <w:rPr>
          <w:rFonts w:hint="eastAsia" w:eastAsia="仿宋_GB2312"/>
          <w:sz w:val="32"/>
          <w:lang w:val="en-US" w:eastAsia="zh-CN"/>
        </w:rPr>
        <w:t>15</w:t>
      </w:r>
      <w:r>
        <w:rPr>
          <w:rFonts w:hint="eastAsia" w:eastAsia="仿宋_GB2312"/>
          <w:sz w:val="32"/>
        </w:rPr>
        <w:t xml:space="preserve"> 日</w:t>
      </w: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12"/>
        <w:gridCol w:w="1050"/>
        <w:gridCol w:w="1256"/>
        <w:gridCol w:w="57"/>
        <w:gridCol w:w="1125"/>
        <w:gridCol w:w="318"/>
        <w:gridCol w:w="858"/>
        <w:gridCol w:w="511"/>
        <w:gridCol w:w="1069"/>
        <w:gridCol w:w="105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2"/>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5" w:type="dxa"/>
            <w:gridSpan w:val="2"/>
            <w:vAlign w:val="center"/>
          </w:tcPr>
          <w:p>
            <w:pPr>
              <w:rPr>
                <w:rFonts w:eastAsia="仿宋_GB2312"/>
                <w:sz w:val="24"/>
              </w:rPr>
            </w:pPr>
            <w:r>
              <w:rPr>
                <w:rFonts w:hint="eastAsia" w:eastAsia="仿宋_GB2312"/>
                <w:sz w:val="24"/>
              </w:rPr>
              <w:t>项目负责人</w:t>
            </w:r>
          </w:p>
        </w:tc>
        <w:tc>
          <w:tcPr>
            <w:tcW w:w="3488" w:type="dxa"/>
            <w:gridSpan w:val="4"/>
            <w:vAlign w:val="center"/>
          </w:tcPr>
          <w:p>
            <w:pPr>
              <w:jc w:val="center"/>
              <w:rPr>
                <w:rFonts w:hint="eastAsia" w:eastAsia="仿宋_GB2312"/>
                <w:sz w:val="24"/>
                <w:lang w:eastAsia="zh-CN"/>
              </w:rPr>
            </w:pPr>
            <w:r>
              <w:rPr>
                <w:rFonts w:hint="eastAsia" w:eastAsia="仿宋_GB2312"/>
                <w:sz w:val="24"/>
                <w:lang w:eastAsia="zh-CN"/>
              </w:rPr>
              <w:t>李汉武</w:t>
            </w:r>
          </w:p>
        </w:tc>
        <w:tc>
          <w:tcPr>
            <w:tcW w:w="1176"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13974013618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5" w:type="dxa"/>
            <w:gridSpan w:val="2"/>
            <w:vAlign w:val="center"/>
          </w:tcPr>
          <w:p>
            <w:pPr>
              <w:rPr>
                <w:rFonts w:eastAsia="仿宋_GB2312"/>
                <w:sz w:val="24"/>
              </w:rPr>
            </w:pPr>
            <w:r>
              <w:rPr>
                <w:rFonts w:hint="eastAsia" w:eastAsia="仿宋_GB2312"/>
                <w:sz w:val="24"/>
              </w:rPr>
              <w:t>项目地址</w:t>
            </w:r>
          </w:p>
        </w:tc>
        <w:tc>
          <w:tcPr>
            <w:tcW w:w="3488" w:type="dxa"/>
            <w:gridSpan w:val="4"/>
            <w:vAlign w:val="center"/>
          </w:tcPr>
          <w:p>
            <w:pPr>
              <w:jc w:val="center"/>
              <w:rPr>
                <w:rFonts w:hint="eastAsia" w:eastAsia="仿宋_GB2312"/>
                <w:sz w:val="24"/>
                <w:lang w:eastAsia="zh-CN"/>
              </w:rPr>
            </w:pPr>
            <w:r>
              <w:rPr>
                <w:rFonts w:hint="eastAsia" w:ascii="仿宋_GB2312" w:eastAsia="仿宋_GB2312"/>
                <w:sz w:val="24"/>
                <w:szCs w:val="24"/>
              </w:rPr>
              <w:t>城陵矶新港区</w:t>
            </w:r>
            <w:r>
              <w:rPr>
                <w:rFonts w:hint="eastAsia" w:ascii="仿宋_GB2312" w:eastAsia="仿宋_GB2312"/>
                <w:sz w:val="24"/>
                <w:szCs w:val="24"/>
                <w:lang w:eastAsia="zh-CN"/>
              </w:rPr>
              <w:t>通过服务中心</w:t>
            </w:r>
          </w:p>
        </w:tc>
        <w:tc>
          <w:tcPr>
            <w:tcW w:w="1176"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585" w:type="dxa"/>
            <w:gridSpan w:val="2"/>
            <w:vAlign w:val="center"/>
          </w:tcPr>
          <w:p>
            <w:pPr>
              <w:rPr>
                <w:rFonts w:eastAsia="仿宋_GB2312"/>
                <w:sz w:val="24"/>
              </w:rPr>
            </w:pPr>
            <w:r>
              <w:rPr>
                <w:rFonts w:hint="eastAsia" w:eastAsia="仿宋_GB2312"/>
                <w:sz w:val="24"/>
              </w:rPr>
              <w:t>项目起止时间</w:t>
            </w:r>
          </w:p>
        </w:tc>
        <w:tc>
          <w:tcPr>
            <w:tcW w:w="7997" w:type="dxa"/>
            <w:gridSpan w:val="10"/>
            <w:vAlign w:val="center"/>
          </w:tcPr>
          <w:p>
            <w:pPr>
              <w:ind w:firstLine="1176" w:firstLineChars="496"/>
              <w:rPr>
                <w:rFonts w:eastAsia="仿宋_GB2312"/>
                <w:sz w:val="24"/>
              </w:rPr>
            </w:pP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2021</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85"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1050"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57443.85</w:t>
            </w:r>
          </w:p>
        </w:tc>
        <w:tc>
          <w:tcPr>
            <w:tcW w:w="1313"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125"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57443.85</w:t>
            </w:r>
          </w:p>
        </w:tc>
        <w:tc>
          <w:tcPr>
            <w:tcW w:w="1687"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1069"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57443.85</w:t>
            </w:r>
          </w:p>
        </w:tc>
        <w:tc>
          <w:tcPr>
            <w:tcW w:w="1057"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5"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1050" w:type="dxa"/>
            <w:tcBorders>
              <w:bottom w:val="single" w:color="auto" w:sz="4" w:space="0"/>
            </w:tcBorders>
            <w:vAlign w:val="center"/>
          </w:tcPr>
          <w:p>
            <w:pPr>
              <w:rPr>
                <w:rFonts w:eastAsia="仿宋_GB2312"/>
                <w:spacing w:val="-6"/>
                <w:sz w:val="24"/>
              </w:rPr>
            </w:pPr>
          </w:p>
        </w:tc>
        <w:tc>
          <w:tcPr>
            <w:tcW w:w="1313"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1125" w:type="dxa"/>
            <w:tcBorders>
              <w:bottom w:val="single" w:color="auto" w:sz="4" w:space="0"/>
            </w:tcBorders>
            <w:vAlign w:val="center"/>
          </w:tcPr>
          <w:p>
            <w:pPr>
              <w:rPr>
                <w:rFonts w:eastAsia="仿宋_GB2312"/>
                <w:spacing w:val="-6"/>
                <w:sz w:val="24"/>
              </w:rPr>
            </w:pPr>
          </w:p>
        </w:tc>
        <w:tc>
          <w:tcPr>
            <w:tcW w:w="1687"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1069" w:type="dxa"/>
            <w:tcBorders>
              <w:bottom w:val="single" w:color="auto" w:sz="4" w:space="0"/>
            </w:tcBorders>
            <w:vAlign w:val="center"/>
          </w:tcPr>
          <w:p>
            <w:pPr>
              <w:rPr>
                <w:rFonts w:eastAsia="仿宋_GB2312"/>
                <w:spacing w:val="-6"/>
                <w:sz w:val="24"/>
              </w:rPr>
            </w:pPr>
          </w:p>
        </w:tc>
        <w:tc>
          <w:tcPr>
            <w:tcW w:w="1057"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5"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050" w:type="dxa"/>
            <w:tcBorders>
              <w:bottom w:val="single" w:color="auto" w:sz="4" w:space="0"/>
            </w:tcBorders>
            <w:vAlign w:val="center"/>
          </w:tcPr>
          <w:p>
            <w:pPr>
              <w:rPr>
                <w:rFonts w:eastAsia="仿宋_GB2312"/>
                <w:sz w:val="24"/>
              </w:rPr>
            </w:pPr>
          </w:p>
        </w:tc>
        <w:tc>
          <w:tcPr>
            <w:tcW w:w="1313"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125" w:type="dxa"/>
            <w:tcBorders>
              <w:bottom w:val="single" w:color="auto" w:sz="4" w:space="0"/>
            </w:tcBorders>
            <w:vAlign w:val="center"/>
          </w:tcPr>
          <w:p>
            <w:pPr>
              <w:rPr>
                <w:rFonts w:eastAsia="仿宋_GB2312"/>
                <w:sz w:val="24"/>
              </w:rPr>
            </w:pPr>
          </w:p>
        </w:tc>
        <w:tc>
          <w:tcPr>
            <w:tcW w:w="1687"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1069" w:type="dxa"/>
            <w:tcBorders>
              <w:bottom w:val="single" w:color="auto" w:sz="4" w:space="0"/>
            </w:tcBorders>
            <w:vAlign w:val="center"/>
          </w:tcPr>
          <w:p>
            <w:pPr>
              <w:rPr>
                <w:rFonts w:eastAsia="仿宋_GB2312"/>
                <w:sz w:val="24"/>
              </w:rPr>
            </w:pPr>
          </w:p>
        </w:tc>
        <w:tc>
          <w:tcPr>
            <w:tcW w:w="1057"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5"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050" w:type="dxa"/>
            <w:tcBorders>
              <w:bottom w:val="single" w:color="auto" w:sz="4" w:space="0"/>
            </w:tcBorders>
            <w:vAlign w:val="center"/>
          </w:tcPr>
          <w:p>
            <w:pPr>
              <w:rPr>
                <w:rFonts w:eastAsia="仿宋_GB2312"/>
                <w:sz w:val="24"/>
              </w:rPr>
            </w:pPr>
          </w:p>
        </w:tc>
        <w:tc>
          <w:tcPr>
            <w:tcW w:w="1313"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125" w:type="dxa"/>
            <w:tcBorders>
              <w:bottom w:val="single" w:color="auto" w:sz="4" w:space="0"/>
            </w:tcBorders>
            <w:vAlign w:val="center"/>
          </w:tcPr>
          <w:p>
            <w:pPr>
              <w:rPr>
                <w:rFonts w:eastAsia="仿宋_GB2312"/>
                <w:sz w:val="24"/>
              </w:rPr>
            </w:pPr>
          </w:p>
        </w:tc>
        <w:tc>
          <w:tcPr>
            <w:tcW w:w="1687"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1069" w:type="dxa"/>
            <w:tcBorders>
              <w:bottom w:val="single" w:color="auto" w:sz="4" w:space="0"/>
            </w:tcBorders>
            <w:vAlign w:val="center"/>
          </w:tcPr>
          <w:p>
            <w:pPr>
              <w:rPr>
                <w:rFonts w:eastAsia="仿宋_GB2312"/>
                <w:sz w:val="24"/>
              </w:rPr>
            </w:pPr>
          </w:p>
        </w:tc>
        <w:tc>
          <w:tcPr>
            <w:tcW w:w="1057"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5"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05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57443.85</w:t>
            </w:r>
          </w:p>
        </w:tc>
        <w:tc>
          <w:tcPr>
            <w:tcW w:w="1313"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125"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57443.85</w:t>
            </w:r>
          </w:p>
        </w:tc>
        <w:tc>
          <w:tcPr>
            <w:tcW w:w="1687"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1069"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57443.85</w:t>
            </w:r>
          </w:p>
        </w:tc>
        <w:tc>
          <w:tcPr>
            <w:tcW w:w="1057"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5"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050" w:type="dxa"/>
            <w:tcBorders>
              <w:bottom w:val="single" w:color="auto" w:sz="4" w:space="0"/>
            </w:tcBorders>
            <w:vAlign w:val="center"/>
          </w:tcPr>
          <w:p>
            <w:pPr>
              <w:rPr>
                <w:rFonts w:eastAsia="仿宋_GB2312"/>
                <w:sz w:val="24"/>
              </w:rPr>
            </w:pPr>
          </w:p>
        </w:tc>
        <w:tc>
          <w:tcPr>
            <w:tcW w:w="1313"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125" w:type="dxa"/>
            <w:tcBorders>
              <w:bottom w:val="single" w:color="auto" w:sz="4" w:space="0"/>
            </w:tcBorders>
            <w:vAlign w:val="center"/>
          </w:tcPr>
          <w:p>
            <w:pPr>
              <w:rPr>
                <w:rFonts w:eastAsia="仿宋_GB2312"/>
                <w:sz w:val="24"/>
              </w:rPr>
            </w:pPr>
          </w:p>
        </w:tc>
        <w:tc>
          <w:tcPr>
            <w:tcW w:w="1687"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1069" w:type="dxa"/>
            <w:tcBorders>
              <w:bottom w:val="single" w:color="auto" w:sz="4" w:space="0"/>
            </w:tcBorders>
            <w:vAlign w:val="center"/>
          </w:tcPr>
          <w:p>
            <w:pPr>
              <w:rPr>
                <w:rFonts w:eastAsia="仿宋_GB2312"/>
                <w:sz w:val="24"/>
              </w:rPr>
            </w:pPr>
          </w:p>
        </w:tc>
        <w:tc>
          <w:tcPr>
            <w:tcW w:w="1057"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2"/>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5"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256"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869"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822"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5"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土地征拆与报批</w:t>
            </w:r>
          </w:p>
        </w:tc>
        <w:tc>
          <w:tcPr>
            <w:tcW w:w="125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57443.85万元</w:t>
            </w:r>
          </w:p>
        </w:tc>
        <w:tc>
          <w:tcPr>
            <w:tcW w:w="2869" w:type="dxa"/>
            <w:gridSpan w:val="5"/>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w:t>
            </w:r>
          </w:p>
        </w:tc>
        <w:tc>
          <w:tcPr>
            <w:tcW w:w="2822"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5"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256" w:type="dxa"/>
            <w:tcBorders>
              <w:bottom w:val="single" w:color="auto" w:sz="4" w:space="0"/>
            </w:tcBorders>
            <w:vAlign w:val="center"/>
          </w:tcPr>
          <w:p>
            <w:pPr>
              <w:jc w:val="center"/>
              <w:rPr>
                <w:rFonts w:eastAsia="仿宋_GB2312"/>
                <w:b/>
                <w:sz w:val="24"/>
              </w:rPr>
            </w:pPr>
          </w:p>
        </w:tc>
        <w:tc>
          <w:tcPr>
            <w:tcW w:w="2869" w:type="dxa"/>
            <w:gridSpan w:val="5"/>
            <w:tcBorders>
              <w:bottom w:val="single" w:color="auto" w:sz="4" w:space="0"/>
            </w:tcBorders>
            <w:vAlign w:val="center"/>
          </w:tcPr>
          <w:p>
            <w:pPr>
              <w:jc w:val="center"/>
              <w:rPr>
                <w:rFonts w:eastAsia="仿宋_GB2312"/>
                <w:b/>
                <w:sz w:val="24"/>
              </w:rPr>
            </w:pPr>
          </w:p>
        </w:tc>
        <w:tc>
          <w:tcPr>
            <w:tcW w:w="2822"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9582" w:type="dxa"/>
            <w:gridSpan w:val="12"/>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287" w:type="dxa"/>
            <w:gridSpan w:val="8"/>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822"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287" w:type="dxa"/>
            <w:gridSpan w:val="8"/>
            <w:tcBorders>
              <w:bottom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eastAsia="zh-CN"/>
              </w:rPr>
              <w:t>为保证用地需求，预计完成</w:t>
            </w:r>
            <w:r>
              <w:rPr>
                <w:rFonts w:hint="eastAsia" w:ascii="仿宋_GB2312" w:eastAsia="仿宋_GB2312"/>
                <w:sz w:val="24"/>
                <w:szCs w:val="24"/>
                <w:lang w:val="en-US" w:eastAsia="zh-CN"/>
              </w:rPr>
              <w:t>2000亩，力争3000亩的项目土地报批与征拆工作</w:t>
            </w:r>
          </w:p>
        </w:tc>
        <w:tc>
          <w:tcPr>
            <w:tcW w:w="2822" w:type="dxa"/>
            <w:gridSpan w:val="3"/>
            <w:tcBorders>
              <w:bottom w:val="single" w:color="auto" w:sz="4" w:space="0"/>
            </w:tcBorders>
            <w:vAlign w:val="center"/>
          </w:tcPr>
          <w:p>
            <w:pPr>
              <w:spacing w:line="40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lang w:eastAsia="zh-CN"/>
              </w:rPr>
              <w:t>全</w:t>
            </w:r>
            <w:r>
              <w:rPr>
                <w:rFonts w:hint="eastAsia" w:ascii="仿宋_GB2312" w:eastAsia="仿宋_GB2312"/>
                <w:sz w:val="24"/>
                <w:szCs w:val="24"/>
                <w:lang w:val="en-US" w:eastAsia="zh-CN"/>
              </w:rPr>
              <w:t>年共完成土地收储2585.86亩、土地报批2793.64亩，均超额完成年初计划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1162" w:type="dxa"/>
            <w:gridSpan w:val="2"/>
            <w:vAlign w:val="center"/>
          </w:tcPr>
          <w:p>
            <w:pPr>
              <w:jc w:val="center"/>
              <w:rPr>
                <w:rFonts w:eastAsia="仿宋_GB2312"/>
                <w:sz w:val="24"/>
              </w:rPr>
            </w:pPr>
            <w:r>
              <w:rPr>
                <w:rFonts w:hint="eastAsia" w:eastAsia="仿宋_GB2312"/>
                <w:sz w:val="24"/>
              </w:rPr>
              <w:t>一级指标</w:t>
            </w:r>
          </w:p>
        </w:tc>
        <w:tc>
          <w:tcPr>
            <w:tcW w:w="1256"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50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369"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822"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473" w:type="dxa"/>
            <w:vMerge w:val="continue"/>
            <w:vAlign w:val="center"/>
          </w:tcPr>
          <w:p>
            <w:pPr>
              <w:jc w:val="center"/>
              <w:rPr>
                <w:rFonts w:eastAsia="仿宋_GB2312"/>
                <w:sz w:val="24"/>
              </w:rPr>
            </w:pPr>
          </w:p>
        </w:tc>
        <w:tc>
          <w:tcPr>
            <w:tcW w:w="1162" w:type="dxa"/>
            <w:gridSpan w:val="2"/>
            <w:vMerge w:val="restart"/>
            <w:vAlign w:val="center"/>
          </w:tcPr>
          <w:p>
            <w:pPr>
              <w:jc w:val="center"/>
              <w:rPr>
                <w:rFonts w:eastAsia="仿宋_GB2312"/>
                <w:sz w:val="24"/>
              </w:rPr>
            </w:pPr>
            <w:r>
              <w:rPr>
                <w:rFonts w:hint="eastAsia" w:eastAsia="仿宋_GB2312"/>
                <w:sz w:val="24"/>
              </w:rPr>
              <w:t>项目产出指标</w:t>
            </w:r>
          </w:p>
        </w:tc>
        <w:tc>
          <w:tcPr>
            <w:tcW w:w="1256" w:type="dxa"/>
            <w:vAlign w:val="center"/>
          </w:tcPr>
          <w:p>
            <w:pPr>
              <w:spacing w:line="360" w:lineRule="exact"/>
              <w:jc w:val="center"/>
              <w:rPr>
                <w:rFonts w:eastAsia="仿宋_GB2312"/>
                <w:sz w:val="24"/>
              </w:rPr>
            </w:pPr>
            <w:r>
              <w:rPr>
                <w:rFonts w:hint="eastAsia" w:eastAsia="仿宋_GB2312"/>
                <w:sz w:val="24"/>
              </w:rPr>
              <w:t>数量指标</w:t>
            </w:r>
          </w:p>
        </w:tc>
        <w:tc>
          <w:tcPr>
            <w:tcW w:w="150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征拆与报批资金</w:t>
            </w:r>
          </w:p>
        </w:tc>
        <w:tc>
          <w:tcPr>
            <w:tcW w:w="1369"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57443.85万元</w:t>
            </w:r>
          </w:p>
        </w:tc>
        <w:tc>
          <w:tcPr>
            <w:tcW w:w="2822"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1473" w:type="dxa"/>
            <w:vMerge w:val="continue"/>
            <w:vAlign w:val="center"/>
          </w:tcPr>
          <w:p>
            <w:pPr>
              <w:jc w:val="center"/>
              <w:rPr>
                <w:rFonts w:eastAsia="仿宋_GB2312"/>
                <w:sz w:val="24"/>
              </w:rPr>
            </w:pPr>
          </w:p>
        </w:tc>
        <w:tc>
          <w:tcPr>
            <w:tcW w:w="1162" w:type="dxa"/>
            <w:gridSpan w:val="2"/>
            <w:vMerge w:val="continue"/>
            <w:vAlign w:val="center"/>
          </w:tcPr>
          <w:p>
            <w:pPr>
              <w:jc w:val="center"/>
              <w:rPr>
                <w:rFonts w:eastAsia="仿宋_GB2312"/>
                <w:sz w:val="24"/>
              </w:rPr>
            </w:pPr>
          </w:p>
        </w:tc>
        <w:tc>
          <w:tcPr>
            <w:tcW w:w="1256" w:type="dxa"/>
            <w:vAlign w:val="center"/>
          </w:tcPr>
          <w:p>
            <w:pPr>
              <w:spacing w:line="360" w:lineRule="exact"/>
              <w:jc w:val="center"/>
              <w:rPr>
                <w:rFonts w:eastAsia="仿宋_GB2312"/>
                <w:sz w:val="24"/>
              </w:rPr>
            </w:pPr>
            <w:r>
              <w:rPr>
                <w:rFonts w:hint="eastAsia" w:eastAsia="仿宋_GB2312"/>
                <w:sz w:val="24"/>
              </w:rPr>
              <w:t>成本指标</w:t>
            </w:r>
          </w:p>
        </w:tc>
        <w:tc>
          <w:tcPr>
            <w:tcW w:w="1500"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ascii="仿宋_GB2312" w:eastAsia="仿宋_GB2312"/>
                <w:sz w:val="24"/>
                <w:szCs w:val="24"/>
              </w:rPr>
              <w:t>严格</w:t>
            </w:r>
            <w:r>
              <w:rPr>
                <w:rFonts w:hint="eastAsia" w:ascii="仿宋_GB2312" w:eastAsia="仿宋_GB2312"/>
                <w:sz w:val="24"/>
                <w:szCs w:val="24"/>
                <w:lang w:eastAsia="zh-CN"/>
              </w:rPr>
              <w:t>控制征拆成本概算</w:t>
            </w:r>
          </w:p>
        </w:tc>
        <w:tc>
          <w:tcPr>
            <w:tcW w:w="1369"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预算内</w:t>
            </w:r>
          </w:p>
        </w:tc>
        <w:tc>
          <w:tcPr>
            <w:tcW w:w="2822"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exact"/>
          <w:jc w:val="center"/>
        </w:trPr>
        <w:tc>
          <w:tcPr>
            <w:tcW w:w="1473" w:type="dxa"/>
            <w:vMerge w:val="continue"/>
            <w:vAlign w:val="center"/>
          </w:tcPr>
          <w:p>
            <w:pPr>
              <w:jc w:val="center"/>
              <w:rPr>
                <w:rFonts w:eastAsia="仿宋_GB2312"/>
                <w:sz w:val="24"/>
              </w:rPr>
            </w:pPr>
          </w:p>
        </w:tc>
        <w:tc>
          <w:tcPr>
            <w:tcW w:w="1162" w:type="dxa"/>
            <w:gridSpan w:val="2"/>
            <w:vMerge w:val="restart"/>
            <w:vAlign w:val="center"/>
          </w:tcPr>
          <w:p>
            <w:pPr>
              <w:jc w:val="center"/>
              <w:rPr>
                <w:rFonts w:eastAsia="仿宋_GB2312"/>
                <w:sz w:val="24"/>
              </w:rPr>
            </w:pPr>
            <w:r>
              <w:rPr>
                <w:rFonts w:hint="eastAsia" w:eastAsia="仿宋_GB2312"/>
                <w:sz w:val="24"/>
              </w:rPr>
              <w:t>项目效益指标</w:t>
            </w:r>
          </w:p>
        </w:tc>
        <w:tc>
          <w:tcPr>
            <w:tcW w:w="1256"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500"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eastAsia="仿宋_GB2312"/>
                <w:sz w:val="24"/>
                <w:szCs w:val="24"/>
              </w:rPr>
              <w:t>保证土地出让不出权属纠纷，保证土地出让收入到位</w:t>
            </w:r>
          </w:p>
        </w:tc>
        <w:tc>
          <w:tcPr>
            <w:tcW w:w="1369"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年初目标安排17亿元</w:t>
            </w:r>
          </w:p>
        </w:tc>
        <w:tc>
          <w:tcPr>
            <w:tcW w:w="2822"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超额完成预算收入，土地出让收入达</w:t>
            </w:r>
            <w:r>
              <w:rPr>
                <w:rFonts w:hint="eastAsia" w:eastAsia="仿宋_GB2312"/>
                <w:sz w:val="24"/>
                <w:lang w:val="en-US" w:eastAsia="zh-CN"/>
              </w:rPr>
              <w:t>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exact"/>
          <w:jc w:val="center"/>
        </w:trPr>
        <w:tc>
          <w:tcPr>
            <w:tcW w:w="1473" w:type="dxa"/>
            <w:vMerge w:val="continue"/>
            <w:vAlign w:val="center"/>
          </w:tcPr>
          <w:p>
            <w:pPr>
              <w:jc w:val="center"/>
              <w:rPr>
                <w:rFonts w:eastAsia="仿宋_GB2312"/>
                <w:sz w:val="24"/>
              </w:rPr>
            </w:pPr>
          </w:p>
        </w:tc>
        <w:tc>
          <w:tcPr>
            <w:tcW w:w="1162" w:type="dxa"/>
            <w:gridSpan w:val="2"/>
            <w:vMerge w:val="continue"/>
            <w:vAlign w:val="center"/>
          </w:tcPr>
          <w:p>
            <w:pPr>
              <w:jc w:val="center"/>
              <w:rPr>
                <w:rFonts w:eastAsia="仿宋_GB2312"/>
                <w:sz w:val="24"/>
              </w:rPr>
            </w:pPr>
          </w:p>
        </w:tc>
        <w:tc>
          <w:tcPr>
            <w:tcW w:w="1256"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500"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eastAsia="仿宋_GB2312"/>
                <w:sz w:val="24"/>
                <w:szCs w:val="24"/>
              </w:rPr>
              <w:t>保证土地出让不出权属纠纷，保证土地出让收入到位</w:t>
            </w:r>
          </w:p>
        </w:tc>
        <w:tc>
          <w:tcPr>
            <w:tcW w:w="1369" w:type="dxa"/>
            <w:gridSpan w:val="2"/>
            <w:tcBorders>
              <w:bottom w:val="single" w:color="auto" w:sz="4" w:space="0"/>
            </w:tcBorders>
            <w:vAlign w:val="center"/>
          </w:tcPr>
          <w:p>
            <w:pPr>
              <w:jc w:val="center"/>
              <w:rPr>
                <w:rFonts w:eastAsia="仿宋_GB2312"/>
                <w:sz w:val="24"/>
              </w:rPr>
            </w:pPr>
            <w:r>
              <w:rPr>
                <w:rFonts w:hint="eastAsia" w:eastAsia="仿宋_GB2312"/>
                <w:sz w:val="24"/>
                <w:lang w:val="en-US" w:eastAsia="zh-CN"/>
              </w:rPr>
              <w:t>年初目标安排17亿元</w:t>
            </w:r>
          </w:p>
        </w:tc>
        <w:tc>
          <w:tcPr>
            <w:tcW w:w="2822"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超额完成预算收入，土地出让收入达</w:t>
            </w:r>
            <w:r>
              <w:rPr>
                <w:rFonts w:hint="eastAsia" w:eastAsia="仿宋_GB2312"/>
                <w:sz w:val="24"/>
                <w:lang w:val="en-US" w:eastAsia="zh-CN"/>
              </w:rPr>
              <w:t>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exact"/>
          <w:jc w:val="center"/>
        </w:trPr>
        <w:tc>
          <w:tcPr>
            <w:tcW w:w="1473" w:type="dxa"/>
            <w:vMerge w:val="continue"/>
            <w:vAlign w:val="center"/>
          </w:tcPr>
          <w:p>
            <w:pPr>
              <w:jc w:val="center"/>
              <w:rPr>
                <w:rFonts w:eastAsia="仿宋_GB2312"/>
                <w:sz w:val="24"/>
              </w:rPr>
            </w:pPr>
          </w:p>
        </w:tc>
        <w:tc>
          <w:tcPr>
            <w:tcW w:w="1162" w:type="dxa"/>
            <w:gridSpan w:val="2"/>
            <w:vMerge w:val="continue"/>
            <w:vAlign w:val="center"/>
          </w:tcPr>
          <w:p>
            <w:pPr>
              <w:jc w:val="center"/>
              <w:rPr>
                <w:rFonts w:eastAsia="仿宋_GB2312"/>
                <w:sz w:val="24"/>
              </w:rPr>
            </w:pPr>
          </w:p>
        </w:tc>
        <w:tc>
          <w:tcPr>
            <w:tcW w:w="1256"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500"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hAnsi="仿宋_GB2312" w:eastAsia="仿宋_GB2312" w:cs="仿宋_GB2312"/>
                <w:color w:val="000000"/>
                <w:sz w:val="24"/>
                <w:szCs w:val="24"/>
              </w:rPr>
              <w:t>支持新港区范围内生态保护建设</w:t>
            </w:r>
          </w:p>
        </w:tc>
        <w:tc>
          <w:tcPr>
            <w:tcW w:w="1369" w:type="dxa"/>
            <w:gridSpan w:val="2"/>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w:t>
            </w:r>
          </w:p>
        </w:tc>
        <w:tc>
          <w:tcPr>
            <w:tcW w:w="2822"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jc w:val="center"/>
        </w:trPr>
        <w:tc>
          <w:tcPr>
            <w:tcW w:w="1473" w:type="dxa"/>
            <w:vMerge w:val="continue"/>
            <w:vAlign w:val="center"/>
          </w:tcPr>
          <w:p>
            <w:pPr>
              <w:jc w:val="center"/>
              <w:rPr>
                <w:rFonts w:eastAsia="仿宋_GB2312"/>
                <w:sz w:val="24"/>
              </w:rPr>
            </w:pPr>
          </w:p>
        </w:tc>
        <w:tc>
          <w:tcPr>
            <w:tcW w:w="1162" w:type="dxa"/>
            <w:gridSpan w:val="2"/>
            <w:vMerge w:val="continue"/>
            <w:vAlign w:val="center"/>
          </w:tcPr>
          <w:p>
            <w:pPr>
              <w:jc w:val="center"/>
              <w:rPr>
                <w:rFonts w:eastAsia="仿宋_GB2312"/>
                <w:sz w:val="24"/>
              </w:rPr>
            </w:pPr>
          </w:p>
        </w:tc>
        <w:tc>
          <w:tcPr>
            <w:tcW w:w="1256" w:type="dxa"/>
            <w:vAlign w:val="center"/>
          </w:tcPr>
          <w:p>
            <w:pPr>
              <w:spacing w:line="360" w:lineRule="exact"/>
              <w:jc w:val="center"/>
              <w:rPr>
                <w:rFonts w:eastAsia="仿宋_GB2312"/>
                <w:sz w:val="24"/>
              </w:rPr>
            </w:pPr>
            <w:r>
              <w:rPr>
                <w:rFonts w:hint="eastAsia" w:eastAsia="仿宋_GB2312"/>
                <w:sz w:val="24"/>
              </w:rPr>
              <w:t>服务对象满意度指标</w:t>
            </w:r>
          </w:p>
        </w:tc>
        <w:tc>
          <w:tcPr>
            <w:tcW w:w="1500" w:type="dxa"/>
            <w:gridSpan w:val="3"/>
            <w:tcBorders>
              <w:bottom w:val="single" w:color="auto" w:sz="4" w:space="0"/>
            </w:tcBorders>
            <w:vAlign w:val="center"/>
          </w:tcPr>
          <w:p>
            <w:pPr>
              <w:spacing w:line="360" w:lineRule="exact"/>
              <w:jc w:val="center"/>
              <w:rPr>
                <w:rFonts w:eastAsia="仿宋_GB2312"/>
                <w:sz w:val="24"/>
              </w:rPr>
            </w:pPr>
            <w:r>
              <w:rPr>
                <w:rFonts w:hint="eastAsia" w:ascii="仿宋_GB2312" w:hAnsi="仿宋_GB2312" w:eastAsia="仿宋_GB2312" w:cs="仿宋_GB2312"/>
                <w:color w:val="000000"/>
                <w:sz w:val="24"/>
                <w:szCs w:val="24"/>
              </w:rPr>
              <w:t>服务对象满意度达到95%；群众满意度达到95%</w:t>
            </w:r>
          </w:p>
        </w:tc>
        <w:tc>
          <w:tcPr>
            <w:tcW w:w="1369" w:type="dxa"/>
            <w:gridSpan w:val="2"/>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w:t>
            </w:r>
          </w:p>
        </w:tc>
        <w:tc>
          <w:tcPr>
            <w:tcW w:w="2822"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35"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6947" w:type="dxa"/>
            <w:gridSpan w:val="9"/>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35"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6947" w:type="dxa"/>
            <w:gridSpan w:val="9"/>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2"/>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5" w:type="dxa"/>
            <w:gridSpan w:val="3"/>
            <w:vAlign w:val="center"/>
          </w:tcPr>
          <w:p>
            <w:pPr>
              <w:jc w:val="center"/>
              <w:rPr>
                <w:rFonts w:eastAsia="仿宋_GB2312"/>
                <w:sz w:val="24"/>
              </w:rPr>
            </w:pPr>
            <w:r>
              <w:rPr>
                <w:rFonts w:hint="eastAsia" w:eastAsia="仿宋_GB2312"/>
                <w:sz w:val="24"/>
              </w:rPr>
              <w:t>姓名</w:t>
            </w:r>
          </w:p>
        </w:tc>
        <w:tc>
          <w:tcPr>
            <w:tcW w:w="1256" w:type="dxa"/>
            <w:vAlign w:val="center"/>
          </w:tcPr>
          <w:p>
            <w:pPr>
              <w:jc w:val="center"/>
              <w:rPr>
                <w:rFonts w:eastAsia="仿宋_GB2312"/>
                <w:sz w:val="24"/>
              </w:rPr>
            </w:pPr>
            <w:r>
              <w:rPr>
                <w:rFonts w:hint="eastAsia" w:eastAsia="仿宋_GB2312"/>
                <w:sz w:val="24"/>
              </w:rPr>
              <w:t>职称/职务</w:t>
            </w:r>
          </w:p>
        </w:tc>
        <w:tc>
          <w:tcPr>
            <w:tcW w:w="2869" w:type="dxa"/>
            <w:gridSpan w:val="5"/>
            <w:vAlign w:val="center"/>
          </w:tcPr>
          <w:p>
            <w:pPr>
              <w:jc w:val="center"/>
              <w:rPr>
                <w:rFonts w:eastAsia="仿宋_GB2312"/>
                <w:sz w:val="24"/>
              </w:rPr>
            </w:pPr>
            <w:r>
              <w:rPr>
                <w:rFonts w:hint="eastAsia" w:eastAsia="仿宋_GB2312"/>
                <w:sz w:val="24"/>
              </w:rPr>
              <w:t>单  位</w:t>
            </w:r>
          </w:p>
        </w:tc>
        <w:tc>
          <w:tcPr>
            <w:tcW w:w="2822"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5"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lang w:eastAsia="zh-CN"/>
              </w:rPr>
              <w:t>李汉武</w:t>
            </w:r>
          </w:p>
        </w:tc>
        <w:tc>
          <w:tcPr>
            <w:tcW w:w="1256" w:type="dxa"/>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主任</w:t>
            </w:r>
          </w:p>
        </w:tc>
        <w:tc>
          <w:tcPr>
            <w:tcW w:w="2869" w:type="dxa"/>
            <w:gridSpan w:val="5"/>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土地储备中心</w:t>
            </w:r>
          </w:p>
        </w:tc>
        <w:tc>
          <w:tcPr>
            <w:tcW w:w="2822"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5"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lang w:eastAsia="zh-CN"/>
              </w:rPr>
              <w:t>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宇</w:t>
            </w:r>
          </w:p>
        </w:tc>
        <w:tc>
          <w:tcPr>
            <w:tcW w:w="1256" w:type="dxa"/>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副主任</w:t>
            </w:r>
          </w:p>
        </w:tc>
        <w:tc>
          <w:tcPr>
            <w:tcW w:w="2869" w:type="dxa"/>
            <w:gridSpan w:val="5"/>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土地储备中心</w:t>
            </w:r>
          </w:p>
        </w:tc>
        <w:tc>
          <w:tcPr>
            <w:tcW w:w="2822"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5"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何四海</w:t>
            </w:r>
          </w:p>
        </w:tc>
        <w:tc>
          <w:tcPr>
            <w:tcW w:w="1256" w:type="dxa"/>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lang w:eastAsia="zh-CN"/>
              </w:rPr>
              <w:t>科长</w:t>
            </w:r>
          </w:p>
        </w:tc>
        <w:tc>
          <w:tcPr>
            <w:tcW w:w="2869" w:type="dxa"/>
            <w:gridSpan w:val="5"/>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szCs w:val="24"/>
              </w:rPr>
              <w:t>土地储备中心</w:t>
            </w:r>
          </w:p>
        </w:tc>
        <w:tc>
          <w:tcPr>
            <w:tcW w:w="2822"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2"/>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2"/>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2"/>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2"/>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何四海</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13607306543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34" w:firstLineChars="200"/>
              <w:rPr>
                <w:rFonts w:eastAsia="仿宋_GB2312"/>
                <w:sz w:val="32"/>
                <w:szCs w:val="32"/>
              </w:rPr>
            </w:pPr>
          </w:p>
          <w:p>
            <w:pPr>
              <w:pStyle w:val="14"/>
              <w:numPr>
                <w:ilvl w:val="0"/>
                <w:numId w:val="4"/>
              </w:numPr>
              <w:spacing w:line="560" w:lineRule="exact"/>
              <w:ind w:firstLineChars="0"/>
              <w:rPr>
                <w:rFonts w:ascii="仿宋_GB2312" w:eastAsia="仿宋_GB2312"/>
                <w:sz w:val="24"/>
                <w:szCs w:val="24"/>
              </w:rPr>
            </w:pPr>
            <w:r>
              <w:rPr>
                <w:rFonts w:hint="eastAsia" w:ascii="仿宋_GB2312" w:eastAsia="仿宋_GB2312"/>
                <w:sz w:val="24"/>
                <w:szCs w:val="24"/>
              </w:rPr>
              <w:t>项目基本概况</w:t>
            </w:r>
          </w:p>
          <w:p>
            <w:pPr>
              <w:spacing w:line="560" w:lineRule="exact"/>
              <w:ind w:firstLine="948" w:firstLineChars="400"/>
              <w:rPr>
                <w:rFonts w:hint="default" w:ascii="仿宋_GB2312" w:eastAsia="仿宋_GB2312"/>
                <w:sz w:val="24"/>
                <w:szCs w:val="24"/>
                <w:lang w:val="en-US" w:eastAsia="zh-CN"/>
              </w:rPr>
            </w:pPr>
            <w:r>
              <w:rPr>
                <w:rFonts w:hint="eastAsia" w:ascii="仿宋_GB2312" w:eastAsia="仿宋_GB2312"/>
                <w:sz w:val="24"/>
                <w:szCs w:val="24"/>
                <w:lang w:val="en-US" w:eastAsia="zh-CN"/>
              </w:rPr>
              <w:t>我中心紧紧围绕党工委、管委会提出的“95668”目标任务，需努力完成报批任务2000亩，且保障项目用地需求，全年通过努力，强势推进征拆与报批等工作，共完成土地收储2585.86亩、土地报批2793.64亩，均超额完成年初计划。</w:t>
            </w:r>
          </w:p>
          <w:p>
            <w:pPr>
              <w:pStyle w:val="14"/>
              <w:numPr>
                <w:ilvl w:val="0"/>
                <w:numId w:val="4"/>
              </w:numPr>
              <w:spacing w:line="560" w:lineRule="exact"/>
              <w:ind w:firstLineChars="0"/>
              <w:rPr>
                <w:rFonts w:ascii="仿宋_GB2312" w:eastAsia="仿宋_GB2312"/>
                <w:sz w:val="24"/>
                <w:szCs w:val="24"/>
              </w:rPr>
            </w:pPr>
            <w:r>
              <w:rPr>
                <w:rFonts w:hint="eastAsia" w:ascii="仿宋_GB2312" w:eastAsia="仿宋_GB2312"/>
                <w:sz w:val="24"/>
                <w:szCs w:val="24"/>
              </w:rPr>
              <w:t>项目资金使用及管理情况</w:t>
            </w:r>
          </w:p>
          <w:p>
            <w:pPr>
              <w:spacing w:line="560" w:lineRule="exact"/>
              <w:ind w:left="6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eastAsia="zh-CN"/>
              </w:rPr>
              <w:t>根据年度征拆报批任务，在报批预算范围内，控制了征拆与报批成本。</w:t>
            </w:r>
          </w:p>
          <w:p>
            <w:pPr>
              <w:pStyle w:val="14"/>
              <w:numPr>
                <w:ilvl w:val="0"/>
                <w:numId w:val="4"/>
              </w:numPr>
              <w:spacing w:line="560" w:lineRule="exact"/>
              <w:ind w:firstLineChars="0"/>
              <w:rPr>
                <w:rFonts w:ascii="仿宋_GB2312" w:eastAsia="仿宋_GB2312"/>
                <w:sz w:val="24"/>
                <w:szCs w:val="24"/>
              </w:rPr>
            </w:pPr>
            <w:r>
              <w:rPr>
                <w:rFonts w:hint="eastAsia" w:ascii="仿宋_GB2312" w:eastAsia="仿宋_GB2312"/>
                <w:sz w:val="24"/>
                <w:szCs w:val="24"/>
              </w:rPr>
              <w:t>项目组织实施情况</w:t>
            </w:r>
          </w:p>
          <w:p>
            <w:pPr>
              <w:spacing w:line="560" w:lineRule="exact"/>
              <w:ind w:firstLine="948" w:firstLineChars="400"/>
              <w:rPr>
                <w:rFonts w:hint="default" w:ascii="仿宋_GB2312" w:eastAsia="仿宋_GB2312"/>
                <w:sz w:val="24"/>
                <w:szCs w:val="24"/>
                <w:lang w:val="en-US" w:eastAsia="zh-CN"/>
              </w:rPr>
            </w:pPr>
            <w:r>
              <w:rPr>
                <w:rFonts w:hint="eastAsia" w:ascii="仿宋_GB2312" w:eastAsia="仿宋_GB2312"/>
                <w:sz w:val="24"/>
                <w:szCs w:val="24"/>
                <w:lang w:val="en-US" w:eastAsia="zh-CN"/>
              </w:rPr>
              <w:t>我中心紧紧围绕党工委、管委会提出的“95668”目标任务，需努力完成报批任务2000亩，且保障项目用地需求，全年通过努力，强势推进征拆与报批等工作，共完成土地收储2585.86亩、土地报批2793.64亩，均超额完成年初计划。</w:t>
            </w:r>
          </w:p>
          <w:p>
            <w:pPr>
              <w:pStyle w:val="14"/>
              <w:numPr>
                <w:ilvl w:val="0"/>
                <w:numId w:val="4"/>
              </w:numPr>
              <w:spacing w:line="560" w:lineRule="exact"/>
              <w:ind w:firstLineChars="0"/>
              <w:rPr>
                <w:rFonts w:ascii="仿宋_GB2312" w:eastAsia="仿宋_GB2312"/>
                <w:sz w:val="24"/>
                <w:szCs w:val="24"/>
              </w:rPr>
            </w:pPr>
            <w:r>
              <w:rPr>
                <w:rFonts w:hint="eastAsia" w:ascii="仿宋_GB2312" w:eastAsia="仿宋_GB2312"/>
                <w:sz w:val="24"/>
                <w:szCs w:val="24"/>
              </w:rPr>
              <w:t>综合评价情况及评价结论</w:t>
            </w:r>
          </w:p>
          <w:p>
            <w:pPr>
              <w:spacing w:line="560" w:lineRule="exact"/>
              <w:ind w:firstLine="948" w:firstLineChars="400"/>
              <w:rPr>
                <w:rFonts w:hint="default" w:ascii="仿宋_GB2312" w:eastAsia="仿宋_GB2312"/>
                <w:sz w:val="24"/>
                <w:szCs w:val="24"/>
                <w:lang w:val="en-US" w:eastAsia="zh-CN"/>
              </w:rPr>
            </w:pPr>
            <w:r>
              <w:rPr>
                <w:rFonts w:hint="eastAsia" w:ascii="仿宋_GB2312" w:eastAsia="仿宋_GB2312"/>
                <w:sz w:val="24"/>
                <w:szCs w:val="24"/>
                <w:lang w:val="en-US" w:eastAsia="zh-CN"/>
              </w:rPr>
              <w:t>我中心紧紧围绕党工委、管委会提出的“95668”目标任务，需努力完成报批任务2000亩，且保障项目用地需求，全年通过努力，强势推进征拆与报批等工作，共完成土地收储2585.86亩、土地报批2793.64亩，均超额完成年初计划。</w:t>
            </w:r>
          </w:p>
          <w:p>
            <w:pPr>
              <w:pStyle w:val="14"/>
              <w:numPr>
                <w:ilvl w:val="0"/>
                <w:numId w:val="4"/>
              </w:numPr>
              <w:spacing w:line="560" w:lineRule="exact"/>
              <w:ind w:firstLineChars="0"/>
              <w:rPr>
                <w:rFonts w:ascii="仿宋_GB2312" w:eastAsia="仿宋_GB2312"/>
                <w:sz w:val="24"/>
                <w:szCs w:val="24"/>
              </w:rPr>
            </w:pPr>
            <w:r>
              <w:rPr>
                <w:rFonts w:hint="eastAsia" w:ascii="仿宋_GB2312" w:eastAsia="仿宋_GB2312"/>
                <w:sz w:val="24"/>
                <w:szCs w:val="24"/>
              </w:rPr>
              <w:t>项目主要绩效情况分析</w:t>
            </w:r>
          </w:p>
          <w:p>
            <w:pPr>
              <w:spacing w:line="560" w:lineRule="exact"/>
              <w:ind w:left="600"/>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eastAsia="zh-CN"/>
              </w:rPr>
              <w:t>超额完成年度报批与征拆任务，且</w:t>
            </w:r>
            <w:r>
              <w:rPr>
                <w:rFonts w:hint="eastAsia" w:ascii="仿宋_GB2312" w:eastAsia="仿宋_GB2312"/>
                <w:sz w:val="24"/>
                <w:szCs w:val="24"/>
              </w:rPr>
              <w:t>保障</w:t>
            </w:r>
            <w:r>
              <w:rPr>
                <w:rFonts w:hint="eastAsia" w:ascii="仿宋_GB2312" w:eastAsia="仿宋_GB2312"/>
                <w:sz w:val="24"/>
                <w:szCs w:val="24"/>
                <w:lang w:eastAsia="zh-CN"/>
              </w:rPr>
              <w:t>了</w:t>
            </w:r>
            <w:r>
              <w:rPr>
                <w:rFonts w:hint="eastAsia" w:ascii="仿宋_GB2312" w:eastAsia="仿宋_GB2312"/>
                <w:sz w:val="24"/>
                <w:szCs w:val="24"/>
              </w:rPr>
              <w:t>新港区重点项目用地</w:t>
            </w:r>
            <w:r>
              <w:rPr>
                <w:rFonts w:hint="eastAsia" w:ascii="仿宋_GB2312" w:eastAsia="仿宋_GB2312"/>
                <w:sz w:val="24"/>
                <w:szCs w:val="24"/>
                <w:lang w:eastAsia="zh-CN"/>
              </w:rPr>
              <w:t>需求</w:t>
            </w:r>
            <w:r>
              <w:rPr>
                <w:rFonts w:hint="eastAsia" w:ascii="仿宋_GB2312" w:eastAsia="仿宋_GB2312"/>
                <w:sz w:val="24"/>
                <w:szCs w:val="24"/>
              </w:rPr>
              <w:t>。</w:t>
            </w:r>
          </w:p>
          <w:p>
            <w:pPr>
              <w:spacing w:line="560" w:lineRule="exact"/>
              <w:ind w:firstLine="711" w:firstLineChars="300"/>
              <w:rPr>
                <w:rFonts w:ascii="仿宋_GB2312" w:eastAsia="仿宋_GB2312"/>
                <w:sz w:val="24"/>
                <w:szCs w:val="24"/>
              </w:rPr>
            </w:pPr>
            <w:r>
              <w:rPr>
                <w:rFonts w:hint="eastAsia" w:ascii="仿宋_GB2312" w:eastAsia="仿宋_GB2312"/>
                <w:sz w:val="24"/>
                <w:szCs w:val="24"/>
              </w:rPr>
              <w:t>（六）主要经验及做法、存在问题和建议</w:t>
            </w:r>
          </w:p>
          <w:p>
            <w:pPr>
              <w:spacing w:line="560" w:lineRule="exact"/>
              <w:ind w:firstLine="474" w:firstLineChars="200"/>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无。</w:t>
            </w:r>
          </w:p>
          <w:p>
            <w:pPr>
              <w:spacing w:line="560" w:lineRule="exact"/>
              <w:ind w:firstLine="711" w:firstLineChars="300"/>
              <w:rPr>
                <w:rFonts w:ascii="仿宋_GB2312" w:eastAsia="仿宋_GB2312"/>
                <w:sz w:val="24"/>
                <w:szCs w:val="24"/>
              </w:rPr>
            </w:pPr>
            <w:r>
              <w:rPr>
                <w:rFonts w:hint="eastAsia" w:ascii="仿宋_GB2312" w:eastAsia="仿宋_GB2312"/>
                <w:sz w:val="24"/>
                <w:szCs w:val="24"/>
              </w:rPr>
              <w:t>（七）附件</w:t>
            </w:r>
          </w:p>
          <w:p>
            <w:pPr>
              <w:ind w:firstLine="711" w:firstLineChars="300"/>
              <w:rPr>
                <w:rFonts w:eastAsia="楷体_GB2312"/>
                <w:bCs/>
                <w:sz w:val="28"/>
                <w:szCs w:val="28"/>
              </w:rPr>
            </w:pPr>
            <w:r>
              <w:rPr>
                <w:rFonts w:hint="eastAsia" w:ascii="仿宋_GB2312" w:eastAsia="仿宋_GB2312"/>
                <w:sz w:val="24"/>
                <w:szCs w:val="24"/>
              </w:rPr>
              <w:t xml:space="preserve">    无。</w:t>
            </w:r>
          </w:p>
        </w:tc>
      </w:tr>
    </w:tbl>
    <w:p>
      <w:pPr>
        <w:rPr>
          <w:rFonts w:hint="eastAsia" w:ascii="黑体" w:hAnsi="黑体" w:eastAsia="黑体"/>
          <w:sz w:val="32"/>
          <w:szCs w:val="32"/>
        </w:rPr>
      </w:pP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 xml:space="preserve">   项目支出绩效评价指标体系</w:t>
      </w:r>
    </w:p>
    <w:tbl>
      <w:tblPr>
        <w:tblStyle w:val="6"/>
        <w:tblW w:w="0" w:type="auto"/>
        <w:tblInd w:w="0" w:type="dxa"/>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r>
      <w:tr>
        <w:tblPrEx>
          <w:tblCellMar>
            <w:top w:w="0" w:type="dxa"/>
            <w:left w:w="108" w:type="dxa"/>
            <w:bottom w:w="0" w:type="dxa"/>
            <w:right w:w="108" w:type="dxa"/>
          </w:tblCellMar>
        </w:tblPrEx>
        <w:trPr>
          <w:trHeight w:val="1041"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pStyle w:val="14"/>
              <w:widowControl/>
              <w:numPr>
                <w:ilvl w:val="0"/>
                <w:numId w:val="3"/>
              </w:numPr>
              <w:spacing w:line="240" w:lineRule="exact"/>
              <w:ind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99</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rPr>
          <w:rFonts w:hint="eastAsia" w:ascii="黑体" w:hAnsi="黑体" w:eastAsia="黑体"/>
          <w:sz w:val="32"/>
          <w:szCs w:val="32"/>
        </w:rPr>
      </w:pP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54D88"/>
    <w:multiLevelType w:val="multilevel"/>
    <w:tmpl w:val="23854D88"/>
    <w:lvl w:ilvl="0" w:tentative="0">
      <w:start w:val="1"/>
      <w:numFmt w:val="japaneseCounting"/>
      <w:lvlText w:val="（%1）"/>
      <w:lvlJc w:val="left"/>
      <w:pPr>
        <w:ind w:left="1492"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57522907"/>
    <w:multiLevelType w:val="multilevel"/>
    <w:tmpl w:val="5752290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FB1BB6"/>
    <w:multiLevelType w:val="multilevel"/>
    <w:tmpl w:val="5AFB1BB6"/>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67A98385"/>
    <w:multiLevelType w:val="singleLevel"/>
    <w:tmpl w:val="67A98385"/>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E2ODJmOTY0MWI5NDc5M2VjYmNlMWJjOTI4ZGM3ODMifQ=="/>
  </w:docVars>
  <w:rsids>
    <w:rsidRoot w:val="00F521AC"/>
    <w:rsid w:val="00005DF5"/>
    <w:rsid w:val="00026EDF"/>
    <w:rsid w:val="000907A7"/>
    <w:rsid w:val="000B10DA"/>
    <w:rsid w:val="000D2C50"/>
    <w:rsid w:val="000D35DF"/>
    <w:rsid w:val="000D6385"/>
    <w:rsid w:val="000E0C52"/>
    <w:rsid w:val="000E44B2"/>
    <w:rsid w:val="000F2261"/>
    <w:rsid w:val="001274A6"/>
    <w:rsid w:val="001477FB"/>
    <w:rsid w:val="001A6003"/>
    <w:rsid w:val="001D0882"/>
    <w:rsid w:val="001D59FA"/>
    <w:rsid w:val="001E757A"/>
    <w:rsid w:val="001F769E"/>
    <w:rsid w:val="002228C6"/>
    <w:rsid w:val="002319A0"/>
    <w:rsid w:val="00241C05"/>
    <w:rsid w:val="002908F0"/>
    <w:rsid w:val="002F390D"/>
    <w:rsid w:val="003B56A9"/>
    <w:rsid w:val="003C08FC"/>
    <w:rsid w:val="003D0A51"/>
    <w:rsid w:val="003F0034"/>
    <w:rsid w:val="003F6FBE"/>
    <w:rsid w:val="00497775"/>
    <w:rsid w:val="004A175A"/>
    <w:rsid w:val="004E4D39"/>
    <w:rsid w:val="00532371"/>
    <w:rsid w:val="005549BF"/>
    <w:rsid w:val="00557CE8"/>
    <w:rsid w:val="00564E7D"/>
    <w:rsid w:val="005725E6"/>
    <w:rsid w:val="005901A2"/>
    <w:rsid w:val="00595358"/>
    <w:rsid w:val="005961D8"/>
    <w:rsid w:val="005A5CEA"/>
    <w:rsid w:val="00604AE8"/>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F291E"/>
    <w:rsid w:val="00902843"/>
    <w:rsid w:val="00904DA1"/>
    <w:rsid w:val="00914A31"/>
    <w:rsid w:val="00942A92"/>
    <w:rsid w:val="009A306D"/>
    <w:rsid w:val="009A6E11"/>
    <w:rsid w:val="009C67E8"/>
    <w:rsid w:val="00A33916"/>
    <w:rsid w:val="00AA16BE"/>
    <w:rsid w:val="00AD105F"/>
    <w:rsid w:val="00AD574C"/>
    <w:rsid w:val="00B32B1E"/>
    <w:rsid w:val="00B735BC"/>
    <w:rsid w:val="00BC7F9A"/>
    <w:rsid w:val="00BF3858"/>
    <w:rsid w:val="00C111C8"/>
    <w:rsid w:val="00C473A5"/>
    <w:rsid w:val="00CE7209"/>
    <w:rsid w:val="00D41F2D"/>
    <w:rsid w:val="00D7081E"/>
    <w:rsid w:val="00DB2C5A"/>
    <w:rsid w:val="00DB5A46"/>
    <w:rsid w:val="00DC0295"/>
    <w:rsid w:val="00DC5AFB"/>
    <w:rsid w:val="00DF1BBB"/>
    <w:rsid w:val="00E60FCA"/>
    <w:rsid w:val="00EA1E6B"/>
    <w:rsid w:val="00EB2748"/>
    <w:rsid w:val="00F521AC"/>
    <w:rsid w:val="00F74B28"/>
    <w:rsid w:val="00F86472"/>
    <w:rsid w:val="081A075E"/>
    <w:rsid w:val="08AA13B1"/>
    <w:rsid w:val="0908770E"/>
    <w:rsid w:val="09AE2B1F"/>
    <w:rsid w:val="0EA874A2"/>
    <w:rsid w:val="106B4B1A"/>
    <w:rsid w:val="1229037C"/>
    <w:rsid w:val="124D08DB"/>
    <w:rsid w:val="12C117E9"/>
    <w:rsid w:val="15AF54A9"/>
    <w:rsid w:val="169E5BEE"/>
    <w:rsid w:val="1881201D"/>
    <w:rsid w:val="1901009C"/>
    <w:rsid w:val="19C01A32"/>
    <w:rsid w:val="1A186664"/>
    <w:rsid w:val="1A502862"/>
    <w:rsid w:val="1B132036"/>
    <w:rsid w:val="1BF12377"/>
    <w:rsid w:val="1CC3273B"/>
    <w:rsid w:val="21604585"/>
    <w:rsid w:val="21DE1912"/>
    <w:rsid w:val="23101D65"/>
    <w:rsid w:val="2443398C"/>
    <w:rsid w:val="25440E2B"/>
    <w:rsid w:val="278245C9"/>
    <w:rsid w:val="28E031F3"/>
    <w:rsid w:val="2A6D1036"/>
    <w:rsid w:val="2BD41926"/>
    <w:rsid w:val="3071362F"/>
    <w:rsid w:val="30DF318F"/>
    <w:rsid w:val="31D40319"/>
    <w:rsid w:val="338D478B"/>
    <w:rsid w:val="36553EF9"/>
    <w:rsid w:val="397F11FB"/>
    <w:rsid w:val="3B627475"/>
    <w:rsid w:val="3C12626D"/>
    <w:rsid w:val="3DDC2A2F"/>
    <w:rsid w:val="455530C7"/>
    <w:rsid w:val="45BE39AA"/>
    <w:rsid w:val="45D95AA6"/>
    <w:rsid w:val="46EF7542"/>
    <w:rsid w:val="47814CF4"/>
    <w:rsid w:val="4B49547C"/>
    <w:rsid w:val="508F56DF"/>
    <w:rsid w:val="513D2404"/>
    <w:rsid w:val="52EA12F3"/>
    <w:rsid w:val="57B92AF1"/>
    <w:rsid w:val="618D5C6B"/>
    <w:rsid w:val="64C15B21"/>
    <w:rsid w:val="6AD16123"/>
    <w:rsid w:val="6DE36C13"/>
    <w:rsid w:val="70007ABA"/>
    <w:rsid w:val="70B155A8"/>
    <w:rsid w:val="71B1302D"/>
    <w:rsid w:val="72C35519"/>
    <w:rsid w:val="75AC08DC"/>
    <w:rsid w:val="75B35BDC"/>
    <w:rsid w:val="79405D91"/>
    <w:rsid w:val="79BA34E7"/>
    <w:rsid w:val="7AFB54EE"/>
    <w:rsid w:val="7BAF03A7"/>
    <w:rsid w:val="7DF84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11250</Words>
  <Characters>12086</Characters>
  <Lines>83</Lines>
  <Paragraphs>23</Paragraphs>
  <TotalTime>0</TotalTime>
  <ScaleCrop>false</ScaleCrop>
  <LinksUpToDate>false</LinksUpToDate>
  <CharactersWithSpaces>13568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Administrator</cp:lastModifiedBy>
  <cp:lastPrinted>2022-06-14T07:13:00Z</cp:lastPrinted>
  <dcterms:modified xsi:type="dcterms:W3CDTF">2022-08-19T07:36:54Z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7A39C0F03D08436D96AAC10E373ABD04</vt:lpwstr>
  </property>
</Properties>
</file>